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EN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EUROPEAN</w:t>
      </w:r>
      <w:r>
        <w:t xml:space="preserve"> </w:t>
      </w:r>
      <w:r>
        <w:t xml:space="preserve">COMMISSION</w:t>
      </w:r>
      <w:r>
        <w:t xml:space="preserve"> </w:t>
      </w:r>
      <w:r>
        <w:t xml:space="preserve">Brussels, 21.1.2026</w:t>
      </w:r>
      <w:r>
        <w:br/>
      </w:r>
      <w:r>
        <w:t xml:space="preserve">SWD(2026) 13 final</w:t>
      </w:r>
      <w:r>
        <w:t xml:space="preserve"> </w:t>
      </w:r>
      <w:r>
        <w:t xml:space="preserve">PART 3/3</w:t>
      </w:r>
    </w:p>
    <w:p>
      <w:pPr>
        <w:pStyle w:val="BodyText"/>
      </w:pPr>
      <w:r>
        <w:t xml:space="preserve">COMMISSION STAFF WORKING DOCUMENT</w:t>
      </w:r>
    </w:p>
    <w:p>
      <w:pPr>
        <w:pStyle w:val="BodyText"/>
      </w:pPr>
      <w:r>
        <w:t xml:space="preserve">IMPACT ASSESSMENT REPORT</w:t>
      </w:r>
    </w:p>
    <w:p>
      <w:pPr>
        <w:pStyle w:val="BodyText"/>
      </w:pPr>
      <w:r>
        <w:t xml:space="preserve">Accompanying the document</w:t>
      </w:r>
      <w:r>
        <w:t xml:space="preserve"> </w:t>
      </w:r>
      <w:r>
        <w:t xml:space="preserve">Proposal for a</w:t>
      </w:r>
      <w:r>
        <w:br/>
      </w:r>
      <w:r>
        <w:t xml:space="preserve">REGULATION OF THE EUROPEAN PARLIAMENT AND OF THE COUNCIL on</w:t>
      </w:r>
      <w:r>
        <w:t xml:space="preserve"> </w:t>
      </w:r>
      <w:r>
        <w:t xml:space="preserve">digital networks, amending Regulation (EU) 2015/2120, Directive 2002/58/EC and</w:t>
      </w:r>
      <w:r>
        <w:t xml:space="preserve"> </w:t>
      </w:r>
      <w:r>
        <w:t xml:space="preserve">Decision No 676/2002/EC and repealing Regulation (EU) 2018/1971, Directive (EU)</w:t>
      </w:r>
      <w:r>
        <w:t xml:space="preserve"> </w:t>
      </w:r>
      <w:r>
        <w:t xml:space="preserve">2018/1972 and Decision No 243/2012/EU (Digital Networks Act)</w:t>
      </w:r>
      <w:r>
        <w:t xml:space="preserve"> </w:t>
      </w:r>
      <w:r>
        <w:t xml:space="preserve">{COM(2026) 16 final} - {SEC(2026) 14 final} - {SWD(2026) 14 final}</w:t>
      </w:r>
    </w:p>
    <w:p>
      <w:pPr>
        <w:pStyle w:val="BodyText"/>
      </w:pPr>
      <w:r>
        <w:t xml:space="preserve">1</w:t>
      </w:r>
    </w:p>
    <w:p>
      <w:pPr>
        <w:pStyle w:val="BodyText"/>
      </w:pPr>
      <w:r>
        <w:t xml:space="preserve">Annex 11 to the Impact Assessment: Evaluation – Review of the functioning of</w:t>
      </w:r>
      <w:r>
        <w:t xml:space="preserve"> </w:t>
      </w:r>
      <w:r>
        <w:t xml:space="preserve">European Electronic Communications Code (EECC), BEREC Regulation, Open</w:t>
      </w:r>
      <w:r>
        <w:t xml:space="preserve"> </w:t>
      </w:r>
      <w:r>
        <w:t xml:space="preserve">Internet Regulation, and certain aspects of the ePrivacy Directive</w:t>
      </w:r>
      <w:r>
        <w:t xml:space="preserve"> </w:t>
      </w:r>
      <w:r>
        <w:t xml:space="preserve">1.</w:t>
      </w:r>
      <w:r>
        <w:t xml:space="preserve"> </w:t>
      </w:r>
      <w:r>
        <w:t xml:space="preserve">INTRODUCTION ……………………………………………………………………………………………….. 4</w:t>
      </w:r>
      <w:r>
        <w:t xml:space="preserve"> </w:t>
      </w:r>
      <w:r>
        <w:t xml:space="preserve">2.</w:t>
      </w:r>
      <w:r>
        <w:t xml:space="preserve"> </w:t>
      </w:r>
      <w:r>
        <w:t xml:space="preserve">CONTEXT ………………………………………………………………………………………………………….. 5</w:t>
      </w:r>
      <w:r>
        <w:t xml:space="preserve"> </w:t>
      </w:r>
      <w:r>
        <w:t xml:space="preserve">3.</w:t>
      </w:r>
      <w:r>
        <w:t xml:space="preserve"> </w:t>
      </w:r>
      <w:r>
        <w:t xml:space="preserve">OBJECTIVES AND SINGLE MARKET ……………………………………………………………….. 6</w:t>
      </w:r>
      <w:r>
        <w:t xml:space="preserve"> </w:t>
      </w:r>
      <w:r>
        <w:t xml:space="preserve">3.1. Intervention logic …………………………………………………………………………………………………. 6</w:t>
      </w:r>
      <w:r>
        <w:t xml:space="preserve"> </w:t>
      </w:r>
      <w:r>
        <w:t xml:space="preserve">3.2. Complexity and simplification potential, including observation on ‘gold plating’ ………… 7</w:t>
      </w:r>
      <w:r>
        <w:t xml:space="preserve"> </w:t>
      </w:r>
      <w:r>
        <w:t xml:space="preserve">3.3. Single Market ………………………………………………………………………………………………………. 9</w:t>
      </w:r>
      <w:r>
        <w:t xml:space="preserve"> </w:t>
      </w:r>
      <w:r>
        <w:t xml:space="preserve">3.4. General Objectives ……………………………………………………………………………………………… 10</w:t>
      </w:r>
      <w:r>
        <w:t xml:space="preserve"> </w:t>
      </w:r>
      <w:r>
        <w:t xml:space="preserve">3.5. Scope and level playing field ……………………………………………………………………………….. 18</w:t>
      </w:r>
      <w:r>
        <w:t xml:space="preserve"> </w:t>
      </w:r>
      <w:r>
        <w:t xml:space="preserve">4.</w:t>
      </w:r>
      <w:r>
        <w:t xml:space="preserve"> </w:t>
      </w:r>
      <w:r>
        <w:t xml:space="preserve">ACCESS REGULATION ……………………………………………………………………………………. 26</w:t>
      </w:r>
      <w:r>
        <w:t xml:space="preserve"> </w:t>
      </w:r>
      <w:r>
        <w:t xml:space="preserve">4.1. Harmonisation of regulatory remedies (Art 32) ………………………………………………………. 26</w:t>
      </w:r>
      <w:r>
        <w:t xml:space="preserve"> </w:t>
      </w:r>
      <w:r>
        <w:t xml:space="preserve">4.2. Market developments ………………………………………………………………………………………….. 28</w:t>
      </w:r>
      <w:r>
        <w:t xml:space="preserve"> </w:t>
      </w:r>
      <w:r>
        <w:t xml:space="preserve">4.3. Overview and evaluation of the access provisions …………………………………………………… 33</w:t>
      </w:r>
      <w:r>
        <w:t xml:space="preserve"> </w:t>
      </w:r>
      <w:r>
        <w:t xml:space="preserve">5.</w:t>
      </w:r>
      <w:r>
        <w:t xml:space="preserve"> </w:t>
      </w:r>
      <w:r>
        <w:t xml:space="preserve">SPECTRUM ……………………………………………………………………………………………………… 48</w:t>
      </w:r>
      <w:r>
        <w:t xml:space="preserve"> </w:t>
      </w:r>
      <w:r>
        <w:t xml:space="preserve">5.1. Strategic Dimension of spectrum ………………………………………………………………………….. 48</w:t>
      </w:r>
      <w:r>
        <w:t xml:space="preserve"> </w:t>
      </w:r>
      <w:r>
        <w:t xml:space="preserve">5.2. Spectrum provisions in the EECC …………………………………………………………………………. 49</w:t>
      </w:r>
      <w:r>
        <w:t xml:space="preserve"> </w:t>
      </w:r>
      <w:r>
        <w:t xml:space="preserve">5.3. Radio Spectrum Policy Programme ………………………………………………………………………. 50</w:t>
      </w:r>
      <w:r>
        <w:t xml:space="preserve"> </w:t>
      </w:r>
      <w:r>
        <w:t xml:space="preserve">5.4. Effectiveness in promoting connectivity ………………………………………………………………… 51</w:t>
      </w:r>
      <w:r>
        <w:t xml:space="preserve"> </w:t>
      </w:r>
      <w:r>
        <w:t xml:space="preserve">5.5. Effectiveness in promoting development of the Single Market …………………………………. 70</w:t>
      </w:r>
      <w:r>
        <w:t xml:space="preserve"> </w:t>
      </w:r>
      <w:r>
        <w:t xml:space="preserve">5.6. EFFICIENCY ………………………………………………………………………………………………………… 78</w:t>
      </w:r>
      <w:r>
        <w:t xml:space="preserve"> </w:t>
      </w:r>
      <w:r>
        <w:t xml:space="preserve">5.7. Coherence ………………………………………………………………………………………………………….. 84</w:t>
      </w:r>
      <w:r>
        <w:t xml:space="preserve"> </w:t>
      </w:r>
      <w:r>
        <w:t xml:space="preserve">5.8. Relevance ………………………………………………………………………………………………………….. 87</w:t>
      </w:r>
      <w:r>
        <w:t xml:space="preserve"> </w:t>
      </w:r>
      <w:r>
        <w:t xml:space="preserve">5.9. EU added value ………………………………………………………………………………………………….. 88</w:t>
      </w:r>
      <w:r>
        <w:t xml:space="preserve"> </w:t>
      </w:r>
      <w:r>
        <w:t xml:space="preserve">6.</w:t>
      </w:r>
      <w:r>
        <w:t xml:space="preserve"> </w:t>
      </w:r>
      <w:r>
        <w:t xml:space="preserve">GENERAL AUTHORISATION …………………………………………………………………………… 89</w:t>
      </w:r>
      <w:r>
        <w:t xml:space="preserve"> </w:t>
      </w:r>
      <w:r>
        <w:t xml:space="preserve">6.1. Effectiveness ……………………………………………………………………………………………………… 91</w:t>
      </w:r>
      <w:r>
        <w:t xml:space="preserve"> </w:t>
      </w:r>
      <w:r>
        <w:t xml:space="preserve">6.2. Efficiency ………………………………………………………………………………………………………….. 92</w:t>
      </w:r>
      <w:r>
        <w:t xml:space="preserve"> </w:t>
      </w:r>
      <w:r>
        <w:t xml:space="preserve">6.3. Coherence ………………………………………………………………………………………………………….. 93</w:t>
      </w:r>
      <w:r>
        <w:t xml:space="preserve"> </w:t>
      </w:r>
      <w:r>
        <w:t xml:space="preserve">6.4. Relevance ………………………………………………………………………………………………………….. 93</w:t>
      </w:r>
      <w:r>
        <w:t xml:space="preserve"> </w:t>
      </w:r>
      <w:r>
        <w:t xml:space="preserve">6.5. EU added value ………………………………………………………………………………………………….. 94</w:t>
      </w:r>
      <w:r>
        <w:t xml:space="preserve"> </w:t>
      </w:r>
      <w:r>
        <w:t xml:space="preserve">7.</w:t>
      </w:r>
      <w:r>
        <w:t xml:space="preserve"> </w:t>
      </w:r>
      <w:r>
        <w:t xml:space="preserve">UNIVERSAL SERVICE OBLIGATIONS …………………………………………………………….. 94</w:t>
      </w:r>
      <w:r>
        <w:t xml:space="preserve"> </w:t>
      </w:r>
      <w:r>
        <w:t xml:space="preserve">7.1. Effectiveness ……………………………………………………………………………………………………… 96</w:t>
      </w:r>
      <w:r>
        <w:t xml:space="preserve"> </w:t>
      </w:r>
      <w:r>
        <w:t xml:space="preserve">7.2. Efficiency ………………………………………………………………………………………………………….. 99</w:t>
      </w:r>
      <w:r>
        <w:t xml:space="preserve"> </w:t>
      </w:r>
      <w:r>
        <w:t xml:space="preserve">7.3. Relevance ………………………………………………………………………………………………………… 100</w:t>
      </w:r>
    </w:p>
    <w:p>
      <w:pPr>
        <w:pStyle w:val="BodyText"/>
      </w:pPr>
      <w:r>
        <w:t xml:space="preserve">2</w:t>
      </w:r>
    </w:p>
    <w:p>
      <w:pPr>
        <w:pStyle w:val="BodyText"/>
      </w:pPr>
      <w:r>
        <w:t xml:space="preserve">7.4. Coherence ………………………………………………………………………………………………………… 102</w:t>
      </w:r>
      <w:r>
        <w:t xml:space="preserve"> </w:t>
      </w:r>
      <w:r>
        <w:t xml:space="preserve">7.5. EU added value ………………………………………………………………………………………………… 103</w:t>
      </w:r>
      <w:r>
        <w:t xml:space="preserve"> </w:t>
      </w:r>
      <w:r>
        <w:t xml:space="preserve">8.</w:t>
      </w:r>
      <w:r>
        <w:t xml:space="preserve"> </w:t>
      </w:r>
      <w:r>
        <w:t xml:space="preserve">END-USER RIGHTS ……………………………………………………………………………………….. 103</w:t>
      </w:r>
      <w:r>
        <w:t xml:space="preserve"> </w:t>
      </w:r>
      <w:r>
        <w:t xml:space="preserve">8.1. Effectiveness ……………………………………………………………………………………………………. 106</w:t>
      </w:r>
      <w:r>
        <w:t xml:space="preserve"> </w:t>
      </w:r>
      <w:r>
        <w:t xml:space="preserve">8.2. Efficiency ………………………………………………………………………………………………………… 113</w:t>
      </w:r>
      <w:r>
        <w:t xml:space="preserve"> </w:t>
      </w:r>
      <w:r>
        <w:t xml:space="preserve">8.3. Relevance ………………………………………………………………………………………………………… 114</w:t>
      </w:r>
      <w:r>
        <w:t xml:space="preserve"> </w:t>
      </w:r>
      <w:r>
        <w:t xml:space="preserve">8.4. Coherence ………………………………………………………………………………………………………… 118</w:t>
      </w:r>
      <w:r>
        <w:t xml:space="preserve"> </w:t>
      </w:r>
      <w:r>
        <w:t xml:space="preserve">8.5. EU added value ………………………………………………………………………………………………… 119</w:t>
      </w:r>
      <w:r>
        <w:t xml:space="preserve"> </w:t>
      </w:r>
      <w:r>
        <w:t xml:space="preserve">9.</w:t>
      </w:r>
      <w:r>
        <w:t xml:space="preserve"> </w:t>
      </w:r>
      <w:r>
        <w:t xml:space="preserve">GOVERNANCE ………………………………………………………………………………………………. 120</w:t>
      </w:r>
      <w:r>
        <w:t xml:space="preserve"> </w:t>
      </w:r>
      <w:r>
        <w:t xml:space="preserve">9.1. Independence of NRAs ……………………………………………………………………………………… 120</w:t>
      </w:r>
      <w:r>
        <w:t xml:space="preserve"> </w:t>
      </w:r>
      <w:r>
        <w:t xml:space="preserve">9.2. BEREC and BEREC Office ……………………………………………………………………………….. 121</w:t>
      </w:r>
      <w:r>
        <w:t xml:space="preserve"> </w:t>
      </w:r>
      <w:r>
        <w:t xml:space="preserve">9.3. Radio Spectrum Policy Group (RSPG) ………………………………………………………………… 121</w:t>
      </w:r>
      <w:r>
        <w:t xml:space="preserve"> </w:t>
      </w:r>
      <w:r>
        <w:t xml:space="preserve">10.</w:t>
      </w:r>
      <w:r>
        <w:t xml:space="preserve"> </w:t>
      </w:r>
      <w:r>
        <w:t xml:space="preserve">LESSONS LEARNT AND CONCLUSIONS …………………………………………………… 126</w:t>
      </w:r>
      <w:r>
        <w:t xml:space="preserve"> </w:t>
      </w:r>
      <w:r>
        <w:t xml:space="preserve">APPENDIX I SOURCES …………………………………………………………………………………………. 129</w:t>
      </w:r>
      <w:r>
        <w:t xml:space="preserve"> </w:t>
      </w:r>
      <w:r>
        <w:t xml:space="preserve">APPENDIX II – RADIO SPECTRUM (POLICY PROGRAMME) – ADDITIONAL</w:t>
      </w:r>
      <w:r>
        <w:t xml:space="preserve"> </w:t>
      </w:r>
      <w:r>
        <w:t xml:space="preserve">INFORMATION ON SPECTRUM …………………………………………………………………………… 131</w:t>
      </w:r>
      <w:r>
        <w:t xml:space="preserve"> </w:t>
      </w:r>
      <w:r>
        <w:t xml:space="preserve">APPENDIX III EVALUATION OF BEREC AND THE BEREC OFFICE …………………….. 148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TABLE OF FIGURES</w:t>
      </w:r>
      <w:r>
        <w:t xml:space="preserve"> </w:t>
      </w:r>
      <w:r>
        <w:t xml:space="preserve">Figure 1: Figure on existing political frameworks and initiatives influencing the green digital transition</w:t>
      </w:r>
      <w:r>
        <w:t xml:space="preserve"> </w:t>
      </w:r>
      <w:r>
        <w:t xml:space="preserve">…………………………………………………………………………………………………………………………………………… 13</w:t>
      </w:r>
      <w:r>
        <w:t xml:space="preserve"> </w:t>
      </w:r>
      <w:r>
        <w:t xml:space="preserve">Figure 2: Application of symmetric regulation according to Art. 61 (3) EECC ……………………………… 37</w:t>
      </w:r>
      <w:r>
        <w:t xml:space="preserve"> </w:t>
      </w:r>
      <w:r>
        <w:t xml:space="preserve">Figure 3: Total 5G households coverage- 5G Observatory Report 2025 | Shaping Europe’s digital</w:t>
      </w:r>
      <w:r>
        <w:t xml:space="preserve"> </w:t>
      </w:r>
      <w:r>
        <w:t xml:space="preserve">future ………………………………………………………………………………………………………………………………….. 52</w:t>
      </w:r>
      <w:r>
        <w:t xml:space="preserve"> </w:t>
      </w:r>
      <w:r>
        <w:t xml:space="preserve">Figure 4: 5G coverage of households in the 3.6 GHz band - 5G Observatory Report 2025 | Shaping</w:t>
      </w:r>
      <w:r>
        <w:t xml:space="preserve"> </w:t>
      </w:r>
      <w:r>
        <w:t xml:space="preserve">Europe’s digital future …………………………………………………………………………………………………………… 53</w:t>
      </w:r>
      <w:r>
        <w:t xml:space="preserve"> </w:t>
      </w:r>
      <w:r>
        <w:t xml:space="preserve">Figure 5: World population and mid-band coverage split per region (end of 2024) ……………………….. 54</w:t>
      </w:r>
      <w:r>
        <w:t xml:space="preserve"> </w:t>
      </w:r>
      <w:r>
        <w:t xml:space="preserve">Figure 6: 5G SA coverage, by region, 3Q 2024, Source Analysys Mason, 2024 ……………………………. 55</w:t>
      </w:r>
      <w:r>
        <w:t xml:space="preserve"> </w:t>
      </w:r>
      <w:r>
        <w:t xml:space="preserve">Figure 7: International comparison of average download speed ………………………………………………….. 56</w:t>
      </w:r>
      <w:r>
        <w:t xml:space="preserve"> </w:t>
      </w:r>
      <w:r>
        <w:t xml:space="preserve">Figure 8: Timeline of pioneer band awards by EU Member State (2015-2025) …………………………….. 58</w:t>
      </w:r>
      <w:r>
        <w:t xml:space="preserve"> </w:t>
      </w:r>
      <w:r>
        <w:t xml:space="preserve">Figure 9: 5G population coverage vs. years to awards, Source: Study on assessing the efficiency of</w:t>
      </w:r>
      <w:r>
        <w:t xml:space="preserve"> </w:t>
      </w:r>
      <w:r>
        <w:t xml:space="preserve">radio spectrum award ……………………………………………………………………………………………………………. 59</w:t>
      </w:r>
      <w:r>
        <w:t xml:space="preserve"> </w:t>
      </w:r>
      <w:r>
        <w:t xml:space="preserve">Figure 10: Overview of private networks’ information on 3400-4200 MHz – for illustrative purposes</w:t>
      </w:r>
      <w:r>
        <w:t xml:space="preserve"> </w:t>
      </w:r>
      <w:r>
        <w:t xml:space="preserve">only Source: BoR(25) 33 ……………………………………………………………………………………………………….. 60</w:t>
      </w:r>
      <w:r>
        <w:t xml:space="preserve"> </w:t>
      </w:r>
      <w:r>
        <w:t xml:space="preserve">Figure 11: Mobile ARPU comparison and real-term changes across global regions (2022–2023)……. 67</w:t>
      </w:r>
      <w:r>
        <w:t xml:space="preserve"> </w:t>
      </w:r>
      <w:r>
        <w:t xml:space="preserve">Figure 12: Examples and observed impact of market shaping measures in EU auctions ………………… 69</w:t>
      </w:r>
      <w:r>
        <w:t xml:space="preserve"> </w:t>
      </w:r>
      <w:r>
        <w:t xml:space="preserve">Figure 13: Geographic distribution of cross-border harmful spectrum interference in Europe ………… 73</w:t>
      </w:r>
      <w:r>
        <w:t xml:space="preserve"> </w:t>
      </w:r>
      <w:r>
        <w:t xml:space="preserve">Figure 14: Revenue per MHz per connection in Europe …………………………………………………………….. 80</w:t>
      </w:r>
      <w:r>
        <w:t xml:space="preserve"> </w:t>
      </w:r>
      <w:r>
        <w:t xml:space="preserve">Figure 15: Average band prices in each award (€/MHz/pop) ………………………………………………………. 80</w:t>
      </w:r>
      <w:r>
        <w:t xml:space="preserve"> </w:t>
      </w:r>
      <w:r>
        <w:t xml:space="preserve">Figure 16: Inflation adjusted price trends in EU awards of 700 MHz and 3.6 GHz 2015-2025 ……….. 81</w:t>
      </w:r>
      <w:r>
        <w:t xml:space="preserve"> </w:t>
      </w:r>
      <w:r>
        <w:t xml:space="preserve">Figure 17: % of new cars sold in selected EU countries, 2015-2024 ……………………………………………112</w:t>
      </w:r>
      <w:r>
        <w:t xml:space="preserve"> </w:t>
      </w:r>
      <w:r>
        <w:t xml:space="preserve">Figure 18: % of new cars sold by 2024, per country ………………………………………………………………….112</w:t>
      </w:r>
      <w:r>
        <w:t xml:space="preserve"> </w:t>
      </w:r>
      <w:r>
        <w:t xml:space="preserve">Figure 19: Stakeholder views: Publication of information (e.g. description of offered services) by</w:t>
      </w:r>
      <w:r>
        <w:t xml:space="preserve"> </w:t>
      </w:r>
      <w:r>
        <w:t xml:space="preserve">providers beneficial Y/N ……………………………………………………………………………………………………….115</w:t>
      </w:r>
      <w:r>
        <w:t xml:space="preserve"> </w:t>
      </w:r>
      <w:r>
        <w:t xml:space="preserve">Figure 20: Spectrum competent authorities’ assessment of added value of RSPG work ……………….. 124</w:t>
      </w:r>
      <w:r>
        <w:t xml:space="preserve"> </w:t>
      </w:r>
      <w:r>
        <w:t xml:space="preserve">Figure 21: MedUX - 5G QoE Benchmark in Europe: Drive Testing Report published at MWC25</w:t>
      </w:r>
      <w:r>
        <w:t xml:space="preserve"> </w:t>
      </w:r>
      <w:r>
        <w:t xml:space="preserve">(Q42024 data) …………………………………………………………………………………………………………………….. 143</w:t>
      </w:r>
      <w:r>
        <w:t xml:space="preserve"> </w:t>
      </w:r>
      <w:r>
        <w:t xml:space="preserve">Figure 22: Status of 5G usage in Europe ………………………………………………………………………………… 143</w:t>
      </w:r>
      <w:r>
        <w:t xml:space="preserve"> </w:t>
      </w:r>
      <w:r>
        <w:t xml:space="preserve">Figure 23 :International comparison of 5G usage ……………………………………………………………………. 144</w:t>
      </w:r>
      <w:r>
        <w:t xml:space="preserve"> </w:t>
      </w:r>
      <w:r>
        <w:t xml:space="preserve">Figure 24: Status of 5G SA usage in Europe …………………………………………………………………………… 144</w:t>
      </w:r>
      <w:r>
        <w:t xml:space="preserve"> </w:t>
      </w:r>
      <w:r>
        <w:t xml:space="preserve">Figure 25: International comparison of 5G SA usage ………………………………………………………………. 145</w:t>
      </w:r>
      <w:r>
        <w:t xml:space="preserve"> </w:t>
      </w:r>
      <w:r>
        <w:t xml:space="preserve">Figure 26: International comparison of average download speed ………………………………………………. 145</w:t>
      </w:r>
    </w:p>
    <w:p>
      <w:pPr>
        <w:pStyle w:val="BodyText"/>
      </w:pPr>
      <w:r>
        <w:t xml:space="preserve">4</w:t>
      </w:r>
    </w:p>
    <w:p>
      <w:pPr>
        <w:pStyle w:val="Compact"/>
        <w:numPr>
          <w:ilvl w:val="0"/>
          <w:numId w:val="1001"/>
        </w:numPr>
      </w:pPr>
      <w:r>
        <w:t xml:space="preserve">INTRODUCTION</w:t>
      </w:r>
      <w:r>
        <w:t xml:space="preserve"> </w:t>
      </w:r>
      <w:r>
        <w:t xml:space="preserve">As a starting point, the European Electronic Communications Code (hereafter “EECC”)1</w:t>
      </w:r>
      <w:r>
        <w:br/>
      </w:r>
      <w:r>
        <w:t xml:space="preserve">article 122 requires the Commission to review the functioning of the EECC. Therefore, one</w:t>
      </w:r>
      <w:r>
        <w:t xml:space="preserve"> </w:t>
      </w:r>
      <w:r>
        <w:t xml:space="preserve">aim of this review report is to assess the functioning of the EECC since its applicability as of</w:t>
      </w:r>
      <w:r>
        <w:t xml:space="preserve"> </w:t>
      </w:r>
      <w:r>
        <w:t xml:space="preserve">21 December 2020, in particular Articles 61(3), 76, 78 and 79.</w:t>
      </w:r>
      <w:r>
        <w:br/>
      </w:r>
      <w:r>
        <w:t xml:space="preserve">In addition, Article 122(2) requires that the Commission shall review the scope of universal</w:t>
      </w:r>
      <w:r>
        <w:t xml:space="preserve"> </w:t>
      </w:r>
      <w:r>
        <w:t xml:space="preserve">service in light of social, economic and technological developments. The aim of this report is</w:t>
      </w:r>
      <w:r>
        <w:t xml:space="preserve"> </w:t>
      </w:r>
      <w:r>
        <w:t xml:space="preserve">also to review the scope of universal since the applicability of the current rules as of 21</w:t>
      </w:r>
      <w:r>
        <w:t xml:space="preserve"> </w:t>
      </w:r>
      <w:r>
        <w:t xml:space="preserve">December 2020.</w:t>
      </w:r>
      <w:r>
        <w:br/>
      </w:r>
      <w:r>
        <w:t xml:space="preserve">Next, Article 122 (3) allows the Commission, taking utmost account of the opinion of the</w:t>
      </w:r>
      <w:r>
        <w:t xml:space="preserve"> </w:t>
      </w:r>
      <w:r>
        <w:t xml:space="preserve">body of European Regulators for Electronic Communications (BEREC), to publish a report on</w:t>
      </w:r>
      <w:r>
        <w:t xml:space="preserve"> </w:t>
      </w:r>
      <w:r>
        <w:t xml:space="preserve">the application of the general authorisation provisions, including on the possible conditions</w:t>
      </w:r>
      <w:r>
        <w:t xml:space="preserve"> </w:t>
      </w:r>
      <w:r>
        <w:t xml:space="preserve">and to submit a legislative proposal to amend those provisions where it considers this to be</w:t>
      </w:r>
      <w:r>
        <w:t xml:space="preserve"> </w:t>
      </w:r>
      <w:r>
        <w:t xml:space="preserve">necessary for the purpose of addressing obstacles to the proper functioning of the internal</w:t>
      </w:r>
      <w:r>
        <w:t xml:space="preserve"> </w:t>
      </w:r>
      <w:r>
        <w:t xml:space="preserve">market.</w:t>
      </w:r>
      <w:r>
        <w:t xml:space="preserve"> </w:t>
      </w:r>
      <w:r>
        <w:t xml:space="preserve">Furthermore, Article 123 of the EECC requires that the Commission publishes a report on the</w:t>
      </w:r>
      <w:r>
        <w:t xml:space="preserve"> </w:t>
      </w:r>
      <w:r>
        <w:t xml:space="preserve">application of end-user rights, taking utmost account of the BEREC opinion. The aim of this</w:t>
      </w:r>
      <w:r>
        <w:t xml:space="preserve"> </w:t>
      </w:r>
      <w:r>
        <w:t xml:space="preserve">report is also to accomplish this.</w:t>
      </w:r>
      <w:r>
        <w:br/>
      </w:r>
      <w:r>
        <w:t xml:space="preserve">Finally, in view of new challenges concerning the competitiveness of the sector, the need to</w:t>
      </w:r>
      <w:r>
        <w:t xml:space="preserve"> </w:t>
      </w:r>
      <w:r>
        <w:t xml:space="preserve">deepen the Single Market for electronic communications as well as security and resilience of</w:t>
      </w:r>
      <w:r>
        <w:t xml:space="preserve"> </w:t>
      </w:r>
      <w:r>
        <w:t xml:space="preserve">networks, the need for a major regulatory reform2 has been identified. Therefore, this report</w:t>
      </w:r>
      <w:r>
        <w:t xml:space="preserve"> </w:t>
      </w:r>
      <w:r>
        <w:t xml:space="preserve">includes a comprehensive review in light of the announced Commission initiative to propose a</w:t>
      </w:r>
      <w:r>
        <w:t xml:space="preserve"> </w:t>
      </w:r>
      <w:r>
        <w:t xml:space="preserve">Digital Networks Act (DNA). Accordingly, this review of the entire EECC is conducted</w:t>
      </w:r>
      <w:r>
        <w:t xml:space="preserve"> </w:t>
      </w:r>
      <w:r>
        <w:t xml:space="preserve">together with the review of the Regulation (EU) 2018/1971 establishing the Body of European</w:t>
      </w:r>
      <w:r>
        <w:t xml:space="preserve"> </w:t>
      </w:r>
      <w:r>
        <w:t xml:space="preserve">Regulators for Electronic Communications (BEREC) and the Agency for Support for BEREC</w:t>
      </w:r>
      <w:r>
        <w:t xml:space="preserve"> </w:t>
      </w:r>
      <w:r>
        <w:t xml:space="preserve">(BEREC Office), and includes an assessment of the Regulation (EU) 2015/2120 on Open</w:t>
      </w:r>
      <w:r>
        <w:t xml:space="preserve"> </w:t>
      </w:r>
      <w:r>
        <w:t xml:space="preserve">Internet Access (OIR), some telecom specific (number-related) aspects (Art. 7 on</w:t>
      </w:r>
      <w:r>
        <w:t xml:space="preserve"> </w:t>
      </w:r>
      <w:r>
        <w:t xml:space="preserve">Itemised billing, Art. 8 on Presentation and Restriction of Calling and Connecting line</w:t>
      </w:r>
      <w:r>
        <w:t xml:space="preserve"> </w:t>
      </w:r>
      <w:r>
        <w:t xml:space="preserve">identification and Art. 10 on the related exceptions, Art. 11 Automated calls forwarding and</w:t>
      </w:r>
      <w:r>
        <w:t xml:space="preserve"> </w:t>
      </w:r>
      <w:r>
        <w:t xml:space="preserve">Art. 12 Public directories) of the Directive 2002/58/EC (ePrivacy Directive) and the Radio</w:t>
      </w:r>
      <w:r>
        <w:t xml:space="preserve"> </w:t>
      </w:r>
      <w:r>
        <w:t xml:space="preserve">Spectrum Policy Programme3 (RSPP).</w:t>
      </w:r>
      <w:r>
        <w:t xml:space="preserve"> </w:t>
      </w:r>
      <w:r>
        <w:t xml:space="preserve">To ensure overall coherence of this report, the evaluation is organised separately by individual</w:t>
      </w:r>
      <w:r>
        <w:t xml:space="preserve"> </w:t>
      </w:r>
      <w:r>
        <w:t xml:space="preserve">subject areas, and a summary is provided.</w:t>
      </w:r>
      <w:r>
        <w:t xml:space="preserve"> </w:t>
      </w:r>
      <w:r>
        <w:t xml:space="preserve">The sections on these subject areas cover a short evaluation carried out with available data</w:t>
      </w:r>
      <w:r>
        <w:t xml:space="preserve"> </w:t>
      </w:r>
      <w:r>
        <w:t xml:space="preserve">and elaborates, where relevant, specifically on some of the evaluation criteria of effectiveness,</w:t>
      </w:r>
      <w:r>
        <w:t xml:space="preserve"> </w:t>
      </w:r>
      <w:r>
        <w:t xml:space="preserve">efficiency, relevance, EU added value and coherence. To allow for easy reference, in chapter</w:t>
      </w:r>
    </w:p>
    <w:p>
      <w:pPr>
        <w:pStyle w:val="FirstParagraph"/>
      </w:pPr>
      <w:r>
        <w:t xml:space="preserve">1</w:t>
      </w:r>
      <w:r>
        <w:br/>
      </w:r>
      <w:r>
        <w:t xml:space="preserve">Directive - 2018/1972 - EN - eecc - EUR-Lex.</w:t>
      </w:r>
      <w:r>
        <w:t xml:space="preserve"> </w:t>
      </w:r>
      <w:r>
        <w:t xml:space="preserve">2</w:t>
      </w:r>
      <w:r>
        <w:br/>
      </w:r>
      <w:r>
        <w:t xml:space="preserve">See Draghi, M., The Draghi report: A competitiveness strategy for Europe (Part A), 2024 as well as Draghi,</w:t>
      </w:r>
      <w:r>
        <w:t xml:space="preserve"> </w:t>
      </w:r>
      <w:r>
        <w:t xml:space="preserve">M., The Draghi report: In-depth analysis and recommendations (Part B), 2024,Letta, E., Much more than a</w:t>
      </w:r>
      <w:r>
        <w:t xml:space="preserve"> </w:t>
      </w:r>
      <w:r>
        <w:t xml:space="preserve">market – Speed, Security, Solidarity Empowering the Single Market to deliver a sustainable future and</w:t>
      </w:r>
      <w:r>
        <w:t xml:space="preserve"> </w:t>
      </w:r>
      <w:r>
        <w:t xml:space="preserve">prosperity for all EU Citizens, 2024 and Niinistö, S., Report: Safer Together – Strengthening Europe’s</w:t>
      </w:r>
      <w:r>
        <w:t xml:space="preserve"> </w:t>
      </w:r>
      <w:r>
        <w:t xml:space="preserve">Civilian and Military Preparedness and Readiness | European Commission.</w:t>
      </w:r>
      <w:r>
        <w:t xml:space="preserve"> </w:t>
      </w:r>
      <w:r>
        <w:t xml:space="preserve">3</w:t>
      </w:r>
      <w:r>
        <w:br/>
      </w:r>
      <w:r>
        <w:t xml:space="preserve">Decision No 243/2012/EU of the European Parliament and of the Council of 14 March 2012 establishing a</w:t>
      </w:r>
      <w:r>
        <w:t xml:space="preserve"> </w:t>
      </w:r>
      <w:r>
        <w:t xml:space="preserve">multiannual radio spectrum policy programme, Text with EEA relevance (OJ L 81, 21.3.2012, p. 7–17):</w:t>
      </w:r>
      <w:r>
        <w:t xml:space="preserve"> </w:t>
      </w:r>
      <w:r>
        <w:t xml:space="preserve">https://eur-lex.europa.eu/eli/dec/2012/243(2)/oj.</w:t>
      </w:r>
    </w:p>
    <w:p>
      <w:pPr>
        <w:pStyle w:val="BodyText"/>
      </w:pPr>
      <w:r>
        <w:t xml:space="preserve">5</w:t>
      </w:r>
    </w:p>
    <w:p>
      <w:pPr>
        <w:pStyle w:val="BodyText"/>
      </w:pPr>
      <w:r>
        <w:t xml:space="preserve">5 on spectrum, the evaluation criteria are assessed for individual subject areas separately</w:t>
      </w:r>
      <w:r>
        <w:t xml:space="preserve"> </w:t>
      </w:r>
      <w:r>
        <w:t xml:space="preserve">where necessary.</w:t>
      </w:r>
      <w:r>
        <w:t xml:space="preserve"> </w:t>
      </w:r>
      <w:r>
        <w:t xml:space="preserve">For these assessments, the European Commission (Commission/EC) gathered feedback from</w:t>
      </w:r>
      <w:r>
        <w:t xml:space="preserve"> </w:t>
      </w:r>
      <w:r>
        <w:t xml:space="preserve">various sources, the main sources are listed in Annex I.</w:t>
      </w:r>
      <w:r>
        <w:t xml:space="preserve"> </w:t>
      </w:r>
      <w:r>
        <w:t xml:space="preserve">Stakeholders were consulted on the review and on the evaluation of the interventions together</w:t>
      </w:r>
      <w:r>
        <w:t xml:space="preserve"> </w:t>
      </w:r>
      <w:r>
        <w:t xml:space="preserve">with the proposals for the DNA, for which the details are provided in Annex 2 of the Impact</w:t>
      </w:r>
      <w:r>
        <w:t xml:space="preserve"> </w:t>
      </w:r>
      <w:r>
        <w:t xml:space="preserve">Assessment.</w:t>
      </w:r>
      <w:r>
        <w:t xml:space="preserve"> </w:t>
      </w:r>
      <w:r>
        <w:t xml:space="preserve">2. CONTEXT</w:t>
      </w:r>
      <w:r>
        <w:t xml:space="preserve"> </w:t>
      </w:r>
      <w:r>
        <w:t xml:space="preserve">The EECC, the BEREC Regulation, the OIR, the 2012 Radio Spectrum Policy Programme</w:t>
      </w:r>
      <w:r>
        <w:t xml:space="preserve"> </w:t>
      </w:r>
      <w:r>
        <w:t xml:space="preserve">(RSPP)4, the Decision No 626/2008/EC (MSS Decision) and the ePrivacy Directive have not</w:t>
      </w:r>
      <w:r>
        <w:t xml:space="preserve"> </w:t>
      </w:r>
      <w:r>
        <w:t xml:space="preserve">been significantly changed since December 2020. Legal, judicial and regulatory developments</w:t>
      </w:r>
      <w:r>
        <w:t xml:space="preserve"> </w:t>
      </w:r>
      <w:r>
        <w:t xml:space="preserve">since December 2020 are outlined in the specific sections below where relevant.</w:t>
      </w:r>
      <w:r>
        <w:t xml:space="preserve"> </w:t>
      </w:r>
      <w:r>
        <w:t xml:space="preserve">The exploratory consultation of 20235 and the feedback to the White Paper “How to master</w:t>
      </w:r>
      <w:r>
        <w:t xml:space="preserve"> </w:t>
      </w:r>
      <w:r>
        <w:t xml:space="preserve">Europe’s digital infrastructure needs” of 2024 identified the following as the main</w:t>
      </w:r>
      <w:r>
        <w:t xml:space="preserve"> </w:t>
      </w:r>
      <w:r>
        <w:t xml:space="preserve">technological developments impacting the connectivity sector: network virtualisation,</w:t>
      </w:r>
      <w:r>
        <w:t xml:space="preserve"> </w:t>
      </w:r>
      <w:r>
        <w:t xml:space="preserve">artificial intelligence, open networks, edge cloud, low earth orbit satellite communications</w:t>
      </w:r>
      <w:r>
        <w:t xml:space="preserve"> </w:t>
      </w:r>
      <w:r>
        <w:t xml:space="preserve">and next generation radio communications. Most respondents recognise the trend towards</w:t>
      </w:r>
      <w:r>
        <w:t xml:space="preserve"> </w:t>
      </w:r>
      <w:r>
        <w:t xml:space="preserve">cloud- and software-based infrastructures and the need to significantly upgrade the network</w:t>
      </w:r>
      <w:r>
        <w:t xml:space="preserve"> </w:t>
      </w:r>
      <w:r>
        <w:t xml:space="preserve">infrastructures. Many stakeholders underline the trend towards enabling data and AI centric</w:t>
      </w:r>
      <w:r>
        <w:t xml:space="preserve"> </w:t>
      </w:r>
      <w:r>
        <w:t xml:space="preserve">applications. The diverse range and convergence of players in the broader ecosystem around</w:t>
      </w:r>
      <w:r>
        <w:t xml:space="preserve"> </w:t>
      </w:r>
      <w:r>
        <w:t xml:space="preserve">digital networks is widely recognised, illustrated by partnerships between telecom suppliers</w:t>
      </w:r>
      <w:r>
        <w:t xml:space="preserve"> </w:t>
      </w:r>
      <w:r>
        <w:t xml:space="preserve">and operators with cloud providers and content and application providers (CAPs). However,</w:t>
      </w:r>
      <w:r>
        <w:t xml:space="preserve"> </w:t>
      </w:r>
      <w:r>
        <w:t xml:space="preserve">Internet and cloud players underline that general cloud services and telecom services remain</w:t>
      </w:r>
      <w:r>
        <w:t xml:space="preserve"> </w:t>
      </w:r>
      <w:r>
        <w:t xml:space="preserve">technologically distinct. Some disagree on the concept of “convergence” between telecom and</w:t>
      </w:r>
      <w:r>
        <w:t xml:space="preserve"> </w:t>
      </w:r>
      <w:r>
        <w:t xml:space="preserve">cloud services depicted in the White Paper.</w:t>
      </w:r>
      <w:r>
        <w:t xml:space="preserve"> </w:t>
      </w:r>
      <w:r>
        <w:t xml:space="preserve">Commercial/market developments:</w:t>
      </w:r>
      <w:r>
        <w:t xml:space="preserve"> </w:t>
      </w:r>
      <w:r>
        <w:t xml:space="preserve">Many operators that were previously present across several EU Member States have divested</w:t>
      </w:r>
      <w:r>
        <w:t xml:space="preserve"> </w:t>
      </w:r>
      <w:r>
        <w:t xml:space="preserve">or rolled back certain of their operating units to focus on a smaller set of countries, to improve</w:t>
      </w:r>
      <w:r>
        <w:t xml:space="preserve"> </w:t>
      </w:r>
      <w:r>
        <w:t xml:space="preserve">financial results and meet the expectations of investors. This includes, most recently</w:t>
      </w:r>
      <w:r>
        <w:t xml:space="preserve"> </w:t>
      </w:r>
      <w:r>
        <w:t xml:space="preserve">Vodafone, Liberty Global, and BT Global Services (the former global business service unit of</w:t>
      </w:r>
      <w:r>
        <w:t xml:space="preserve"> </w:t>
      </w:r>
      <w:r>
        <w:t xml:space="preserve">BT). The main aim in these divestments has been to focus on specific countries in which these</w:t>
      </w:r>
      <w:r>
        <w:t xml:space="preserve"> </w:t>
      </w:r>
      <w:r>
        <w:t xml:space="preserve">operators have a stronger market position. Other operators are expanding to operate in more</w:t>
      </w:r>
      <w:r>
        <w:t xml:space="preserve"> </w:t>
      </w:r>
      <w:r>
        <w:t xml:space="preserve">EU Member States e.g. Digi and Iliad, pursuing multi-country expansion strategies. The</w:t>
      </w:r>
      <w:r>
        <w:t xml:space="preserve"> </w:t>
      </w:r>
      <w:r>
        <w:t xml:space="preserve">delayering of the telecom sector and the introduction of new players in the form of fibre</w:t>
      </w:r>
      <w:r>
        <w:t xml:space="preserve"> </w:t>
      </w:r>
      <w:r>
        <w:t xml:space="preserve">netcos and towercos has tended to have a positive impact on investment in FTTH and towers</w:t>
      </w:r>
      <w:r>
        <w:t xml:space="preserve"> </w:t>
      </w:r>
      <w:r>
        <w:t xml:space="preserve">for the provision of mobile services by improving transparency and offering the potential for</w:t>
      </w:r>
      <w:r>
        <w:t xml:space="preserve"> </w:t>
      </w:r>
      <w:r>
        <w:t xml:space="preserve">higher take-up rates by aggregating demand. Certain incumbent operators have also opted for</w:t>
      </w:r>
      <w:r>
        <w:t xml:space="preserve"> </w:t>
      </w:r>
      <w:r>
        <w:t xml:space="preserve">a legal, structural or functional separation of their business. With video streaming now</w:t>
      </w:r>
      <w:r>
        <w:t xml:space="preserve"> </w:t>
      </w:r>
      <w:r>
        <w:t xml:space="preserve">dominating internet traffic, ISPs face increasing pressure to deliver high-quality content</w:t>
      </w:r>
      <w:r>
        <w:t xml:space="preserve"> </w:t>
      </w:r>
      <w:r>
        <w:t xml:space="preserve">efficiently. Broadcasters transition to OTT as consumers shift from OTA (Over-the-air,</w:t>
      </w:r>
    </w:p>
    <w:p>
      <w:pPr>
        <w:pStyle w:val="BodyText"/>
      </w:pPr>
      <w:r>
        <w:t xml:space="preserve">4</w:t>
      </w:r>
      <w:r>
        <w:br/>
      </w:r>
      <w:r>
        <w:t xml:space="preserve">Decision No 243/2012/EU of the European Parliament and of the Council of 14 March 2012 establishing a</w:t>
      </w:r>
      <w:r>
        <w:t xml:space="preserve"> </w:t>
      </w:r>
      <w:r>
        <w:t xml:space="preserve">multiannual radio spectrum policy programme, Text with EEA relevance (OJ L 81, 21.3.2012, p. 7–17) :</w:t>
      </w:r>
      <w:r>
        <w:t xml:space="preserve"> </w:t>
      </w:r>
      <w:r>
        <w:t xml:space="preserve">https://eur-lex.europa.eu/eli/dec/2012/243(2)/oj.</w:t>
      </w:r>
      <w:r>
        <w:br/>
      </w:r>
      <w:r>
        <w:t xml:space="preserve">5</w:t>
      </w:r>
      <w:r>
        <w:br/>
      </w:r>
      <w:r>
        <w:t xml:space="preserve">https://digital-strategy.ec.europa.eu/en/library/results-exploratory-consultation-future-electronic-</w:t>
      </w:r>
      <w:r>
        <w:t xml:space="preserve"> </w:t>
      </w:r>
      <w:r>
        <w:t xml:space="preserve">communications-sector-and-its-infrastructure.</w:t>
      </w:r>
    </w:p>
    <w:p>
      <w:pPr>
        <w:pStyle w:val="BodyText"/>
      </w:pPr>
      <w:r>
        <w:t xml:space="preserve">6</w:t>
      </w:r>
    </w:p>
    <w:p>
      <w:pPr>
        <w:pStyle w:val="BodyText"/>
      </w:pPr>
      <w:r>
        <w:t xml:space="preserve">including Cable TV and IPTV) to OTT (Over-the-top internet-based streaming). Beyond the</w:t>
      </w:r>
      <w:r>
        <w:t xml:space="preserve"> </w:t>
      </w:r>
      <w:r>
        <w:t xml:space="preserve">challenge of bandwidth management, streaming represents also a major monetisation opportunity</w:t>
      </w:r>
      <w:r>
        <w:t xml:space="preserve"> </w:t>
      </w:r>
      <w:r>
        <w:t xml:space="preserve">for ISPs. The synergy of connectivity and AI powers innovation like autonomous systems,</w:t>
      </w:r>
      <w:r>
        <w:t xml:space="preserve"> </w:t>
      </w:r>
      <w:r>
        <w:t xml:space="preserve">smart cities, healthcare, and immersive virtual/augmented reality experiences. Applications</w:t>
      </w:r>
      <w:r>
        <w:t xml:space="preserve"> </w:t>
      </w:r>
      <w:r>
        <w:t xml:space="preserve">such as automated driving or telemedicine run on advanced networks that will look</w:t>
      </w:r>
      <w:r>
        <w:t xml:space="preserve"> </w:t>
      </w:r>
      <w:r>
        <w:t xml:space="preserve">increasingly like a computing continuum, ranging from chips and high-speed processors to</w:t>
      </w:r>
      <w:r>
        <w:t xml:space="preserve"> </w:t>
      </w:r>
      <w:r>
        <w:t xml:space="preserve">connectivity, cloud, edge, software and AI. Technologies like AI and cloud computing</w:t>
      </w:r>
      <w:r>
        <w:t xml:space="preserve"> </w:t>
      </w:r>
      <w:r>
        <w:t xml:space="preserve">converge with significantly enhanced connectivity needs.</w:t>
      </w:r>
      <w:r>
        <w:t xml:space="preserve"> </w:t>
      </w:r>
      <w:r>
        <w:t xml:space="preserve">3. OBJECTIVES AND SINGLE MARKET</w:t>
      </w:r>
      <w:r>
        <w:br/>
      </w:r>
      <w:r>
        <w:t xml:space="preserve">3.1. Intervention logic</w:t>
      </w:r>
      <w:r>
        <w:t xml:space="preserve"> </w:t>
      </w:r>
      <w:r>
        <w:t xml:space="preserve">As to the EECC, at the time when the proposal had been made, the three primary objectives of</w:t>
      </w:r>
      <w:r>
        <w:t xml:space="preserve"> </w:t>
      </w:r>
      <w:r>
        <w:t xml:space="preserve">promoting (1) competition, (2) the internal market, and (3) citizen interests, which were in</w:t>
      </w:r>
      <w:r>
        <w:t xml:space="preserve"> </w:t>
      </w:r>
      <w:r>
        <w:t xml:space="preserve">place under Article 8 of the Framework Directive as well as the regulatory principles relative</w:t>
      </w:r>
      <w:r>
        <w:t xml:space="preserve"> </w:t>
      </w:r>
      <w:r>
        <w:t xml:space="preserve">to investment and innovation were considered to remain valid and relevant6. The telecoms</w:t>
      </w:r>
      <w:r>
        <w:t xml:space="preserve"> </w:t>
      </w:r>
      <w:r>
        <w:t xml:space="preserve">sector was generating more and more spillovers to the rest of the economy, becoming the</w:t>
      </w:r>
      <w:r>
        <w:t xml:space="preserve"> </w:t>
      </w:r>
      <w:r>
        <w:t xml:space="preserve">foundation of modern, innovative economic systems and as well as of certain societal</w:t>
      </w:r>
      <w:r>
        <w:t xml:space="preserve"> </w:t>
      </w:r>
      <w:r>
        <w:t xml:space="preserve">services, such as e-transport, e-government, e-health care and e-learning. This was considered</w:t>
      </w:r>
      <w:r>
        <w:t xml:space="preserve"> </w:t>
      </w:r>
      <w:r>
        <w:t xml:space="preserve">to require appropriate networks to be rolled out at a sufficient scale and that Very High</w:t>
      </w:r>
      <w:r>
        <w:t xml:space="preserve"> </w:t>
      </w:r>
      <w:r>
        <w:t xml:space="preserve">Capacity connectivity became accessible and affordable to all citizens and businesses. Such</w:t>
      </w:r>
      <w:r>
        <w:t xml:space="preserve"> </w:t>
      </w:r>
      <w:r>
        <w:t xml:space="preserve">connectivity was recognised as the underlying driving force for the digital society and</w:t>
      </w:r>
      <w:r>
        <w:t xml:space="preserve"> </w:t>
      </w:r>
      <w:r>
        <w:t xml:space="preserve">economy, underpinned by technological changes and evolving consumer and market</w:t>
      </w:r>
      <w:r>
        <w:t xml:space="preserve"> </w:t>
      </w:r>
      <w:r>
        <w:t xml:space="preserve">demands. It appeared necessary that the objectives should be flanked by a novel connectivity</w:t>
      </w:r>
      <w:r>
        <w:t xml:space="preserve"> </w:t>
      </w:r>
      <w:r>
        <w:t xml:space="preserve">objective, spelled out as: “Access and take-up by all European citizens and businesses of very</w:t>
      </w:r>
      <w:r>
        <w:t xml:space="preserve"> </w:t>
      </w:r>
      <w:r>
        <w:t xml:space="preserve">high-capacity connectivity, both fixed and mobile, and interpersonal communications</w:t>
      </w:r>
      <w:r>
        <w:t xml:space="preserve"> </w:t>
      </w:r>
      <w:r>
        <w:t xml:space="preserve">services, on the basis of affordable price and choice, enabled by effective and fair</w:t>
      </w:r>
      <w:r>
        <w:t xml:space="preserve"> </w:t>
      </w:r>
      <w:r>
        <w:t xml:space="preserve">competition, by efficient investment with adequate returns, by innovation, by common rules</w:t>
      </w:r>
      <w:r>
        <w:t xml:space="preserve"> </w:t>
      </w:r>
      <w:r>
        <w:t xml:space="preserve">and predictable regulatory approaches in the internal market and by the necessary sector-</w:t>
      </w:r>
      <w:r>
        <w:t xml:space="preserve"> </w:t>
      </w:r>
      <w:r>
        <w:t xml:space="preserve">specific rules to safeguard the interests of citizens.</w:t>
      </w:r>
      <w:r>
        <w:br/>
      </w:r>
      <w:r>
        <w:t xml:space="preserve">As to the BEREC Regulation and to RSPG, it was intended to ensure that the relevant</w:t>
      </w:r>
      <w:r>
        <w:t xml:space="preserve"> </w:t>
      </w:r>
      <w:r>
        <w:t xml:space="preserve">regulatory functions were attributed to the different actors such as national regulatory</w:t>
      </w:r>
      <w:r>
        <w:t xml:space="preserve"> </w:t>
      </w:r>
      <w:r>
        <w:t xml:space="preserve">authorities (NRAs), BEREC, RSPG or the European Commission and that the structure of</w:t>
      </w:r>
      <w:r>
        <w:t xml:space="preserve"> </w:t>
      </w:r>
      <w:r>
        <w:t xml:space="preserve">BEREC is simplified in order to have a streamlined and efficient governance set-up.7</w:t>
      </w:r>
      <w:r>
        <w:br/>
      </w:r>
      <w:r>
        <w:t xml:space="preserve">As to the Open Internet Regulation, the measures proposed were intended to lead to greater</w:t>
      </w:r>
      <w:r>
        <w:t xml:space="preserve"> </w:t>
      </w:r>
      <w:r>
        <w:t xml:space="preserve">levels of innovation by lowering entry-market barriers and thus establishing a level playing</w:t>
      </w:r>
      <w:r>
        <w:t xml:space="preserve"> </w:t>
      </w:r>
      <w:r>
        <w:t xml:space="preserve">field among providers of applications and services, while at the same time ensuring the</w:t>
      </w:r>
      <w:r>
        <w:t xml:space="preserve"> </w:t>
      </w:r>
      <w:r>
        <w:t xml:space="preserve">highest protection for end-users and promoting the internet as an engine of innovation8.</w:t>
      </w:r>
      <w:r>
        <w:t xml:space="preserve"> </w:t>
      </w:r>
      <w:r>
        <w:t xml:space="preserve">As to the ePrivacy Directive (Directive 2002/58/EC)9, the latest amendments introduced in</w:t>
      </w:r>
      <w:r>
        <w:t xml:space="preserve"> </w:t>
      </w:r>
      <w:r>
        <w:t xml:space="preserve">2009 intended to mainly update the existing Directive 97/66/EC (i.e., preceding the GDPR)</w:t>
      </w:r>
    </w:p>
    <w:p>
      <w:pPr>
        <w:pStyle w:val="BodyText"/>
      </w:pPr>
      <w:r>
        <w:t xml:space="preserve">6</w:t>
      </w:r>
      <w:r>
        <w:br/>
      </w:r>
      <w:r>
        <w:t xml:space="preserve">See SWD(2016) 303 final, PART 1/3, p57 pp. </w:t>
      </w:r>
      <w:r>
        <w:t xml:space="preserve"> </w:t>
      </w:r>
      <w:r>
        <w:t xml:space="preserve">7</w:t>
      </w:r>
      <w:r>
        <w:br/>
      </w:r>
      <w:r>
        <w:t xml:space="preserve">See SWD(2016) 303 final, PART 1/3, p62</w:t>
      </w:r>
      <w:r>
        <w:t xml:space="preserve"> </w:t>
      </w:r>
      <w:r>
        <w:t xml:space="preserve">8</w:t>
      </w:r>
      <w:r>
        <w:br/>
      </w:r>
      <w:r>
        <w:t xml:space="preserve">See COM(2019) 203 final, p 12.</w:t>
      </w:r>
      <w:r>
        <w:t xml:space="preserve"> </w:t>
      </w:r>
      <w:r>
        <w:t xml:space="preserve">9</w:t>
      </w:r>
      <w:r>
        <w:br/>
      </w:r>
      <w:r>
        <w:t xml:space="preserve">As amended by Directive 2009/136/EC of the European Parliament and of the Council of 25 November</w:t>
      </w:r>
      <w:r>
        <w:t xml:space="preserve"> </w:t>
      </w:r>
      <w:r>
        <w:t xml:space="preserve">2009 amending Directive 2002/22/EC on universal service and users’ rights relating to electronic</w:t>
      </w:r>
      <w:r>
        <w:t xml:space="preserve"> </w:t>
      </w:r>
      <w:r>
        <w:t xml:space="preserve">communications networks and services, Directive 2002/58/EC concerning the processing of personal data</w:t>
      </w:r>
      <w:r>
        <w:t xml:space="preserve"> </w:t>
      </w:r>
      <w:r>
        <w:t xml:space="preserve">and the protection of privacy in the electronic communications sector and Regulation (EC) No 2006/2004 on</w:t>
      </w:r>
    </w:p>
    <w:p>
      <w:pPr>
        <w:pStyle w:val="BodyText"/>
      </w:pPr>
      <w:r>
        <w:t xml:space="preserve">7</w:t>
      </w:r>
    </w:p>
    <w:p>
      <w:pPr>
        <w:pStyle w:val="BodyText"/>
      </w:pPr>
      <w:r>
        <w:t xml:space="preserve">on the processing of personal data and the protection of privacy in the telecommunications</w:t>
      </w:r>
      <w:r>
        <w:t xml:space="preserve"> </w:t>
      </w:r>
      <w:r>
        <w:t xml:space="preserve">sector to take account of new services and technological developments. The aim was to cover</w:t>
      </w:r>
      <w:r>
        <w:t xml:space="preserve"> </w:t>
      </w:r>
      <w:r>
        <w:t xml:space="preserve">all electronic communications services in a technology neutral fashion. A harmonised level of</w:t>
      </w:r>
      <w:r>
        <w:t xml:space="preserve"> </w:t>
      </w:r>
      <w:r>
        <w:t xml:space="preserve">data protection in the electronic communications sector was an essential element for the</w:t>
      </w:r>
      <w:r>
        <w:t xml:space="preserve"> </w:t>
      </w:r>
      <w:r>
        <w:t xml:space="preserve">functioning of the internal market in electronic communications services and networks. There</w:t>
      </w:r>
      <w:r>
        <w:t xml:space="preserve"> </w:t>
      </w:r>
      <w:r>
        <w:t xml:space="preserve">was a need to provide subscribers and users with safeguards to protect their privacy in view of</w:t>
      </w:r>
      <w:r>
        <w:t xml:space="preserve"> </w:t>
      </w:r>
      <w:r>
        <w:t xml:space="preserve">calling line and connected line identification services (CLI and COLI) and allowed access to</w:t>
      </w:r>
      <w:r>
        <w:t xml:space="preserve"> </w:t>
      </w:r>
      <w:r>
        <w:t xml:space="preserve">blocked CLI information for emergency services and for tracing of malicious or nuisance</w:t>
      </w:r>
      <w:r>
        <w:t xml:space="preserve"> </w:t>
      </w:r>
      <w:r>
        <w:t xml:space="preserve">calls. It was extended to new article on mobile location information. Among the other</w:t>
      </w:r>
      <w:r>
        <w:t xml:space="preserve"> </w:t>
      </w:r>
      <w:r>
        <w:t xml:space="preserve">important consumers’ rights introduced by the 2002 Directive was the subscribers’ right and</w:t>
      </w:r>
      <w:r>
        <w:t xml:space="preserve"> </w:t>
      </w:r>
      <w:r>
        <w:t xml:space="preserve">means to undo the forwarding of calls to their line and the subscribers’ right to non-itemised</w:t>
      </w:r>
      <w:r>
        <w:t xml:space="preserve"> </w:t>
      </w:r>
      <w:r>
        <w:t xml:space="preserve">bills.</w:t>
      </w:r>
      <w:r>
        <w:t xml:space="preserve"> </w:t>
      </w:r>
      <w:r>
        <w:t xml:space="preserve">3.2. Complexity and simplification potential, including observation on ‘gold plating’</w:t>
      </w:r>
      <w:r>
        <w:t xml:space="preserve"> </w:t>
      </w:r>
      <w:r>
        <w:t xml:space="preserve">3.2.1. Complexity of and delays in the national transposition process</w:t>
      </w:r>
      <w:r>
        <w:t xml:space="preserve"> </w:t>
      </w:r>
      <w:r>
        <w:t xml:space="preserve">Member States were required to adopt and publish, by 21 December 2020, the laws,</w:t>
      </w:r>
      <w:r>
        <w:t xml:space="preserve"> </w:t>
      </w:r>
      <w:r>
        <w:t xml:space="preserve">regulations and administrative provisions necessary to implement the EECC into their</w:t>
      </w:r>
      <w:r>
        <w:t xml:space="preserve"> </w:t>
      </w:r>
      <w:r>
        <w:t xml:space="preserve">national law. However, the transposition of the EECC had been progressing rather slowly.</w:t>
      </w:r>
      <w:r>
        <w:t xml:space="preserve"> </w:t>
      </w:r>
      <w:r>
        <w:t xml:space="preserve">Many Member States were late in complying with their implementation obligations. Only</w:t>
      </w:r>
      <w:r>
        <w:t xml:space="preserve"> </w:t>
      </w:r>
      <w:r>
        <w:t xml:space="preserve">three Member States (EL, FI, HU) had complied with the transposition deadline of 21</w:t>
      </w:r>
      <w:r>
        <w:t xml:space="preserve"> </w:t>
      </w:r>
      <w:r>
        <w:t xml:space="preserve">December 2020. In February 2021, infringement procedures were opened against 24 Member</w:t>
      </w:r>
      <w:r>
        <w:t xml:space="preserve"> </w:t>
      </w:r>
      <w:r>
        <w:t xml:space="preserve">States. By September 2021, only six of those had fully transposed and communicated the</w:t>
      </w:r>
      <w:r>
        <w:t xml:space="preserve"> </w:t>
      </w:r>
      <w:r>
        <w:t xml:space="preserve">implementation. In April 2022, ten Member States (ES, HR, IE, LT, LV, PL, PT, RO, SE, SI)</w:t>
      </w:r>
      <w:r>
        <w:t xml:space="preserve"> </w:t>
      </w:r>
      <w:r>
        <w:t xml:space="preserve">still had not complied with the transposition obligations and were referred to the Court of</w:t>
      </w:r>
      <w:r>
        <w:t xml:space="preserve"> </w:t>
      </w:r>
      <w:r>
        <w:t xml:space="preserve">Justice of the European Union for their failure to fully transpose and communicate to the</w:t>
      </w:r>
      <w:r>
        <w:t xml:space="preserve"> </w:t>
      </w:r>
      <w:r>
        <w:t xml:space="preserve">Commission the transposition measures. The transposition in all 27 Member States was</w:t>
      </w:r>
      <w:r>
        <w:t xml:space="preserve"> </w:t>
      </w:r>
      <w:r>
        <w:t xml:space="preserve">completed in August 2024, with the official publication of the relevant Polish legislation The</w:t>
      </w:r>
      <w:r>
        <w:t xml:space="preserve"> </w:t>
      </w:r>
      <w:r>
        <w:t xml:space="preserve">significant delays accumulated by Ireland, Latvia, Poland, Portugal and Slovenia lead to</w:t>
      </w:r>
      <w:r>
        <w:t xml:space="preserve"> </w:t>
      </w:r>
      <w:r>
        <w:t xml:space="preserve">judgements by the European Court of Justice which imposed significant fines10.</w:t>
      </w:r>
      <w:r>
        <w:br/>
      </w:r>
      <w:r>
        <w:t xml:space="preserve">Transposition of many provisions of the EECC presented issues for some Member States.</w:t>
      </w:r>
      <w:r>
        <w:t xml:space="preserve"> </w:t>
      </w:r>
      <w:r>
        <w:t xml:space="preserve">Only one in every seven Articles could be considered as not problematic and straightforward</w:t>
      </w:r>
      <w:r>
        <w:t xml:space="preserve"> </w:t>
      </w:r>
      <w:r>
        <w:t xml:space="preserve">in all 27 Member States. The majority of Member States drafted completely new legislation.</w:t>
      </w:r>
      <w:r>
        <w:t xml:space="preserve"> </w:t>
      </w:r>
      <w:r>
        <w:t xml:space="preserve">The remaining ten Member States amended their existing laws. In most cases, Member States</w:t>
      </w:r>
      <w:r>
        <w:t xml:space="preserve"> </w:t>
      </w:r>
      <w:r>
        <w:t xml:space="preserve">provided a corresponding transposition of the EECC provisions (i.e. transposition of the</w:t>
      </w:r>
      <w:r>
        <w:t xml:space="preserve"> </w:t>
      </w:r>
      <w:r>
        <w:t xml:space="preserve">meaning of the provision without given the exact verbatim expression). However, four</w:t>
      </w:r>
      <w:r>
        <w:t xml:space="preserve"> </w:t>
      </w:r>
      <w:r>
        <w:t xml:space="preserve">Member States (CY, EL, IE, MT) seemed to use literal or almost literal transposition</w:t>
      </w:r>
      <w:r>
        <w:t xml:space="preserve"> </w:t>
      </w:r>
      <w:r>
        <w:t xml:space="preserve">systematically for many EECC provisions. Also, transposition of certain provisions is more</w:t>
      </w:r>
    </w:p>
    <w:p>
      <w:pPr>
        <w:pStyle w:val="BodyText"/>
      </w:pPr>
      <w:r>
        <w:t xml:space="preserve">cooperation between national authorities responsible for the enforcement of consumer protection laws</w:t>
      </w:r>
      <w:r>
        <w:t xml:space="preserve"> </w:t>
      </w:r>
      <w:r>
        <w:t xml:space="preserve">(Directive 2009/136/EC) The 2009 intervention logic for the amendments of the 2002 e-Privacy Directive</w:t>
      </w:r>
      <w:r>
        <w:t xml:space="preserve"> </w:t>
      </w:r>
      <w:r>
        <w:t xml:space="preserve">was based on the increased security breaches, and the lack of mandatory notification of security breaches</w:t>
      </w:r>
      <w:r>
        <w:t xml:space="preserve"> </w:t>
      </w:r>
      <w:r>
        <w:t xml:space="preserve">resulting in users’ personal data being lost or compromised. At that time, there were not sufficient measures</w:t>
      </w:r>
      <w:r>
        <w:t xml:space="preserve"> </w:t>
      </w:r>
      <w:r>
        <w:t xml:space="preserve">available at Member State level to combat spam. It was not clear that the Directive also applies to public</w:t>
      </w:r>
      <w:r>
        <w:t xml:space="preserve"> </w:t>
      </w:r>
      <w:r>
        <w:t xml:space="preserve">communications networks supporting data collection and identification devices (including contactless</w:t>
      </w:r>
      <w:r>
        <w:t xml:space="preserve"> </w:t>
      </w:r>
      <w:r>
        <w:t xml:space="preserve">devices such as Radio Frequency Identification Devices). That’s why, the relevant amendments were</w:t>
      </w:r>
      <w:r>
        <w:t xml:space="preserve"> </w:t>
      </w:r>
      <w:r>
        <w:t xml:space="preserve">introduced by Directive 2009/136/EC.</w:t>
      </w:r>
      <w:r>
        <w:t xml:space="preserve"> </w:t>
      </w:r>
      <w:r>
        <w:t xml:space="preserve">10 Judgements in cases C-439/22 (Ireland), C‑454/22 (Latvia), C-452/22 (Poland), C-449/22 (Portugal) and C-</w:t>
      </w:r>
      <w:r>
        <w:t xml:space="preserve"> </w:t>
      </w:r>
      <w:r>
        <w:t xml:space="preserve">457/22 (Slovenia),</w:t>
      </w:r>
    </w:p>
    <w:p>
      <w:pPr>
        <w:pStyle w:val="BodyText"/>
      </w:pPr>
      <w:r>
        <w:t xml:space="preserve">8</w:t>
      </w:r>
    </w:p>
    <w:p>
      <w:pPr>
        <w:pStyle w:val="BodyText"/>
      </w:pPr>
      <w:r>
        <w:t xml:space="preserve">often literal than others; in particular, about half of the Member States assessed have</w:t>
      </w:r>
      <w:r>
        <w:t xml:space="preserve"> </w:t>
      </w:r>
      <w:r>
        <w:t xml:space="preserve">transposed the definitions of Art. 2 EECC in a literal or almost literal manner.</w:t>
      </w:r>
      <w:r>
        <w:t xml:space="preserve"> </w:t>
      </w:r>
      <w:r>
        <w:t xml:space="preserve">Several Member States accumulated political and administrative delays in the transposition</w:t>
      </w:r>
      <w:r>
        <w:t xml:space="preserve"> </w:t>
      </w:r>
      <w:r>
        <w:t xml:space="preserve">process, which was mentioned by six countries (BE, EE, IE, IT, MT, RO). In Belgium the</w:t>
      </w:r>
      <w:r>
        <w:t xml:space="preserve"> </w:t>
      </w:r>
      <w:r>
        <w:t xml:space="preserve">outgoing government acted as caretaker government and could not propose a bill as that could</w:t>
      </w:r>
      <w:r>
        <w:t xml:space="preserve"> </w:t>
      </w:r>
      <w:r>
        <w:t xml:space="preserve">have prejudiced the policy of the future government. In addition, emission levels for</w:t>
      </w:r>
      <w:r>
        <w:t xml:space="preserve"> </w:t>
      </w:r>
      <w:r>
        <w:t xml:space="preserve">electromagnetic fields had to be adapted to allow permit granting for 5G deployment in</w:t>
      </w:r>
      <w:r>
        <w:t xml:space="preserve"> </w:t>
      </w:r>
      <w:r>
        <w:t xml:space="preserve">Brussels. In Estonia, the timeframe for the transposition remained a challenge procedurally,</w:t>
      </w:r>
      <w:r>
        <w:t xml:space="preserve"> </w:t>
      </w:r>
      <w:r>
        <w:t xml:space="preserve">with the communication between national authorities and the legislator passing through the</w:t>
      </w:r>
      <w:r>
        <w:t xml:space="preserve"> </w:t>
      </w:r>
      <w:r>
        <w:t xml:space="preserve">three readings of the Parliament being a time-consuming procedure. In Ireland, the</w:t>
      </w:r>
      <w:r>
        <w:t xml:space="preserve"> </w:t>
      </w:r>
      <w:r>
        <w:t xml:space="preserve">transposition required primary legislation which resulted in a delay. Moreover, there was a</w:t>
      </w:r>
      <w:r>
        <w:t xml:space="preserve"> </w:t>
      </w:r>
      <w:r>
        <w:t xml:space="preserve">Supreme Court decision during this period which set new standards for fair procedures and</w:t>
      </w:r>
      <w:r>
        <w:t xml:space="preserve"> </w:t>
      </w:r>
      <w:r>
        <w:t xml:space="preserve">oral hearings in quasi-judicial administrative proceedings, which required the enforcement</w:t>
      </w:r>
      <w:r>
        <w:t xml:space="preserve"> </w:t>
      </w:r>
      <w:r>
        <w:t xml:space="preserve">provisions to be redesigned. In Italy, the division of competences among different authorities</w:t>
      </w:r>
      <w:r>
        <w:t xml:space="preserve"> </w:t>
      </w:r>
      <w:r>
        <w:t xml:space="preserve">presented significant challenges. The implementation of the EECC involved both the</w:t>
      </w:r>
      <w:r>
        <w:t xml:space="preserve"> </w:t>
      </w:r>
      <w:r>
        <w:t xml:space="preserve">Communications Regulatory Authority (AGCOM) and the Ministry of Enterprises and Made</w:t>
      </w:r>
      <w:r>
        <w:t xml:space="preserve"> </w:t>
      </w:r>
      <w:r>
        <w:t xml:space="preserve">in Italy (MIMIT), with additional input required from privacy authorities. As not all</w:t>
      </w:r>
      <w:r>
        <w:t xml:space="preserve"> </w:t>
      </w:r>
      <w:r>
        <w:t xml:space="preserve">provisions of the EECC fell under the jurisdiction of a single authority, it often led to</w:t>
      </w:r>
      <w:r>
        <w:t xml:space="preserve"> </w:t>
      </w:r>
      <w:r>
        <w:t xml:space="preserve">inefficiencies and delays, requiring protocols of understanding and extensive coordination</w:t>
      </w:r>
      <w:r>
        <w:t xml:space="preserve"> </w:t>
      </w:r>
      <w:r>
        <w:t xml:space="preserve">between different entities. In Malta, a comprehensive implementation required extensive</w:t>
      </w:r>
      <w:r>
        <w:t xml:space="preserve"> </w:t>
      </w:r>
      <w:r>
        <w:t xml:space="preserve">consultation with different stakeholders, allowing for reasonable timeframes to provide an</w:t>
      </w:r>
      <w:r>
        <w:t xml:space="preserve"> </w:t>
      </w:r>
      <w:r>
        <w:t xml:space="preserve">informed input. While such challenges did not necessarily involve all stakeholders, the major</w:t>
      </w:r>
      <w:r>
        <w:t xml:space="preserve"> </w:t>
      </w:r>
      <w:r>
        <w:t xml:space="preserve">authorised service providers required substantial time to provide their input to the legislative</w:t>
      </w:r>
      <w:r>
        <w:t xml:space="preserve"> </w:t>
      </w:r>
      <w:r>
        <w:t xml:space="preserve">proposals envisaged in transposing the EECC. In turn, the Malta Communications Authority</w:t>
      </w:r>
      <w:r>
        <w:t xml:space="preserve"> </w:t>
      </w:r>
      <w:r>
        <w:t xml:space="preserve">(MCA) and the Government required some time to evaluate the submissions made and to</w:t>
      </w:r>
      <w:r>
        <w:t xml:space="preserve"> </w:t>
      </w:r>
      <w:r>
        <w:t xml:space="preserve">modify the original legislative proposals. In Romania, the process took longer than anticipated</w:t>
      </w:r>
      <w:r>
        <w:t xml:space="preserve"> </w:t>
      </w:r>
      <w:r>
        <w:t xml:space="preserve">due to the unique aspects of the Romanian legal framework, which requires inter-institutional</w:t>
      </w:r>
      <w:r>
        <w:t xml:space="preserve"> </w:t>
      </w:r>
      <w:r>
        <w:t xml:space="preserve">approvals. The extended timeline was also attributed to the inclusion of infrastructure</w:t>
      </w:r>
      <w:r>
        <w:t xml:space="preserve"> </w:t>
      </w:r>
      <w:r>
        <w:t xml:space="preserve">development components in the legislation, which were not part of the EECC transposition.</w:t>
      </w:r>
      <w:r>
        <w:br/>
      </w:r>
      <w:r>
        <w:t xml:space="preserve">This evidence confirms the overall complexity of the transposition of the EECC and sets out</w:t>
      </w:r>
      <w:r>
        <w:t xml:space="preserve"> </w:t>
      </w:r>
      <w:r>
        <w:t xml:space="preserve">the significant delays accumulated by various Member States in completing the transposition</w:t>
      </w:r>
      <w:r>
        <w:t xml:space="preserve"> </w:t>
      </w:r>
      <w:r>
        <w:t xml:space="preserve">process.</w:t>
      </w:r>
      <w:r>
        <w:br/>
      </w:r>
      <w:r>
        <w:t xml:space="preserve">3.2.2. National rules in addition to transposition measures</w:t>
      </w:r>
      <w:r>
        <w:t xml:space="preserve"> </w:t>
      </w:r>
      <w:r>
        <w:t xml:space="preserve">Several Member States adopted national provisions which relate to EECC provisions but go</w:t>
      </w:r>
      <w:r>
        <w:t xml:space="preserve"> </w:t>
      </w:r>
      <w:r>
        <w:t xml:space="preserve">beyond what would be strictly necessary for the completeness and conformity of the</w:t>
      </w:r>
      <w:r>
        <w:t xml:space="preserve"> </w:t>
      </w:r>
      <w:r>
        <w:t xml:space="preserve">transposition. Such, accompanying provisions were identified in eight Member States were</w:t>
      </w:r>
      <w:r>
        <w:t xml:space="preserve"> </w:t>
      </w:r>
      <w:r>
        <w:t xml:space="preserve">dispersed across various legal frameworks.</w:t>
      </w:r>
      <w:r>
        <w:br/>
      </w:r>
      <w:r>
        <w:t xml:space="preserve">For example, Cyprus and Sweden had gone beyond the EECC requirements by implementing</w:t>
      </w:r>
      <w:r>
        <w:t xml:space="preserve"> </w:t>
      </w:r>
      <w:r>
        <w:t xml:space="preserve">more frequent updates and broader information-gathering for their geographical surveys of</w:t>
      </w:r>
      <w:r>
        <w:t xml:space="preserve"> </w:t>
      </w:r>
      <w:r>
        <w:t xml:space="preserve">broadband networks.</w:t>
      </w:r>
      <w:r>
        <w:br/>
      </w:r>
      <w:r>
        <w:t xml:space="preserve">Furthermore, the EECC requires Member States to ensure that in the event of a significant</w:t>
      </w:r>
      <w:r>
        <w:t xml:space="preserve"> </w:t>
      </w:r>
      <w:r>
        <w:t xml:space="preserve">threat to the security of public electronic communications networks or services, providers</w:t>
      </w:r>
      <w:r>
        <w:t xml:space="preserve"> </w:t>
      </w:r>
      <w:r>
        <w:t xml:space="preserve">must inform potentially affected users about any protective measures or remedies available to</w:t>
      </w:r>
      <w:r>
        <w:t xml:space="preserve"> </w:t>
      </w:r>
      <w:r>
        <w:t xml:space="preserve">them. Additionally, where appropriate, providers should also inform users about the nature of</w:t>
      </w:r>
      <w:r>
        <w:t xml:space="preserve"> </w:t>
      </w:r>
      <w:r>
        <w:t xml:space="preserve">the threat itself. For example, Cyprus has adopted a provision that goes further by specifying</w:t>
      </w:r>
      <w:r>
        <w:t xml:space="preserve"> </w:t>
      </w:r>
      <w:r>
        <w:t xml:space="preserve">that providers must also inform users about all possible ways to prevent such threats,</w:t>
      </w:r>
      <w:r>
        <w:t xml:space="preserve"> </w:t>
      </w:r>
      <w:r>
        <w:t xml:space="preserve">including relevant costs associated with these measures. In Croatia, it is additionally</w:t>
      </w:r>
    </w:p>
    <w:p>
      <w:pPr>
        <w:pStyle w:val="BodyText"/>
      </w:pPr>
      <w:r>
        <w:t xml:space="preserve">9</w:t>
      </w:r>
    </w:p>
    <w:p>
      <w:pPr>
        <w:pStyle w:val="BodyText"/>
      </w:pPr>
      <w:r>
        <w:t xml:space="preserve">emphasised that operators must take appropriate and urgent measures at their own expense to</w:t>
      </w:r>
      <w:r>
        <w:t xml:space="preserve"> </w:t>
      </w:r>
      <w:r>
        <w:t xml:space="preserve">prevent damage from security incidents, which adds a proactive element not explicitly stated</w:t>
      </w:r>
      <w:r>
        <w:t xml:space="preserve"> </w:t>
      </w:r>
      <w:r>
        <w:t xml:space="preserve">in the EECC. The Maltese provision also includes the obligation to inform users about the</w:t>
      </w:r>
      <w:r>
        <w:t xml:space="preserve"> </w:t>
      </w:r>
      <w:r>
        <w:t xml:space="preserve">threat itself where appropriate, ensuring that users are well-informed about potential risks.</w:t>
      </w:r>
      <w:r>
        <w:t xml:space="preserve"> </w:t>
      </w:r>
      <w:r>
        <w:t xml:space="preserve">3.3. Single Market</w:t>
      </w:r>
      <w:r>
        <w:t xml:space="preserve"> </w:t>
      </w:r>
      <w:r>
        <w:t xml:space="preserve">3.3.1. Harmonisation Aspects</w:t>
      </w:r>
      <w:r>
        <w:t xml:space="preserve"> </w:t>
      </w:r>
      <w:r>
        <w:t xml:space="preserve">There were several provisions introduced in the EECC to ensure harmonisation and</w:t>
      </w:r>
      <w:r>
        <w:t xml:space="preserve"> </w:t>
      </w:r>
      <w:r>
        <w:t xml:space="preserve">strengthen the single market. The Significant Market Power (SMP) regime remains the key</w:t>
      </w:r>
      <w:r>
        <w:t xml:space="preserve"> </w:t>
      </w:r>
      <w:r>
        <w:t xml:space="preserve">instrument for ex ante regulation. The detailed evaluation of the harmonisation of regulatory</w:t>
      </w:r>
      <w:r>
        <w:t xml:space="preserve"> </w:t>
      </w:r>
      <w:r>
        <w:t xml:space="preserve">remedies under Article 32 EECC can be found in section 4.1. below. Several novelties were</w:t>
      </w:r>
      <w:r>
        <w:t xml:space="preserve"> </w:t>
      </w:r>
      <w:r>
        <w:t xml:space="preserve">introduced by the EECC in relation to spectrum policy to strengthen its single market</w:t>
      </w:r>
      <w:r>
        <w:t xml:space="preserve"> </w:t>
      </w:r>
      <w:r>
        <w:t xml:space="preserve">dimension. A detailed evaluation of the spectrum provisions, which are a key factor for</w:t>
      </w:r>
      <w:r>
        <w:t xml:space="preserve"> </w:t>
      </w:r>
      <w:r>
        <w:t xml:space="preserve">fragmented national markets, can be found in chapter 5. Another important aspect limiting the</w:t>
      </w:r>
      <w:r>
        <w:t xml:space="preserve"> </w:t>
      </w:r>
      <w:r>
        <w:t xml:space="preserve">development of the single market is the authorisation regime, which is today based on</w:t>
      </w:r>
      <w:r>
        <w:t xml:space="preserve"> </w:t>
      </w:r>
      <w:r>
        <w:t xml:space="preserve">national procedures and conditions: general authorisation is covered in chapter 6. Other</w:t>
      </w:r>
      <w:r>
        <w:t xml:space="preserve"> </w:t>
      </w:r>
      <w:r>
        <w:t xml:space="preserve">harmonisation aspects also contribute to the single market: standardisation is covered in</w:t>
      </w:r>
      <w:r>
        <w:t xml:space="preserve"> </w:t>
      </w:r>
      <w:r>
        <w:t xml:space="preserve">section 3.5.3. Harmonisation of end user rights is addressed in chapter 8.</w:t>
      </w:r>
      <w:r>
        <w:t xml:space="preserve"> </w:t>
      </w:r>
      <w:r>
        <w:t xml:space="preserve">The EECC introduced specific requirements to support machine-to-machine/Internet of</w:t>
      </w:r>
      <w:r>
        <w:t xml:space="preserve"> </w:t>
      </w:r>
      <w:r>
        <w:t xml:space="preserve">Things (M2M/IoT) pan-European services. Article 93(4) mandates Member States to make</w:t>
      </w:r>
      <w:r>
        <w:t xml:space="preserve"> </w:t>
      </w:r>
      <w:r>
        <w:t xml:space="preserve">available a range of non-geographic numbers for extraterritorial use within the EU. BEREC</w:t>
      </w:r>
      <w:r>
        <w:t xml:space="preserve"> </w:t>
      </w:r>
      <w:r>
        <w:t xml:space="preserve">was tasked to set up a database11 with these number ranges. Not all Member States</w:t>
      </w:r>
      <w:r>
        <w:t xml:space="preserve"> </w:t>
      </w:r>
      <w:r>
        <w:t xml:space="preserve">implemented this requirement, and 9 Member States did not notify such number ranges to</w:t>
      </w:r>
      <w:r>
        <w:t xml:space="preserve"> </w:t>
      </w:r>
      <w:r>
        <w:t xml:space="preserve">BEREC database. Stakeholders that provide M2M services providers indicated that certain</w:t>
      </w:r>
      <w:r>
        <w:t xml:space="preserve"> </w:t>
      </w:r>
      <w:r>
        <w:t xml:space="preserve">conditions attached to the right of use of number would not be relevant in such use cases: i.e. </w:t>
      </w:r>
      <w:r>
        <w:t xml:space="preserve"> </w:t>
      </w:r>
      <w:r>
        <w:t xml:space="preserve">number portability, contract duration, reporting obligation in every Member State where the</w:t>
      </w:r>
      <w:r>
        <w:t xml:space="preserve"> </w:t>
      </w:r>
      <w:r>
        <w:t xml:space="preserve">M2M/IoT service is deployed. Current obligations incumbent on cross-border service</w:t>
      </w:r>
      <w:r>
        <w:t xml:space="preserve"> </w:t>
      </w:r>
      <w:r>
        <w:t xml:space="preserve">providers could be harmonised.</w:t>
      </w:r>
      <w:r>
        <w:t xml:space="preserve"> </w:t>
      </w:r>
      <w:r>
        <w:t xml:space="preserve">3.3.2. Open Internet Regulation</w:t>
      </w:r>
      <w:r>
        <w:t xml:space="preserve"> </w:t>
      </w:r>
      <w:r>
        <w:t xml:space="preserve">The second Report from the Commission to the European Parliament and the Council on the</w:t>
      </w:r>
      <w:r>
        <w:t xml:space="preserve"> </w:t>
      </w:r>
      <w:r>
        <w:t xml:space="preserve">implementation of the open internet access provisions of Regulation (EU) 2015/2120 (Open</w:t>
      </w:r>
      <w:r>
        <w:t xml:space="preserve"> </w:t>
      </w:r>
      <w:r>
        <w:t xml:space="preserve">Internet Regulation, OIR) of 202312 concluded that the principles enshrined in the Regulation</w:t>
      </w:r>
      <w:r>
        <w:t xml:space="preserve"> </w:t>
      </w:r>
      <w:r>
        <w:t xml:space="preserve">are still fit for purpose and guarantee the appropriate balance between protection of end-users</w:t>
      </w:r>
      <w:r>
        <w:t xml:space="preserve"> </w:t>
      </w:r>
      <w:r>
        <w:t xml:space="preserve">and technological development. Nevertheless, the Report mentioned that the interpretation of</w:t>
      </w:r>
      <w:r>
        <w:t xml:space="preserve"> </w:t>
      </w:r>
      <w:r>
        <w:t xml:space="preserve">certain provisions is not sufficiently clear, especially considering the developments that took</w:t>
      </w:r>
      <w:r>
        <w:t xml:space="preserve"> </w:t>
      </w:r>
      <w:r>
        <w:t xml:space="preserve">place in networking technologies since 2015, such as network slicing and virtualisation.</w:t>
      </w:r>
      <w:r>
        <w:t xml:space="preserve"> </w:t>
      </w:r>
      <w:r>
        <w:t xml:space="preserve">During stakeholder consultations, some stakeholders have highlighted that there is not</w:t>
      </w:r>
      <w:r>
        <w:t xml:space="preserve"> </w:t>
      </w:r>
      <w:r>
        <w:t xml:space="preserve">sufficient flexibility in the interpretation of the open internet provisions and accordingly not</w:t>
      </w:r>
      <w:r>
        <w:t xml:space="preserve"> </w:t>
      </w:r>
      <w:r>
        <w:t xml:space="preserve">sufficient legal certainty for the introduction and provision of innovative differentiated and</w:t>
      </w:r>
      <w:r>
        <w:t xml:space="preserve"> </w:t>
      </w:r>
      <w:r>
        <w:t xml:space="preserve">quality-optimised services.</w:t>
      </w:r>
    </w:p>
    <w:p>
      <w:pPr>
        <w:pStyle w:val="BodyText"/>
      </w:pPr>
      <w:r>
        <w:t xml:space="preserve">11 https://www.berec.europa.eu/en/tools/numbering-database-for-extra-territorial-</w:t>
      </w:r>
      <w:r>
        <w:t xml:space="preserve"> </w:t>
      </w:r>
      <w:r>
        <w:t xml:space="preserve">use?language_content_entity=en.</w:t>
      </w:r>
      <w:r>
        <w:t xml:space="preserve"> </w:t>
      </w:r>
      <w:r>
        <w:t xml:space="preserve">12 https://digital-strategy.ec.europa.eu/en/library/second-report-implementation-regulation-open-internet-</w:t>
      </w:r>
      <w:r>
        <w:t xml:space="preserve"> </w:t>
      </w:r>
      <w:r>
        <w:t xml:space="preserve">access.</w:t>
      </w:r>
    </w:p>
    <w:p>
      <w:pPr>
        <w:pStyle w:val="BodyText"/>
      </w:pPr>
      <w:r>
        <w:t xml:space="preserve">10</w:t>
      </w:r>
    </w:p>
    <w:p>
      <w:pPr>
        <w:pStyle w:val="BodyText"/>
      </w:pPr>
      <w:r>
        <w:t xml:space="preserve">For example, until the rulings of the Court of Justice of the European Union which ruled that</w:t>
      </w:r>
      <w:r>
        <w:t xml:space="preserve"> </w:t>
      </w:r>
      <w:r>
        <w:t xml:space="preserve">the so-called “Zero-Rating” offers are not compliant with the provisions of the OIR, this</w:t>
      </w:r>
      <w:r>
        <w:t xml:space="preserve"> </w:t>
      </w:r>
      <w:r>
        <w:t xml:space="preserve">commercial practice was widely applied within the EU, although the approach of the national</w:t>
      </w:r>
      <w:r>
        <w:t xml:space="preserve"> </w:t>
      </w:r>
      <w:r>
        <w:t xml:space="preserve">regulators vis-a-vis these offers varied. A diversified approach among the regulators, which</w:t>
      </w:r>
      <w:r>
        <w:t xml:space="preserve"> </w:t>
      </w:r>
      <w:r>
        <w:t xml:space="preserve">subsequently got modified by the courts, had reduced the profitability of offers which had</w:t>
      </w:r>
      <w:r>
        <w:t xml:space="preserve"> </w:t>
      </w:r>
      <w:r>
        <w:t xml:space="preserve">already been rolled out widely in the market and could no longer be offered.</w:t>
      </w:r>
      <w:r>
        <w:br/>
      </w:r>
      <w:r>
        <w:t xml:space="preserve">Examples of categories of use cases that could benefit from more legal certainty which could</w:t>
      </w:r>
      <w:r>
        <w:t xml:space="preserve"> </w:t>
      </w:r>
      <w:r>
        <w:t xml:space="preserve">lead to increases in expected profitability of roll-out are provided by the Camara project13:</w:t>
      </w:r>
      <w:r>
        <w:t xml:space="preserve"> </w:t>
      </w:r>
      <w:r>
        <w:t xml:space="preserve">remote monitoring, surveillance and repairs services, digital payments, banking secure</w:t>
      </w:r>
      <w:r>
        <w:t xml:space="preserve"> </w:t>
      </w:r>
      <w:r>
        <w:t xml:space="preserve">payment transactions, digital health monitoring services, connected vehicles, drones and</w:t>
      </w:r>
      <w:r>
        <w:t xml:space="preserve"> </w:t>
      </w:r>
      <w:r>
        <w:t xml:space="preserve">navigation related services, connected smart meters, Industry 4.0 services (e.g. connected</w:t>
      </w:r>
      <w:r>
        <w:t xml:space="preserve"> </w:t>
      </w:r>
      <w:r>
        <w:t xml:space="preserve">factories, supply chain services, like product shipping monitoring, inventory and warehouse</w:t>
      </w:r>
      <w:r>
        <w:t xml:space="preserve"> </w:t>
      </w:r>
      <w:r>
        <w:t xml:space="preserve">management, smart factory production line (robotics), transport hubs, e.g. ports, airports (fleet</w:t>
      </w:r>
      <w:r>
        <w:t xml:space="preserve"> </w:t>
      </w:r>
      <w:r>
        <w:t xml:space="preserve">and container tracking services, smart stadiums (e.g. live 5G connected cameras on field,</w:t>
      </w:r>
      <w:r>
        <w:t xml:space="preserve"> </w:t>
      </w:r>
      <w:r>
        <w:t xml:space="preserve">security personnel communication), mission critical services like railway operations, public</w:t>
      </w:r>
      <w:r>
        <w:t xml:space="preserve"> </w:t>
      </w:r>
      <w:r>
        <w:t xml:space="preserve">safety communications (PPDR), energy grids, disaster response or emergency medical</w:t>
      </w:r>
      <w:r>
        <w:t xml:space="preserve"> </w:t>
      </w:r>
      <w:r>
        <w:t xml:space="preserve">services (EMS), Augmented Reality/Virtual Reality services, Network APIs (connectivity</w:t>
      </w:r>
      <w:r>
        <w:t xml:space="preserve"> </w:t>
      </w:r>
      <w:r>
        <w:t xml:space="preserve">services with specific architecture): e.g. connectivity services in NaaS Platforms, Video</w:t>
      </w:r>
      <w:r>
        <w:t xml:space="preserve"> </w:t>
      </w:r>
      <w:r>
        <w:t xml:space="preserve">Gaming, OTA (over-the-air) critical software updates for vehicles, OTA vehicle maintenance</w:t>
      </w:r>
      <w:r>
        <w:t xml:space="preserve"> </w:t>
      </w:r>
      <w:r>
        <w:t xml:space="preserve">or professional broadcasting services (live event broadcasting, remote transmission of live</w:t>
      </w:r>
      <w:r>
        <w:t xml:space="preserve"> </w:t>
      </w:r>
      <w:r>
        <w:t xml:space="preserve">broadcasting streams).</w:t>
      </w:r>
      <w:r>
        <w:t xml:space="preserve"> </w:t>
      </w:r>
      <w:r>
        <w:t xml:space="preserve">While it is maintained that the conclusions of the 2023 Report are still valid and the</w:t>
      </w:r>
      <w:r>
        <w:t xml:space="preserve"> </w:t>
      </w:r>
      <w:r>
        <w:t xml:space="preserve">provisions of the Regulation are still fit for purpose and do not require major changes, it is</w:t>
      </w:r>
      <w:r>
        <w:t xml:space="preserve"> </w:t>
      </w:r>
      <w:r>
        <w:t xml:space="preserve">suggested that, in order to address issues like the one on specialised services illustrated above,</w:t>
      </w:r>
      <w:r>
        <w:t xml:space="preserve"> </w:t>
      </w:r>
      <w:r>
        <w:t xml:space="preserve">if BEREC guidance or, if considered necessary, the Commission’s Recommendation will not</w:t>
      </w:r>
      <w:r>
        <w:t xml:space="preserve"> </w:t>
      </w:r>
      <w:r>
        <w:t xml:space="preserve">bring sufficient legal certainty, the Commission could be empowered to issue binding</w:t>
      </w:r>
      <w:r>
        <w:t xml:space="preserve"> </w:t>
      </w:r>
      <w:r>
        <w:t xml:space="preserve">guidance in the form of implementing or delegated acts in instances where the market would</w:t>
      </w:r>
      <w:r>
        <w:t xml:space="preserve"> </w:t>
      </w:r>
      <w:r>
        <w:t xml:space="preserve">benefit from more legal certainty.</w:t>
      </w:r>
      <w:r>
        <w:t xml:space="preserve"> </w:t>
      </w:r>
      <w:r>
        <w:t xml:space="preserve">3.4. General Objectives</w:t>
      </w:r>
      <w:r>
        <w:t xml:space="preserve"> </w:t>
      </w:r>
      <w:r>
        <w:t xml:space="preserve">The EECC consolidated and updated the previous EU Framework for Electronic</w:t>
      </w:r>
      <w:r>
        <w:t xml:space="preserve"> </w:t>
      </w:r>
      <w:r>
        <w:t xml:space="preserve">Communications (adopted in 2002 and updated in 2009). It aimed at boosting connectivity</w:t>
      </w:r>
      <w:r>
        <w:t xml:space="preserve"> </w:t>
      </w:r>
      <w:r>
        <w:t xml:space="preserve">and better protecting users by establishing forward-looking and simplified rules that facilitate</w:t>
      </w:r>
      <w:r>
        <w:t xml:space="preserve"> </w:t>
      </w:r>
      <w:r>
        <w:t xml:space="preserve">the provision of very high-quality, secure, and affordable electronic communications services</w:t>
      </w:r>
      <w:r>
        <w:t xml:space="preserve"> </w:t>
      </w:r>
      <w:r>
        <w:t xml:space="preserve">throughout Europe. While many of the measures in the EECC built on pre-existing measures</w:t>
      </w:r>
      <w:r>
        <w:t xml:space="preserve"> </w:t>
      </w:r>
      <w:r>
        <w:t xml:space="preserve">present in the previous EU Framework for Electronic Communications, it added new elements</w:t>
      </w:r>
      <w:r>
        <w:t xml:space="preserve"> </w:t>
      </w:r>
      <w:r>
        <w:t xml:space="preserve">that have required transposition and implementation within the Member States.</w:t>
      </w:r>
      <w:r>
        <w:br/>
      </w:r>
      <w:r>
        <w:t xml:space="preserve">Under the EECC, NRAs and other competent authorities as well as BEREC, the Commission</w:t>
      </w:r>
      <w:r>
        <w:t xml:space="preserve"> </w:t>
      </w:r>
      <w:r>
        <w:t xml:space="preserve">and the Member States shall pursue each of the following general objectives, which are not</w:t>
      </w:r>
      <w:r>
        <w:t xml:space="preserve"> </w:t>
      </w:r>
      <w:r>
        <w:t xml:space="preserve">listed in order of priority:</w:t>
      </w:r>
      <w:r>
        <w:t xml:space="preserve"> </w:t>
      </w:r>
      <w:r>
        <w:t xml:space="preserve">(a)</w:t>
      </w:r>
      <w:r>
        <w:t xml:space="preserve"> </w:t>
      </w:r>
      <w:r>
        <w:t xml:space="preserve">promote connectivity and access to, and take-up of, very high-capacity networks,</w:t>
      </w:r>
      <w:r>
        <w:t xml:space="preserve"> </w:t>
      </w:r>
      <w:r>
        <w:t xml:space="preserve">including fixed, mobile and wireless networks, by all citizens and businesses of the</w:t>
      </w:r>
      <w:r>
        <w:t xml:space="preserve"> </w:t>
      </w:r>
      <w:r>
        <w:t xml:space="preserve">Union;</w:t>
      </w:r>
    </w:p>
    <w:p>
      <w:pPr>
        <w:pStyle w:val="BodyText"/>
      </w:pPr>
      <w:r>
        <w:t xml:space="preserve">13 https://camaraproject.org/.</w:t>
      </w:r>
    </w:p>
    <w:p>
      <w:pPr>
        <w:pStyle w:val="BodyText"/>
      </w:pPr>
      <w:r>
        <w:t xml:space="preserve">11</w:t>
      </w:r>
    </w:p>
    <w:p>
      <w:pPr>
        <w:pStyle w:val="Compact"/>
        <w:numPr>
          <w:ilvl w:val="0"/>
          <w:numId w:val="1002"/>
        </w:numPr>
      </w:pPr>
      <w:r>
        <w:t xml:space="preserve">promote competition in the provision of electronic communications networks and</w:t>
      </w:r>
      <w:r>
        <w:t xml:space="preserve"> </w:t>
      </w:r>
      <w:r>
        <w:t xml:space="preserve">associated facilities, including efficient infrastructure-based competition, and in the</w:t>
      </w:r>
      <w:r>
        <w:t xml:space="preserve"> </w:t>
      </w:r>
      <w:r>
        <w:t xml:space="preserve">provision of electronic communications services and associated services;</w:t>
      </w:r>
    </w:p>
    <w:p>
      <w:pPr>
        <w:pStyle w:val="Compact"/>
        <w:numPr>
          <w:ilvl w:val="0"/>
          <w:numId w:val="1002"/>
        </w:numPr>
      </w:pPr>
      <w:r>
        <w:t xml:space="preserve">contribute to the development of the internal market by removing remaining</w:t>
      </w:r>
      <w:r>
        <w:t xml:space="preserve"> </w:t>
      </w:r>
      <w:r>
        <w:t xml:space="preserve">obstacles to, and facilitating convergent conditions for, investment in, and the</w:t>
      </w:r>
      <w:r>
        <w:t xml:space="preserve"> </w:t>
      </w:r>
      <w:r>
        <w:t xml:space="preserve">provision of, electronic communications networks, electronic communications</w:t>
      </w:r>
      <w:r>
        <w:t xml:space="preserve"> </w:t>
      </w:r>
      <w:r>
        <w:t xml:space="preserve">services, associated facilities and associated services, throughout the Union, by</w:t>
      </w:r>
      <w:r>
        <w:t xml:space="preserve"> </w:t>
      </w:r>
      <w:r>
        <w:t xml:space="preserve">developing common rules and predictable regulatory approaches, by favouring the</w:t>
      </w:r>
      <w:r>
        <w:t xml:space="preserve"> </w:t>
      </w:r>
      <w:r>
        <w:t xml:space="preserve">effective, efficient and coordinated use of radio spectrum, open innovation, the</w:t>
      </w:r>
      <w:r>
        <w:t xml:space="preserve"> </w:t>
      </w:r>
      <w:r>
        <w:t xml:space="preserve">establishment and development of trans-European networks, the provision,</w:t>
      </w:r>
      <w:r>
        <w:t xml:space="preserve"> </w:t>
      </w:r>
      <w:r>
        <w:t xml:space="preserve">availability and interoperability of pan-European services, and end-to-end</w:t>
      </w:r>
      <w:r>
        <w:t xml:space="preserve"> </w:t>
      </w:r>
      <w:r>
        <w:t xml:space="preserve">connectivity;</w:t>
      </w:r>
    </w:p>
    <w:p>
      <w:pPr>
        <w:pStyle w:val="Compact"/>
        <w:numPr>
          <w:ilvl w:val="0"/>
          <w:numId w:val="1002"/>
        </w:numPr>
      </w:pPr>
      <w:r>
        <w:t xml:space="preserve">promote the interests of the citizens of the Union, by ensuring connectivity and the</w:t>
      </w:r>
      <w:r>
        <w:t xml:space="preserve"> </w:t>
      </w:r>
      <w:r>
        <w:t xml:space="preserve">widespread availability and take-up of very high capacity networks, including fixed,</w:t>
      </w:r>
      <w:r>
        <w:t xml:space="preserve"> </w:t>
      </w:r>
      <w:r>
        <w:t xml:space="preserve">mobile and wireless networks, and of electronic communications services, by</w:t>
      </w:r>
      <w:r>
        <w:t xml:space="preserve"> </w:t>
      </w:r>
      <w:r>
        <w:t xml:space="preserve">enabling maximum benefits in terms of choice, price and quality on the basis of</w:t>
      </w:r>
      <w:r>
        <w:t xml:space="preserve"> </w:t>
      </w:r>
      <w:r>
        <w:t xml:space="preserve">effective competition, by maintaining the security of networks and services, by</w:t>
      </w:r>
      <w:r>
        <w:t xml:space="preserve"> </w:t>
      </w:r>
      <w:r>
        <w:t xml:space="preserve">ensuring a high and common level of protection for end-users through the necessary</w:t>
      </w:r>
      <w:r>
        <w:t xml:space="preserve"> </w:t>
      </w:r>
      <w:r>
        <w:t xml:space="preserve">sector-specific rules and by addressing the needs, such as affordable prices, of</w:t>
      </w:r>
      <w:r>
        <w:t xml:space="preserve"> </w:t>
      </w:r>
      <w:r>
        <w:t xml:space="preserve">specific social groups, in particular end-users with disabilities, elderly end-users and</w:t>
      </w:r>
      <w:r>
        <w:t xml:space="preserve"> </w:t>
      </w:r>
      <w:r>
        <w:t xml:space="preserve">end-users with special social needs, and choice and equivalent access for end-users</w:t>
      </w:r>
      <w:r>
        <w:t xml:space="preserve"> </w:t>
      </w:r>
      <w:r>
        <w:t xml:space="preserve">with disabilities.</w:t>
      </w:r>
      <w:r>
        <w:t xml:space="preserve"> </w:t>
      </w:r>
      <w:r>
        <w:t xml:space="preserve">The EECC, therefore, introduced a new general objective (in addition to the previous</w:t>
      </w:r>
      <w:r>
        <w:t xml:space="preserve"> </w:t>
      </w:r>
      <w:r>
        <w:t xml:space="preserve">objectives regarding competition, consumer protection and the internal market, see Article 3</w:t>
      </w:r>
      <w:r>
        <w:t xml:space="preserve"> </w:t>
      </w:r>
      <w:r>
        <w:t xml:space="preserve">EECC) to promote connectivity and access to, and take-up of, very high-capacity</w:t>
      </w:r>
      <w:r>
        <w:t xml:space="preserve"> </w:t>
      </w:r>
      <w:r>
        <w:t xml:space="preserve">networks, including fixed, mobile and wireless networks, by all citizens and businesses of the</w:t>
      </w:r>
      <w:r>
        <w:t xml:space="preserve"> </w:t>
      </w:r>
      <w:r>
        <w:t xml:space="preserve">Union. Increased emphasis was also given to the need to take into account the variety of</w:t>
      </w:r>
      <w:r>
        <w:t xml:space="preserve"> </w:t>
      </w:r>
      <w:r>
        <w:t xml:space="preserve">conditions relating to infrastructure and competition in different geographic areas and the</w:t>
      </w:r>
      <w:r>
        <w:t xml:space="preserve"> </w:t>
      </w:r>
      <w:r>
        <w:t xml:space="preserve">need to promote efficient investment and innovation in new and enhanced infrastructures.</w:t>
      </w:r>
      <w:r>
        <w:t xml:space="preserve"> </w:t>
      </w:r>
      <w:r>
        <w:t xml:space="preserve">As to maintaining security of networks and services, ex-Article 41 of the EECC, now</w:t>
      </w:r>
      <w:r>
        <w:t xml:space="preserve"> </w:t>
      </w:r>
      <w:r>
        <w:t xml:space="preserve">integrated in Directive (EU) 2022/2555 of the European Parliament and of the Council of 14</w:t>
      </w:r>
      <w:r>
        <w:t xml:space="preserve"> </w:t>
      </w:r>
      <w:r>
        <w:t xml:space="preserve">December 2022 on measures for a high common level of cybersecurity across the Union (NIS</w:t>
      </w:r>
      <w:r>
        <w:t xml:space="preserve"> </w:t>
      </w:r>
      <w:r>
        <w:t xml:space="preserve">2 Directive), provided that Member States should ensure that competent national regulatory</w:t>
      </w:r>
      <w:r>
        <w:t xml:space="preserve"> </w:t>
      </w:r>
      <w:r>
        <w:t xml:space="preserve">authorities have powers to issue binding instructions, including regarding time limits for</w:t>
      </w:r>
      <w:r>
        <w:t xml:space="preserve"> </w:t>
      </w:r>
      <w:r>
        <w:t xml:space="preserve">implementation and have the power to require information and security audits from providers.</w:t>
      </w:r>
      <w:r>
        <w:t xml:space="preserve"> </w:t>
      </w:r>
      <w:r>
        <w:t xml:space="preserve">To follow up on the implementation of these obligations provided for in the EECC and,</w:t>
      </w:r>
      <w:r>
        <w:t xml:space="preserve"> </w:t>
      </w:r>
      <w:r>
        <w:t xml:space="preserve">accordingly, to ensure the cybersecurity of 5G networks, Member States authorities adopted</w:t>
      </w:r>
      <w:r>
        <w:t xml:space="preserve"> </w:t>
      </w:r>
      <w:r>
        <w:t xml:space="preserve">in January 2020 the 5G Toolbox14, endorsed by the European Council and the Commission. It</w:t>
      </w:r>
      <w:r>
        <w:t xml:space="preserve"> </w:t>
      </w:r>
      <w:r>
        <w:t xml:space="preserve">contains a set of key measures to be taken by Member States. In particular, it sets out a</w:t>
      </w:r>
      <w:r>
        <w:t xml:space="preserve"> </w:t>
      </w:r>
      <w:r>
        <w:t xml:space="preserve">thorough and objective process to assess risks and threats and identifies proportionate and</w:t>
      </w:r>
      <w:r>
        <w:t xml:space="preserve"> </w:t>
      </w:r>
      <w:r>
        <w:t xml:space="preserve">non-discriminatory measures to mitigate and manage appropriately identified risks posed to</w:t>
      </w:r>
      <w:r>
        <w:t xml:space="preserve"> </w:t>
      </w:r>
      <w:r>
        <w:t xml:space="preserve">the security of the network and services. The purpose of the toolbox is to guide Member</w:t>
      </w:r>
      <w:r>
        <w:t xml:space="preserve"> </w:t>
      </w:r>
      <w:r>
        <w:t xml:space="preserve">States in the transposition and implementation of the relevant security provisions of the</w:t>
      </w:r>
    </w:p>
    <w:p>
      <w:pPr>
        <w:pStyle w:val="FirstParagraph"/>
      </w:pPr>
      <w:r>
        <w:t xml:space="preserve">14 NIS Cooperation Group, Cybersecurity of 5G networks - EU Toolbox of risk mitigating measures, 23 January</w:t>
      </w:r>
      <w:r>
        <w:t xml:space="preserve"> </w:t>
      </w:r>
      <w:r>
        <w:t xml:space="preserve">2020.</w:t>
      </w:r>
    </w:p>
    <w:p>
      <w:pPr>
        <w:pStyle w:val="BodyText"/>
      </w:pPr>
      <w:r>
        <w:t xml:space="preserve">12</w:t>
      </w:r>
    </w:p>
    <w:p>
      <w:pPr>
        <w:pStyle w:val="BodyText"/>
      </w:pPr>
      <w:r>
        <w:t xml:space="preserve">telecommunication regulatory framework (and currently in relation to Directive (EU)</w:t>
      </w:r>
      <w:r>
        <w:t xml:space="preserve"> </w:t>
      </w:r>
      <w:r>
        <w:t xml:space="preserve">2022/2555) in the area of 5G networks security. The EECC predates the EU’s Green Deal and</w:t>
      </w:r>
      <w:r>
        <w:t xml:space="preserve"> </w:t>
      </w:r>
      <w:r>
        <w:t xml:space="preserve">therefore does not systematically account for environmental sustainability considerations.</w:t>
      </w:r>
      <w:r>
        <w:t xml:space="preserve"> </w:t>
      </w:r>
      <w:r>
        <w:t xml:space="preserve">There are two references to environmental protection in the EECC (Art. 44 on colocation and</w:t>
      </w:r>
      <w:r>
        <w:t xml:space="preserve"> </w:t>
      </w:r>
      <w:r>
        <w:t xml:space="preserve">network sharing and Art. 57 on deployment and operation of small-area wireless access</w:t>
      </w:r>
      <w:r>
        <w:t xml:space="preserve"> </w:t>
      </w:r>
      <w:r>
        <w:t xml:space="preserve">points). Some recitals also refer to compliance with environmental requirements (Recital 46),</w:t>
      </w:r>
      <w:r>
        <w:t xml:space="preserve"> </w:t>
      </w:r>
      <w:r>
        <w:t xml:space="preserve">deploying networks in environmentally responsible way and improving facility sharing for</w:t>
      </w:r>
      <w:r>
        <w:t xml:space="preserve"> </w:t>
      </w:r>
      <w:r>
        <w:t xml:space="preserve">environmental reasons (Recital 105), including spectrum sharing (Recital 106) and</w:t>
      </w:r>
      <w:r>
        <w:t xml:space="preserve"> </w:t>
      </w:r>
      <w:r>
        <w:t xml:space="preserve">environmental security (Recital 94).</w:t>
      </w:r>
      <w:r>
        <w:br/>
      </w:r>
      <w:r>
        <w:t xml:space="preserve">In June 2021, the Council and Parliament adopted legislation that enshrines sustainability</w:t>
      </w:r>
      <w:r>
        <w:t xml:space="preserve"> </w:t>
      </w:r>
      <w:r>
        <w:t xml:space="preserve">objectives into Europe’s first Climate Law15. Although the EECC does not itself specifically</w:t>
      </w:r>
      <w:r>
        <w:t xml:space="preserve"> </w:t>
      </w:r>
      <w:r>
        <w:t xml:space="preserve">include general objectives relating to environmental sustainability, the telecom sector is</w:t>
      </w:r>
      <w:r>
        <w:t xml:space="preserve"> </w:t>
      </w:r>
      <w:r>
        <w:t xml:space="preserve">subject to a variety of other legislation in this area. The EU environmental sustainability</w:t>
      </w:r>
      <w:r>
        <w:t xml:space="preserve"> </w:t>
      </w:r>
      <w:r>
        <w:t xml:space="preserve">measures which apply to ICT include the Ecodesign Directive16 (covering energy</w:t>
      </w:r>
      <w:r>
        <w:t xml:space="preserve"> </w:t>
      </w:r>
      <w:r>
        <w:t xml:space="preserve">consumption and labelling requirements for certain electronic goods), and Waste of Electrical</w:t>
      </w:r>
      <w:r>
        <w:t xml:space="preserve"> </w:t>
      </w:r>
      <w:r>
        <w:t xml:space="preserve">and Electronic Equipment Directive17, which seeks to increase recycling of electronic</w:t>
      </w:r>
      <w:r>
        <w:t xml:space="preserve"> </w:t>
      </w:r>
      <w:r>
        <w:t xml:space="preserve">equipment. In addition, the EC facilitated the development of voluntary Code of Conduct</w:t>
      </w:r>
      <w:r>
        <w:t xml:space="preserve"> </w:t>
      </w:r>
      <w:r>
        <w:t xml:space="preserve">covering18 broadband equipment, 2024 Best Practice Guidelines on19 energy efficiency20 and</w:t>
      </w:r>
      <w:r>
        <w:t xml:space="preserve"> </w:t>
      </w:r>
      <w:r>
        <w:t xml:space="preserve">a forthcoming Code of Conduct for sustainable telecommunications networks21. Taxonomy</w:t>
      </w:r>
      <w:r>
        <w:t xml:space="preserve"> </w:t>
      </w:r>
      <w:r>
        <w:t xml:space="preserve">establishes criteria under which companies can claim that their activities are “sustainable” for</w:t>
      </w:r>
      <w:r>
        <w:t xml:space="preserve"> </w:t>
      </w:r>
      <w:r>
        <w:t xml:space="preserve">the purposes of establishing the degree to which an investment is environmentally sustainable</w:t>
      </w:r>
      <w:r>
        <w:t xml:space="preserve"> </w:t>
      </w:r>
      <w:r>
        <w:t xml:space="preserve">(Art. 1 (1) Taxonomy Regulation).</w:t>
      </w:r>
      <w:r>
        <w:br/>
      </w:r>
      <w:r>
        <w:t xml:space="preserve">An overview of the environmental measures impacting the ICT sector is shown in the</w:t>
      </w:r>
      <w:r>
        <w:t xml:space="preserve"> </w:t>
      </w:r>
      <w:r>
        <w:t xml:space="preserve">following figure.22 This environmental sustainability overview and the figure below show that</w:t>
      </w:r>
      <w:r>
        <w:t xml:space="preserve"> </w:t>
      </w:r>
      <w:r>
        <w:t xml:space="preserve">there is already existing legislation in place covering the electronic communications sector.</w:t>
      </w:r>
      <w:r>
        <w:t xml:space="preserve"> </w:t>
      </w:r>
      <w:r>
        <w:t xml:space="preserve">However, there is still room to further streamline the reporting obligations under the</w:t>
      </w:r>
      <w:r>
        <w:t xml:space="preserve"> </w:t>
      </w:r>
      <w:r>
        <w:t xml:space="preserve">horizontal acts and coordinate more the work of the various competent authorities involved in</w:t>
      </w:r>
      <w:r>
        <w:t xml:space="preserve"> </w:t>
      </w:r>
      <w:r>
        <w:t xml:space="preserve">the environmental sustainability activities to facilitate the sector specific monitoring by the</w:t>
      </w:r>
      <w:r>
        <w:t xml:space="preserve"> </w:t>
      </w:r>
      <w:r>
        <w:t xml:space="preserve">telecom regulators and BEREC and respectively, the compliance by the sector.</w:t>
      </w:r>
    </w:p>
    <w:p>
      <w:pPr>
        <w:pStyle w:val="BodyText"/>
      </w:pPr>
      <w:r>
        <w:t xml:space="preserve">15 Regulation (EU) 2021/1119 of the European Parliament and of the Council of 30 June 2021 establishing the</w:t>
      </w:r>
      <w:r>
        <w:t xml:space="preserve"> </w:t>
      </w:r>
      <w:r>
        <w:t xml:space="preserve">framework for achieving climate neutrality and amending Regulations (EC) No 401/2009 and (EU)</w:t>
      </w:r>
      <w:r>
        <w:t xml:space="preserve"> </w:t>
      </w:r>
      <w:r>
        <w:t xml:space="preserve">2018/1999, OJ L 243, 09.07.2021: https://eur-lex.europa.eu/eli/reg/2021/1119/oj/eng.</w:t>
      </w:r>
      <w:r>
        <w:t xml:space="preserve"> </w:t>
      </w:r>
      <w:r>
        <w:t xml:space="preserve">16 Directive 2009/125/EC of the European Parliament and of the Council of 21 October 2009 establishing a</w:t>
      </w:r>
      <w:r>
        <w:t xml:space="preserve"> </w:t>
      </w:r>
      <w:r>
        <w:t xml:space="preserve">framework for the setting of ecodesign requirements for energy-related products , OJ L 285, 31.10.2009:</w:t>
      </w:r>
      <w:r>
        <w:t xml:space="preserve"> </w:t>
      </w:r>
      <w:r>
        <w:t xml:space="preserve">https://eur-lex.europa.eu/legal-content/EN/ALL/?uri=celex%3A32009L0125.</w:t>
      </w:r>
      <w:r>
        <w:br/>
      </w:r>
      <w:r>
        <w:t xml:space="preserve">17 Directive 2012/19/EU of the European Parliament and of the Council of 4 July 2012 on waste electrical and</w:t>
      </w:r>
      <w:r>
        <w:t xml:space="preserve"> </w:t>
      </w:r>
      <w:r>
        <w:t xml:space="preserve">electronic</w:t>
      </w:r>
      <w:r>
        <w:t xml:space="preserve"> </w:t>
      </w:r>
      <w:r>
        <w:t xml:space="preserve">equipment</w:t>
      </w:r>
      <w:r>
        <w:t xml:space="preserve"> </w:t>
      </w:r>
      <w:r>
        <w:t xml:space="preserve">(WEEE),</w:t>
      </w:r>
      <w:r>
        <w:t xml:space="preserve"> </w:t>
      </w:r>
      <w:r>
        <w:t xml:space="preserve">OJ</w:t>
      </w:r>
      <w:r>
        <w:t xml:space="preserve"> </w:t>
      </w:r>
      <w:r>
        <w:t xml:space="preserve">L</w:t>
      </w:r>
      <w:r>
        <w:t xml:space="preserve"> </w:t>
      </w:r>
      <w:r>
        <w:t xml:space="preserve">197,</w:t>
      </w:r>
      <w:r>
        <w:t xml:space="preserve"> </w:t>
      </w:r>
      <w:r>
        <w:t xml:space="preserve">24.07.2012:</w:t>
      </w:r>
      <w:r>
        <w:t xml:space="preserve"> </w:t>
      </w:r>
      <w:r>
        <w:t xml:space="preserve">https://eur-lex.europa.eu/legal-</w:t>
      </w:r>
      <w:r>
        <w:t xml:space="preserve"> </w:t>
      </w:r>
      <w:r>
        <w:t xml:space="preserve">content/EN/TXT/?uri=CELEX:02012L0019-20180704.</w:t>
      </w:r>
      <w:r>
        <w:br/>
      </w:r>
      <w:r>
        <w:t xml:space="preserve">18 Publications; EU Code of Conduct on Energy Consumption of Broadband Equipment: Version 9.0 (current</w:t>
      </w:r>
      <w:r>
        <w:t xml:space="preserve"> </w:t>
      </w:r>
      <w:r>
        <w:t xml:space="preserve">version valid from 1.1.2024) and for Version 9.1 Code of conduct on energy consumption of broadband</w:t>
      </w:r>
      <w:r>
        <w:t xml:space="preserve"> </w:t>
      </w:r>
      <w:r>
        <w:t xml:space="preserve">equipment - Publications Office of the EU.</w:t>
      </w:r>
      <w:r>
        <w:t xml:space="preserve"> </w:t>
      </w:r>
      <w:r>
        <w:t xml:space="preserve">19 2024 Best Practice Guidelines for the EU Code of Conduct on Data Centre Energy Efficiency.</w:t>
      </w:r>
      <w:r>
        <w:t xml:space="preserve"> </w:t>
      </w:r>
      <w:r>
        <w:t xml:space="preserve">20 Regulation (EU) 2020/852 of the European Parliament and of the Council of 18 June 2020 on the</w:t>
      </w:r>
      <w:r>
        <w:t xml:space="preserve"> </w:t>
      </w:r>
      <w:r>
        <w:t xml:space="preserve">establishment of a framework to facilitate sustainable investment, and amending Regulation (EU)</w:t>
      </w:r>
      <w:r>
        <w:t xml:space="preserve"> </w:t>
      </w:r>
      <w:r>
        <w:t xml:space="preserve">2019/2088, OJ L 198, 22.06.2020: https://eur-lex.europa.eu/eli/reg/2020/852/oj/eng.</w:t>
      </w:r>
      <w:r>
        <w:t xml:space="preserve"> </w:t>
      </w:r>
      <w:r>
        <w:t xml:space="preserve">21 Green and sustainable telecom networks - The Joint Research Centre: EU Science Hub.</w:t>
      </w:r>
      <w:r>
        <w:t xml:space="preserve"> </w:t>
      </w:r>
      <w:r>
        <w:t xml:space="preserve">22 Reference in Section 2.2.8 of the First Interim Report on Completing the DSM.</w:t>
      </w:r>
    </w:p>
    <w:p>
      <w:pPr>
        <w:pStyle w:val="BodyText"/>
      </w:pPr>
      <w:r>
        <w:t xml:space="preserve">13</w:t>
      </w:r>
    </w:p>
    <w:p>
      <w:pPr>
        <w:pStyle w:val="BodyText"/>
      </w:pPr>
      <w:r>
        <w:t xml:space="preserve">Figure 1: Figure on existing political frameworks and initiatives influencing the green digital</w:t>
      </w:r>
      <w:r>
        <w:t xml:space="preserve"> </w:t>
      </w:r>
      <w:r>
        <w:t xml:space="preserve">transition</w:t>
      </w:r>
    </w:p>
    <w:p>
      <w:pPr>
        <w:pStyle w:val="BodyText"/>
      </w:pPr>
      <w:r>
        <w:t xml:space="preserve">Compared to the strong emphasis put on competition, the EECC does not sufficiently account</w:t>
      </w:r>
      <w:r>
        <w:t xml:space="preserve"> </w:t>
      </w:r>
      <w:r>
        <w:t xml:space="preserve">for competitiveness of the telecoms sector or of the EU industry at large. As widely</w:t>
      </w:r>
      <w:r>
        <w:t xml:space="preserve"> </w:t>
      </w:r>
      <w:r>
        <w:t xml:space="preserve">recognised by stakeholders and set out in the Commission White Paper, the connectivity</w:t>
      </w:r>
      <w:r>
        <w:t xml:space="preserve"> </w:t>
      </w:r>
      <w:r>
        <w:t xml:space="preserve">ecosystem is expanding driven by technological change, e.g. cloudification and AI.</w:t>
      </w:r>
      <w:r>
        <w:t xml:space="preserve"> </w:t>
      </w:r>
      <w:r>
        <w:t xml:space="preserve">Competitiveness therefore becomes a very important element in view of the development of</w:t>
      </w:r>
      <w:r>
        <w:t xml:space="preserve"> </w:t>
      </w:r>
      <w:r>
        <w:t xml:space="preserve">the AI continent23.</w:t>
      </w:r>
      <w:r>
        <w:t xml:space="preserve"> </w:t>
      </w:r>
      <w:r>
        <w:t xml:space="preserve">As regards network rollout as basis for competitiveness, where VHCNs24 including dark fibre</w:t>
      </w:r>
      <w:r>
        <w:t xml:space="preserve"> </w:t>
      </w:r>
      <w:r>
        <w:t xml:space="preserve">are not widely available this can limit service quality and competition on 5G. It can also affect</w:t>
      </w:r>
      <w:r>
        <w:t xml:space="preserve"> </w:t>
      </w:r>
      <w:r>
        <w:t xml:space="preserve">the bandwidths available to enterprises and thus their capacity to benefit from big data</w:t>
      </w:r>
      <w:r>
        <w:t xml:space="preserve"> </w:t>
      </w:r>
      <w:r>
        <w:t xml:space="preserve">processing/AI as well as the development of future applications such as quantum</w:t>
      </w:r>
      <w:r>
        <w:t xml:space="preserve"> </w:t>
      </w:r>
      <w:r>
        <w:t xml:space="preserve">communications. It is notable that some urban areas in the EU have achieved world-leading</w:t>
      </w:r>
      <w:r>
        <w:t xml:space="preserve"> </w:t>
      </w:r>
      <w:r>
        <w:t xml:space="preserve">levels of innovation supported in part on the availability of a dark fibre network. The lack of</w:t>
      </w:r>
      <w:r>
        <w:t xml:space="preserve"> </w:t>
      </w:r>
      <w:r>
        <w:t xml:space="preserve">networks supporting full innovation capabilities elsewhere could limit Europe’s wider</w:t>
      </w:r>
      <w:r>
        <w:t xml:space="preserve"> </w:t>
      </w:r>
      <w:r>
        <w:t xml:space="preserve">competitiveness in the global economy. Availability and take-up of future-proof connectivity</w:t>
      </w:r>
      <w:r>
        <w:t xml:space="preserve"> </w:t>
      </w:r>
      <w:r>
        <w:t xml:space="preserve">provides a key input to European industry and is vital to enable societal participation in the</w:t>
      </w:r>
      <w:r>
        <w:t xml:space="preserve"> </w:t>
      </w:r>
      <w:r>
        <w:t xml:space="preserve">digital economy as well as to drive European competitiveness.25 Figures from available</w:t>
      </w:r>
      <w:r>
        <w:t xml:space="preserve"> </w:t>
      </w:r>
      <w:r>
        <w:t xml:space="preserve">reports provide a mixed view of financial performance in the telecom sector, with differences</w:t>
      </w:r>
      <w:r>
        <w:t xml:space="preserve"> </w:t>
      </w:r>
      <w:r>
        <w:t xml:space="preserve">between service types as well as countries, business models and operators with different</w:t>
      </w:r>
      <w:r>
        <w:t xml:space="preserve"> </w:t>
      </w:r>
      <w:r>
        <w:t xml:space="preserve">degrees of scale and history. An overview is provided below. However, there has been a real</w:t>
      </w:r>
      <w:r>
        <w:t xml:space="preserve"> </w:t>
      </w:r>
      <w:r>
        <w:t xml:space="preserve">term decline in revenues, with low ARPUs for mobile services. Fixed broadband revenues are</w:t>
      </w:r>
      <w:r>
        <w:t xml:space="preserve"> </w:t>
      </w:r>
      <w:r>
        <w:t xml:space="preserve">significantly higher.26 Further overview is provided below in the Coordinated spectrum</w:t>
      </w:r>
      <w:r>
        <w:t xml:space="preserve"> </w:t>
      </w:r>
      <w:r>
        <w:t xml:space="preserve">policy.</w:t>
      </w:r>
    </w:p>
    <w:p>
      <w:pPr>
        <w:pStyle w:val="BodyText"/>
      </w:pPr>
      <w:r>
        <w:t xml:space="preserve">23 See AI Continent Action Plan.</w:t>
      </w:r>
      <w:r>
        <w:t xml:space="preserve"> </w:t>
      </w:r>
      <w:r>
        <w:t xml:space="preserve">24 ‘Very High Capacity Networks’ means either an electronic communications network which consists wholly</w:t>
      </w:r>
      <w:r>
        <w:t xml:space="preserve"> </w:t>
      </w:r>
      <w:r>
        <w:t xml:space="preserve">of optical fibre elements at least up to the distribution point at the serving location, or an electronic</w:t>
      </w:r>
      <w:r>
        <w:t xml:space="preserve"> </w:t>
      </w:r>
      <w:r>
        <w:t xml:space="preserve">communications network which is capable of delivering, under usual peak-time conditions, similar network</w:t>
      </w:r>
      <w:r>
        <w:t xml:space="preserve"> </w:t>
      </w:r>
      <w:r>
        <w:t xml:space="preserve">performance in terms of available downlink and uplink bandwidth, resilience, error-related parameters, and</w:t>
      </w:r>
      <w:r>
        <w:t xml:space="preserve"> </w:t>
      </w:r>
      <w:r>
        <w:t xml:space="preserve">latency and its variation; network performance can be considered similar regardless of whether the end-user</w:t>
      </w:r>
      <w:r>
        <w:t xml:space="preserve"> </w:t>
      </w:r>
      <w:r>
        <w:t xml:space="preserve">experience varies due to the inherently different characteristics of the medium by which the network</w:t>
      </w:r>
      <w:r>
        <w:t xml:space="preserve"> </w:t>
      </w:r>
      <w:r>
        <w:t xml:space="preserve">ultimately connects with the network termination point.</w:t>
      </w:r>
      <w:r>
        <w:t xml:space="preserve"> </w:t>
      </w:r>
      <w:r>
        <w:t xml:space="preserve">25 See reference to the access study section 9.1.1.</w:t>
      </w:r>
      <w:r>
        <w:t xml:space="preserve"> </w:t>
      </w:r>
      <w:r>
        <w:t xml:space="preserve">26 See reference to the finance study section 3.4 / 4.3.</w:t>
      </w:r>
    </w:p>
    <w:p>
      <w:pPr>
        <w:pStyle w:val="BodyText"/>
      </w:pPr>
      <w:r>
        <w:t xml:space="preserve">14</w:t>
      </w:r>
    </w:p>
    <w:p>
      <w:pPr>
        <w:pStyle w:val="BodyText"/>
      </w:pPr>
      <w:r>
        <w:t xml:space="preserve">In the current geopolitical context security and resilience of integrated electronic</w:t>
      </w:r>
      <w:r>
        <w:t xml:space="preserve"> </w:t>
      </w:r>
      <w:r>
        <w:t xml:space="preserve">communications infrastructures (terrestrial, non-terrestrial such as satellite or submarine) have</w:t>
      </w:r>
      <w:r>
        <w:t xml:space="preserve"> </w:t>
      </w:r>
      <w:r>
        <w:t xml:space="preserve">become an important concern which has not been addressed by the EECC, only partially and</w:t>
      </w:r>
      <w:r>
        <w:t xml:space="preserve"> </w:t>
      </w:r>
      <w:r>
        <w:t xml:space="preserve">in a limited manner. Resilience under the EECC is considered mainly in the context of</w:t>
      </w:r>
      <w:r>
        <w:t xml:space="preserve"> </w:t>
      </w:r>
      <w:r>
        <w:t xml:space="preserve">availability of services (voice communications services and internet access services) provided</w:t>
      </w:r>
      <w:r>
        <w:t xml:space="preserve"> </w:t>
      </w:r>
      <w:r>
        <w:t xml:space="preserve">only over public electronic communications networks in the event of catastrophic network</w:t>
      </w:r>
      <w:r>
        <w:t xml:space="preserve"> </w:t>
      </w:r>
      <w:r>
        <w:t xml:space="preserve">breakdown or in cases of force majeure (Art. 108 EECC). Not all EECC providers are subject</w:t>
      </w:r>
      <w:r>
        <w:t xml:space="preserve"> </w:t>
      </w:r>
      <w:r>
        <w:t xml:space="preserve">to general authorisation conditions concerning public warnings, natural disasters or</w:t>
      </w:r>
      <w:r>
        <w:t xml:space="preserve"> </w:t>
      </w:r>
      <w:r>
        <w:t xml:space="preserve">emergencies (Art. 110 EECC).</w:t>
      </w:r>
      <w:r>
        <w:br/>
      </w:r>
      <w:r>
        <w:t xml:space="preserve">Nevertheless, resilience is also key for the integrity of networks irrespective of their purpose</w:t>
      </w:r>
      <w:r>
        <w:t xml:space="preserve"> </w:t>
      </w:r>
      <w:r>
        <w:t xml:space="preserve">to avoid disruptions and ensure the uninterruptedness of communications. This could not be</w:t>
      </w:r>
      <w:r>
        <w:t xml:space="preserve"> </w:t>
      </w:r>
      <w:r>
        <w:t xml:space="preserve">comprehensively addressed in the current framework. For example, submarine cable systems</w:t>
      </w:r>
      <w:r>
        <w:t xml:space="preserve"> </w:t>
      </w:r>
      <w:r>
        <w:t xml:space="preserve">owned by content and application providers (CAPs) are considered as non-public ECNs and</w:t>
      </w:r>
      <w:r>
        <w:t xml:space="preserve"> </w:t>
      </w:r>
      <w:r>
        <w:t xml:space="preserve">are not covered by the above-mentioned EECC requirements unless Member States decide at</w:t>
      </w:r>
      <w:r>
        <w:t xml:space="preserve"> </w:t>
      </w:r>
      <w:r>
        <w:t xml:space="preserve">national level to subject such networks and non-public ECS to the general authorisation</w:t>
      </w:r>
      <w:r>
        <w:t xml:space="preserve"> </w:t>
      </w:r>
      <w:r>
        <w:t xml:space="preserve">regime27. Since international connectivity enhances and accelerates the competitiveness of the</w:t>
      </w:r>
      <w:r>
        <w:t xml:space="preserve"> </w:t>
      </w:r>
      <w:r>
        <w:t xml:space="preserve">Union and its economy, and in a challenging and dynamic geopolitical context, it is important</w:t>
      </w:r>
      <w:r>
        <w:t xml:space="preserve"> </w:t>
      </w:r>
      <w:r>
        <w:t xml:space="preserve">that resilience is equally ensured by all networks which provide crucial services for our</w:t>
      </w:r>
      <w:r>
        <w:t xml:space="preserve"> </w:t>
      </w:r>
      <w:r>
        <w:t xml:space="preserve">economic activities, public safety, health and environment. Even when considering existing</w:t>
      </w:r>
      <w:r>
        <w:t xml:space="preserve"> </w:t>
      </w:r>
      <w:r>
        <w:t xml:space="preserve">legal instruments addressing the physical or cyber resilience of infrastructures, not sufficient</w:t>
      </w:r>
      <w:r>
        <w:t xml:space="preserve"> </w:t>
      </w:r>
      <w:r>
        <w:t xml:space="preserve">emphasis is given to the EU preparedness for crisis and to the role of NRAs and BEREC in</w:t>
      </w:r>
      <w:r>
        <w:t xml:space="preserve"> </w:t>
      </w:r>
      <w:r>
        <w:t xml:space="preserve">enhancing the EU preparedness based on an EU networks’ contingency plan.</w:t>
      </w:r>
      <w:r>
        <w:t xml:space="preserve"> </w:t>
      </w:r>
      <w:r>
        <w:t xml:space="preserve">3.4.1. Effectiveness</w:t>
      </w:r>
      <w:r>
        <w:br/>
      </w:r>
      <w:r>
        <w:t xml:space="preserve">Within the wide spectrum of assessments, most stakeholders of all types consider that –</w:t>
      </w:r>
      <w:r>
        <w:t xml:space="preserve"> </w:t>
      </w:r>
      <w:r>
        <w:t xml:space="preserve">overall – the EECC is currently achieving, or is on track to achieve, its core objectives.</w:t>
      </w:r>
      <w:r>
        <w:t xml:space="preserve"> </w:t>
      </w:r>
      <w:r>
        <w:t xml:space="preserve">However, the Digital Decade report 2025 documents reveal differences in reaching various</w:t>
      </w:r>
      <w:r>
        <w:t xml:space="preserve"> </w:t>
      </w:r>
      <w:r>
        <w:t xml:space="preserve">connectivity targets at EU level or, at the very least, in some Member States. VHCN and basic</w:t>
      </w:r>
      <w:r>
        <w:t xml:space="preserve"> </w:t>
      </w:r>
      <w:r>
        <w:t xml:space="preserve">5G roll-out is on track across the EU with some lagging only in some Member States28. while</w:t>
      </w:r>
      <w:r>
        <w:t xml:space="preserve"> </w:t>
      </w:r>
      <w:r>
        <w:t xml:space="preserve">many Member States are still lagging behind in mid-band 5G coverage that is necessary to</w:t>
      </w:r>
      <w:r>
        <w:t xml:space="preserve"> </w:t>
      </w:r>
      <w:r>
        <w:t xml:space="preserve">ensure high quality 5G connectivity29. Accordingly, some governments and a majority of</w:t>
      </w:r>
      <w:r>
        <w:t xml:space="preserve"> </w:t>
      </w:r>
      <w:r>
        <w:t xml:space="preserve">industry stakeholders argued that the EECC missed out on the objectives of promoting</w:t>
      </w:r>
      <w:r>
        <w:t xml:space="preserve"> </w:t>
      </w:r>
      <w:r>
        <w:t xml:space="preserve">connectivity and investment. An example of this shortcoming is the persisting urban-rural</w:t>
      </w:r>
      <w:r>
        <w:t xml:space="preserve"> </w:t>
      </w:r>
      <w:r>
        <w:t xml:space="preserve">divide. According to the State of the EU Digital Transformation in 2025: progress and</w:t>
      </w:r>
      <w:r>
        <w:t xml:space="preserve"> </w:t>
      </w:r>
      <w:r>
        <w:t xml:space="preserve">horizontal recommendations 30, the coverage of households by fixed VHCN in the EU-27</w:t>
      </w:r>
      <w:r>
        <w:t xml:space="preserve"> </w:t>
      </w:r>
      <w:r>
        <w:t xml:space="preserve">reached 82.5% in 2024, with a growth rate of 4.9%, while fibre coverage stood at 69.2% of</w:t>
      </w:r>
      <w:r>
        <w:t xml:space="preserve"> </w:t>
      </w:r>
      <w:r>
        <w:t xml:space="preserve">households in 2024, marking an 8.4% annual increase, but rural deployment with fibre is only</w:t>
      </w:r>
      <w:r>
        <w:t xml:space="preserve"> </w:t>
      </w:r>
      <w:r>
        <w:t xml:space="preserve">58.8% in 2024. Incumbents, mobile operators as well as some alternative operators of</w:t>
      </w:r>
      <w:r>
        <w:t xml:space="preserve"> </w:t>
      </w:r>
      <w:r>
        <w:t xml:space="preserve">broadband networks argue that the EECC does not strike the right balance between the</w:t>
      </w:r>
    </w:p>
    <w:p>
      <w:pPr>
        <w:pStyle w:val="BodyText"/>
      </w:pPr>
      <w:r>
        <w:t xml:space="preserve">27 Reference to Page 22, 2024 BEREC Report on the general authorisation and related frameworks for</w:t>
      </w:r>
      <w:r>
        <w:t xml:space="preserve"> </w:t>
      </w:r>
      <w:r>
        <w:t xml:space="preserve">international submarine connectivity: ”Non-public ECN and non-public ECS are subject to prior</w:t>
      </w:r>
      <w:r>
        <w:t xml:space="preserve"> </w:t>
      </w:r>
      <w:r>
        <w:t xml:space="preserve">notification/registration under the general authorisation regime only in 4 MS”.</w:t>
      </w:r>
      <w:r>
        <w:t xml:space="preserve"> </w:t>
      </w:r>
      <w:r>
        <w:t xml:space="preserve">28 See Spectrum section 5.4.1. Figure Error! Main Document Only.: Total 5G household coverage.</w:t>
      </w:r>
      <w:r>
        <w:t xml:space="preserve"> </w:t>
      </w:r>
      <w:r>
        <w:t xml:space="preserve">29 See Spectrum section 5.4.1. Figure Error! Main Document Only.: 5G coverage of households in the 3.6</w:t>
      </w:r>
      <w:r>
        <w:t xml:space="preserve"> </w:t>
      </w:r>
      <w:r>
        <w:t xml:space="preserve">GHz band Observatory Report 2025 | Shaping Europe’s digital future.</w:t>
      </w:r>
      <w:r>
        <w:t xml:space="preserve"> </w:t>
      </w:r>
      <w:r>
        <w:t xml:space="preserve">30 Reference to the State of the Digital Decade 2025 report: State of the Digital Decade 2025 report | Shaping</w:t>
      </w:r>
      <w:r>
        <w:t xml:space="preserve"> </w:t>
      </w:r>
      <w:r>
        <w:t xml:space="preserve">Europe’s digital future.</w:t>
      </w:r>
    </w:p>
    <w:p>
      <w:pPr>
        <w:pStyle w:val="BodyText"/>
      </w:pPr>
      <w:r>
        <w:t xml:space="preserve">15</w:t>
      </w:r>
    </w:p>
    <w:p>
      <w:pPr>
        <w:pStyle w:val="BodyText"/>
      </w:pPr>
      <w:r>
        <w:t xml:space="preserve">objectives of facilitating investment, on the one hand, and the promotion of citizens’ benefits</w:t>
      </w:r>
      <w:r>
        <w:t xml:space="preserve"> </w:t>
      </w:r>
      <w:r>
        <w:t xml:space="preserve">and competition, on the other. This is in line with the emphasis by EU and national policies on</w:t>
      </w:r>
      <w:r>
        <w:t xml:space="preserve"> </w:t>
      </w:r>
      <w:r>
        <w:t xml:space="preserve">the promotion of citizens’ benefits and competition31.</w:t>
      </w:r>
      <w:r>
        <w:t xml:space="preserve"> </w:t>
      </w:r>
      <w:r>
        <w:t xml:space="preserve">Governments and industry stakeholders, such as incumbents, alternative operators, mobile</w:t>
      </w:r>
      <w:r>
        <w:t xml:space="preserve"> </w:t>
      </w:r>
      <w:r>
        <w:t xml:space="preserve">operators, OTT providers agree that the EECC helped achieve/maintain effective competition</w:t>
      </w:r>
      <w:r>
        <w:t xml:space="preserve"> </w:t>
      </w:r>
      <w:r>
        <w:t xml:space="preserve">in the market for electronic communications networks and services. There are multiple</w:t>
      </w:r>
      <w:r>
        <w:t xml:space="preserve"> </w:t>
      </w:r>
      <w:r>
        <w:t xml:space="preserve">operators in each country on average 3-5 mobile operators and around 10 fixed operators, and</w:t>
      </w:r>
      <w:r>
        <w:t xml:space="preserve"> </w:t>
      </w:r>
      <w:r>
        <w:t xml:space="preserve">even about 20 MVNOs in some Member States32 Stakeholders consider these numbers as</w:t>
      </w:r>
      <w:r>
        <w:t xml:space="preserve"> </w:t>
      </w:r>
      <w:r>
        <w:t xml:space="preserve">signifying strong competition and sufficient to cover demand. Some positively noted the</w:t>
      </w:r>
      <w:r>
        <w:t xml:space="preserve"> </w:t>
      </w:r>
      <w:r>
        <w:t xml:space="preserve">flexibility of the EECC, which allows NRAs to address market failures specific to their</w:t>
      </w:r>
      <w:r>
        <w:t xml:space="preserve"> </w:t>
      </w:r>
      <w:r>
        <w:t xml:space="preserve">national markets and thus sustain competitive dynamics.</w:t>
      </w:r>
      <w:r>
        <w:t xml:space="preserve"> </w:t>
      </w:r>
      <w:r>
        <w:t xml:space="preserve">In terms of scaling up, incumbents and large mobile operators argued that the EECC failed to</w:t>
      </w:r>
      <w:r>
        <w:t xml:space="preserve"> </w:t>
      </w:r>
      <w:r>
        <w:t xml:space="preserve">achieve its objective of effective competition because it is too much focused on market entry,</w:t>
      </w:r>
      <w:r>
        <w:t xml:space="preserve"> </w:t>
      </w:r>
      <w:r>
        <w:t xml:space="preserve">blocking market exit, avoiding price increases fostering lower prices and discouraging</w:t>
      </w:r>
      <w:r>
        <w:t xml:space="preserve"> </w:t>
      </w:r>
      <w:r>
        <w:t xml:space="preserve">investment resulting in fragmentation and a small user base per operator/provider. Consumer</w:t>
      </w:r>
      <w:r>
        <w:t xml:space="preserve"> </w:t>
      </w:r>
      <w:r>
        <w:t xml:space="preserve">organisations are concerned that consumers would lose out on price, quality, and network</w:t>
      </w:r>
      <w:r>
        <w:t xml:space="preserve"> </w:t>
      </w:r>
      <w:r>
        <w:t xml:space="preserve">deployment if there would have been more consolidation. There are some telcos active in</w:t>
      </w:r>
      <w:r>
        <w:t xml:space="preserve"> </w:t>
      </w:r>
      <w:r>
        <w:t xml:space="preserve">several countries (e.g. Vodafone, Telefonica, Deutsche Telekom, Orange, Iliad, Digi)</w:t>
      </w:r>
      <w:r>
        <w:t xml:space="preserve"> </w:t>
      </w:r>
      <w:r>
        <w:t xml:space="preserve">Furthermore there are regional operators present in more than one country (Telia, Telenor in</w:t>
      </w:r>
      <w:r>
        <w:t xml:space="preserve"> </w:t>
      </w:r>
      <w:r>
        <w:t xml:space="preserve">northern Europe).</w:t>
      </w:r>
      <w:r>
        <w:t xml:space="preserve"> </w:t>
      </w:r>
      <w:r>
        <w:t xml:space="preserve">At the same time, the Significant Market Power (SMP) regime remains a central instrument</w:t>
      </w:r>
      <w:r>
        <w:t xml:space="preserve"> </w:t>
      </w:r>
      <w:r>
        <w:t xml:space="preserve">for ex ante regulation as a guardian of competition both at infrastructure and service level in</w:t>
      </w:r>
      <w:r>
        <w:t xml:space="preserve"> </w:t>
      </w:r>
      <w:r>
        <w:t xml:space="preserve">key access markets.</w:t>
      </w:r>
      <w:r>
        <w:t xml:space="preserve"> </w:t>
      </w:r>
      <w:r>
        <w:t xml:space="preserve">Overall, effective competition tends to be lower in some (national) markets (in particular for</w:t>
      </w:r>
      <w:r>
        <w:t xml:space="preserve"> </w:t>
      </w:r>
      <w:r>
        <w:t xml:space="preserve">wholesale local access where more than 20 regulators still imposed remedies and wholesale</w:t>
      </w:r>
      <w:r>
        <w:t xml:space="preserve"> </w:t>
      </w:r>
      <w:r>
        <w:t xml:space="preserve">dedicated capacity with 15 regulated markets) and for more advanced services. Competition</w:t>
      </w:r>
      <w:r>
        <w:t xml:space="preserve"> </w:t>
      </w:r>
      <w:r>
        <w:t xml:space="preserve">in electronic communications in the EU is also shaped by external factors, such as</w:t>
      </w:r>
      <w:r>
        <w:t xml:space="preserve"> </w:t>
      </w:r>
      <w:r>
        <w:t xml:space="preserve">technological developments and the presence of dominant non-EU hyperscalers that shape</w:t>
      </w:r>
      <w:r>
        <w:t xml:space="preserve"> </w:t>
      </w:r>
      <w:r>
        <w:t xml:space="preserve">market demand.</w:t>
      </w:r>
      <w:r>
        <w:t xml:space="preserve"> </w:t>
      </w:r>
      <w:r>
        <w:t xml:space="preserve">On trade-offs between different regulatory objectives of the EECC, it shall be emphasised that</w:t>
      </w:r>
      <w:r>
        <w:t xml:space="preserve"> </w:t>
      </w:r>
      <w:r>
        <w:t xml:space="preserve">most stakeholders either do not perceive any trade-offs or see them a useful flexibility</w:t>
      </w:r>
      <w:r>
        <w:t xml:space="preserve"> </w:t>
      </w:r>
      <w:r>
        <w:t xml:space="preserve">allowing to address the regulatory needs of a given national market33.</w:t>
      </w:r>
      <w:r>
        <w:t xml:space="preserve"> </w:t>
      </w:r>
      <w:r>
        <w:t xml:space="preserve">Concerning potential addition of new objectives and especially, on the governance side, the</w:t>
      </w:r>
      <w:r>
        <w:t xml:space="preserve"> </w:t>
      </w:r>
      <w:r>
        <w:t xml:space="preserve">evaluation results presented that BEREC should widen its focus beyond electronic</w:t>
      </w:r>
      <w:r>
        <w:t xml:space="preserve"> </w:t>
      </w:r>
      <w:r>
        <w:t xml:space="preserve">communications to address emerging digital market issues that affect the telecommunication</w:t>
      </w:r>
      <w:r>
        <w:t xml:space="preserve"> </w:t>
      </w:r>
      <w:r>
        <w:t xml:space="preserve">market. Network resilience and cybersecurity were mentioned as areas of particular</w:t>
      </w:r>
      <w:r>
        <w:t xml:space="preserve"> </w:t>
      </w:r>
      <w:r>
        <w:t xml:space="preserve">importance in this regard. However, a potential issue is that not all NRAs may have</w:t>
      </w:r>
      <w:r>
        <w:t xml:space="preserve"> </w:t>
      </w:r>
      <w:r>
        <w:t xml:space="preserve">competencies in these areas, and if some NRAs do and others do not have these competencies,</w:t>
      </w:r>
      <w:r>
        <w:t xml:space="preserve"> </w:t>
      </w:r>
      <w:r>
        <w:t xml:space="preserve">it could reduce the representativeness of opinions by BEREC and ultimately could lead to</w:t>
      </w:r>
      <w:r>
        <w:t xml:space="preserve"> </w:t>
      </w:r>
      <w:r>
        <w:t xml:space="preserve">reduced harmonisation.34 This evaluation outcome shows that if expanding the policy</w:t>
      </w:r>
    </w:p>
    <w:p>
      <w:pPr>
        <w:pStyle w:val="BodyText"/>
      </w:pPr>
      <w:r>
        <w:t xml:space="preserve">31</w:t>
      </w:r>
      <w:r>
        <w:t xml:space="preserve"> </w:t>
      </w:r>
      <w:r>
        <w:t xml:space="preserve">Reference to Section 3.1.2 of the Final 1st Interim Report on Completing the DSM.</w:t>
      </w:r>
      <w:r>
        <w:t xml:space="preserve"> </w:t>
      </w:r>
      <w:r>
        <w:t xml:space="preserve">32 Reference to Section 4.1.2.1 of the Final 1st Interim Report on Completing the DSM.</w:t>
      </w:r>
      <w:r>
        <w:t xml:space="preserve"> </w:t>
      </w:r>
      <w:r>
        <w:t xml:space="preserve">33 Reference to 3.1.2 of the Final 1st Interim Report on Completing the DSM.</w:t>
      </w:r>
      <w:r>
        <w:t xml:space="preserve"> </w:t>
      </w:r>
      <w:r>
        <w:t xml:space="preserve">34 Reference in Section 4.5.2 of the Final 1st Interim Report on Completing the DSM.</w:t>
      </w:r>
    </w:p>
    <w:p>
      <w:pPr>
        <w:pStyle w:val="BodyText"/>
      </w:pPr>
      <w:r>
        <w:t xml:space="preserve">16</w:t>
      </w:r>
    </w:p>
    <w:p>
      <w:pPr>
        <w:pStyle w:val="BodyText"/>
      </w:pPr>
      <w:r>
        <w:t xml:space="preserve">objectives there would be a need to overcome the divergence in regulatory competences to</w:t>
      </w:r>
      <w:r>
        <w:t xml:space="preserve"> </w:t>
      </w:r>
      <w:r>
        <w:t xml:space="preserve">tackle effectively the newly emerging issues in the single market.</w:t>
      </w:r>
      <w:r>
        <w:t xml:space="preserve"> </w:t>
      </w:r>
      <w:r>
        <w:t xml:space="preserve">In view of the wide range of assessments, it will be important to balance any new proposals</w:t>
      </w:r>
      <w:r>
        <w:t xml:space="preserve"> </w:t>
      </w:r>
      <w:r>
        <w:t xml:space="preserve">under the Commission’s DNA initiative carefully, to address new challenges appropriately</w:t>
      </w:r>
      <w:r>
        <w:t xml:space="preserve"> </w:t>
      </w:r>
      <w:r>
        <w:t xml:space="preserve">while preserving and expanding the benefits which have been achieved under the EECC.</w:t>
      </w:r>
      <w:r>
        <w:t xml:space="preserve"> </w:t>
      </w:r>
      <w:r>
        <w:t xml:space="preserve">3.4.2. Efficiency</w:t>
      </w:r>
      <w:r>
        <w:t xml:space="preserve"> </w:t>
      </w:r>
      <w:r>
        <w:t xml:space="preserve">The results of the study show that views are largely aligned between several governments and</w:t>
      </w:r>
      <w:r>
        <w:t xml:space="preserve"> </w:t>
      </w:r>
      <w:r>
        <w:t xml:space="preserve">industry stakeholders on the administrative burden of the current legislation and the need to</w:t>
      </w:r>
      <w:r>
        <w:t xml:space="preserve"> </w:t>
      </w:r>
      <w:r>
        <w:t xml:space="preserve">simplify the regulatory framework to achieve the regulatory objectives35. The governments</w:t>
      </w:r>
      <w:r>
        <w:t xml:space="preserve"> </w:t>
      </w:r>
      <w:r>
        <w:t xml:space="preserve">mention the simplification of regulation specifically to achieve the objective of the promotion</w:t>
      </w:r>
      <w:r>
        <w:t xml:space="preserve"> </w:t>
      </w:r>
      <w:r>
        <w:t xml:space="preserve">of connectivity and investment. This applies in particular to the rules related to the</w:t>
      </w:r>
      <w:r>
        <w:t xml:space="preserve"> </w:t>
      </w:r>
      <w:r>
        <w:t xml:space="preserve">deployment of VHCNs in high-cost deployment regions (e.g. rural or remote). Simplification</w:t>
      </w:r>
      <w:r>
        <w:t xml:space="preserve"> </w:t>
      </w:r>
      <w:r>
        <w:t xml:space="preserve">can also achieve effective competitiveness because some EECC obligations (e.g. reporting</w:t>
      </w:r>
      <w:r>
        <w:t xml:space="preserve"> </w:t>
      </w:r>
      <w:r>
        <w:t xml:space="preserve">obligations) do not differentiate between larger and smaller companies. It is also indicated</w:t>
      </w:r>
      <w:r>
        <w:t xml:space="preserve"> </w:t>
      </w:r>
      <w:r>
        <w:t xml:space="preserve">that simplification and alignment of rules (related to general authorisation and end-user</w:t>
      </w:r>
      <w:r>
        <w:t xml:space="preserve"> </w:t>
      </w:r>
      <w:r>
        <w:t xml:space="preserve">protection) may lead to greater harmonisation in some instances, thus contributing to the</w:t>
      </w:r>
      <w:r>
        <w:t xml:space="preserve"> </w:t>
      </w:r>
      <w:r>
        <w:t xml:space="preserve">creation of the internal market36.</w:t>
      </w:r>
      <w:r>
        <w:t xml:space="preserve"> </w:t>
      </w:r>
      <w:r>
        <w:t xml:space="preserve">3.4.3. Coherence</w:t>
      </w:r>
      <w:r>
        <w:t xml:space="preserve"> </w:t>
      </w:r>
      <w:r>
        <w:t xml:space="preserve">There is major agreement that there is no evidence of gaps in the coherence of the EECC</w:t>
      </w:r>
      <w:r>
        <w:t xml:space="preserve"> </w:t>
      </w:r>
      <w:r>
        <w:t xml:space="preserve">objectives as such. Nevertheless, several stakeholders pinpointed a few specific issues of</w:t>
      </w:r>
      <w:r>
        <w:t xml:space="preserve"> </w:t>
      </w:r>
      <w:r>
        <w:t xml:space="preserve">incoherence between the EECC, on the one hand, and Regulation (EU) 2022/1925 of the</w:t>
      </w:r>
      <w:r>
        <w:t xml:space="preserve"> </w:t>
      </w:r>
      <w:r>
        <w:t xml:space="preserve">European Parliament and of the Council of 14 September 2022 on contestable and fair</w:t>
      </w:r>
      <w:r>
        <w:t xml:space="preserve"> </w:t>
      </w:r>
      <w:r>
        <w:t xml:space="preserve">markets in the digital sector and amending Directives (EU) 2019/1937 and (EU) 2020/1828</w:t>
      </w:r>
      <w:r>
        <w:t xml:space="preserve"> </w:t>
      </w:r>
      <w:r>
        <w:t xml:space="preserve">(Digital Markets Act/DMA)37, Regulation (EU) 2022/2065 of the European Parliament and of</w:t>
      </w:r>
      <w:r>
        <w:t xml:space="preserve"> </w:t>
      </w:r>
      <w:r>
        <w:t xml:space="preserve">the Council of 19 October 2022 on a Single Market For Digital Services and amending</w:t>
      </w:r>
      <w:r>
        <w:t xml:space="preserve"> </w:t>
      </w:r>
      <w:r>
        <w:t xml:space="preserve">Directive 2000/31/EC (Digital Services Act/DSA)38 and Directive (EU) 2022/2555 of the</w:t>
      </w:r>
      <w:r>
        <w:t xml:space="preserve"> </w:t>
      </w:r>
      <w:r>
        <w:t xml:space="preserve">European Parliament and of the Council of 14 December 2022 on measures for a high</w:t>
      </w:r>
      <w:r>
        <w:t xml:space="preserve"> </w:t>
      </w:r>
      <w:r>
        <w:t xml:space="preserve">common level of cybersecurity across the Union, amending Regulation (EU) No 910/2014</w:t>
      </w:r>
      <w:r>
        <w:t xml:space="preserve"> </w:t>
      </w:r>
      <w:r>
        <w:t xml:space="preserve">and Directive (EU) 2018/1972, and repealing Directive (EU) 2016/1148 (NIS 2 Directive)39,</w:t>
      </w:r>
      <w:r>
        <w:t xml:space="preserve"> </w:t>
      </w:r>
      <w:r>
        <w:t xml:space="preserve">on the other.40</w:t>
      </w:r>
    </w:p>
    <w:p>
      <w:pPr>
        <w:pStyle w:val="BodyText"/>
      </w:pPr>
      <w:r>
        <w:t xml:space="preserve">35 Reference to 4.1.2 of the Final 1st Interim Report on Completing the DSM.</w:t>
      </w:r>
      <w:r>
        <w:t xml:space="preserve"> </w:t>
      </w:r>
      <w:r>
        <w:t xml:space="preserve">36 Reference to 4.1.2 of the Final 1st Interim Report on Completing the DSM.</w:t>
      </w:r>
      <w:r>
        <w:t xml:space="preserve"> </w:t>
      </w:r>
      <w:r>
        <w:t xml:space="preserve">37 Regulation - 2022/1925 - EN - EUR-Lex.</w:t>
      </w:r>
      <w:r>
        <w:t xml:space="preserve"> </w:t>
      </w:r>
      <w:r>
        <w:t xml:space="preserve">38 Regulation - 2022/2065 - EN - DSA - EUR-Lex.</w:t>
      </w:r>
      <w:r>
        <w:t xml:space="preserve"> </w:t>
      </w:r>
      <w:r>
        <w:t xml:space="preserve">39 Directive - 2022/2555 - EN - EUR-Lex.</w:t>
      </w:r>
      <w:r>
        <w:t xml:space="preserve"> </w:t>
      </w:r>
      <w:r>
        <w:t xml:space="preserve">40 Reference to Section 4.1.2 of the Final 1st Interim Report on Completing the DSM. Examples are related to</w:t>
      </w:r>
      <w:r>
        <w:t xml:space="preserve"> </w:t>
      </w:r>
      <w:r>
        <w:t xml:space="preserve">the difference between the EECC and DMA for the thresholds of regulatory intervention concerning NI-ICS</w:t>
      </w:r>
      <w:r>
        <w:t xml:space="preserve"> </w:t>
      </w:r>
      <w:r>
        <w:t xml:space="preserve">falling under both the EECC and under the DMA as a Core Platform Service. With regard to the DSA, a few</w:t>
      </w:r>
      <w:r>
        <w:t xml:space="preserve"> </w:t>
      </w:r>
      <w:r>
        <w:t xml:space="preserve">stakeholders found issues with the EECC. In particular, the obligation to designate a single point of contact</w:t>
      </w:r>
      <w:r>
        <w:t xml:space="preserve"> </w:t>
      </w:r>
      <w:r>
        <w:t xml:space="preserve">under Art. 11 DSA duplicates the activity notification under Art. 12 EECC. The former Art. 40 and 41 EECC</w:t>
      </w:r>
      <w:r>
        <w:t xml:space="preserve"> </w:t>
      </w:r>
      <w:r>
        <w:t xml:space="preserve">had rules tailored to the security of electronic communications networks and services, while the NIS-2</w:t>
      </w:r>
      <w:r>
        <w:t xml:space="preserve"> </w:t>
      </w:r>
      <w:r>
        <w:t xml:space="preserve">Directive repealing these provisions apply to “network and information systems” that include both ICT</w:t>
      </w:r>
      <w:r>
        <w:t xml:space="preserve"> </w:t>
      </w:r>
      <w:r>
        <w:t xml:space="preserve">networks and telecom networks.</w:t>
      </w:r>
    </w:p>
    <w:p>
      <w:pPr>
        <w:pStyle w:val="BodyText"/>
      </w:pPr>
      <w:r>
        <w:t xml:space="preserve">17</w:t>
      </w:r>
    </w:p>
    <w:p>
      <w:pPr>
        <w:pStyle w:val="BodyText"/>
      </w:pPr>
      <w:r>
        <w:t xml:space="preserve">Many stakeholders (including those who did not find any incoherence) pointed out that</w:t>
      </w:r>
      <w:r>
        <w:t xml:space="preserve"> </w:t>
      </w:r>
      <w:r>
        <w:t xml:space="preserve">inconsistencies may emerge at the transposition and application stage, especially where</w:t>
      </w:r>
      <w:r>
        <w:t xml:space="preserve"> </w:t>
      </w:r>
      <w:r>
        <w:t xml:space="preserve">different national authorities are responsible for the enforcement. All other digital legislations</w:t>
      </w:r>
      <w:r>
        <w:t xml:space="preserve"> </w:t>
      </w:r>
      <w:r>
        <w:t xml:space="preserve">are new, and there is very limited experience with transposing and applying them, which</w:t>
      </w:r>
      <w:r>
        <w:t xml:space="preserve"> </w:t>
      </w:r>
      <w:r>
        <w:t xml:space="preserve">might be the reason why so few instances of incoherence were reported. Therefore, many</w:t>
      </w:r>
      <w:r>
        <w:t xml:space="preserve"> </w:t>
      </w:r>
      <w:r>
        <w:t xml:space="preserve">governments and industry stakeholders argue that the focus of the EU should be on guiding</w:t>
      </w:r>
      <w:r>
        <w:t xml:space="preserve"> </w:t>
      </w:r>
      <w:r>
        <w:t xml:space="preserve">the transposition and application process. Several stakeholders also noted the need for more</w:t>
      </w:r>
      <w:r>
        <w:t xml:space="preserve"> </w:t>
      </w:r>
      <w:r>
        <w:t xml:space="preserve">cooperation arrangements between different authorities41.</w:t>
      </w:r>
      <w:r>
        <w:t xml:space="preserve"> </w:t>
      </w:r>
      <w:r>
        <w:t xml:space="preserve">3.4.4. Relevance</w:t>
      </w:r>
      <w:r>
        <w:t xml:space="preserve"> </w:t>
      </w:r>
      <w:r>
        <w:t xml:space="preserve">There is broad agreement that the current EECC objectives remain relevant. Nevertheless,</w:t>
      </w:r>
      <w:r>
        <w:t xml:space="preserve"> </w:t>
      </w:r>
      <w:r>
        <w:t xml:space="preserve">there were calls42 to improving implementation, ensuring better alignment with related</w:t>
      </w:r>
      <w:r>
        <w:t xml:space="preserve"> </w:t>
      </w:r>
      <w:r>
        <w:t xml:space="preserve">legislation such as the NIS 2 Directive, DMA and the Regulation (EU) 2024/1309 of the</w:t>
      </w:r>
      <w:r>
        <w:t xml:space="preserve"> </w:t>
      </w:r>
      <w:r>
        <w:t xml:space="preserve">European Parliament and of the Council of 29 April 2024 on measures to reduce the cost of</w:t>
      </w:r>
      <w:r>
        <w:t xml:space="preserve"> </w:t>
      </w:r>
      <w:r>
        <w:t xml:space="preserve">deploying gigabit electronic communications networks, amending Regulation (EU)</w:t>
      </w:r>
      <w:r>
        <w:t xml:space="preserve"> </w:t>
      </w:r>
      <w:r>
        <w:t xml:space="preserve">2015/2120 and repealing Directive 2014/61/EU (Gigabit Infrastructure Act/ GIA)43.</w:t>
      </w:r>
      <w:r>
        <w:br/>
      </w:r>
      <w:r>
        <w:t xml:space="preserve">Although it seems there is certain interest in adding resilience as a possible new objective,</w:t>
      </w:r>
      <w:r>
        <w:t xml:space="preserve"> </w:t>
      </w:r>
      <w:r>
        <w:t xml:space="preserve">there are nuances on what resilience means. Some stakeholders connected it to cybersecurity,</w:t>
      </w:r>
      <w:r>
        <w:t xml:space="preserve"> </w:t>
      </w:r>
      <w:r>
        <w:t xml:space="preserve">while others explicitly stated that it was separate from security (i.e. network resilience as</w:t>
      </w:r>
      <w:r>
        <w:t xml:space="preserve"> </w:t>
      </w:r>
      <w:r>
        <w:t xml:space="preserve">technical and organisational measures to meet risk-identified threats that can disrupt or break</w:t>
      </w:r>
      <w:r>
        <w:t xml:space="preserve"> </w:t>
      </w:r>
      <w:r>
        <w:t xml:space="preserve">the operational continuity of electronic communications networks, including the international</w:t>
      </w:r>
      <w:r>
        <w:t xml:space="preserve"> </w:t>
      </w:r>
      <w:r>
        <w:t xml:space="preserve">interconnection in case of cut off of power supply, man-made or natural catastrophes).</w:t>
      </w:r>
      <w:r>
        <w:t xml:space="preserve"> </w:t>
      </w:r>
      <w:r>
        <w:t xml:space="preserve">The views on including industrial competitiveness as a new objective in the DNA showed</w:t>
      </w:r>
      <w:r>
        <w:t xml:space="preserve"> </w:t>
      </w:r>
      <w:r>
        <w:t xml:space="preserve">some tension between interested parties, with larger industry stakeholders (incumbents,</w:t>
      </w:r>
      <w:r>
        <w:t xml:space="preserve"> </w:t>
      </w:r>
      <w:r>
        <w:t xml:space="preserve">mobile operators) supporting such new objective. The arguments in support were largely in</w:t>
      </w:r>
      <w:r>
        <w:t xml:space="preserve"> </w:t>
      </w:r>
      <w:r>
        <w:t xml:space="preserve">line with the arguments from the Draghi report44: the necessity to scale up, promote large</w:t>
      </w:r>
      <w:r>
        <w:t xml:space="preserve"> </w:t>
      </w:r>
      <w:r>
        <w:t xml:space="preserve">investments, and ensure the global competitiveness of European companies. The review of the</w:t>
      </w:r>
      <w:r>
        <w:t xml:space="preserve"> </w:t>
      </w:r>
      <w:r>
        <w:t xml:space="preserve">Horizontal Merger Guidelines is ongoing45.</w:t>
      </w:r>
      <w:r>
        <w:t xml:space="preserve"> </w:t>
      </w:r>
      <w:r>
        <w:t xml:space="preserve">Although the EECC encompasses satellite communications networks and services and</w:t>
      </w:r>
      <w:r>
        <w:t xml:space="preserve"> </w:t>
      </w:r>
      <w:r>
        <w:t xml:space="preserve">submarine cables, due to the recent technological advances, market developments and</w:t>
      </w:r>
      <w:r>
        <w:t xml:space="preserve"> </w:t>
      </w:r>
      <w:r>
        <w:t xml:space="preserve">geopolitical challenges, the issues of competition, security, resilience and technological</w:t>
      </w:r>
      <w:r>
        <w:t xml:space="preserve"> </w:t>
      </w:r>
      <w:r>
        <w:t xml:space="preserve">sovereignty regarding these networks came to the fore. While all stakeholders acknowledge</w:t>
      </w:r>
      <w:r>
        <w:t xml:space="preserve"> </w:t>
      </w:r>
      <w:r>
        <w:t xml:space="preserve">the pertinence of satellites and submarine cables to EU’s security, resilience and strategic</w:t>
      </w:r>
      <w:r>
        <w:t xml:space="preserve"> </w:t>
      </w:r>
      <w:r>
        <w:t xml:space="preserve">autonomy/technological sovereignty, stakeholders have divergent views on whether these</w:t>
      </w:r>
      <w:r>
        <w:t xml:space="preserve"> </w:t>
      </w:r>
      <w:r>
        <w:t xml:space="preserve">issues should be tackled under the EECC46. Therefore, considerations about introduction of</w:t>
      </w:r>
      <w:r>
        <w:t xml:space="preserve"> </w:t>
      </w:r>
      <w:r>
        <w:t xml:space="preserve">such new objectives should consider existing provisions in this regard in other instruments</w:t>
      </w:r>
      <w:r>
        <w:t xml:space="preserve"> </w:t>
      </w:r>
      <w:r>
        <w:t xml:space="preserve">and complement them only where necessary.</w:t>
      </w:r>
    </w:p>
    <w:p>
      <w:pPr>
        <w:pStyle w:val="BodyText"/>
      </w:pPr>
      <w:r>
        <w:t xml:space="preserve">41 Reference to Section 4.1.2 of the Final 1st Interim Report on Completing the DSM.</w:t>
      </w:r>
      <w:r>
        <w:t xml:space="preserve"> </w:t>
      </w:r>
      <w:r>
        <w:t xml:space="preserve">42 Reference in Section 4.1.5 of the Final 1st Interim Report on Completing the DSM.</w:t>
      </w:r>
      <w:r>
        <w:t xml:space="preserve"> </w:t>
      </w:r>
      <w:r>
        <w:t xml:space="preserve">43 Regulation - EU - 2024/1309 - EN - EUR-Lex.</w:t>
      </w:r>
      <w:r>
        <w:t xml:space="preserve"> </w:t>
      </w:r>
      <w:r>
        <w:t xml:space="preserve">44 Draghi, M., The Draghi report: A competitiveness strategy for Europe (Part A), 2024 as well as Draghi, M.,</w:t>
      </w:r>
      <w:r>
        <w:t xml:space="preserve"> </w:t>
      </w:r>
      <w:r>
        <w:t xml:space="preserve">The Draghi report: In-depth analysis and recommendations (Part B), 2024.</w:t>
      </w:r>
      <w:r>
        <w:br/>
      </w:r>
      <w:r>
        <w:t xml:space="preserve">45 Reference in Section 4.1.2 of the Final 1st Interim Report on Completing the DSM.</w:t>
      </w:r>
      <w:r>
        <w:t xml:space="preserve"> </w:t>
      </w:r>
      <w:r>
        <w:t xml:space="preserve">46 Reference in Section 4.1.2 of the Final 1st Interim Report on Completing the DSM.</w:t>
      </w:r>
    </w:p>
    <w:p>
      <w:pPr>
        <w:pStyle w:val="BodyText"/>
      </w:pPr>
      <w:r>
        <w:t xml:space="preserve">18</w:t>
      </w:r>
    </w:p>
    <w:p>
      <w:pPr>
        <w:pStyle w:val="BodyText"/>
      </w:pPr>
      <w:r>
        <w:t xml:space="preserve">3.4.5. EU added value</w:t>
      </w:r>
      <w:r>
        <w:t xml:space="preserve"> </w:t>
      </w:r>
      <w:r>
        <w:t xml:space="preserve">While the EECC provides a harmonised legal basis for electronic communications across the</w:t>
      </w:r>
      <w:r>
        <w:t xml:space="preserve"> </w:t>
      </w:r>
      <w:r>
        <w:t xml:space="preserve">EU, the views on its meeting connectivity and investment objectives differ. Stakeholders</w:t>
      </w:r>
      <w:r>
        <w:t xml:space="preserve"> </w:t>
      </w:r>
      <w:r>
        <w:t xml:space="preserve">broadly recognise the EECC’s role in supporting gigabit rollout through longer licence</w:t>
      </w:r>
      <w:r>
        <w:t xml:space="preserve"> </w:t>
      </w:r>
      <w:r>
        <w:t xml:space="preserve">durations, access regulation, and spectrum provisions, contributing to increasing VHCN and</w:t>
      </w:r>
      <w:r>
        <w:t xml:space="preserve"> </w:t>
      </w:r>
      <w:r>
        <w:t xml:space="preserve">5G coverage. However, still urban-rural divide persists: EU-wide 5G coverage stands at</w:t>
      </w:r>
      <w:r>
        <w:t xml:space="preserve"> </w:t>
      </w:r>
      <w:r>
        <w:t xml:space="preserve">94.3% in 2024 which is comparable to the 97% estimated coverage in the US and 95% in</w:t>
      </w:r>
      <w:r>
        <w:t xml:space="preserve"> </w:t>
      </w:r>
      <w:r>
        <w:t xml:space="preserve">China and India. Rural 5G coverage in the EU and in the US are comparable with the EU at</w:t>
      </w:r>
      <w:r>
        <w:t xml:space="preserve"> </w:t>
      </w:r>
      <w:r>
        <w:t xml:space="preserve">79.6% and the US at 82%. Both regions have lower rural coverage compared to China (85.2%</w:t>
      </w:r>
      <w:r>
        <w:t xml:space="preserve"> </w:t>
      </w:r>
      <w:r>
        <w:t xml:space="preserve">estimated) and India, which leads with 92.1% rural coverage. This gap is attributed to</w:t>
      </w:r>
      <w:r>
        <w:t xml:space="preserve"> </w:t>
      </w:r>
      <w:r>
        <w:t xml:space="preserve">spectrum assignment delays, low rural investment returns, and planning barriers. European</w:t>
      </w:r>
      <w:r>
        <w:t xml:space="preserve"> </w:t>
      </w:r>
      <w:r>
        <w:t xml:space="preserve">telecom operators also lag global peers in 5G Standalone availability, small cell deployment,</w:t>
      </w:r>
      <w:r>
        <w:t xml:space="preserve"> </w:t>
      </w:r>
      <w:r>
        <w:t xml:space="preserve">and capital intensity. On the other hand, in view of stakeholders, consumer benefits under the</w:t>
      </w:r>
      <w:r>
        <w:t xml:space="preserve"> </w:t>
      </w:r>
      <w:r>
        <w:t xml:space="preserve">EECC have generally improved, with wider service availability, better quality, and</w:t>
      </w:r>
      <w:r>
        <w:t xml:space="preserve"> </w:t>
      </w:r>
      <w:r>
        <w:t xml:space="preserve">competitive pricing47.</w:t>
      </w:r>
      <w:r>
        <w:t xml:space="preserve"> </w:t>
      </w:r>
      <w:r>
        <w:t xml:space="preserve">In view of the wide range of assessments, it will be important to balance any new proposals</w:t>
      </w:r>
      <w:r>
        <w:t xml:space="preserve"> </w:t>
      </w:r>
      <w:r>
        <w:t xml:space="preserve">under the Commission’s DNA initiative carefully, to address new challenges appropriately</w:t>
      </w:r>
      <w:r>
        <w:t xml:space="preserve"> </w:t>
      </w:r>
      <w:r>
        <w:t xml:space="preserve">while catching up the delays in achieving the digital decade connectivity targets and at the</w:t>
      </w:r>
      <w:r>
        <w:t xml:space="preserve"> </w:t>
      </w:r>
      <w:r>
        <w:t xml:space="preserve">same time, preserving and expanding the benefits which have been achieved under the EECC.</w:t>
      </w:r>
      <w:r>
        <w:br/>
      </w:r>
      <w:r>
        <w:t xml:space="preserve">The evaluation, on the background of a challenging geopolitical dynamics and climate</w:t>
      </w:r>
      <w:r>
        <w:t xml:space="preserve"> </w:t>
      </w:r>
      <w:r>
        <w:t xml:space="preserve">change, revealed the need for some rebalancing of objectives, in the sense of prioritising all</w:t>
      </w:r>
      <w:r>
        <w:t xml:space="preserve"> </w:t>
      </w:r>
      <w:r>
        <w:t xml:space="preserve">dimensions of connectivity (investment, demand), including in green networks, to foster</w:t>
      </w:r>
      <w:r>
        <w:t xml:space="preserve"> </w:t>
      </w:r>
      <w:r>
        <w:t xml:space="preserve">enhanced competitiveness for innovation in advanced infrastructures and services, and to</w:t>
      </w:r>
      <w:r>
        <w:t xml:space="preserve"> </w:t>
      </w:r>
      <w:r>
        <w:t xml:space="preserve">strengthen infrastructure security and resilience. Given the rapid evolution of electronic</w:t>
      </w:r>
      <w:r>
        <w:t xml:space="preserve"> </w:t>
      </w:r>
      <w:r>
        <w:t xml:space="preserve">communications services and their use, high level of consumer protection and competition</w:t>
      </w:r>
      <w:r>
        <w:t xml:space="preserve"> </w:t>
      </w:r>
      <w:r>
        <w:t xml:space="preserve">remain important, while single market dimension of electronic communications needs to be</w:t>
      </w:r>
      <w:r>
        <w:t xml:space="preserve"> </w:t>
      </w:r>
      <w:r>
        <w:t xml:space="preserve">reinforced.</w:t>
      </w:r>
      <w:r>
        <w:t xml:space="preserve"> </w:t>
      </w:r>
      <w:r>
        <w:t xml:space="preserve">3.5. Scope and level playing field</w:t>
      </w:r>
      <w:r>
        <w:t xml:space="preserve"> </w:t>
      </w:r>
      <w:r>
        <w:t xml:space="preserve">The EECC introduced an extension of the scope of legislation reflecting the considerable</w:t>
      </w:r>
      <w:r>
        <w:t xml:space="preserve"> </w:t>
      </w:r>
      <w:r>
        <w:t xml:space="preserve">evolution of communication services and the technical means of their delivery resulting in the</w:t>
      </w:r>
      <w:r>
        <w:t xml:space="preserve"> </w:t>
      </w:r>
      <w:r>
        <w:t xml:space="preserve">inclusion of the number-independent interpersonal communication services (NI-ICS).</w:t>
      </w:r>
      <w:r>
        <w:t xml:space="preserve"> </w:t>
      </w:r>
      <w:r>
        <w:t xml:space="preserve">Interpersonal communications services that constitute a minor ancillary feature intrinsically</w:t>
      </w:r>
      <w:r>
        <w:t xml:space="preserve"> </w:t>
      </w:r>
      <w:r>
        <w:t xml:space="preserve">linked to another service (e.g. chats in online games, comment sections on e-commerce</w:t>
      </w:r>
      <w:r>
        <w:t xml:space="preserve"> </w:t>
      </w:r>
      <w:r>
        <w:t xml:space="preserve">websites) are excluded from the scope of the EECC. Like in the previous framework, the</w:t>
      </w:r>
      <w:r>
        <w:t xml:space="preserve"> </w:t>
      </w:r>
      <w:r>
        <w:t xml:space="preserve">EECC does not cover the content of services delivered over electronic communications</w:t>
      </w:r>
      <w:r>
        <w:t xml:space="preserve"> </w:t>
      </w:r>
      <w:r>
        <w:t xml:space="preserve">networks using ECS such as broadcasting content and financial services. The extended scope</w:t>
      </w:r>
      <w:r>
        <w:t xml:space="preserve"> </w:t>
      </w:r>
      <w:r>
        <w:t xml:space="preserve">of ECS also covers transmission services used for the provision of machine-to-machine</w:t>
      </w:r>
      <w:r>
        <w:t xml:space="preserve"> </w:t>
      </w:r>
      <w:r>
        <w:t xml:space="preserve">services which reflects the development of the Internet of Things and connected objects.</w:t>
      </w:r>
      <w:r>
        <w:t xml:space="preserve"> </w:t>
      </w:r>
      <w:r>
        <w:t xml:space="preserve">The extension of the scope of the legal framework aimed at greater levelling of the playing</w:t>
      </w:r>
      <w:r>
        <w:t xml:space="preserve"> </w:t>
      </w:r>
      <w:r>
        <w:t xml:space="preserve">field between traditional telecom services which are number-based (NB-ICS) providers and</w:t>
      </w:r>
      <w:r>
        <w:t xml:space="preserve"> </w:t>
      </w:r>
      <w:r>
        <w:t xml:space="preserve">NI-ICS providers. However, NI-ICS providers still enjoy a lighter regulatory regime48. For</w:t>
      </w:r>
      <w:r>
        <w:t xml:space="preserve"> </w:t>
      </w:r>
      <w:r>
        <w:t xml:space="preserve">instance, NI-ICS are explicitly exempted from the scope of the general authorisation regime</w:t>
      </w:r>
    </w:p>
    <w:p>
      <w:pPr>
        <w:pStyle w:val="BodyText"/>
      </w:pPr>
      <w:r>
        <w:t xml:space="preserve">47 Reference in Section 4.1.5 of the Final 1st Interim Report on Completing the DSM.</w:t>
      </w:r>
      <w:r>
        <w:t xml:space="preserve"> </w:t>
      </w:r>
      <w:r>
        <w:t xml:space="preserve">48 Reference in Section 3.1.1 from the Final 1st Interim Report on Completing the DSM.</w:t>
      </w:r>
    </w:p>
    <w:p>
      <w:pPr>
        <w:pStyle w:val="BodyText"/>
      </w:pPr>
      <w:r>
        <w:t xml:space="preserve">19</w:t>
      </w:r>
    </w:p>
    <w:p>
      <w:pPr>
        <w:pStyle w:val="BodyText"/>
      </w:pPr>
      <w:r>
        <w:t xml:space="preserve">in Art. 12 EECC. Nevertheless, NI-ICS providers may be subject to some lighter EECC</w:t>
      </w:r>
      <w:r>
        <w:t xml:space="preserve"> </w:t>
      </w:r>
      <w:r>
        <w:t xml:space="preserve">obligations like providing NRAs, other competent authorities and BEREC the information</w:t>
      </w:r>
      <w:r>
        <w:t xml:space="preserve"> </w:t>
      </w:r>
      <w:r>
        <w:t xml:space="preserve">that may be necessary for the fulfilment of their tasks (Article 20 EECC), in the same way as</w:t>
      </w:r>
      <w:r>
        <w:t xml:space="preserve"> </w:t>
      </w:r>
      <w:r>
        <w:t xml:space="preserve">NB-ICS providers.</w:t>
      </w:r>
      <w:r>
        <w:br/>
      </w:r>
      <w:r>
        <w:t xml:space="preserve">Since the adoption of the EECC, the rapid evolution of technology has continued, and certain</w:t>
      </w:r>
      <w:r>
        <w:t xml:space="preserve"> </w:t>
      </w:r>
      <w:r>
        <w:t xml:space="preserve">convergence trends have emerged gradually. As a result, the boundaries of ECN/S and cloud</w:t>
      </w:r>
      <w:r>
        <w:t xml:space="preserve"> </w:t>
      </w:r>
      <w:r>
        <w:t xml:space="preserve">computing become increasingly blurring. In this regard, BEREC in its Report on Cloud and</w:t>
      </w:r>
      <w:r>
        <w:t xml:space="preserve"> </w:t>
      </w:r>
      <w:r>
        <w:t xml:space="preserve">Edge Computing Services shares the view that the EECC scope (Art. 2 (4) on definitions)</w:t>
      </w:r>
      <w:r>
        <w:t xml:space="preserve"> </w:t>
      </w:r>
      <w:r>
        <w:t xml:space="preserve">covers already cloud-based services such as NB-ICS (e.g., Amazon Connect) and NI-ICS</w:t>
      </w:r>
      <w:r>
        <w:t xml:space="preserve"> </w:t>
      </w:r>
      <w:r>
        <w:t xml:space="preserve">(e.g., Microsoft Teams).49 This could possibly encompass new edge computing services and</w:t>
      </w:r>
      <w:r>
        <w:t xml:space="preserve"> </w:t>
      </w:r>
      <w:r>
        <w:t xml:space="preserve">cloud-based networks services for transport connectivity and network related capabilities</w:t>
      </w:r>
      <w:r>
        <w:t xml:space="preserve"> </w:t>
      </w:r>
      <w:r>
        <w:t xml:space="preserve">which include conveyance of signals such as Network as a Service (NaaS).</w:t>
      </w:r>
      <w:r>
        <w:t xml:space="preserve"> </w:t>
      </w:r>
      <w:r>
        <w:t xml:space="preserve">As regards the interconnection, the EECC did not change the previous framework in terms of</w:t>
      </w:r>
      <w:r>
        <w:t xml:space="preserve"> </w:t>
      </w:r>
      <w:r>
        <w:t xml:space="preserve">scope of involved undertakings and kept the right and, when requested by other undertakings</w:t>
      </w:r>
      <w:r>
        <w:t xml:space="preserve"> </w:t>
      </w:r>
      <w:r>
        <w:t xml:space="preserve">under the general authorisation, the obligation to negotiate interconnection with each other,</w:t>
      </w:r>
      <w:r>
        <w:t xml:space="preserve"> </w:t>
      </w:r>
      <w:r>
        <w:t xml:space="preserve">limited to providers of public ECNs only. Other providers of non-public ECNs providing</w:t>
      </w:r>
      <w:r>
        <w:t xml:space="preserve"> </w:t>
      </w:r>
      <w:r>
        <w:t xml:space="preserve">backbone infrastructure/networks are not covered by the interconnection provisions. Given</w:t>
      </w:r>
      <w:r>
        <w:t xml:space="preserve"> </w:t>
      </w:r>
      <w:r>
        <w:t xml:space="preserve">that NI-ICS are a type of ECS, the provisions on dispute resolution in the EECC, both at the</w:t>
      </w:r>
      <w:r>
        <w:t xml:space="preserve"> </w:t>
      </w:r>
      <w:r>
        <w:t xml:space="preserve">retail and wholesale levels, apply to this category of players (Article 25 and 26 EECC).</w:t>
      </w:r>
      <w:r>
        <w:t xml:space="preserve"> </w:t>
      </w:r>
      <w:r>
        <w:t xml:space="preserve">Compared to the previous framework, the dispute resolution provision is limited to disputes</w:t>
      </w:r>
      <w:r>
        <w:t xml:space="preserve"> </w:t>
      </w:r>
      <w:r>
        <w:t xml:space="preserve">arising between providers with respect to their obligations under the EECC. In this context,</w:t>
      </w:r>
      <w:r>
        <w:t xml:space="preserve"> </w:t>
      </w:r>
      <w:r>
        <w:t xml:space="preserve">Articles 60-61 EECC regulating interconnection are relevant. Article 60 EECC requires that</w:t>
      </w:r>
      <w:r>
        <w:t xml:space="preserve"> </w:t>
      </w:r>
      <w:r>
        <w:t xml:space="preserve">operators of public ECNs, (not the non-public ECNs,) negotiate interconnection for providing</w:t>
      </w:r>
      <w:r>
        <w:t xml:space="preserve"> </w:t>
      </w:r>
      <w:r>
        <w:t xml:space="preserve">services and offer access and interconnection on terms set by NRAs.</w:t>
      </w:r>
      <w:r>
        <w:t xml:space="preserve"> </w:t>
      </w:r>
      <w:r>
        <w:t xml:space="preserve">Furthermore, a CAP such as Liberty Global can be viewed as a public ECN provider because</w:t>
      </w:r>
      <w:r>
        <w:t xml:space="preserve"> </w:t>
      </w:r>
      <w:r>
        <w:t xml:space="preserve">it serves substantial numbers of end-user customers but also as a CAP due to the provision of</w:t>
      </w:r>
      <w:r>
        <w:t xml:space="preserve"> </w:t>
      </w:r>
      <w:r>
        <w:t xml:space="preserve">entertainment content. Similarly, certain activities of a company like Alphabet are considered</w:t>
      </w:r>
      <w:r>
        <w:t xml:space="preserve"> </w:t>
      </w:r>
      <w:r>
        <w:t xml:space="preserve">content provision services (video streaming services) and do not fall under the EECC.</w:t>
      </w:r>
      <w:r>
        <w:t xml:space="preserve"> </w:t>
      </w:r>
      <w:r>
        <w:t xml:space="preserve">Furthermore, even though Alphabet operates one of the largest IP-based networks in the</w:t>
      </w:r>
      <w:r>
        <w:t xml:space="preserve"> </w:t>
      </w:r>
      <w:r>
        <w:t xml:space="preserve">world, because it does not provide network access to end-users in the EU, it also does not fall</w:t>
      </w:r>
      <w:r>
        <w:t xml:space="preserve"> </w:t>
      </w:r>
      <w:r>
        <w:t xml:space="preserve">under the scope of Art. 60 as the network is not public50.</w:t>
      </w:r>
      <w:r>
        <w:br/>
      </w:r>
      <w:r>
        <w:t xml:space="preserve">NI-ICS are not, in principle, obliged by the EECC to make their services interoperable.</w:t>
      </w:r>
      <w:r>
        <w:t xml:space="preserve"> </w:t>
      </w:r>
      <w:r>
        <w:t xml:space="preserve">However, such an obligation can be imposed when end-to-end connectivity between end-</w:t>
      </w:r>
      <w:r>
        <w:t xml:space="preserve"> </w:t>
      </w:r>
      <w:r>
        <w:t xml:space="preserve">users is endangered due to a lack of sufficient interoperability, and only on NI-ICS with a</w:t>
      </w:r>
      <w:r>
        <w:t xml:space="preserve"> </w:t>
      </w:r>
      <w:r>
        <w:t xml:space="preserve">significant level of coverage and user uptake. In this regard, Article 61(2)(c) EECC sets out</w:t>
      </w:r>
      <w:r>
        <w:t xml:space="preserve"> </w:t>
      </w:r>
      <w:r>
        <w:t xml:space="preserve">the criteria under which interoperability could be mandated in relation to NI-ICS. The latter</w:t>
      </w:r>
      <w:r>
        <w:t xml:space="preserve"> </w:t>
      </w:r>
      <w:r>
        <w:t xml:space="preserve">may be subject to both the EECC and DMA. The regimes of the two legislations can be</w:t>
      </w:r>
      <w:r>
        <w:t xml:space="preserve"> </w:t>
      </w:r>
      <w:r>
        <w:t xml:space="preserve">considered complementary. The EECC aims to ensure competition in the markets for</w:t>
      </w:r>
      <w:r>
        <w:t xml:space="preserve"> </w:t>
      </w:r>
      <w:r>
        <w:t xml:space="preserve">electronic communications, while the DMA ensures contestability and fairness in digital</w:t>
      </w:r>
      <w:r>
        <w:t xml:space="preserve"> </w:t>
      </w:r>
      <w:r>
        <w:t xml:space="preserve">services markets by curbing the power of gatekeepers.51 Article 61 EECC empowers NRAs to</w:t>
      </w:r>
    </w:p>
    <w:p>
      <w:pPr>
        <w:pStyle w:val="BodyText"/>
      </w:pPr>
      <w:r>
        <w:t xml:space="preserve">49 BEREC Report on Cloud and Edge Computing Services - https://www.berec.europa.eu/system/files/2024-</w:t>
      </w:r>
      <w:r>
        <w:t xml:space="preserve"> </w:t>
      </w:r>
      <w:r>
        <w:t xml:space="preserve">10/BoR%20%2824%29%20136_BEREC%20Report%20on%20Cloud%20and%20Edge%20Computing%2</w:t>
      </w:r>
      <w:r>
        <w:t xml:space="preserve"> </w:t>
      </w:r>
      <w:r>
        <w:t xml:space="preserve">0Services.pdf</w:t>
      </w:r>
      <w:r>
        <w:t xml:space="preserve"> </w:t>
      </w:r>
      <w:r>
        <w:t xml:space="preserve">50 Reference to Section 3.1.1. in the Final 1st Interim Report on Completing the DSM.</w:t>
      </w:r>
      <w:r>
        <w:t xml:space="preserve"> </w:t>
      </w:r>
      <w:r>
        <w:t xml:space="preserve">51 See also BEREC (2021). Report on the interplay between the EECC and the EC’s proposal for a Digital</w:t>
      </w:r>
      <w:r>
        <w:t xml:space="preserve"> </w:t>
      </w:r>
      <w:r>
        <w:t xml:space="preserve">Markets Act concerning number-independent interpersonal communication services, BoR(21) 85:</w:t>
      </w:r>
    </w:p>
    <w:p>
      <w:pPr>
        <w:pStyle w:val="BodyText"/>
      </w:pPr>
      <w:r>
        <w:t xml:space="preserve">20</w:t>
      </w:r>
    </w:p>
    <w:p>
      <w:pPr>
        <w:pStyle w:val="BodyText"/>
      </w:pPr>
      <w:r>
        <w:t xml:space="preserve">impose obligations on service providers to ensure end-to-end connectivity and</w:t>
      </w:r>
      <w:r>
        <w:t xml:space="preserve"> </w:t>
      </w:r>
      <w:r>
        <w:t xml:space="preserve">interoperability, particularly on those with SMP. NRAs may require access to infrastructure</w:t>
      </w:r>
      <w:r>
        <w:t xml:space="preserve"> </w:t>
      </w:r>
      <w:r>
        <w:t xml:space="preserve">within buildings when replication is impractical. According to BEREC, there does not seem to</w:t>
      </w:r>
      <w:r>
        <w:t xml:space="preserve"> </w:t>
      </w:r>
      <w:r>
        <w:t xml:space="preserve">be sufficient practice in enforcement of Art. 61(2)(c) EECC.52 However, the evaluation</w:t>
      </w:r>
      <w:r>
        <w:t xml:space="preserve"> </w:t>
      </w:r>
      <w:r>
        <w:t xml:space="preserve">confirmed that the threshold for regulatory intervention under the EECC seemed to be higher</w:t>
      </w:r>
      <w:r>
        <w:t xml:space="preserve"> </w:t>
      </w:r>
      <w:r>
        <w:t xml:space="preserve">than the one under the DMA53.</w:t>
      </w:r>
      <w:r>
        <w:br/>
      </w:r>
      <w:r>
        <w:t xml:space="preserve">Some EECC provisions pertaining to end-user rights also apply to NI-ICS e.g., information</w:t>
      </w:r>
      <w:r>
        <w:t xml:space="preserve"> </w:t>
      </w:r>
      <w:r>
        <w:t xml:space="preserve">requirements including the contract summary (Art. 102 EECC), possibility to impose the</w:t>
      </w:r>
      <w:r>
        <w:t xml:space="preserve"> </w:t>
      </w:r>
      <w:r>
        <w:t xml:space="preserve">requirement to contribute to financing the universal service by sharing the net cost of</w:t>
      </w:r>
      <w:r>
        <w:t xml:space="preserve"> </w:t>
      </w:r>
      <w:r>
        <w:t xml:space="preserve">universal service obligations between providers of electronic communications networks and</w:t>
      </w:r>
      <w:r>
        <w:t xml:space="preserve"> </w:t>
      </w:r>
      <w:r>
        <w:t xml:space="preserve">services (Art. 90 EECC)54, non-discrimination (Art. 99 EECC), transparency obligations</w:t>
      </w:r>
      <w:r>
        <w:t xml:space="preserve"> </w:t>
      </w:r>
      <w:r>
        <w:t xml:space="preserve">including information obligations related to quality of service under (Art. 103 EECC).</w:t>
      </w:r>
      <w:r>
        <w:t xml:space="preserve"> </w:t>
      </w:r>
      <w:r>
        <w:t xml:space="preserve">According to BEREC access to the European emergency communication number 112 is</w:t>
      </w:r>
      <w:r>
        <w:t xml:space="preserve"> </w:t>
      </w:r>
      <w:r>
        <w:t xml:space="preserve">solely defined as an NB-ICS, in Articles 109(1) and 109(2) of the EECC. This has led to</w:t>
      </w:r>
      <w:r>
        <w:t xml:space="preserve"> </w:t>
      </w:r>
      <w:r>
        <w:t xml:space="preserve">different views on whether equivalent access solutions under Article 109(5) could be provided</w:t>
      </w:r>
      <w:r>
        <w:t xml:space="preserve"> </w:t>
      </w:r>
      <w:r>
        <w:t xml:space="preserve">by NI-ICS, potentially causing inconsistencies and challenges across Member States which</w:t>
      </w:r>
      <w:r>
        <w:t xml:space="preserve"> </w:t>
      </w:r>
      <w:r>
        <w:t xml:space="preserve">undermines the effectiveness of the measure. However, in the event of major accidents or</w:t>
      </w:r>
      <w:r>
        <w:t xml:space="preserve"> </w:t>
      </w:r>
      <w:r>
        <w:t xml:space="preserve">natural disasters, BEREC considers that operators must grant the continuous transmission of</w:t>
      </w:r>
      <w:r>
        <w:t xml:space="preserve"> </w:t>
      </w:r>
      <w:r>
        <w:t xml:space="preserve">messages and notifications, taking all necessary measures to ensure uninterrupted access to all</w:t>
      </w:r>
      <w:r>
        <w:t xml:space="preserve"> </w:t>
      </w:r>
      <w:r>
        <w:t xml:space="preserve">emergency service numbers and considering the increased use of NI-ICS.</w:t>
      </w:r>
      <w:r>
        <w:t xml:space="preserve"> </w:t>
      </w:r>
      <w:r>
        <w:t xml:space="preserve">To improve interoperability, freedom of choice for users and to encourage interconnectivity in</w:t>
      </w:r>
      <w:r>
        <w:t xml:space="preserve"> </w:t>
      </w:r>
      <w:r>
        <w:t xml:space="preserve">the internal market, Article 39 EECC provides that the European Commission may request</w:t>
      </w:r>
      <w:r>
        <w:t xml:space="preserve"> </w:t>
      </w:r>
      <w:r>
        <w:t xml:space="preserve">(and Member States may encourage) that standards be drawn up to ensure interoperability of</w:t>
      </w:r>
      <w:r>
        <w:t xml:space="preserve"> </w:t>
      </w:r>
      <w:r>
        <w:t xml:space="preserve">services and end-to-end connectivity, among other aims. Furthermore, voluntary use of</w:t>
      </w:r>
      <w:r>
        <w:t xml:space="preserve"> </w:t>
      </w:r>
      <w:r>
        <w:t xml:space="preserve">standards included in a list established by the Commission is to be encouraged by Member</w:t>
      </w:r>
      <w:r>
        <w:t xml:space="preserve"> </w:t>
      </w:r>
      <w:r>
        <w:t xml:space="preserve">States. In the case that existing standards have not been adequately implemented so that</w:t>
      </w:r>
      <w:r>
        <w:t xml:space="preserve"> </w:t>
      </w:r>
      <w:r>
        <w:t xml:space="preserve">interoperability of services in one or more Member States cannot be ensured, the EC, by</w:t>
      </w:r>
      <w:r>
        <w:t xml:space="preserve"> </w:t>
      </w:r>
      <w:r>
        <w:t xml:space="preserve">means of including mandatory standards in the list, can make the implementation of such</w:t>
      </w:r>
      <w:r>
        <w:t xml:space="preserve"> </w:t>
      </w:r>
      <w:r>
        <w:t xml:space="preserve">standards or specifications compulsory where this is strictly necessary to ensure</w:t>
      </w:r>
      <w:r>
        <w:t xml:space="preserve"> </w:t>
      </w:r>
      <w:r>
        <w:t xml:space="preserve">interoperability and to improve freedom of choice for users. The list of voluntary standards</w:t>
      </w:r>
      <w:r>
        <w:t xml:space="preserve"> </w:t>
      </w:r>
      <w:r>
        <w:t xml:space="preserve">had not been changed over the reporting period and is still considered to be relevant. The</w:t>
      </w:r>
      <w:r>
        <w:t xml:space="preserve"> </w:t>
      </w:r>
      <w:r>
        <w:t xml:space="preserve">Commission has never used its competence to make the use of standards mandatory under this</w:t>
      </w:r>
      <w:r>
        <w:t xml:space="preserve"> </w:t>
      </w:r>
      <w:r>
        <w:t xml:space="preserve">provisions which is still considered necessary as a measure of last resort.</w:t>
      </w:r>
      <w:r>
        <w:t xml:space="preserve"> </w:t>
      </w:r>
      <w:r>
        <w:t xml:space="preserve">The EECC security related articles (Art. 40 and Art. 41) were repealed by the NIS 2 Directive</w:t>
      </w:r>
      <w:r>
        <w:t xml:space="preserve"> </w:t>
      </w:r>
      <w:r>
        <w:t xml:space="preserve">in October 2024. According to this directive and in terms of reporting obligations, the</w:t>
      </w:r>
      <w:r>
        <w:t xml:space="preserve"> </w:t>
      </w:r>
      <w:r>
        <w:t xml:space="preserve">principle of country of destination applies only to public ECNs and to all ECS while the</w:t>
      </w:r>
      <w:r>
        <w:t xml:space="preserve"> </w:t>
      </w:r>
      <w:r>
        <w:t xml:space="preserve">principle of the “country of main establishment” is applicable to all other digital entities in the</w:t>
      </w:r>
      <w:r>
        <w:t xml:space="preserve"> </w:t>
      </w:r>
      <w:r>
        <w:t xml:space="preserve">scope of NIS 2 Directive. This implies obligations of public ECNs and of ECS to at least</w:t>
      </w:r>
      <w:r>
        <w:t xml:space="preserve"> </w:t>
      </w:r>
      <w:r>
        <w:t xml:space="preserve">report to national authorities subject to national rules in 27 Member States in the event of</w:t>
      </w:r>
      <w:r>
        <w:t xml:space="preserve"> </w:t>
      </w:r>
      <w:r>
        <w:t xml:space="preserve">significant cyber incidents. The study results confirm that different Member States still have</w:t>
      </w:r>
    </w:p>
    <w:p>
      <w:pPr>
        <w:pStyle w:val="BodyText"/>
      </w:pPr>
      <w:r>
        <w:t xml:space="preserve">https://www.berec.europa.eu/sites/default/files/files/document_register_store/2021/6/BoR_(21)</w:t>
      </w:r>
      <w:r>
        <w:rPr>
          <w:i/>
          <w:iCs/>
        </w:rPr>
        <w:t xml:space="preserve">85_Report</w:t>
      </w:r>
      <w:r>
        <w:t xml:space="preserve"> </w:t>
      </w:r>
      <w:r>
        <w:t xml:space="preserve">on_the_interplay_EECC-DMA_on_NI-ICS_-</w:t>
      </w:r>
      <w:r>
        <w:rPr>
          <w:i/>
          <w:iCs/>
        </w:rPr>
        <w:t xml:space="preserve">Clean</w:t>
      </w:r>
      <w:r>
        <w:t xml:space="preserve">(final).pdf.</w:t>
      </w:r>
      <w:r>
        <w:br/>
      </w:r>
      <w:r>
        <w:t xml:space="preserve">52 BEREC Report on Interoperability of NIICS - | BEREC.</w:t>
      </w:r>
      <w:r>
        <w:t xml:space="preserve"> </w:t>
      </w:r>
      <w:r>
        <w:t xml:space="preserve">53 Reference to Section 4.1.2 of the Final 1st Interim Report on Completing the DSM.</w:t>
      </w:r>
      <w:r>
        <w:t xml:space="preserve"> </w:t>
      </w:r>
      <w:r>
        <w:t xml:space="preserve">54 Reference to Section 5.2.5.1 of the draft WIK-Consult - EY Study on USO.</w:t>
      </w:r>
    </w:p>
    <w:p>
      <w:pPr>
        <w:pStyle w:val="BodyText"/>
      </w:pPr>
      <w:r>
        <w:t xml:space="preserve">21</w:t>
      </w:r>
    </w:p>
    <w:p>
      <w:pPr>
        <w:pStyle w:val="BodyText"/>
      </w:pPr>
      <w:r>
        <w:t xml:space="preserve">different approaches, regulations and standards related to the cybersecurity of electronic</w:t>
      </w:r>
      <w:r>
        <w:t xml:space="preserve"> </w:t>
      </w:r>
      <w:r>
        <w:t xml:space="preserve">communications, which requires harmonisation55.</w:t>
      </w:r>
      <w:r>
        <w:t xml:space="preserve"> </w:t>
      </w:r>
      <w:r>
        <w:t xml:space="preserve">3.5.1. Effectiveness</w:t>
      </w:r>
      <w:r>
        <w:t xml:space="preserve"> </w:t>
      </w:r>
      <w:r>
        <w:t xml:space="preserve">The extended EECC scope proved to be effective in terms of covered networks, but it also</w:t>
      </w:r>
      <w:r>
        <w:t xml:space="preserve"> </w:t>
      </w:r>
      <w:r>
        <w:t xml:space="preserve">showed that the flexibility posed challenges in regulation. In this regard, the level of</w:t>
      </w:r>
      <w:r>
        <w:t xml:space="preserve"> </w:t>
      </w:r>
      <w:r>
        <w:t xml:space="preserve">regulation remains differentiated which results in a fragmented approach and divergent</w:t>
      </w:r>
      <w:r>
        <w:t xml:space="preserve"> </w:t>
      </w:r>
      <w:r>
        <w:t xml:space="preserve">solutions in addressing various issues effectively. For example, under the EECC, regulatory</w:t>
      </w:r>
      <w:r>
        <w:t xml:space="preserve"> </w:t>
      </w:r>
      <w:r>
        <w:t xml:space="preserve">remedies for submarine cables owned by public ECNs providers include access obligations,</w:t>
      </w:r>
      <w:r>
        <w:t xml:space="preserve"> </w:t>
      </w:r>
      <w:r>
        <w:t xml:space="preserve">transparency measures and price control56. Submarine cable systems operated by content and</w:t>
      </w:r>
      <w:r>
        <w:t xml:space="preserve"> </w:t>
      </w:r>
      <w:r>
        <w:t xml:space="preserve">application providers (CAPs) are considered as non-public networks and as a result, are</w:t>
      </w:r>
      <w:r>
        <w:t xml:space="preserve"> </w:t>
      </w:r>
      <w:r>
        <w:t xml:space="preserve">subject to general authorisation regime only in 4 MS and the national legislation on access</w:t>
      </w:r>
      <w:r>
        <w:t xml:space="preserve"> </w:t>
      </w:r>
      <w:r>
        <w:t xml:space="preserve">and interconnection does not apply to non-public ECNs in at least 16 MS57.</w:t>
      </w:r>
      <w:r>
        <w:br/>
      </w:r>
      <w:r>
        <w:t xml:space="preserve">Furthermore, regarding the effectiveness of the scope, a differentiated treatment in imposing</w:t>
      </w:r>
      <w:r>
        <w:t xml:space="preserve"> </w:t>
      </w:r>
      <w:r>
        <w:t xml:space="preserve">NI-ICS’ requirements was also observed. In this regard, in its submission to the European</w:t>
      </w:r>
      <w:r>
        <w:t xml:space="preserve"> </w:t>
      </w:r>
      <w:r>
        <w:t xml:space="preserve">Commission’s White Paper on “How to master Europe’s digital infrastructure needs”</w:t>
      </w:r>
      <w:r>
        <w:t xml:space="preserve"> </w:t>
      </w:r>
      <w:r>
        <w:t xml:space="preserve">published on 21 February 2024, BEREC declared some openness towards analysing the</w:t>
      </w:r>
      <w:r>
        <w:t xml:space="preserve"> </w:t>
      </w:r>
      <w:r>
        <w:t xml:space="preserve">position of NI-ICS providers on the market58.</w:t>
      </w:r>
      <w:r>
        <w:br/>
      </w:r>
      <w:r>
        <w:t xml:space="preserve">In addition, the fact that some cloud-based services (e.g., NI-ICS) already fall also under the</w:t>
      </w:r>
      <w:r>
        <w:t xml:space="preserve"> </w:t>
      </w:r>
      <w:r>
        <w:t xml:space="preserve">definition of Article 2 of the EECC and, thus, are at the same time ECN/S for certain types of</w:t>
      </w:r>
      <w:r>
        <w:t xml:space="preserve"> </w:t>
      </w:r>
      <w:r>
        <w:t xml:space="preserve">services, requires their compliance with the electronic communications’ regulatory framework</w:t>
      </w:r>
      <w:r>
        <w:t xml:space="preserve"> </w:t>
      </w:r>
      <w:r>
        <w:t xml:space="preserve">preceded by identification of the applicable legal requirements for levelling the playing field.</w:t>
      </w:r>
      <w:r>
        <w:t xml:space="preserve"> </w:t>
      </w:r>
      <w:r>
        <w:t xml:space="preserve">In this regard, a clear delineation with the EU cloud acquis is needed for ensuring coherence</w:t>
      </w:r>
      <w:r>
        <w:t xml:space="preserve"> </w:t>
      </w:r>
      <w:r>
        <w:t xml:space="preserve">between the acts.</w:t>
      </w:r>
      <w:r>
        <w:t xml:space="preserve"> </w:t>
      </w:r>
      <w:r>
        <w:t xml:space="preserve">Concerning the functioning of relationships between various interconnecting networks, as</w:t>
      </w:r>
      <w:r>
        <w:t xml:space="preserve"> </w:t>
      </w:r>
      <w:r>
        <w:t xml:space="preserve">quantitative data on effectiveness of competition is not available, for qualitative assessment</w:t>
      </w:r>
      <w:r>
        <w:t xml:space="preserve"> </w:t>
      </w:r>
      <w:r>
        <w:t xml:space="preserve">we note polarised stakeholder positions, among others of those expressed in response to the</w:t>
      </w:r>
      <w:r>
        <w:t xml:space="preserve"> </w:t>
      </w:r>
      <w:r>
        <w:t xml:space="preserve">White Paper. According to a certain number of stakeholders and BEREC in its 2024 Report</w:t>
      </w:r>
      <w:r>
        <w:t xml:space="preserve"> </w:t>
      </w:r>
      <w:r>
        <w:t xml:space="preserve">on IP interconnection, the IP interconnection negotiations occur in a balanced setting, and</w:t>
      </w:r>
    </w:p>
    <w:p>
      <w:pPr>
        <w:pStyle w:val="BodyText"/>
      </w:pPr>
      <w:r>
        <w:t xml:space="preserve">55 Reference to Section 4.1.2 of the Final 1st Interim Report on Completing the DSM.</w:t>
      </w:r>
      <w:r>
        <w:t xml:space="preserve"> </w:t>
      </w:r>
      <w:r>
        <w:t xml:space="preserve">56 Reference to Page 2 in the 2025 Draft BEREC Report on Submarine Cables Connectivity - BoR (25) 85</w:t>
      </w:r>
      <w:r>
        <w:t xml:space="preserve"> </w:t>
      </w:r>
      <w:r>
        <w:t xml:space="preserve">Draft BEREC Report on Submarine cables connectivity in Europe.pdf. According to BEREC, the large</w:t>
      </w:r>
      <w:r>
        <w:t xml:space="preserve"> </w:t>
      </w:r>
      <w:r>
        <w:t xml:space="preserve">majority of the submarine cables corresponds to purely domestic submarine cables (with all landing stations</w:t>
      </w:r>
      <w:r>
        <w:t xml:space="preserve"> </w:t>
      </w:r>
      <w:r>
        <w:t xml:space="preserve">in the same country), while only 12% of them are part of an international cable system. Almost a third of the</w:t>
      </w:r>
      <w:r>
        <w:t xml:space="preserve"> </w:t>
      </w:r>
      <w:r>
        <w:t xml:space="preserve">submarine cable systems are between 10 and 25 years old, and nearly a fifth of the domestic submarine</w:t>
      </w:r>
      <w:r>
        <w:t xml:space="preserve"> </w:t>
      </w:r>
      <w:r>
        <w:t xml:space="preserve">cables analysed in this report benefitted from public funding (page 2 of the Draft Report). In addition, 14%</w:t>
      </w:r>
      <w:r>
        <w:t xml:space="preserve"> </w:t>
      </w:r>
      <w:r>
        <w:t xml:space="preserve">of the submarine cable systems started operating over 35 years ago, which may impact the capacity of</w:t>
      </w:r>
      <w:r>
        <w:t xml:space="preserve"> </w:t>
      </w:r>
      <w:r>
        <w:t xml:space="preserve">submarine cable systems in the near future. Regulatory approaches vary (Page 3 of the Draft Report): the</w:t>
      </w:r>
      <w:r>
        <w:t xml:space="preserve"> </w:t>
      </w:r>
      <w:r>
        <w:t xml:space="preserve">report shows that six NRAs (HR, FR, EL, Iceland, PT and ES) have carried out a market analysis regarding</w:t>
      </w:r>
      <w:r>
        <w:t xml:space="preserve"> </w:t>
      </w:r>
      <w:r>
        <w:t xml:space="preserve">or including domestic submarine cables leading to regulation of submarine cables with designation of an</w:t>
      </w:r>
      <w:r>
        <w:t xml:space="preserve"> </w:t>
      </w:r>
      <w:r>
        <w:t xml:space="preserve">operator with significant market power (SMP). Over these six NRAs who regulate or have regulated</w:t>
      </w:r>
      <w:r>
        <w:t xml:space="preserve"> </w:t>
      </w:r>
      <w:r>
        <w:t xml:space="preserve">submarine cables, four of them (Croatia, Greece, Iceland, Portugal) are still regulating this market, whereas</w:t>
      </w:r>
      <w:r>
        <w:t xml:space="preserve"> </w:t>
      </w:r>
      <w:r>
        <w:t xml:space="preserve">the other two (FR and ES) stopped regulating it, respectively in 2017 and 2024.</w:t>
      </w:r>
      <w:r>
        <w:br/>
      </w:r>
      <w:r>
        <w:t xml:space="preserve">57 Reference to p. 23 of the Draft BEREC Report on the general authorisation and related frameworks for</w:t>
      </w:r>
      <w:r>
        <w:t xml:space="preserve"> </w:t>
      </w:r>
      <w:r>
        <w:t xml:space="preserve">international submarine connectivity .</w:t>
      </w:r>
      <w:r>
        <w:t xml:space="preserve"> </w:t>
      </w:r>
      <w:r>
        <w:t xml:space="preserve">58 BEREC’s input to the EC public consultation on the White Paper “How to master Europe’s digital</w:t>
      </w:r>
      <w:r>
        <w:t xml:space="preserve"> </w:t>
      </w:r>
      <w:r>
        <w:t xml:space="preserve">infrastructure needs?”, BoR (24) 100_1, p20 https://www.berec.europa.eu/system/files/2024-</w:t>
      </w:r>
      <w:r>
        <w:t xml:space="preserve"> </w:t>
      </w:r>
      <w:r>
        <w:t xml:space="preserve">07/BoR%20%2824%29%20100_1_%20BEREC%20Input_White%20Paper_final.pdf.</w:t>
      </w:r>
    </w:p>
    <w:p>
      <w:pPr>
        <w:pStyle w:val="BodyText"/>
      </w:pPr>
      <w:r>
        <w:t xml:space="preserve">22</w:t>
      </w:r>
    </w:p>
    <w:p>
      <w:pPr>
        <w:pStyle w:val="BodyText"/>
      </w:pPr>
      <w:r>
        <w:t xml:space="preserve">monitoring on a case-by-case basis proves that the current legal framework (consisting of civil</w:t>
      </w:r>
      <w:r>
        <w:t xml:space="preserve"> </w:t>
      </w:r>
      <w:r>
        <w:t xml:space="preserve">law and competition law) and the EECC provisions on interconnection are effective. As</w:t>
      </w:r>
      <w:r>
        <w:t xml:space="preserve"> </w:t>
      </w:r>
      <w:r>
        <w:t xml:space="preserve">examples are mentioned a few disputes occurred during 2020-2024 through litigation (e.g. </w:t>
      </w:r>
      <w:r>
        <w:t xml:space="preserve"> </w:t>
      </w:r>
      <w:r>
        <w:t xml:space="preserve">Deutsche Telekom vs Meta; DAZN live-streaming)59. BEREC focuses its conclusions on</w:t>
      </w:r>
      <w:r>
        <w:t xml:space="preserve"> </w:t>
      </w:r>
      <w:r>
        <w:t xml:space="preserve">market developments without need of regulatory intervention. Other sources in 2025 (e.g.,</w:t>
      </w:r>
      <w:r>
        <w:t xml:space="preserve"> </w:t>
      </w:r>
      <w:r>
        <w:t xml:space="preserve">Cullen International June 202560) also describe that IP interconnection market balanced</w:t>
      </w:r>
      <w:r>
        <w:t xml:space="preserve"> </w:t>
      </w:r>
      <w:r>
        <w:t xml:space="preserve">without regulatory intervention (few disputes in Europe where or regulator or court</w:t>
      </w:r>
      <w:r>
        <w:t xml:space="preserve"> </w:t>
      </w:r>
      <w:r>
        <w:t xml:space="preserve">intervened). It quotes BEREC data indicating that traffic via on-net content delivery networks</w:t>
      </w:r>
      <w:r>
        <w:t xml:space="preserve"> </w:t>
      </w:r>
      <w:r>
        <w:t xml:space="preserve">(CDNs) has increased more than traffic exchanged through peering and transit. In the similar</w:t>
      </w:r>
      <w:r>
        <w:t xml:space="preserve"> </w:t>
      </w:r>
      <w:r>
        <w:t xml:space="preserve">vein, another source (German Monopolies Commission in 202361) notes that there is a</w:t>
      </w:r>
      <w:r>
        <w:t xml:space="preserve"> </w:t>
      </w:r>
      <w:r>
        <w:t xml:space="preserve">rebalancing of the bargaining power on the market: the importance of the large network</w:t>
      </w:r>
      <w:r>
        <w:t xml:space="preserve"> </w:t>
      </w:r>
      <w:r>
        <w:t xml:space="preserve">operators is in decline as the data traffic in parts of the network is routed through networks</w:t>
      </w:r>
      <w:r>
        <w:t xml:space="preserve"> </w:t>
      </w:r>
      <w:r>
        <w:t xml:space="preserve">built by CAPs (i.e. own core networks and on-net CDNs). The German Monopolies</w:t>
      </w:r>
      <w:r>
        <w:t xml:space="preserve"> </w:t>
      </w:r>
      <w:r>
        <w:t xml:space="preserve">Commission observes more often settlement in the form of free peering agreements and that</w:t>
      </w:r>
      <w:r>
        <w:t xml:space="preserve"> </w:t>
      </w:r>
      <w:r>
        <w:t xml:space="preserve">the number of connections via IP transit is decreasing.</w:t>
      </w:r>
      <w:r>
        <w:br/>
      </w:r>
      <w:r>
        <w:t xml:space="preserve">On the other hand, another group of stakeholders, mainly big telecom operators, shares the</w:t>
      </w:r>
      <w:r>
        <w:t xml:space="preserve"> </w:t>
      </w:r>
      <w:r>
        <w:t xml:space="preserve">view that the large asymmetry in bargaining power is compounded by the large scale of</w:t>
      </w:r>
      <w:r>
        <w:t xml:space="preserve"> </w:t>
      </w:r>
      <w:r>
        <w:t xml:space="preserve">certain CAPs, which are much more powerful than any of the telecom incumbents, and that</w:t>
      </w:r>
      <w:r>
        <w:t xml:space="preserve"> </w:t>
      </w:r>
      <w:r>
        <w:t xml:space="preserve">this leads to ISPs not getting fair conditions in IP peering agreements with CAPs. They claim</w:t>
      </w:r>
      <w:r>
        <w:t xml:space="preserve"> </w:t>
      </w:r>
      <w:r>
        <w:t xml:space="preserve">that the lack of disputes reported by ISPs to NRAs or litigated in courts could be a proof of</w:t>
      </w:r>
      <w:r>
        <w:t xml:space="preserve"> </w:t>
      </w:r>
      <w:r>
        <w:t xml:space="preserve">the legal framework not working. The EECC has been designed with traditional electronic</w:t>
      </w:r>
      <w:r>
        <w:t xml:space="preserve"> </w:t>
      </w:r>
      <w:r>
        <w:t xml:space="preserve">communications in mind and does not adequately address all specific requirements of the</w:t>
      </w:r>
      <w:r>
        <w:t xml:space="preserve"> </w:t>
      </w:r>
      <w:r>
        <w:t xml:space="preserve">broader digital sector62. Large operators also state that the current legal framework (mainly the</w:t>
      </w:r>
      <w:r>
        <w:t xml:space="preserve"> </w:t>
      </w:r>
      <w:r>
        <w:t xml:space="preserve">OIR) weakens their bargaining position as ISPs, because it obliges them to comply with net</w:t>
      </w:r>
      <w:r>
        <w:t xml:space="preserve"> </w:t>
      </w:r>
      <w:r>
        <w:t xml:space="preserve">neutrality rules and to carry all traffic in a neutral manner, irrespective of whether an</w:t>
      </w:r>
      <w:r>
        <w:t xml:space="preserve"> </w:t>
      </w:r>
      <w:r>
        <w:t xml:space="preserve">agreement can be reached and the traffic is paid for. This is necessary to ensure that all end-</w:t>
      </w:r>
      <w:r>
        <w:t xml:space="preserve"> </w:t>
      </w:r>
      <w:r>
        <w:t xml:space="preserve">users have access to, and can deliver, the content, services or applications of their choosing.</w:t>
      </w:r>
      <w:r>
        <w:t xml:space="preserve"> </w:t>
      </w:r>
      <w:r>
        <w:t xml:space="preserve">CAPs generating large traffic are not under obligation to interconnect their private</w:t>
      </w:r>
      <w:r>
        <w:t xml:space="preserve"> </w:t>
      </w:r>
      <w:r>
        <w:t xml:space="preserve">infrastructure (e.g. CDNs, data centres, undersea (submarine) cables) or negotiate an</w:t>
      </w:r>
      <w:r>
        <w:t xml:space="preserve"> </w:t>
      </w:r>
      <w:r>
        <w:t xml:space="preserve">agreement. Their global reach allows large CAPs to re-route their traffic easily63.</w:t>
      </w:r>
      <w:r>
        <w:t xml:space="preserve"> </w:t>
      </w:r>
      <w:r>
        <w:t xml:space="preserve">In contrast, as indicated in the Commission White Paper, and supported by most governments</w:t>
      </w:r>
      <w:r>
        <w:t xml:space="preserve"> </w:t>
      </w:r>
      <w:r>
        <w:t xml:space="preserve">and industry stakeholders, the IP interconnection market in general works well. There have</w:t>
      </w:r>
      <w:r>
        <w:t xml:space="preserve"> </w:t>
      </w:r>
      <w:r>
        <w:t xml:space="preserve">been very few known cases of intervention by regulatory authority or by court.64 Accordingly,</w:t>
      </w:r>
      <w:r>
        <w:t xml:space="preserve"> </w:t>
      </w:r>
      <w:r>
        <w:t xml:space="preserve">most NRAs state that, within their countries, they do not observe or receive</w:t>
      </w:r>
      <w:r>
        <w:t xml:space="preserve"> </w:t>
      </w:r>
      <w:r>
        <w:t xml:space="preserve">reports/information on any disputes related to IP peering. These NRAs support the</w:t>
      </w:r>
    </w:p>
    <w:p>
      <w:pPr>
        <w:pStyle w:val="BodyText"/>
      </w:pPr>
      <w:r>
        <w:t xml:space="preserve">59 For details on the two disputes please see Annex I in BEREC Report on the IP Interconnection</w:t>
      </w:r>
      <w:r>
        <w:t xml:space="preserve"> </w:t>
      </w:r>
      <w:r>
        <w:t xml:space="preserve">ecosystem, BoR(24) 93: https://www.berec.europa.eu/system/files/2024-</w:t>
      </w:r>
      <w:r>
        <w:t xml:space="preserve"> </w:t>
      </w:r>
      <w:r>
        <w:t xml:space="preserve">06/BoR%20%2824%29%2093_draft%20BEREC%20Report%20on%20the%20IP-IC%20ecosystem_1.pdf.</w:t>
      </w:r>
      <w:r>
        <w:br/>
      </w:r>
      <w:r>
        <w:t xml:space="preserve">60 Cullen International June 2025 IP interconnection disputes (IP peering and IP transit).</w:t>
      </w:r>
      <w:r>
        <w:t xml:space="preserve"> </w:t>
      </w:r>
      <w:r>
        <w:t xml:space="preserve">61 Monopolkommission (2023) Ein Beitrag von datenverkehrsintensiven Over-The-Top-(OTT)-Anbietern an</w:t>
      </w:r>
      <w:r>
        <w:t xml:space="preserve"> </w:t>
      </w:r>
      <w:r>
        <w:t xml:space="preserve">den Netzausbaukosten ist abzulehnen!, 12. Policy Brief:</w:t>
      </w:r>
      <w:r>
        <w:t xml:space="preserve"> </w:t>
      </w:r>
      <w:r>
        <w:t xml:space="preserve">https://www.monopolkommission.de/images/Policy_Brief/MK_Policy_Brief_12.pdf.</w:t>
      </w:r>
      <w:r>
        <w:br/>
      </w:r>
      <w:r>
        <w:t xml:space="preserve">62 Reference in Section 4.1.2.5 of the Final 1st Interim Report on Completing the DSM.</w:t>
      </w:r>
      <w:r>
        <w:t xml:space="preserve"> </w:t>
      </w:r>
      <w:r>
        <w:t xml:space="preserve">63 References in Section 4.1.2.5 of the 1st Interim Report on Completing the DSM.</w:t>
      </w:r>
      <w:r>
        <w:t xml:space="preserve"> </w:t>
      </w:r>
      <w:r>
        <w:t xml:space="preserve">64 A few disputes occurred through litigation or NRA intervention (e.g. Deutsche Telekom vs Meta; DAZN</w:t>
      </w:r>
      <w:r>
        <w:t xml:space="preserve"> </w:t>
      </w:r>
      <w:r>
        <w:t xml:space="preserve">live-streaming, Orange vs Cogent, Liberty Global/Ziggo; Telekomunikacja Polska (now Orange Poland),</w:t>
      </w:r>
      <w:r>
        <w:t xml:space="preserve"> </w:t>
      </w:r>
      <w:r>
        <w:t xml:space="preserve">ANISP vs DIGI, etc.)..</w:t>
      </w:r>
    </w:p>
    <w:p>
      <w:pPr>
        <w:pStyle w:val="BodyText"/>
      </w:pPr>
      <w:r>
        <w:t xml:space="preserve">23</w:t>
      </w:r>
    </w:p>
    <w:p>
      <w:pPr>
        <w:pStyle w:val="BodyText"/>
      </w:pPr>
      <w:r>
        <w:t xml:space="preserve">conclusions of the BEREC Report on the IP Interconnection ecosystem65 and of the White</w:t>
      </w:r>
      <w:r>
        <w:t xml:space="preserve"> </w:t>
      </w:r>
      <w:r>
        <w:t xml:space="preserve">Paper66 that the ecosystem is driven by functioning market dynamics and the cooperative</w:t>
      </w:r>
      <w:r>
        <w:t xml:space="preserve"> </w:t>
      </w:r>
      <w:r>
        <w:t xml:space="preserve">behaviour of market players. It is worth mentioning also other regulatory initiatives regarding</w:t>
      </w:r>
      <w:r>
        <w:t xml:space="preserve"> </w:t>
      </w:r>
      <w:r>
        <w:t xml:space="preserve">IP interconnection. For example, in 2020 the Italian regulator (AGCOM) adopted general</w:t>
      </w:r>
      <w:r>
        <w:t xml:space="preserve"> </w:t>
      </w:r>
      <w:r>
        <w:t xml:space="preserve">obligations, reference standards and the minimum set of functionalities that each operator</w:t>
      </w:r>
      <w:r>
        <w:t xml:space="preserve"> </w:t>
      </w:r>
      <w:r>
        <w:t xml:space="preserve">must make available for the provision of VoIP/IP interconnection at national level67.</w:t>
      </w:r>
      <w:r>
        <w:br/>
      </w:r>
      <w:r>
        <w:t xml:space="preserve">While some stakeholders state that no quality-based services exist at the moment68, the</w:t>
      </w:r>
      <w:r>
        <w:t xml:space="preserve"> </w:t>
      </w:r>
      <w:r>
        <w:t xml:space="preserve">majority maintain that they are actually provided although still a few. For instance, new</w:t>
      </w:r>
      <w:r>
        <w:t xml:space="preserve"> </w:t>
      </w:r>
      <w:r>
        <w:t xml:space="preserve">specifications such as 5G release 17 and CAMARA show that the sector is heavily committed</w:t>
      </w:r>
      <w:r>
        <w:t xml:space="preserve"> </w:t>
      </w:r>
      <w:r>
        <w:t xml:space="preserve">to launch innovative services in the domain of quality-enhanced services, as mentioned in the</w:t>
      </w:r>
      <w:r>
        <w:t xml:space="preserve"> </w:t>
      </w:r>
      <w:r>
        <w:t xml:space="preserve">section on the Open Internet Regulation.</w:t>
      </w:r>
      <w:r>
        <w:t xml:space="preserve"> </w:t>
      </w:r>
      <w:r>
        <w:t xml:space="preserve">3.5.2. Efficiency</w:t>
      </w:r>
      <w:r>
        <w:t xml:space="preserve"> </w:t>
      </w:r>
      <w:r>
        <w:t xml:space="preserve">Regarding IP interconnection and level playing field between ISPs and CAPs, the framework</w:t>
      </w:r>
      <w:r>
        <w:t xml:space="preserve"> </w:t>
      </w:r>
      <w:r>
        <w:t xml:space="preserve">is not designed for the currently emerging broader connectivity ecosystem. Therefore, it can</w:t>
      </w:r>
      <w:r>
        <w:t xml:space="preserve"> </w:t>
      </w:r>
      <w:r>
        <w:t xml:space="preserve">not be concluded that all potential issues can be addressed under the current legal framework.</w:t>
      </w:r>
      <w:r>
        <w:t xml:space="preserve"> </w:t>
      </w:r>
      <w:r>
        <w:t xml:space="preserve">However, many stakeholders of different types (except telco providers) do not find any major</w:t>
      </w:r>
      <w:r>
        <w:t xml:space="preserve"> </w:t>
      </w:r>
      <w:r>
        <w:t xml:space="preserve">inefficiencies in the current rules and do not experience any administrative burden. Telcom</w:t>
      </w:r>
      <w:r>
        <w:t xml:space="preserve"> </w:t>
      </w:r>
      <w:r>
        <w:t xml:space="preserve">incumbents raised the lengthiness of court proceedings, which allegedly discourages more</w:t>
      </w:r>
      <w:r>
        <w:t xml:space="preserve"> </w:t>
      </w:r>
      <w:r>
        <w:t xml:space="preserve">reliance on dispute resolution69. Due to the lack of evidence and only a handful of known</w:t>
      </w:r>
      <w:r>
        <w:t xml:space="preserve"> </w:t>
      </w:r>
      <w:r>
        <w:t xml:space="preserve">disputes, it is difficult to draw clear conclusions and assess whether cooperation among</w:t>
      </w:r>
      <w:r>
        <w:t xml:space="preserve"> </w:t>
      </w:r>
      <w:r>
        <w:t xml:space="preserve">involved parties had been sufficiently facilitated by the current rules.</w:t>
      </w:r>
      <w:r>
        <w:t xml:space="preserve"> </w:t>
      </w:r>
      <w:r>
        <w:t xml:space="preserve">Moreover, the OIR provisions clearly affirm that internet access service providers shall not</w:t>
      </w:r>
      <w:r>
        <w:t xml:space="preserve"> </w:t>
      </w:r>
      <w:r>
        <w:t xml:space="preserve">discriminate amongst internet traffic and shall enable the end-users to reach every internet</w:t>
      </w:r>
      <w:r>
        <w:t xml:space="preserve"> </w:t>
      </w:r>
      <w:r>
        <w:t xml:space="preserve">end-point, irrespective of the content, application or service used. The OIR provisions also</w:t>
      </w:r>
      <w:r>
        <w:t xml:space="preserve"> </w:t>
      </w:r>
      <w:r>
        <w:t xml:space="preserve">establish that internet access service providers cannot discriminate internet traffic based on</w:t>
      </w:r>
      <w:r>
        <w:t xml:space="preserve"> </w:t>
      </w:r>
      <w:r>
        <w:t xml:space="preserve">commercial agreements. As mentioned above, the European Commission’ 2023 report on the</w:t>
      </w:r>
      <w:r>
        <w:t xml:space="preserve"> </w:t>
      </w:r>
      <w:r>
        <w:t xml:space="preserve">implementation of the OIR has concluded that these provisions are still fit for purpose and did</w:t>
      </w:r>
      <w:r>
        <w:t xml:space="preserve"> </w:t>
      </w:r>
      <w:r>
        <w:t xml:space="preserve">not put forward any proposal for review or changes.</w:t>
      </w:r>
      <w:r>
        <w:t xml:space="preserve"> </w:t>
      </w:r>
      <w:r>
        <w:t xml:space="preserve">3.5.3. Coherence</w:t>
      </w:r>
      <w:r>
        <w:t xml:space="preserve"> </w:t>
      </w:r>
      <w:r>
        <w:t xml:space="preserve">As a part of the coherence evaluation, particular attention is paid to the main recent EU</w:t>
      </w:r>
      <w:r>
        <w:t xml:space="preserve"> </w:t>
      </w:r>
      <w:r>
        <w:t xml:space="preserve">legislations related to digital infrastructures and services (i.e. external coherence), namely the</w:t>
      </w:r>
      <w:r>
        <w:t xml:space="preserve"> </w:t>
      </w:r>
      <w:r>
        <w:t xml:space="preserve">Gigabit Infrastructure Act (GIA), the Digital Markets Act (DMA), Digital Services Act</w:t>
      </w:r>
      <w:r>
        <w:t xml:space="preserve"> </w:t>
      </w:r>
      <w:r>
        <w:t xml:space="preserve">(DSA), Artificial Intelligence Act (AIA), Data Act and NIS 2 Directive. No incoherence has</w:t>
      </w:r>
      <w:r>
        <w:t xml:space="preserve"> </w:t>
      </w:r>
      <w:r>
        <w:t xml:space="preserve">been identified within the EECC itself; therefore, the EECC is internally coherent, but there</w:t>
      </w:r>
      <w:r>
        <w:t xml:space="preserve"> </w:t>
      </w:r>
      <w:r>
        <w:t xml:space="preserve">are issues related to the external coherence70.</w:t>
      </w:r>
    </w:p>
    <w:p>
      <w:pPr>
        <w:pStyle w:val="BodyText"/>
      </w:pPr>
      <w:r>
        <w:t xml:space="preserve">65 https://www.berec.europa.eu/system/files/2025-</w:t>
      </w:r>
      <w:r>
        <w:t xml:space="preserve"> </w:t>
      </w:r>
      <w:r>
        <w:t xml:space="preserve">01/BoR%20%2824%29%20177_BEREC%20Report%20on%20the%20IP-IC%20ecosystem_0.pdf.</w:t>
      </w:r>
      <w:r>
        <w:t xml:space="preserve"> </w:t>
      </w:r>
      <w:r>
        <w:t xml:space="preserve">66 White Paper - How to master Europe’s digital infrastructure needs? | Shaping Europe’s digital future.</w:t>
      </w:r>
      <w:r>
        <w:t xml:space="preserve"> </w:t>
      </w:r>
      <w:r>
        <w:t xml:space="preserve">67 Cullen International June 2025, IP interconnection disputes (IP peering and IP transit).</w:t>
      </w:r>
      <w:r>
        <w:t xml:space="preserve"> </w:t>
      </w:r>
      <w:r>
        <w:t xml:space="preserve">68 Reference in Section 4.2.2 of the Final 1st Interim Report on Completing the DSM</w:t>
      </w:r>
      <w:r>
        <w:t xml:space="preserve"> </w:t>
      </w:r>
      <w:r>
        <w:t xml:space="preserve">69 References in Sections 4.1.2 of the Final 1st Interim Report on Completing the DSM.</w:t>
      </w:r>
      <w:r>
        <w:t xml:space="preserve"> </w:t>
      </w:r>
      <w:r>
        <w:t xml:space="preserve">70 Reference in Section 4.1.2 in the First 1st Interim Report on Completing the DSM.</w:t>
      </w:r>
    </w:p>
    <w:p>
      <w:pPr>
        <w:pStyle w:val="BodyText"/>
      </w:pPr>
      <w:r>
        <w:t xml:space="preserve">24</w:t>
      </w:r>
    </w:p>
    <w:p>
      <w:pPr>
        <w:pStyle w:val="BodyText"/>
      </w:pPr>
      <w:r>
        <w:t xml:space="preserve">In terms of coherence with other acts, the extension of scope does not necessarily lead to more</w:t>
      </w:r>
      <w:r>
        <w:t xml:space="preserve"> </w:t>
      </w:r>
      <w:r>
        <w:t xml:space="preserve">rules for new providers because for instance, for certain categories of information society</w:t>
      </w:r>
      <w:r>
        <w:t xml:space="preserve"> </w:t>
      </w:r>
      <w:r>
        <w:t xml:space="preserve">service providers in the EECC scope, the rules of Directive (EU) 2015/1535 of the European</w:t>
      </w:r>
      <w:r>
        <w:t xml:space="preserve"> </w:t>
      </w:r>
      <w:r>
        <w:t xml:space="preserve">Parliament and of the Council of 9 September 2015 laying down a procedure for the provision</w:t>
      </w:r>
      <w:r>
        <w:t xml:space="preserve"> </w:t>
      </w:r>
      <w:r>
        <w:t xml:space="preserve">of information in the field of technical regulations and of rules on Information Society</w:t>
      </w:r>
      <w:r>
        <w:t xml:space="preserve"> </w:t>
      </w:r>
      <w:r>
        <w:t xml:space="preserve">services (INFOSOC Directive)71 apply. For instance, NI-ICS are not subject to the general</w:t>
      </w:r>
      <w:r>
        <w:t xml:space="preserve"> </w:t>
      </w:r>
      <w:r>
        <w:t xml:space="preserve">authorisation regime under the EECC, and they comply with the INFOSOC and the</w:t>
      </w:r>
      <w:r>
        <w:t xml:space="preserve"> </w:t>
      </w:r>
      <w:r>
        <w:t xml:space="preserve">eCommerce Directive rules.</w:t>
      </w:r>
      <w:r>
        <w:t xml:space="preserve"> </w:t>
      </w:r>
      <w:r>
        <w:t xml:space="preserve">On the other hand, the DSA was designed to cover intermediary services (i.e. mere conduit,</w:t>
      </w:r>
      <w:r>
        <w:t xml:space="preserve"> </w:t>
      </w:r>
      <w:r>
        <w:t xml:space="preserve">cache or hosting services) that do not fall under the EECC. However, in practice, the</w:t>
      </w:r>
      <w:r>
        <w:t xml:space="preserve"> </w:t>
      </w:r>
      <w:r>
        <w:t xml:space="preserve">distinction is not always easy, and the DSA gives some examples of services (e.g. Voice over</w:t>
      </w:r>
      <w:r>
        <w:t xml:space="preserve"> </w:t>
      </w:r>
      <w:r>
        <w:t xml:space="preserve">IP, messaging services, web-based email, see Recital 28 DSA) that are within its scope, but</w:t>
      </w:r>
      <w:r>
        <w:t xml:space="preserve"> </w:t>
      </w:r>
      <w:r>
        <w:t xml:space="preserve">are also NI-ICS in the sense of the EECC. Hence, as also requested by BEREC72, a</w:t>
      </w:r>
      <w:r>
        <w:t xml:space="preserve"> </w:t>
      </w:r>
      <w:r>
        <w:t xml:space="preserve">clarification of the scope is necessary in this regard73.</w:t>
      </w:r>
      <w:r>
        <w:t xml:space="preserve"> </w:t>
      </w:r>
      <w:r>
        <w:t xml:space="preserve">Regarding the lack of a level playing field in terms of services, many governments and</w:t>
      </w:r>
      <w:r>
        <w:t xml:space="preserve"> </w:t>
      </w:r>
      <w:r>
        <w:t xml:space="preserve">industry stakeholders refer that “the legal framework shall provide for a level playing field for</w:t>
      </w:r>
      <w:r>
        <w:t xml:space="preserve"> </w:t>
      </w:r>
      <w:r>
        <w:t xml:space="preserve">services that have the same functionality”. Stakeholders point out that, in the environment of</w:t>
      </w:r>
      <w:r>
        <w:t xml:space="preserve"> </w:t>
      </w:r>
      <w:r>
        <w:t xml:space="preserve">technological convergence, both “traditional” and “non-traditional” service providers play an</w:t>
      </w:r>
      <w:r>
        <w:t xml:space="preserve"> </w:t>
      </w:r>
      <w:r>
        <w:t xml:space="preserve">equally important and similar role in delivering digital communications but are subject to</w:t>
      </w:r>
      <w:r>
        <w:t xml:space="preserve"> </w:t>
      </w:r>
      <w:r>
        <w:t xml:space="preserve">different sets of rules. For instance, NI-ICS are comparatively less regulated than NB-ICS,</w:t>
      </w:r>
      <w:r>
        <w:t xml:space="preserve"> </w:t>
      </w:r>
      <w:r>
        <w:t xml:space="preserve">and NRAs’ enforcement powers regarding them are weaker. If the DMA and DSA regimes are</w:t>
      </w:r>
      <w:r>
        <w:t xml:space="preserve"> </w:t>
      </w:r>
      <w:r>
        <w:t xml:space="preserve">considered, stakeholders note that large CAPs are subject to EU-level rules and enforcement,</w:t>
      </w:r>
      <w:r>
        <w:t xml:space="preserve"> </w:t>
      </w:r>
      <w:r>
        <w:t xml:space="preserve">which gives greater legal certainty when offering services across the EU. By contrast,</w:t>
      </w:r>
      <w:r>
        <w:t xml:space="preserve"> </w:t>
      </w:r>
      <w:r>
        <w:t xml:space="preserve">electronic communications providers are subject to national rules and enforcement by</w:t>
      </w:r>
      <w:r>
        <w:t xml:space="preserve"> </w:t>
      </w:r>
      <w:r>
        <w:t xml:space="preserve">individual NRAs in each Member State where they choose to offer services 74.</w:t>
      </w:r>
      <w:r>
        <w:br/>
      </w:r>
      <w:r>
        <w:t xml:space="preserve">As for interconnecting networks, the role of NRAs in resolving potential IP interconnection</w:t>
      </w:r>
      <w:r>
        <w:t xml:space="preserve"> </w:t>
      </w:r>
      <w:r>
        <w:t xml:space="preserve">disputes between ISPs and CAPs and in monitoring and data collecting related to the CAPs</w:t>
      </w:r>
      <w:r>
        <w:t xml:space="preserve"> </w:t>
      </w:r>
      <w:r>
        <w:t xml:space="preserve">markets is also unclear, from the perspective of a few NRAs75.</w:t>
      </w:r>
      <w:r>
        <w:br/>
      </w:r>
      <w:r>
        <w:t xml:space="preserve">Regarding the interoperability between services, the requirement under Art. 61 (2) (c) EECC</w:t>
      </w:r>
      <w:r>
        <w:t xml:space="preserve"> </w:t>
      </w:r>
      <w:r>
        <w:t xml:space="preserve">on NI-ICS providers, which reach a significant level of coverage and user uptake, to make</w:t>
      </w:r>
      <w:r>
        <w:t xml:space="preserve"> </w:t>
      </w:r>
      <w:r>
        <w:t xml:space="preserve">their services interoperable can only be imposed where “end-to-end connectivity is</w:t>
      </w:r>
      <w:r>
        <w:t xml:space="preserve"> </w:t>
      </w:r>
      <w:r>
        <w:t xml:space="preserve">endangered”. This appears to be a higher threshold than under Article 7 of the DMA76.</w:t>
      </w:r>
      <w:r>
        <w:t xml:space="preserve"> </w:t>
      </w:r>
      <w:r>
        <w:t xml:space="preserve">Standardisation assessed from the level playing field angle, proves that efforts continue to</w:t>
      </w:r>
      <w:r>
        <w:t xml:space="preserve"> </w:t>
      </w:r>
      <w:r>
        <w:t xml:space="preserve">move towards an all communication technologies (terrestrial/TN) and non-terrestrial/NTN)</w:t>
      </w:r>
      <w:r>
        <w:t xml:space="preserve"> </w:t>
      </w:r>
      <w:r>
        <w:t xml:space="preserve">overarching network management architecture which would allow the provision of end-to-end</w:t>
      </w:r>
      <w:r>
        <w:t xml:space="preserve"> </w:t>
      </w:r>
      <w:r>
        <w:t xml:space="preserve">(user to user) network connections or network slices using all NTN (high-altitude platform</w:t>
      </w:r>
    </w:p>
    <w:p>
      <w:pPr>
        <w:pStyle w:val="BodyText"/>
      </w:pPr>
      <w:r>
        <w:t xml:space="preserve">71 Directive - 2015/1535 - EN - EUR-Lex.</w:t>
      </w:r>
      <w:r>
        <w:t xml:space="preserve"> </w:t>
      </w:r>
      <w:r>
        <w:t xml:space="preserve">72 See also BEREC (2021). Report on the interplay between the EECC and the EC’s proposal for a Digital</w:t>
      </w:r>
      <w:r>
        <w:t xml:space="preserve"> </w:t>
      </w:r>
      <w:r>
        <w:t xml:space="preserve">Markets Act concerning number-independent interpersonal communication services, BoR(21) 85:</w:t>
      </w:r>
      <w:r>
        <w:t xml:space="preserve"> </w:t>
      </w:r>
      <w:r>
        <w:t xml:space="preserve">https://www.berec.europa.eu/sites/default/files/files/document_register_store/2021/6/BoR_(21)</w:t>
      </w:r>
      <w:r>
        <w:rPr>
          <w:i/>
          <w:iCs/>
        </w:rPr>
        <w:t xml:space="preserve">85_Report</w:t>
      </w:r>
      <w:r>
        <w:t xml:space="preserve"> </w:t>
      </w:r>
      <w:r>
        <w:t xml:space="preserve">on_the_interplay_EECC-DMA_on_NI-ICS_-</w:t>
      </w:r>
      <w:r>
        <w:rPr>
          <w:i/>
          <w:iCs/>
        </w:rPr>
        <w:t xml:space="preserve">Clean</w:t>
      </w:r>
      <w:r>
        <w:t xml:space="preserve">(final).pdf.</w:t>
      </w:r>
      <w:r>
        <w:t xml:space="preserve"> </w:t>
      </w:r>
      <w:r>
        <w:t xml:space="preserve">73 References in Section 2.2.3 of the Final 1st Interim Report on Completing the DSM.</w:t>
      </w:r>
      <w:r>
        <w:t xml:space="preserve"> </w:t>
      </w:r>
      <w:r>
        <w:t xml:space="preserve">74 Reference to Section 4.1.2 in the Final 1st Interim Report on Completing the DSM.</w:t>
      </w:r>
      <w:r>
        <w:t xml:space="preserve"> </w:t>
      </w:r>
      <w:r>
        <w:t xml:space="preserve">75 Reference to Section 4.1.2 in the Final 1st Interim Report on Completing the DSM.</w:t>
      </w:r>
      <w:r>
        <w:t xml:space="preserve"> </w:t>
      </w:r>
      <w:r>
        <w:t xml:space="preserve">76 Reference to Section 4.1.2 of the Final 1st Interim Report on Completing the DSM.</w:t>
      </w:r>
    </w:p>
    <w:p>
      <w:pPr>
        <w:pStyle w:val="BodyText"/>
      </w:pPr>
      <w:r>
        <w:t xml:space="preserve">25</w:t>
      </w:r>
    </w:p>
    <w:p>
      <w:pPr>
        <w:pStyle w:val="BodyText"/>
      </w:pPr>
      <w:r>
        <w:t xml:space="preserve">station/HAPS), Low Earth Orbit (LEO), Medium Earth Orbit (MEO), Geostationary</w:t>
      </w:r>
      <w:r>
        <w:t xml:space="preserve"> </w:t>
      </w:r>
      <w:r>
        <w:t xml:space="preserve">orbit/GEO) and TN technologies according to their capabilities and characteristics, even if</w:t>
      </w:r>
      <w:r>
        <w:t xml:space="preserve"> </w:t>
      </w:r>
      <w:r>
        <w:t xml:space="preserve">they are not operated by one firm, but by buying respective wholesale capacities and by</w:t>
      </w:r>
      <w:r>
        <w:t xml:space="preserve"> </w:t>
      </w:r>
      <w:r>
        <w:t xml:space="preserve">interoperating the related communication platforms management systems over standardised</w:t>
      </w:r>
      <w:r>
        <w:t xml:space="preserve"> </w:t>
      </w:r>
      <w:r>
        <w:t xml:space="preserve">interfaces. Such solution would allow for communication resilience in case of natural</w:t>
      </w:r>
      <w:r>
        <w:t xml:space="preserve"> </w:t>
      </w:r>
      <w:r>
        <w:t xml:space="preserve">disasters or other damages at the best available capacity and quality resources and if the</w:t>
      </w:r>
      <w:r>
        <w:t xml:space="preserve"> </w:t>
      </w:r>
      <w:r>
        <w:t xml:space="preserve">network access can be granted, or alternatives are still available77.</w:t>
      </w:r>
      <w:r>
        <w:t xml:space="preserve"> </w:t>
      </w:r>
      <w:r>
        <w:t xml:space="preserve">3.5.4. Relevance</w:t>
      </w:r>
      <w:r>
        <w:t xml:space="preserve"> </w:t>
      </w:r>
      <w:r>
        <w:t xml:space="preserve">In terms of relevance of the EECC scope considering such technology trends as 6G, edge</w:t>
      </w:r>
      <w:r>
        <w:t xml:space="preserve"> </w:t>
      </w:r>
      <w:r>
        <w:t xml:space="preserve">computing, advanced cloud services and AI, a great majority of governments, a consumer</w:t>
      </w:r>
      <w:r>
        <w:t xml:space="preserve"> </w:t>
      </w:r>
      <w:r>
        <w:t xml:space="preserve">protection organisation and a minority of industry stakeholders (alternative providers, ISPs,</w:t>
      </w:r>
      <w:r>
        <w:t xml:space="preserve"> </w:t>
      </w:r>
      <w:r>
        <w:t xml:space="preserve">MVNOs) do not think that an extension of the EECC scope is warranted in the face of the said</w:t>
      </w:r>
      <w:r>
        <w:t xml:space="preserve"> </w:t>
      </w:r>
      <w:r>
        <w:t xml:space="preserve">technology trends. A smaller group of governments supported changes to the EECC without</w:t>
      </w:r>
      <w:r>
        <w:t xml:space="preserve"> </w:t>
      </w:r>
      <w:r>
        <w:t xml:space="preserve">being specific in what exactly needs to change (most simply that the EU framework needs to</w:t>
      </w:r>
      <w:r>
        <w:t xml:space="preserve"> </w:t>
      </w:r>
      <w:r>
        <w:t xml:space="preserve">change to create a forward-looking regulatory environment fostering innovation, promoting</w:t>
      </w:r>
      <w:r>
        <w:t xml:space="preserve"> </w:t>
      </w:r>
      <w:r>
        <w:t xml:space="preserve">competitiveness, lowering entry barriers and administrative burden, and addressing potential</w:t>
      </w:r>
      <w:r>
        <w:t xml:space="preserve"> </w:t>
      </w:r>
      <w:r>
        <w:t xml:space="preserve">challenges78).</w:t>
      </w:r>
      <w:r>
        <w:br/>
      </w:r>
      <w:r>
        <w:t xml:space="preserve">As said before, all stakeholders acknowledge the pertinence of satellites and submarine cables</w:t>
      </w:r>
      <w:r>
        <w:t xml:space="preserve"> </w:t>
      </w:r>
      <w:r>
        <w:t xml:space="preserve">to EU’s security, resilience and strategic autonomy, although stakeholders disagree on</w:t>
      </w:r>
      <w:r>
        <w:t xml:space="preserve"> </w:t>
      </w:r>
      <w:r>
        <w:t xml:space="preserve">whether these issues should be tackled under the EECC. The Recommendation on secure and</w:t>
      </w:r>
      <w:r>
        <w:t xml:space="preserve"> </w:t>
      </w:r>
      <w:r>
        <w:t xml:space="preserve">resilient submarine cable infrastructures79 is a good example of acknowledgment of the issues</w:t>
      </w:r>
      <w:r>
        <w:t xml:space="preserve"> </w:t>
      </w:r>
      <w:r>
        <w:t xml:space="preserve">and the EU should continue studying them, analyse the EU legal framework and identify other</w:t>
      </w:r>
      <w:r>
        <w:t xml:space="preserve"> </w:t>
      </w:r>
      <w:r>
        <w:t xml:space="preserve">opportunities for EU-level specialised interventions (e.g. mapping; real-time monitoring;</w:t>
      </w:r>
      <w:r>
        <w:t xml:space="preserve"> </w:t>
      </w:r>
      <w:r>
        <w:t xml:space="preserve">increasing EU-level funding for satellite and undersea infrastructures, for instance, through</w:t>
      </w:r>
      <w:r>
        <w:t xml:space="preserve"> </w:t>
      </w:r>
      <w:r>
        <w:t xml:space="preserve">Connecting Europe Facility/CEF-Digital; joint repair and emergency capacities; restricted</w:t>
      </w:r>
      <w:r>
        <w:t xml:space="preserve"> </w:t>
      </w:r>
      <w:r>
        <w:t xml:space="preserve">access to information about submarine cables; cross-body and cross-border cooperation for</w:t>
      </w:r>
      <w:r>
        <w:t xml:space="preserve"> </w:t>
      </w:r>
      <w:r>
        <w:t xml:space="preserve">cybersecurity and resilience). Based on the findings, such measures can be included in the</w:t>
      </w:r>
      <w:r>
        <w:t xml:space="preserve"> </w:t>
      </w:r>
      <w:r>
        <w:t xml:space="preserve">EU-wide policy on critical digital infrastructure that would cover terrestrial and non-terrestrial</w:t>
      </w:r>
      <w:r>
        <w:t xml:space="preserve"> </w:t>
      </w:r>
      <w:r>
        <w:t xml:space="preserve">such as submarine infrastructures.80.</w:t>
      </w:r>
      <w:r>
        <w:br/>
      </w:r>
      <w:r>
        <w:t xml:space="preserve">3.5.5. EU added value</w:t>
      </w:r>
      <w:r>
        <w:t xml:space="preserve"> </w:t>
      </w:r>
      <w:r>
        <w:t xml:space="preserve">The objectives and scope of the EECC, as also pointed out by many stakeholders, they have</w:t>
      </w:r>
      <w:r>
        <w:t xml:space="preserve"> </w:t>
      </w:r>
      <w:r>
        <w:t xml:space="preserve">not significantly changed by comparison to the previous legal framework. Hence, some</w:t>
      </w:r>
      <w:r>
        <w:t xml:space="preserve"> </w:t>
      </w:r>
      <w:r>
        <w:t xml:space="preserve">stakeholders stated that the EECC has not changed the situation but continued down the</w:t>
      </w:r>
      <w:r>
        <w:t xml:space="preserve"> </w:t>
      </w:r>
      <w:r>
        <w:t xml:space="preserve">pathway laid down by previous legislation. Because of this, only a few benefits of added</w:t>
      </w:r>
      <w:r>
        <w:t xml:space="preserve"> </w:t>
      </w:r>
      <w:r>
        <w:t xml:space="preserve">value were indicated.</w:t>
      </w:r>
    </w:p>
    <w:p>
      <w:pPr>
        <w:pStyle w:val="BodyText"/>
      </w:pPr>
      <w:r>
        <w:t xml:space="preserve">77 Reference to Section 2.1.10 on Network Convergence of the Final 1st Interim Report on Completing the</w:t>
      </w:r>
      <w:r>
        <w:t xml:space="preserve"> </w:t>
      </w:r>
      <w:r>
        <w:t xml:space="preserve">DSM.</w:t>
      </w:r>
      <w:r>
        <w:t xml:space="preserve"> </w:t>
      </w:r>
      <w:r>
        <w:t xml:space="preserve">78 Reference in Section 4.1.2 of the Final 1st Interim Report on Completing the DSM.</w:t>
      </w:r>
      <w:r>
        <w:t xml:space="preserve"> </w:t>
      </w:r>
      <w:r>
        <w:t xml:space="preserve">79 Commission Recommendation (EU) 2024/779 of 26 February 2024 on Secure and Resilient Submarine</w:t>
      </w:r>
      <w:r>
        <w:t xml:space="preserve"> </w:t>
      </w:r>
      <w:r>
        <w:t xml:space="preserve">Cable Infrastructures.</w:t>
      </w:r>
      <w:r>
        <w:t xml:space="preserve"> </w:t>
      </w:r>
      <w:r>
        <w:t xml:space="preserve">80 Reference in Section 4.1.2 of the Final 1st Interim Report on Completing the DSM.</w:t>
      </w:r>
    </w:p>
    <w:p>
      <w:pPr>
        <w:pStyle w:val="BodyText"/>
      </w:pPr>
      <w:r>
        <w:t xml:space="preserve">26</w:t>
      </w:r>
    </w:p>
    <w:p>
      <w:pPr>
        <w:pStyle w:val="BodyText"/>
      </w:pPr>
      <w:r>
        <w:t xml:space="preserve">A few stakeholders also mentioned the value added of promoting a level playing field</w:t>
      </w:r>
      <w:r>
        <w:t xml:space="preserve"> </w:t>
      </w:r>
      <w:r>
        <w:t xml:space="preserve">between small operators active in only one country and large international operators81.</w:t>
      </w:r>
      <w:r>
        <w:t xml:space="preserve"> </w:t>
      </w:r>
      <w:r>
        <w:t xml:space="preserve">For the standards part, the main evaluation findings describe that different Member States still</w:t>
      </w:r>
      <w:r>
        <w:t xml:space="preserve"> </w:t>
      </w:r>
      <w:r>
        <w:t xml:space="preserve">have different approaches, regulations and standards related to the cybersecurity of electronic</w:t>
      </w:r>
      <w:r>
        <w:t xml:space="preserve"> </w:t>
      </w:r>
      <w:r>
        <w:t xml:space="preserve">communications, which requires harmonisation.82.</w:t>
      </w:r>
      <w:r>
        <w:br/>
      </w:r>
      <w:r>
        <w:t xml:space="preserve">In terms of networks and their interconnection based on the evaluation outcomes, it could be</w:t>
      </w:r>
      <w:r>
        <w:t xml:space="preserve"> </w:t>
      </w:r>
      <w:r>
        <w:t xml:space="preserve">concluded that there have been a few legal challenges concerning networks and especially, on</w:t>
      </w:r>
      <w:r>
        <w:t xml:space="preserve"> </w:t>
      </w:r>
      <w:r>
        <w:t xml:space="preserve">the topic of data traffic termination in national courts (e.g., Germany DT vs Meta83). When</w:t>
      </w:r>
      <w:r>
        <w:t xml:space="preserve"> </w:t>
      </w:r>
      <w:r>
        <w:t xml:space="preserve">such issues are taken to court by a party, the likelihood of lengthy procedures continuing for</w:t>
      </w:r>
      <w:r>
        <w:t xml:space="preserve"> </w:t>
      </w:r>
      <w:r>
        <w:t xml:space="preserve">several years is high. These are disputes on commercial contracts and are not under the</w:t>
      </w:r>
      <w:r>
        <w:t xml:space="preserve"> </w:t>
      </w:r>
      <w:r>
        <w:t xml:space="preserve">jurisdiction of the Commission. Therefore, at EU level, we could conclude that it would be</w:t>
      </w:r>
      <w:r>
        <w:t xml:space="preserve"> </w:t>
      </w:r>
      <w:r>
        <w:t xml:space="preserve">useful to establish an ecosystem cooperation mechanism to monitor the market development</w:t>
      </w:r>
      <w:r>
        <w:t xml:space="preserve"> </w:t>
      </w:r>
      <w:r>
        <w:t xml:space="preserve">and its impact on the competitive dynamics in the context of various dimensions of IP-</w:t>
      </w:r>
      <w:r>
        <w:t xml:space="preserve"> </w:t>
      </w:r>
      <w:r>
        <w:t xml:space="preserve">networks and enhanced interaction with the national competent authorities and BEREC (e.g. </w:t>
      </w:r>
      <w:r>
        <w:t xml:space="preserve"> </w:t>
      </w:r>
      <w:r>
        <w:t xml:space="preserve">resilience and redundancy, smooth functioning of IP networks, including if integrated with</w:t>
      </w:r>
      <w:r>
        <w:t xml:space="preserve"> </w:t>
      </w:r>
      <w:r>
        <w:t xml:space="preserve">other types of networks, environmental sustainability etc.)</w:t>
      </w:r>
      <w:r>
        <w:br/>
      </w:r>
      <w:r>
        <w:t xml:space="preserve">Regarding the evolution of services, the findings confirm that there is room for further</w:t>
      </w:r>
      <w:r>
        <w:t xml:space="preserve"> </w:t>
      </w:r>
      <w:r>
        <w:t xml:space="preserve">extension of obligations to functionally equivalent services e.g., VoIP when justified by</w:t>
      </w:r>
      <w:r>
        <w:t xml:space="preserve"> </w:t>
      </w:r>
      <w:r>
        <w:t xml:space="preserve">public interest (e.g., resilience preparedness for natural disasters and public warnings or</w:t>
      </w:r>
      <w:r>
        <w:t xml:space="preserve"> </w:t>
      </w:r>
      <w:r>
        <w:t xml:space="preserve">emergency communications) and at the same time, avoiding overregulation by analysing</w:t>
      </w:r>
      <w:r>
        <w:t xml:space="preserve"> </w:t>
      </w:r>
      <w:r>
        <w:t xml:space="preserve">carefully the effects of existing similar provisions in other acts. For coherence purposes,</w:t>
      </w:r>
      <w:r>
        <w:t xml:space="preserve"> </w:t>
      </w:r>
      <w:r>
        <w:t xml:space="preserve">solutions should be also sought for facilitating compliance with other relatively recently</w:t>
      </w:r>
      <w:r>
        <w:t xml:space="preserve"> </w:t>
      </w:r>
      <w:r>
        <w:t xml:space="preserve">adopted digital legislation.</w:t>
      </w:r>
      <w:r>
        <w:t xml:space="preserve"> </w:t>
      </w:r>
      <w:r>
        <w:t xml:space="preserve">The technological evolution and the gradual transition to IP networks revealed new challenges</w:t>
      </w:r>
      <w:r>
        <w:t xml:space="preserve"> </w:t>
      </w:r>
      <w:r>
        <w:t xml:space="preserve">in terms of level playing field concerning consumer protection and tackling fraud. The scope</w:t>
      </w:r>
      <w:r>
        <w:t xml:space="preserve"> </w:t>
      </w:r>
      <w:r>
        <w:t xml:space="preserve">of the EECC definition of ECS providers and the respective IP addressing systems used, the</w:t>
      </w:r>
      <w:r>
        <w:t xml:space="preserve"> </w:t>
      </w:r>
      <w:r>
        <w:t xml:space="preserve">different services provided as well as the related e-privacy directive provisions signal some</w:t>
      </w:r>
      <w:r>
        <w:t xml:space="preserve"> </w:t>
      </w:r>
      <w:r>
        <w:t xml:space="preserve">issues related to fraud which need special attention (details in the End-users’ part).</w:t>
      </w:r>
      <w:r>
        <w:br/>
      </w:r>
      <w:r>
        <w:t xml:space="preserve">4. ACCESS REGULATION</w:t>
      </w:r>
      <w:r>
        <w:t xml:space="preserve"> </w:t>
      </w:r>
      <w:r>
        <w:t xml:space="preserve">4.1. Harmonisation of regulatory remedies (Art 32)</w:t>
      </w:r>
      <w:r>
        <w:t xml:space="preserve"> </w:t>
      </w:r>
      <w:r>
        <w:t xml:space="preserve">Although NRAs have increasingly defined markets subject to regulation as regional or local</w:t>
      </w:r>
      <w:r>
        <w:t xml:space="preserve"> </w:t>
      </w:r>
      <w:r>
        <w:t xml:space="preserve">and some NRAs decided to deregulate at national level,84 the Significant Market Power</w:t>
      </w:r>
      <w:r>
        <w:t xml:space="preserve"> </w:t>
      </w:r>
      <w:r>
        <w:t xml:space="preserve">(SMP) regime remained the key instrument for ex ante regulation85, even if regulatory</w:t>
      </w:r>
      <w:r>
        <w:t xml:space="preserve"> </w:t>
      </w:r>
      <w:r>
        <w:t xml:space="preserve">intervention can be envisaged outside of the SMP regime under the specific conditions set in</w:t>
      </w:r>
    </w:p>
    <w:p>
      <w:pPr>
        <w:pStyle w:val="BodyText"/>
      </w:pPr>
      <w:r>
        <w:t xml:space="preserve">81 Reference in Section 4.3.6 of the Final 1st Interim Report on Completing the DSM.</w:t>
      </w:r>
      <w:r>
        <w:t xml:space="preserve"> </w:t>
      </w:r>
      <w:r>
        <w:t xml:space="preserve">82 Reference in Section 4.1.2 of the Final 1st Interim Report on Completing the DSM.</w:t>
      </w:r>
      <w:r>
        <w:t xml:space="preserve"> </w:t>
      </w:r>
      <w:r>
        <w:t xml:space="preserve">83 For details on the two disputes please see Annex I in BEREC Report on the IP Interconnection</w:t>
      </w:r>
      <w:r>
        <w:t xml:space="preserve"> </w:t>
      </w:r>
      <w:r>
        <w:t xml:space="preserve">ecosystem, BoR(24) 93: https://www.berec.europa.eu/system/files/2024-</w:t>
      </w:r>
      <w:r>
        <w:t xml:space="preserve"> </w:t>
      </w:r>
      <w:r>
        <w:t xml:space="preserve">06/BoR%20%2824%29%2093_draft%20BEREC%20Report%20on%20the%20IP-IC%20ecosystem_1.pdf.</w:t>
      </w:r>
      <w:r>
        <w:t xml:space="preserve"> </w:t>
      </w:r>
      <w:r>
        <w:t xml:space="preserve">84 Market 1 is not regulated in BU, RO, NL and AT. Market 2 is not regulated in BU, CZ, DK, EE, FI, LV, MT,</w:t>
      </w:r>
      <w:r>
        <w:t xml:space="preserve"> </w:t>
      </w:r>
      <w:r>
        <w:t xml:space="preserve">NL, PL, RO, SK, SE.</w:t>
      </w:r>
      <w:r>
        <w:t xml:space="preserve"> </w:t>
      </w:r>
      <w:r>
        <w:t xml:space="preserve">85 There is widespread use of SMP regulation (only 2 out of 27 NRAs do not apply it at all). This is mirrored in</w:t>
      </w:r>
      <w:r>
        <w:t xml:space="preserve"> </w:t>
      </w:r>
      <w:r>
        <w:t xml:space="preserve">the large number of provisions that have been developed to guide the application of SMP regulation under</w:t>
      </w:r>
      <w:r>
        <w:t xml:space="preserve"> </w:t>
      </w:r>
      <w:r>
        <w:t xml:space="preserve">the EECC.</w:t>
      </w:r>
    </w:p>
    <w:p>
      <w:pPr>
        <w:pStyle w:val="BodyText"/>
      </w:pPr>
      <w:r>
        <w:t xml:space="preserve">27</w:t>
      </w:r>
    </w:p>
    <w:p>
      <w:pPr>
        <w:pStyle w:val="BodyText"/>
      </w:pPr>
      <w:r>
        <w:t xml:space="preserve">Article 61 of the EECC through symmetric regulation86.More specifically, a total of 23 NRAs</w:t>
      </w:r>
      <w:r>
        <w:t xml:space="preserve"> </w:t>
      </w:r>
      <w:r>
        <w:t xml:space="preserve">indicated that they had found SMP in the market for wholesale local access at a fixed location</w:t>
      </w:r>
      <w:r>
        <w:t xml:space="preserve"> </w:t>
      </w:r>
      <w:r>
        <w:t xml:space="preserve">(Market 1),87 while in 15 countries SMP was found in the corresponding Market 2 –</w:t>
      </w:r>
      <w:r>
        <w:t xml:space="preserve"> </w:t>
      </w:r>
      <w:r>
        <w:t xml:space="preserve">wholesale access for dedicated capacity.88 12 EU MS identified SMP in the former Market 3b</w:t>
      </w:r>
      <w:r>
        <w:t xml:space="preserve"> </w:t>
      </w:r>
      <w:r>
        <w:t xml:space="preserve">- Wholesale Central Access market,89 and 6 countries identified SMP in a separate market for</w:t>
      </w:r>
      <w:r>
        <w:t xml:space="preserve"> </w:t>
      </w:r>
      <w:r>
        <w:t xml:space="preserve">Physical Infrastructure Access (PIA).90 The following table provides an overview of SMP</w:t>
      </w:r>
      <w:r>
        <w:t xml:space="preserve"> </w:t>
      </w:r>
      <w:r>
        <w:t xml:space="preserve">findings by market and country.</w:t>
      </w:r>
      <w:r>
        <w:br/>
      </w:r>
      <w:r>
        <w:t xml:space="preserve">Table 4-1:</w:t>
      </w:r>
      <w:r>
        <w:t xml:space="preserve"> </w:t>
      </w:r>
      <w:r>
        <w:t xml:space="preserve">SMP findings (at least part of the market)</w:t>
      </w:r>
    </w:p>
    <w:p>
      <w:pPr>
        <w:pStyle w:val="BodyText"/>
      </w:pPr>
      <w:r>
        <w:t xml:space="preserve">Separate PIA</w:t>
      </w:r>
      <w:r>
        <w:t xml:space="preserve"> </w:t>
      </w:r>
      <w:r>
        <w:t xml:space="preserve">Market 1</w:t>
      </w:r>
      <w:r>
        <w:t xml:space="preserve"> </w:t>
      </w:r>
      <w:r>
        <w:t xml:space="preserve">Market 2</w:t>
      </w:r>
      <w:r>
        <w:t xml:space="preserve"> </w:t>
      </w:r>
      <w:r>
        <w:t xml:space="preserve">Market 3b</w:t>
      </w:r>
      <w:r>
        <w:t xml:space="preserve"> </w:t>
      </w:r>
      <w:r>
        <w:t xml:space="preserve">Austria</w:t>
      </w:r>
    </w:p>
    <w:p>
      <w:pPr>
        <w:pStyle w:val="BodyText"/>
      </w:pPr>
      <w:r>
        <w:t xml:space="preserve">No</w:t>
      </w:r>
      <w:r>
        <w:t xml:space="preserve"> </w:t>
      </w:r>
      <w:r>
        <w:t xml:space="preserve">Yes (partial)</w:t>
      </w:r>
      <w:r>
        <w:t xml:space="preserve"> </w:t>
      </w:r>
      <w:r>
        <w:t xml:space="preserve">No</w:t>
      </w:r>
      <w:r>
        <w:t xml:space="preserve"> </w:t>
      </w:r>
      <w:r>
        <w:t xml:space="preserve">segmentation</w:t>
      </w:r>
      <w:r>
        <w:t xml:space="preserve"> </w:t>
      </w:r>
      <w:r>
        <w:t xml:space="preserve">between</w:t>
      </w:r>
      <w:r>
        <w:t xml:space="preserve"> </w:t>
      </w:r>
      <w:r>
        <w:t xml:space="preserve">WLA</w:t>
      </w:r>
      <w:r>
        <w:t xml:space="preserve"> </w:t>
      </w:r>
      <w:r>
        <w:t xml:space="preserve">and</w:t>
      </w:r>
      <w:r>
        <w:t xml:space="preserve"> </w:t>
      </w:r>
      <w:r>
        <w:t xml:space="preserve">WCA</w:t>
      </w:r>
      <w:r>
        <w:t xml:space="preserve"> </w:t>
      </w:r>
      <w:r>
        <w:t xml:space="preserve">Belgium</w:t>
      </w:r>
    </w:p>
    <w:p>
      <w:pPr>
        <w:pStyle w:val="BodyText"/>
      </w:pPr>
      <w:r>
        <w:t xml:space="preserve">Yes</w:t>
      </w:r>
      <w:r>
        <w:t xml:space="preserve"> </w:t>
      </w:r>
      <w:r>
        <w:t xml:space="preserve">Yes</w:t>
      </w:r>
      <w:r>
        <w:t xml:space="preserve"> </w:t>
      </w:r>
      <w:r>
        <w:t xml:space="preserve">Yes</w:t>
      </w:r>
      <w:r>
        <w:t xml:space="preserve"> </w:t>
      </w:r>
      <w:r>
        <w:t xml:space="preserve">Bulgaria</w:t>
      </w:r>
      <w:r>
        <w:t xml:space="preserve"> </w:t>
      </w:r>
      <w:r>
        <w:t xml:space="preserve">Yes</w:t>
      </w:r>
      <w:r>
        <w:t xml:space="preserve"> </w:t>
      </w:r>
      <w:r>
        <w:t xml:space="preserve">No</w:t>
      </w:r>
      <w:r>
        <w:t xml:space="preserve"> </w:t>
      </w:r>
      <w:r>
        <w:t xml:space="preserve">No</w:t>
      </w:r>
      <w:r>
        <w:t xml:space="preserve"> </w:t>
      </w:r>
      <w:r>
        <w:t xml:space="preserve">No</w:t>
      </w:r>
      <w:r>
        <w:t xml:space="preserve"> </w:t>
      </w:r>
      <w:r>
        <w:t xml:space="preserve">Croatia</w:t>
      </w:r>
    </w:p>
    <w:p>
      <w:pPr>
        <w:pStyle w:val="BodyText"/>
      </w:pPr>
      <w:r>
        <w:t xml:space="preserve">Yes (partial)</w:t>
      </w:r>
      <w:r>
        <w:t xml:space="preserve"> </w:t>
      </w:r>
      <w:r>
        <w:t xml:space="preserve">Yes</w:t>
      </w:r>
      <w:r>
        <w:br/>
      </w:r>
      <w:r>
        <w:t xml:space="preserve">Yes (partial)</w:t>
      </w:r>
      <w:r>
        <w:t xml:space="preserve"> </w:t>
      </w:r>
      <w:r>
        <w:t xml:space="preserve">Cyprus</w:t>
      </w:r>
    </w:p>
    <w:p>
      <w:pPr>
        <w:pStyle w:val="BodyText"/>
      </w:pPr>
      <w:r>
        <w:t xml:space="preserve">Yes</w:t>
      </w:r>
      <w:r>
        <w:t xml:space="preserve"> </w:t>
      </w:r>
      <w:r>
        <w:t xml:space="preserve">Yes</w:t>
      </w:r>
      <w:r>
        <w:t xml:space="preserve"> </w:t>
      </w:r>
      <w:r>
        <w:t xml:space="preserve">No</w:t>
      </w:r>
      <w:r>
        <w:t xml:space="preserve"> </w:t>
      </w:r>
      <w:r>
        <w:t xml:space="preserve">Czech Republic</w:t>
      </w:r>
    </w:p>
    <w:p>
      <w:pPr>
        <w:pStyle w:val="BodyText"/>
      </w:pPr>
      <w:r>
        <w:t xml:space="preserve">Yes (partial)</w:t>
      </w:r>
      <w:r>
        <w:t xml:space="preserve"> </w:t>
      </w:r>
      <w:r>
        <w:t xml:space="preserve">No</w:t>
      </w:r>
      <w:r>
        <w:t xml:space="preserve"> </w:t>
      </w:r>
      <w:r>
        <w:t xml:space="preserve">No</w:t>
      </w:r>
      <w:r>
        <w:t xml:space="preserve"> </w:t>
      </w:r>
      <w:r>
        <w:t xml:space="preserve">Denmark</w:t>
      </w:r>
    </w:p>
    <w:p>
      <w:pPr>
        <w:pStyle w:val="BodyText"/>
      </w:pPr>
      <w:r>
        <w:t xml:space="preserve">Yes (partial)</w:t>
      </w:r>
      <w:r>
        <w:t xml:space="preserve"> </w:t>
      </w:r>
      <w:r>
        <w:t xml:space="preserve">No</w:t>
      </w:r>
      <w:r>
        <w:t xml:space="preserve"> </w:t>
      </w:r>
      <w:r>
        <w:t xml:space="preserve">No</w:t>
      </w:r>
      <w:r>
        <w:t xml:space="preserve"> </w:t>
      </w:r>
      <w:r>
        <w:t xml:space="preserve">segmentation</w:t>
      </w:r>
      <w:r>
        <w:t xml:space="preserve"> </w:t>
      </w:r>
      <w:r>
        <w:t xml:space="preserve">between</w:t>
      </w:r>
      <w:r>
        <w:t xml:space="preserve"> </w:t>
      </w:r>
      <w:r>
        <w:t xml:space="preserve">WLA</w:t>
      </w:r>
      <w:r>
        <w:t xml:space="preserve"> </w:t>
      </w:r>
      <w:r>
        <w:t xml:space="preserve">and</w:t>
      </w:r>
      <w:r>
        <w:t xml:space="preserve"> </w:t>
      </w:r>
      <w:r>
        <w:t xml:space="preserve">WCA</w:t>
      </w:r>
      <w:r>
        <w:t xml:space="preserve"> </w:t>
      </w:r>
      <w:r>
        <w:t xml:space="preserve">Estonia</w:t>
      </w:r>
      <w:r>
        <w:t xml:space="preserve"> </w:t>
      </w:r>
      <w:r>
        <w:t xml:space="preserve">Yes</w:t>
      </w:r>
      <w:r>
        <w:t xml:space="preserve"> </w:t>
      </w:r>
      <w:r>
        <w:t xml:space="preserve">Yes (partial)</w:t>
      </w:r>
      <w:r>
        <w:t xml:space="preserve"> </w:t>
      </w:r>
      <w:r>
        <w:t xml:space="preserve">No</w:t>
      </w:r>
      <w:r>
        <w:t xml:space="preserve"> </w:t>
      </w:r>
      <w:r>
        <w:t xml:space="preserve">Yes (partial)</w:t>
      </w:r>
      <w:r>
        <w:t xml:space="preserve"> </w:t>
      </w:r>
      <w:r>
        <w:t xml:space="preserve">Finland</w:t>
      </w:r>
    </w:p>
    <w:p>
      <w:pPr>
        <w:pStyle w:val="BodyText"/>
      </w:pPr>
      <w:r>
        <w:t xml:space="preserve">Yes (partial)</w:t>
      </w:r>
      <w:r>
        <w:t xml:space="preserve"> </w:t>
      </w:r>
      <w:r>
        <w:t xml:space="preserve">No (court decision)</w:t>
      </w:r>
      <w:r>
        <w:t xml:space="preserve"> </w:t>
      </w:r>
      <w:r>
        <w:t xml:space="preserve">No</w:t>
      </w:r>
      <w:r>
        <w:t xml:space="preserve"> </w:t>
      </w:r>
      <w:r>
        <w:t xml:space="preserve">France</w:t>
      </w:r>
      <w:r>
        <w:t xml:space="preserve"> </w:t>
      </w:r>
      <w:r>
        <w:t xml:space="preserve">Yes</w:t>
      </w:r>
      <w:r>
        <w:t xml:space="preserve"> </w:t>
      </w:r>
      <w:r>
        <w:t xml:space="preserve">Yes</w:t>
      </w:r>
      <w:r>
        <w:br/>
      </w:r>
      <w:r>
        <w:t xml:space="preserve">Yes</w:t>
      </w:r>
      <w:r>
        <w:t xml:space="preserve"> </w:t>
      </w:r>
      <w:r>
        <w:t xml:space="preserve">No</w:t>
      </w:r>
      <w:r>
        <w:t xml:space="preserve"> </w:t>
      </w:r>
      <w:r>
        <w:t xml:space="preserve">Germany</w:t>
      </w:r>
    </w:p>
    <w:p>
      <w:pPr>
        <w:pStyle w:val="BodyText"/>
      </w:pPr>
      <w:r>
        <w:t xml:space="preserve">Yes</w:t>
      </w:r>
      <w:r>
        <w:t xml:space="preserve"> </w:t>
      </w:r>
      <w:r>
        <w:t xml:space="preserve">Yes</w:t>
      </w:r>
      <w:r>
        <w:t xml:space="preserve"> </w:t>
      </w:r>
      <w:r>
        <w:t xml:space="preserve">Yes (partial)</w:t>
      </w:r>
      <w:r>
        <w:t xml:space="preserve"> </w:t>
      </w:r>
      <w:r>
        <w:t xml:space="preserve">Greece</w:t>
      </w:r>
    </w:p>
    <w:p>
      <w:pPr>
        <w:pStyle w:val="BodyText"/>
      </w:pPr>
      <w:r>
        <w:t xml:space="preserve">Yes</w:t>
      </w:r>
      <w:r>
        <w:t xml:space="preserve"> </w:t>
      </w:r>
      <w:r>
        <w:t xml:space="preserve">Yes</w:t>
      </w:r>
      <w:r>
        <w:t xml:space="preserve"> </w:t>
      </w:r>
      <w:r>
        <w:t xml:space="preserve">Yes</w:t>
      </w:r>
      <w:r>
        <w:t xml:space="preserve"> </w:t>
      </w:r>
      <w:r>
        <w:t xml:space="preserve">Hungary</w:t>
      </w:r>
    </w:p>
    <w:p>
      <w:pPr>
        <w:pStyle w:val="BodyText"/>
      </w:pPr>
      <w:r>
        <w:t xml:space="preserve">Yes</w:t>
      </w:r>
      <w:r>
        <w:t xml:space="preserve"> </w:t>
      </w:r>
      <w:r>
        <w:t xml:space="preserve">(partial)</w:t>
      </w:r>
      <w:r>
        <w:t xml:space="preserve"> </w:t>
      </w:r>
      <w:r>
        <w:t xml:space="preserve">but</w:t>
      </w:r>
      <w:r>
        <w:t xml:space="preserve"> </w:t>
      </w:r>
      <w:r>
        <w:t xml:space="preserve">withdrawal</w:t>
      </w:r>
      <w:r>
        <w:t xml:space="preserve"> </w:t>
      </w:r>
      <w:r>
        <w:t xml:space="preserve">Yes</w:t>
      </w:r>
      <w:r>
        <w:t xml:space="preserve"> </w:t>
      </w:r>
      <w:r>
        <w:t xml:space="preserve">Yes</w:t>
      </w:r>
      <w:r>
        <w:t xml:space="preserve"> </w:t>
      </w:r>
      <w:r>
        <w:t xml:space="preserve">(partial)</w:t>
      </w:r>
      <w:r>
        <w:t xml:space="preserve"> </w:t>
      </w:r>
      <w:r>
        <w:t xml:space="preserve">but</w:t>
      </w:r>
      <w:r>
        <w:t xml:space="preserve"> </w:t>
      </w:r>
      <w:r>
        <w:t xml:space="preserve">withdrawal</w:t>
      </w:r>
      <w:r>
        <w:t xml:space="preserve"> </w:t>
      </w:r>
      <w:r>
        <w:t xml:space="preserve">Ireland</w:t>
      </w:r>
      <w:r>
        <w:t xml:space="preserve"> </w:t>
      </w:r>
      <w:r>
        <w:t xml:space="preserve">Yes</w:t>
      </w:r>
      <w:r>
        <w:t xml:space="preserve"> </w:t>
      </w:r>
      <w:r>
        <w:t xml:space="preserve">Yes</w:t>
      </w:r>
      <w:r>
        <w:t xml:space="preserve"> </w:t>
      </w:r>
      <w:r>
        <w:t xml:space="preserve">Yes (partial)</w:t>
      </w:r>
      <w:r>
        <w:t xml:space="preserve"> </w:t>
      </w:r>
      <w:r>
        <w:t xml:space="preserve">No</w:t>
      </w:r>
      <w:r>
        <w:t xml:space="preserve"> </w:t>
      </w:r>
      <w:r>
        <w:t xml:space="preserve">Italy</w:t>
      </w:r>
    </w:p>
    <w:p>
      <w:pPr>
        <w:pStyle w:val="BodyText"/>
      </w:pPr>
      <w:r>
        <w:t xml:space="preserve">Yes (partial)</w:t>
      </w:r>
      <w:r>
        <w:t xml:space="preserve"> </w:t>
      </w:r>
      <w:r>
        <w:t xml:space="preserve">Yes (partial)</w:t>
      </w:r>
      <w:r>
        <w:t xml:space="preserve"> </w:t>
      </w:r>
      <w:r>
        <w:t xml:space="preserve">Yes (partial)</w:t>
      </w:r>
      <w:r>
        <w:t xml:space="preserve"> </w:t>
      </w:r>
      <w:r>
        <w:t xml:space="preserve">Latvia</w:t>
      </w:r>
    </w:p>
    <w:p>
      <w:pPr>
        <w:pStyle w:val="BodyText"/>
      </w:pPr>
      <w:r>
        <w:t xml:space="preserve">Yes (partial)</w:t>
      </w:r>
      <w:r>
        <w:t xml:space="preserve"> </w:t>
      </w:r>
      <w:r>
        <w:t xml:space="preserve">No</w:t>
      </w:r>
      <w:r>
        <w:t xml:space="preserve"> </w:t>
      </w:r>
      <w:r>
        <w:t xml:space="preserve">Yes (partial)</w:t>
      </w:r>
      <w:r>
        <w:t xml:space="preserve"> </w:t>
      </w:r>
      <w:r>
        <w:t xml:space="preserve">Lithuania</w:t>
      </w:r>
    </w:p>
    <w:p>
      <w:pPr>
        <w:pStyle w:val="BodyText"/>
      </w:pPr>
      <w:r>
        <w:t xml:space="preserve">Yes</w:t>
      </w:r>
      <w:r>
        <w:t xml:space="preserve"> </w:t>
      </w:r>
      <w:r>
        <w:t xml:space="preserve">Yes</w:t>
      </w:r>
      <w:r>
        <w:t xml:space="preserve"> </w:t>
      </w:r>
      <w:r>
        <w:t xml:space="preserve">Yes (partial)</w:t>
      </w:r>
      <w:r>
        <w:t xml:space="preserve"> </w:t>
      </w:r>
      <w:r>
        <w:t xml:space="preserve">Luxembourg</w:t>
      </w:r>
    </w:p>
    <w:p>
      <w:pPr>
        <w:pStyle w:val="BodyText"/>
      </w:pPr>
      <w:r>
        <w:t xml:space="preserve">Yes</w:t>
      </w:r>
      <w:r>
        <w:t xml:space="preserve"> </w:t>
      </w:r>
      <w:r>
        <w:t xml:space="preserve">Yes</w:t>
      </w:r>
      <w:r>
        <w:t xml:space="preserve"> </w:t>
      </w:r>
      <w:r>
        <w:t xml:space="preserve">Yes</w:t>
      </w:r>
      <w:r>
        <w:t xml:space="preserve"> </w:t>
      </w:r>
      <w:r>
        <w:t xml:space="preserve">Malta</w:t>
      </w:r>
    </w:p>
    <w:p>
      <w:pPr>
        <w:pStyle w:val="BodyText"/>
      </w:pPr>
      <w:r>
        <w:t xml:space="preserve">Yes but withdrawal</w:t>
      </w:r>
      <w:r>
        <w:t xml:space="preserve"> </w:t>
      </w:r>
      <w:r>
        <w:t xml:space="preserve">No</w:t>
      </w:r>
      <w:r>
        <w:t xml:space="preserve"> </w:t>
      </w:r>
      <w:r>
        <w:t xml:space="preserve">No</w:t>
      </w:r>
      <w:r>
        <w:t xml:space="preserve"> </w:t>
      </w:r>
      <w:r>
        <w:t xml:space="preserve">Netherlands</w:t>
      </w:r>
    </w:p>
    <w:p>
      <w:pPr>
        <w:pStyle w:val="BodyText"/>
      </w:pPr>
      <w:r>
        <w:t xml:space="preserve">No</w:t>
      </w:r>
      <w:r>
        <w:t xml:space="preserve"> </w:t>
      </w:r>
      <w:r>
        <w:t xml:space="preserve">No</w:t>
      </w:r>
      <w:r>
        <w:t xml:space="preserve"> </w:t>
      </w:r>
      <w:r>
        <w:t xml:space="preserve">No</w:t>
      </w:r>
      <w:r>
        <w:t xml:space="preserve"> </w:t>
      </w:r>
      <w:r>
        <w:t xml:space="preserve">segmentation</w:t>
      </w:r>
      <w:r>
        <w:t xml:space="preserve"> </w:t>
      </w:r>
      <w:r>
        <w:t xml:space="preserve">between</w:t>
      </w:r>
      <w:r>
        <w:t xml:space="preserve"> </w:t>
      </w:r>
      <w:r>
        <w:t xml:space="preserve">WLA</w:t>
      </w:r>
      <w:r>
        <w:t xml:space="preserve"> </w:t>
      </w:r>
      <w:r>
        <w:t xml:space="preserve">and</w:t>
      </w:r>
      <w:r>
        <w:t xml:space="preserve"> </w:t>
      </w:r>
      <w:r>
        <w:t xml:space="preserve">WCA</w:t>
      </w:r>
      <w:r>
        <w:t xml:space="preserve"> </w:t>
      </w:r>
      <w:r>
        <w:t xml:space="preserve">Poland</w:t>
      </w:r>
    </w:p>
    <w:p>
      <w:pPr>
        <w:pStyle w:val="BodyText"/>
      </w:pPr>
      <w:r>
        <w:t xml:space="preserve">Yes (partial)</w:t>
      </w:r>
      <w:r>
        <w:t xml:space="preserve"> </w:t>
      </w:r>
      <w:r>
        <w:t xml:space="preserve">No</w:t>
      </w:r>
      <w:r>
        <w:t xml:space="preserve"> </w:t>
      </w:r>
      <w:r>
        <w:t xml:space="preserve">Yes (partial)</w:t>
      </w:r>
    </w:p>
    <w:p>
      <w:pPr>
        <w:pStyle w:val="BodyText"/>
      </w:pPr>
      <w:r>
        <w:t xml:space="preserve">86 In particular, Article 61(3) provides that access obligations can be imposed with respect to wiring and</w:t>
      </w:r>
      <w:r>
        <w:t xml:space="preserve"> </w:t>
      </w:r>
      <w:r>
        <w:t xml:space="preserve">associated facilities inside buildings or up to the first concentration or distribution point where the</w:t>
      </w:r>
      <w:r>
        <w:t xml:space="preserve"> </w:t>
      </w:r>
      <w:r>
        <w:t xml:space="preserve">replication of these network elements would be economically inefficient or physically impracticable; under</w:t>
      </w:r>
      <w:r>
        <w:t xml:space="preserve"> </w:t>
      </w:r>
      <w:r>
        <w:t xml:space="preserve">strict conditions such obligations can be extended up to a point beyond. These provisions are applicable</w:t>
      </w:r>
      <w:r>
        <w:t xml:space="preserve"> </w:t>
      </w:r>
      <w:r>
        <w:t xml:space="preserve">outside of the context of a market analysis, and irrespective of whether the undertaking concerned has been</w:t>
      </w:r>
      <w:r>
        <w:t xml:space="preserve"> </w:t>
      </w:r>
      <w:r>
        <w:t xml:space="preserve">designated as having significant market power.</w:t>
      </w:r>
      <w:r>
        <w:br/>
      </w:r>
      <w:r>
        <w:t xml:space="preserve">87 EL, EE (partly), SK, SE, CY, LV (partly), LU, DK (partly), CZ (partly), DE, IT (partly), BE, HR (partly),</w:t>
      </w:r>
      <w:r>
        <w:t xml:space="preserve"> </w:t>
      </w:r>
      <w:r>
        <w:t xml:space="preserve">MT, FR, IE, FI (partly), LT, LI, PT (partly), HU, PL (partly), SI. It should be noted however that there is no</w:t>
      </w:r>
      <w:r>
        <w:t xml:space="preserve"> </w:t>
      </w:r>
      <w:r>
        <w:t xml:space="preserve">distinction between WLA and WCA in Austria, Denmark and Netherlands.</w:t>
      </w:r>
      <w:r>
        <w:t xml:space="preserve"> </w:t>
      </w:r>
      <w:r>
        <w:t xml:space="preserve">88 EL, CY, LU, DE, IT (partly), BE, HR, AT (partly), FR, IE (partly), LT, ES, PT (partly), HU.</w:t>
      </w:r>
      <w:r>
        <w:t xml:space="preserve"> </w:t>
      </w:r>
      <w:r>
        <w:t xml:space="preserve">89 EL, SK, LV, LU, IS, DE, SI, BE, HR, FI, LT, PL.</w:t>
      </w:r>
      <w:r>
        <w:t xml:space="preserve"> </w:t>
      </w:r>
      <w:r>
        <w:t xml:space="preserve">90 EE, IE, LV, BG, FR and PT.</w:t>
      </w:r>
    </w:p>
    <w:p>
      <w:pPr>
        <w:pStyle w:val="BodyText"/>
      </w:pPr>
      <w:r>
        <w:t xml:space="preserve">28</w:t>
      </w:r>
    </w:p>
    <w:p>
      <w:pPr>
        <w:pStyle w:val="BodyText"/>
      </w:pPr>
      <w:r>
        <w:t xml:space="preserve">Separate PIA</w:t>
      </w:r>
      <w:r>
        <w:t xml:space="preserve"> </w:t>
      </w:r>
      <w:r>
        <w:t xml:space="preserve">Market 1</w:t>
      </w:r>
      <w:r>
        <w:t xml:space="preserve"> </w:t>
      </w:r>
      <w:r>
        <w:t xml:space="preserve">Market 2</w:t>
      </w:r>
      <w:r>
        <w:t xml:space="preserve"> </w:t>
      </w:r>
      <w:r>
        <w:t xml:space="preserve">Market 3b</w:t>
      </w:r>
      <w:r>
        <w:t xml:space="preserve"> </w:t>
      </w:r>
      <w:r>
        <w:t xml:space="preserve">Portugal</w:t>
      </w:r>
      <w:r>
        <w:t xml:space="preserve"> </w:t>
      </w:r>
      <w:r>
        <w:t xml:space="preserve">Yes</w:t>
      </w:r>
      <w:r>
        <w:t xml:space="preserve"> </w:t>
      </w:r>
      <w:r>
        <w:t xml:space="preserve">Yes (partial)</w:t>
      </w:r>
      <w:r>
        <w:t xml:space="preserve"> </w:t>
      </w:r>
      <w:r>
        <w:t xml:space="preserve">Yes (partial)</w:t>
      </w:r>
      <w:r>
        <w:t xml:space="preserve"> </w:t>
      </w:r>
      <w:r>
        <w:t xml:space="preserve">No</w:t>
      </w:r>
      <w:r>
        <w:t xml:space="preserve"> </w:t>
      </w:r>
      <w:r>
        <w:t xml:space="preserve">Romania</w:t>
      </w:r>
    </w:p>
    <w:p>
      <w:pPr>
        <w:pStyle w:val="BodyText"/>
      </w:pPr>
      <w:r>
        <w:t xml:space="preserve">No</w:t>
      </w:r>
      <w:r>
        <w:t xml:space="preserve"> </w:t>
      </w:r>
      <w:r>
        <w:t xml:space="preserve">No</w:t>
      </w:r>
      <w:r>
        <w:t xml:space="preserve"> </w:t>
      </w:r>
      <w:r>
        <w:t xml:space="preserve">No</w:t>
      </w:r>
      <w:r>
        <w:t xml:space="preserve"> </w:t>
      </w:r>
      <w:r>
        <w:t xml:space="preserve">Slovakia</w:t>
      </w:r>
    </w:p>
    <w:p>
      <w:pPr>
        <w:pStyle w:val="BodyText"/>
      </w:pPr>
      <w:r>
        <w:t xml:space="preserve">Yes</w:t>
      </w:r>
      <w:r>
        <w:t xml:space="preserve"> </w:t>
      </w:r>
      <w:r>
        <w:t xml:space="preserve">No</w:t>
      </w:r>
      <w:r>
        <w:t xml:space="preserve"> </w:t>
      </w:r>
      <w:r>
        <w:t xml:space="preserve">Yes</w:t>
      </w:r>
      <w:r>
        <w:t xml:space="preserve"> </w:t>
      </w:r>
      <w:r>
        <w:t xml:space="preserve">Slovenia</w:t>
      </w:r>
    </w:p>
    <w:p>
      <w:pPr>
        <w:pStyle w:val="BodyText"/>
      </w:pPr>
      <w:r>
        <w:t xml:space="preserve">Yes</w:t>
      </w:r>
      <w:r>
        <w:t xml:space="preserve"> </w:t>
      </w:r>
      <w:r>
        <w:t xml:space="preserve">Yes</w:t>
      </w:r>
      <w:r>
        <w:t xml:space="preserve"> </w:t>
      </w:r>
      <w:r>
        <w:t xml:space="preserve">Yes (partial)</w:t>
      </w:r>
      <w:r>
        <w:t xml:space="preserve"> </w:t>
      </w:r>
      <w:r>
        <w:t xml:space="preserve">Spain</w:t>
      </w:r>
    </w:p>
    <w:p>
      <w:pPr>
        <w:pStyle w:val="BodyText"/>
      </w:pPr>
      <w:r>
        <w:t xml:space="preserve">No</w:t>
      </w:r>
      <w:r>
        <w:t xml:space="preserve"> </w:t>
      </w:r>
      <w:r>
        <w:t xml:space="preserve">Yes</w:t>
      </w:r>
      <w:r>
        <w:t xml:space="preserve"> </w:t>
      </w:r>
      <w:r>
        <w:t xml:space="preserve">Yes (partial)</w:t>
      </w:r>
      <w:r>
        <w:t xml:space="preserve"> </w:t>
      </w:r>
      <w:r>
        <w:t xml:space="preserve">Sweden</w:t>
      </w:r>
    </w:p>
    <w:p>
      <w:pPr>
        <w:pStyle w:val="BodyText"/>
      </w:pPr>
      <w:r>
        <w:t xml:space="preserve">Yes</w:t>
      </w:r>
      <w:r>
        <w:t xml:space="preserve"> </w:t>
      </w:r>
      <w:r>
        <w:t xml:space="preserve">No</w:t>
      </w:r>
      <w:r>
        <w:t xml:space="preserve"> </w:t>
      </w:r>
      <w:r>
        <w:t xml:space="preserve">No</w:t>
      </w:r>
    </w:p>
    <w:p>
      <w:pPr>
        <w:pStyle w:val="BodyText"/>
      </w:pPr>
      <w:r>
        <w:t xml:space="preserve">Under the SMP regime, regulatory intervention on a specific product and geographic market</w:t>
      </w:r>
      <w:r>
        <w:t xml:space="preserve"> </w:t>
      </w:r>
      <w:r>
        <w:t xml:space="preserve">can be justified if proven that these markets are characterised by high barriers to entry and do</w:t>
      </w:r>
      <w:r>
        <w:t xml:space="preserve"> </w:t>
      </w:r>
      <w:r>
        <w:t xml:space="preserve">not tend towards effective competition, and that competition law instruments are insufficient</w:t>
      </w:r>
      <w:r>
        <w:t xml:space="preserve"> </w:t>
      </w:r>
      <w:r>
        <w:t xml:space="preserve">to tackle the identified competition problems (so called three criteria test under Article 67</w:t>
      </w:r>
      <w:r>
        <w:t xml:space="preserve"> </w:t>
      </w:r>
      <w:r>
        <w:t xml:space="preserve">EECC). An undertaking is deemed to have SMP, if, either individually or jointly with others,</w:t>
      </w:r>
      <w:r>
        <w:t xml:space="preserve"> </w:t>
      </w:r>
      <w:r>
        <w:t xml:space="preserve">it enjoys a position equivalent to dominance, i.e. a position of economic strength, which gives</w:t>
      </w:r>
      <w:r>
        <w:t xml:space="preserve"> </w:t>
      </w:r>
      <w:r>
        <w:t xml:space="preserve">it the power to behave to an appreciable extent independently of competitors, customers and</w:t>
      </w:r>
      <w:r>
        <w:t xml:space="preserve"> </w:t>
      </w:r>
      <w:r>
        <w:t xml:space="preserve">ultimately consumers. Guidance on the market definition and SMP assessment has been</w:t>
      </w:r>
      <w:r>
        <w:t xml:space="preserve"> </w:t>
      </w:r>
      <w:r>
        <w:t xml:space="preserve">provided in the 2018 SMP Guidelines91 and in the 2020 RRM92. Additionally, guidelines on</w:t>
      </w:r>
      <w:r>
        <w:t xml:space="preserve"> </w:t>
      </w:r>
      <w:r>
        <w:t xml:space="preserve">the imposition of remedies are provided in the 2024 Gigabit Recommendation93.</w:t>
      </w:r>
      <w:r>
        <w:t xml:space="preserve"> </w:t>
      </w:r>
      <w:r>
        <w:t xml:space="preserve">When the EECC became fully applicable on 21 December 2020, it introduced the promotion</w:t>
      </w:r>
      <w:r>
        <w:t xml:space="preserve"> </w:t>
      </w:r>
      <w:r>
        <w:t xml:space="preserve">of connectivity, access to and take-up of VHCN as a new objective of the regulatory</w:t>
      </w:r>
      <w:r>
        <w:t xml:space="preserve"> </w:t>
      </w:r>
      <w:r>
        <w:t xml:space="preserve">framework, alongside the promotion of competition, the development of the internal market</w:t>
      </w:r>
      <w:r>
        <w:t xml:space="preserve"> </w:t>
      </w:r>
      <w:r>
        <w:t xml:space="preserve">and the interests of Union citizens. The market environment has also changed dramatically as</w:t>
      </w:r>
      <w:r>
        <w:t xml:space="preserve"> </w:t>
      </w:r>
      <w:r>
        <w:t xml:space="preserve">a consequence of huge amounts of investments required to replace the copper local loop by</w:t>
      </w:r>
      <w:r>
        <w:t xml:space="preserve"> </w:t>
      </w:r>
      <w:r>
        <w:t xml:space="preserve">fibre and the emergence of players other than the historic telecom incumbents that are</w:t>
      </w:r>
      <w:r>
        <w:t xml:space="preserve"> </w:t>
      </w:r>
      <w:r>
        <w:t xml:space="preserve">deploying FTTH loops in certain geographic areas.</w:t>
      </w:r>
      <w:r>
        <w:br/>
      </w:r>
      <w:r>
        <w:t xml:space="preserve">Specifically, as regards copper switch-off, operators with significant market power and</w:t>
      </w:r>
      <w:r>
        <w:t xml:space="preserve"> </w:t>
      </w:r>
      <w:r>
        <w:t xml:space="preserve">subject to network access obligations must notify NRAs when they plan to decommission or</w:t>
      </w:r>
      <w:r>
        <w:t xml:space="preserve"> </w:t>
      </w:r>
      <w:r>
        <w:t xml:space="preserve">replace their copper networks94. The aim of the currently applicable regulation is to ensure</w:t>
      </w:r>
      <w:r>
        <w:t xml:space="preserve"> </w:t>
      </w:r>
      <w:r>
        <w:t xml:space="preserve">that migrations from regulated networks are transparent with a clear timetable and adequate</w:t>
      </w:r>
      <w:r>
        <w:t xml:space="preserve"> </w:t>
      </w:r>
      <w:r>
        <w:t xml:space="preserve">notice periods, do not harm competition or end-user rights and that alternative access products</w:t>
      </w:r>
      <w:r>
        <w:t xml:space="preserve"> </w:t>
      </w:r>
      <w:r>
        <w:t xml:space="preserve">of comparable quality are available.</w:t>
      </w:r>
      <w:r>
        <w:t xml:space="preserve"> </w:t>
      </w:r>
      <w:r>
        <w:t xml:space="preserve">4.2. Market developments</w:t>
      </w:r>
      <w:r>
        <w:t xml:space="preserve"> </w:t>
      </w:r>
      <w:r>
        <w:t xml:space="preserve">Article 3 of the EECC provides that NRAs and other competent authorities should “promote</w:t>
      </w:r>
      <w:r>
        <w:t xml:space="preserve"> </w:t>
      </w:r>
      <w:r>
        <w:t xml:space="preserve">regulatory predictability by ensuring a consistent regulatory approach over appropriate review</w:t>
      </w:r>
      <w:r>
        <w:t xml:space="preserve"> </w:t>
      </w:r>
      <w:r>
        <w:t xml:space="preserve">periods”, “take due account of the variety of conditions relating to infrastructure, competition,</w:t>
      </w:r>
      <w:r>
        <w:t xml:space="preserve"> </w:t>
      </w:r>
      <w:r>
        <w:t xml:space="preserve">the circumstances of end-users and in particular consumers in the various geographic areas”</w:t>
      </w:r>
    </w:p>
    <w:p>
      <w:pPr>
        <w:pStyle w:val="BodyText"/>
      </w:pPr>
      <w:r>
        <w:t xml:space="preserve">91 Guidelines on market analysis and the assessment of significant market power under the EU regulatory</w:t>
      </w:r>
      <w:r>
        <w:t xml:space="preserve"> </w:t>
      </w:r>
      <w:r>
        <w:t xml:space="preserve">framework for electronic communications networks and services (2018/C 159/01).</w:t>
      </w:r>
      <w:r>
        <w:t xml:space="preserve"> </w:t>
      </w:r>
      <w:r>
        <w:t xml:space="preserve">92 Commission Recommendation (EU) 2020/2245 of 18 December 2020 on relevant product and service</w:t>
      </w:r>
      <w:r>
        <w:t xml:space="preserve"> </w:t>
      </w:r>
      <w:r>
        <w:t xml:space="preserve">markets within the electronic communications sector susceptible to ex ante regulation in accordance with the</w:t>
      </w:r>
      <w:r>
        <w:t xml:space="preserve"> </w:t>
      </w:r>
      <w:r>
        <w:t xml:space="preserve">EECC (2020 Recommendation on Relevant Markets) (OJ L 439, 29.12.2020, p. 23-31).</w:t>
      </w:r>
      <w:r>
        <w:t xml:space="preserve"> </w:t>
      </w:r>
      <w:r>
        <w:t xml:space="preserve">93 Commission Recommendation (EU) 2024/539 of 6 February 2024 on the regulatory promotion of gigabit</w:t>
      </w:r>
      <w:r>
        <w:t xml:space="preserve"> </w:t>
      </w:r>
      <w:r>
        <w:t xml:space="preserve">connectivity (C/2024/523) (OJ L, 2024/539, 19.2.2024).</w:t>
      </w:r>
      <w:r>
        <w:t xml:space="preserve"> </w:t>
      </w:r>
      <w:r>
        <w:t xml:space="preserve">94 See Article 81 EECC.</w:t>
      </w:r>
    </w:p>
    <w:p>
      <w:pPr>
        <w:pStyle w:val="BodyText"/>
      </w:pPr>
      <w:r>
        <w:t xml:space="preserve">29</w:t>
      </w:r>
    </w:p>
    <w:p>
      <w:pPr>
        <w:pStyle w:val="BodyText"/>
      </w:pPr>
      <w:r>
        <w:t xml:space="preserve">and “impose ex ante regulatory obligations only to the extent necessary to secure effective</w:t>
      </w:r>
      <w:r>
        <w:t xml:space="preserve"> </w:t>
      </w:r>
      <w:r>
        <w:t xml:space="preserve">and sustainable competition in the interest of end-users and relax or lift such obligations as</w:t>
      </w:r>
      <w:r>
        <w:t xml:space="preserve"> </w:t>
      </w:r>
      <w:r>
        <w:t xml:space="preserve">soon as that condition is fulfilled”.</w:t>
      </w:r>
      <w:r>
        <w:t xml:space="preserve"> </w:t>
      </w:r>
      <w:r>
        <w:t xml:space="preserve">A key trend in business models since the last review of the telecom framework and relevant</w:t>
      </w:r>
      <w:r>
        <w:t xml:space="preserve"> </w:t>
      </w:r>
      <w:r>
        <w:t xml:space="preserve">market recommendation is the emergence of wholesale-only companies in both fixed (netcos)</w:t>
      </w:r>
      <w:r>
        <w:t xml:space="preserve"> </w:t>
      </w:r>
      <w:r>
        <w:t xml:space="preserve">and mobile (towercos). The following diagram provides an overview of fibre netcos across</w:t>
      </w:r>
      <w:r>
        <w:t xml:space="preserve"> </w:t>
      </w:r>
      <w:r>
        <w:t xml:space="preserve">the EU as of 2023</w:t>
      </w:r>
    </w:p>
    <w:p>
      <w:pPr>
        <w:pStyle w:val="BodyText"/>
      </w:pPr>
      <w:r>
        <w:t xml:space="preserve">The switch-off of legacy copper networks is another development that is likely to influence</w:t>
      </w:r>
      <w:r>
        <w:t xml:space="preserve"> </w:t>
      </w:r>
      <w:r>
        <w:t xml:space="preserve">market structures going forwards. While it is expected that the switch of copper networks will</w:t>
      </w:r>
      <w:r>
        <w:t xml:space="preserve"> </w:t>
      </w:r>
      <w:r>
        <w:t xml:space="preserve">the limit demand risk for FTTH on a market-wide basis, the way in which the copper switch-</w:t>
      </w:r>
      <w:r>
        <w:t xml:space="preserve"> </w:t>
      </w:r>
      <w:r>
        <w:t xml:space="preserve">off is managed (and any associated conditions) may influence where the copper customers go.</w:t>
      </w:r>
      <w:r>
        <w:t xml:space="preserve"> </w:t>
      </w:r>
      <w:r>
        <w:t xml:space="preserve">Subsequently, this will influence the business case for alternative fibre investors, as well as</w:t>
      </w:r>
      <w:r>
        <w:t xml:space="preserve"> </w:t>
      </w:r>
      <w:r>
        <w:t xml:space="preserve">the possibility for alternative operators to provide broadband services via wholesale access to</w:t>
      </w:r>
      <w:r>
        <w:t xml:space="preserve"> </w:t>
      </w:r>
      <w:r>
        <w:t xml:space="preserve">the incumbent’s upgraded copper network. Copper switch-off, if managed in a way that</w:t>
      </w:r>
      <w:r>
        <w:t xml:space="preserve"> </w:t>
      </w:r>
      <w:r>
        <w:t xml:space="preserve">allows incumbents to delay fibre roll-out and progressively migrate customers to its own fibre</w:t>
      </w:r>
      <w:r>
        <w:t xml:space="preserve"> </w:t>
      </w:r>
      <w:r>
        <w:t xml:space="preserve">network alternative fibre providers in areas where only one FTTH network is viable, will</w:t>
      </w:r>
      <w:r>
        <w:t xml:space="preserve"> </w:t>
      </w:r>
      <w:r>
        <w:t xml:space="preserve">increase market concentration at the infrastructure layer by replicating with fibre networks the</w:t>
      </w:r>
      <w:r>
        <w:t xml:space="preserve"> </w:t>
      </w:r>
      <w:r>
        <w:t xml:space="preserve">same market situation already present in copper-based markets.</w:t>
      </w:r>
      <w:r>
        <w:t xml:space="preserve"> </w:t>
      </w:r>
      <w:r>
        <w:t xml:space="preserve">Technological trends</w:t>
      </w:r>
      <w:r>
        <w:t xml:space="preserve"> </w:t>
      </w:r>
      <w:r>
        <w:t xml:space="preserve">Incumbent</w:t>
      </w:r>
      <w:r>
        <w:t xml:space="preserve"> </w:t>
      </w:r>
      <w:r>
        <w:t xml:space="preserve">subsidiary:</w:t>
      </w:r>
      <w:r>
        <w:t xml:space="preserve"> </w:t>
      </w:r>
      <w:r>
        <w:t xml:space="preserve">Openreach</w:t>
      </w:r>
      <w:r>
        <w:t xml:space="preserve"> </w:t>
      </w:r>
      <w:r>
        <w:t xml:space="preserve">Independent:</w:t>
      </w:r>
      <w:r>
        <w:t xml:space="preserve"> </w:t>
      </w:r>
      <w:r>
        <w:t xml:space="preserve">CityFibre</w:t>
      </w:r>
      <w:r>
        <w:t xml:space="preserve"> </w:t>
      </w:r>
      <w:r>
        <w:t xml:space="preserve">Independent:</w:t>
      </w:r>
      <w:r>
        <w:t xml:space="preserve"> </w:t>
      </w:r>
      <w:r>
        <w:t xml:space="preserve">Onivia, Lyntia</w:t>
      </w:r>
      <w:r>
        <w:t xml:space="preserve"> </w:t>
      </w:r>
      <w:r>
        <w:t xml:space="preserve">Incumbent-investor</w:t>
      </w:r>
      <w:r>
        <w:t xml:space="preserve"> </w:t>
      </w:r>
      <w:r>
        <w:t xml:space="preserve">JV: Bluevia</w:t>
      </w:r>
      <w:r>
        <w:t xml:space="preserve"> </w:t>
      </w:r>
      <w:r>
        <w:t xml:space="preserve">Incumbent-</w:t>
      </w:r>
      <w:r>
        <w:t xml:space="preserve"> </w:t>
      </w:r>
      <w:r>
        <w:t xml:space="preserve">altnet JV:</w:t>
      </w:r>
      <w:r>
        <w:t xml:space="preserve"> </w:t>
      </w:r>
      <w:r>
        <w:t xml:space="preserve">Glasfaser</w:t>
      </w:r>
      <w:r>
        <w:t xml:space="preserve"> </w:t>
      </w:r>
      <w:r>
        <w:t xml:space="preserve">Nordwest</w:t>
      </w:r>
      <w:r>
        <w:t xml:space="preserve"> </w:t>
      </w:r>
      <w:r>
        <w:t xml:space="preserve">Incumbent /</w:t>
      </w:r>
      <w:r>
        <w:t xml:space="preserve"> </w:t>
      </w:r>
      <w:r>
        <w:t xml:space="preserve">Altnet-investor</w:t>
      </w:r>
      <w:r>
        <w:t xml:space="preserve"> </w:t>
      </w:r>
      <w:r>
        <w:t xml:space="preserve">JVs:</w:t>
      </w:r>
      <w:r>
        <w:t xml:space="preserve"> </w:t>
      </w:r>
      <w:r>
        <w:t xml:space="preserve">GlasfaserPlus,</w:t>
      </w:r>
      <w:r>
        <w:t xml:space="preserve"> </w:t>
      </w:r>
      <w:r>
        <w:t xml:space="preserve">OXG Glasfaser</w:t>
      </w:r>
      <w:r>
        <w:t xml:space="preserve"> </w:t>
      </w:r>
      <w:r>
        <w:t xml:space="preserve">Independent: Open</w:t>
      </w:r>
      <w:r>
        <w:t xml:space="preserve"> </w:t>
      </w:r>
      <w:r>
        <w:t xml:space="preserve">Fiber</w:t>
      </w:r>
      <w:r>
        <w:t xml:space="preserve"> </w:t>
      </w:r>
      <w:r>
        <w:t xml:space="preserve">Incumbent-investor</w:t>
      </w:r>
      <w:r>
        <w:t xml:space="preserve"> </w:t>
      </w:r>
      <w:r>
        <w:t xml:space="preserve">JV: Fibercop</w:t>
      </w:r>
      <w:r>
        <w:t xml:space="preserve"> </w:t>
      </w:r>
      <w:r>
        <w:t xml:space="preserve">Independent:</w:t>
      </w:r>
      <w:r>
        <w:t xml:space="preserve"> </w:t>
      </w:r>
      <w:r>
        <w:t xml:space="preserve">CETIN</w:t>
      </w:r>
      <w:r>
        <w:t xml:space="preserve"> </w:t>
      </w:r>
      <w:r>
        <w:t xml:space="preserve">Independent:</w:t>
      </w:r>
      <w:r>
        <w:t xml:space="preserve"> </w:t>
      </w:r>
      <w:r>
        <w:t xml:space="preserve">RUNE,</w:t>
      </w:r>
      <w:r>
        <w:t xml:space="preserve"> </w:t>
      </w:r>
      <w:r>
        <w:t xml:space="preserve">Východoslovenská</w:t>
      </w:r>
      <w:r>
        <w:t xml:space="preserve"> </w:t>
      </w:r>
      <w:r>
        <w:t xml:space="preserve">distribučná</w:t>
      </w:r>
      <w:r>
        <w:t xml:space="preserve"> </w:t>
      </w:r>
      <w:r>
        <w:t xml:space="preserve">Altnet/utility JV:</w:t>
      </w:r>
      <w:r>
        <w:t xml:space="preserve"> </w:t>
      </w:r>
      <w:r>
        <w:t xml:space="preserve">SIRO</w:t>
      </w:r>
      <w:r>
        <w:t xml:space="preserve"> </w:t>
      </w:r>
      <w:r>
        <w:t xml:space="preserve">Independent /</w:t>
      </w:r>
      <w:r>
        <w:t xml:space="preserve"> </w:t>
      </w:r>
      <w:r>
        <w:t xml:space="preserve">Publicly</w:t>
      </w:r>
      <w:r>
        <w:t xml:space="preserve"> </w:t>
      </w:r>
      <w:r>
        <w:t xml:space="preserve">subsidized: NBI</w:t>
      </w:r>
      <w:r>
        <w:t xml:space="preserve"> </w:t>
      </w:r>
      <w:r>
        <w:t xml:space="preserve">Government:</w:t>
      </w:r>
      <w:r>
        <w:t xml:space="preserve"> </w:t>
      </w:r>
      <w:r>
        <w:t xml:space="preserve">“Plačiajuostis</w:t>
      </w:r>
      <w:r>
        <w:t xml:space="preserve"> </w:t>
      </w:r>
      <w:r>
        <w:t xml:space="preserve">internetas“</w:t>
      </w:r>
      <w:r>
        <w:t xml:space="preserve"> </w:t>
      </w:r>
      <w:r>
        <w:t xml:space="preserve">Independent: JSC</w:t>
      </w:r>
      <w:r>
        <w:t xml:space="preserve"> </w:t>
      </w:r>
      <w:r>
        <w:t xml:space="preserve">“SKAIDULA”</w:t>
      </w:r>
      <w:r>
        <w:t xml:space="preserve"> </w:t>
      </w:r>
      <w:r>
        <w:t xml:space="preserve">Independent:</w:t>
      </w:r>
      <w:r>
        <w:t xml:space="preserve"> </w:t>
      </w:r>
      <w:r>
        <w:t xml:space="preserve">Eurofiber</w:t>
      </w:r>
      <w:r>
        <w:t xml:space="preserve"> </w:t>
      </w:r>
      <w:r>
        <w:t xml:space="preserve">Telco-investor</w:t>
      </w:r>
      <w:r>
        <w:t xml:space="preserve"> </w:t>
      </w:r>
      <w:r>
        <w:t xml:space="preserve">JV: FastFiber</w:t>
      </w:r>
      <w:r>
        <w:t xml:space="preserve"> </w:t>
      </w:r>
      <w:r>
        <w:t xml:space="preserve">Independent:</w:t>
      </w:r>
      <w:r>
        <w:t xml:space="preserve"> </w:t>
      </w:r>
      <w:r>
        <w:t xml:space="preserve">DStelecom</w:t>
      </w:r>
      <w:r>
        <w:t xml:space="preserve"> </w:t>
      </w:r>
      <w:r>
        <w:t xml:space="preserve">Independent:</w:t>
      </w:r>
      <w:r>
        <w:t xml:space="preserve"> </w:t>
      </w:r>
      <w:r>
        <w:t xml:space="preserve">CGES</w:t>
      </w:r>
      <w:r>
        <w:t xml:space="preserve"> </w:t>
      </w:r>
      <w:r>
        <w:t xml:space="preserve">Independent:</w:t>
      </w:r>
      <w:r>
        <w:t xml:space="preserve"> </w:t>
      </w:r>
      <w:r>
        <w:t xml:space="preserve">CETIN</w:t>
      </w:r>
      <w:r>
        <w:t xml:space="preserve"> </w:t>
      </w:r>
      <w:r>
        <w:t xml:space="preserve">Telco-controlled:</w:t>
      </w:r>
      <w:r>
        <w:t xml:space="preserve"> </w:t>
      </w:r>
      <w:r>
        <w:t xml:space="preserve">Orange</w:t>
      </w:r>
      <w:r>
        <w:t xml:space="preserve"> </w:t>
      </w:r>
      <w:r>
        <w:t xml:space="preserve">concessions</w:t>
      </w:r>
      <w:r>
        <w:t xml:space="preserve"> </w:t>
      </w:r>
      <w:r>
        <w:t xml:space="preserve">Telco-investor JV:</w:t>
      </w:r>
      <w:r>
        <w:t xml:space="preserve"> </w:t>
      </w:r>
      <w:r>
        <w:t xml:space="preserve">XP Fibre</w:t>
      </w:r>
      <w:r>
        <w:t xml:space="preserve"> </w:t>
      </w:r>
      <w:r>
        <w:t xml:space="preserve">Independent:</w:t>
      </w:r>
      <w:r>
        <w:t xml:space="preserve"> </w:t>
      </w:r>
      <w:r>
        <w:t xml:space="preserve">TDF, Altitude</w:t>
      </w:r>
      <w:r>
        <w:t xml:space="preserve"> </w:t>
      </w:r>
      <w:r>
        <w:t xml:space="preserve">Infra, Axione</w:t>
      </w:r>
      <w:r>
        <w:t xml:space="preserve"> </w:t>
      </w:r>
      <w:r>
        <w:t xml:space="preserve">Publicly owned:</w:t>
      </w:r>
      <w:r>
        <w:t xml:space="preserve"> </w:t>
      </w:r>
      <w:r>
        <w:t xml:space="preserve">Stokab</w:t>
      </w:r>
      <w:r>
        <w:t xml:space="preserve"> </w:t>
      </w:r>
      <w:r>
        <w:t xml:space="preserve">Independent:</w:t>
      </w:r>
      <w:r>
        <w:t xml:space="preserve"> </w:t>
      </w:r>
      <w:r>
        <w:t xml:space="preserve">Liechteinsteinische</w:t>
      </w:r>
      <w:r>
        <w:t xml:space="preserve"> </w:t>
      </w:r>
      <w:r>
        <w:t xml:space="preserve">Kraftwerke</w:t>
      </w:r>
      <w:r>
        <w:t xml:space="preserve"> </w:t>
      </w:r>
      <w:r>
        <w:t xml:space="preserve">Publicly</w:t>
      </w:r>
      <w:r>
        <w:t xml:space="preserve"> </w:t>
      </w:r>
      <w:r>
        <w:t xml:space="preserve">Subsidized JV:</w:t>
      </w:r>
      <w:r>
        <w:t xml:space="preserve"> </w:t>
      </w:r>
      <w:r>
        <w:t xml:space="preserve">ELASA</w:t>
      </w:r>
      <w:r>
        <w:t xml:space="preserve"> </w:t>
      </w:r>
      <w:r>
        <w:t xml:space="preserve">Independent:</w:t>
      </w:r>
      <w:r>
        <w:t xml:space="preserve"> </w:t>
      </w:r>
      <w:r>
        <w:t xml:space="preserve">Enefit Connect,</w:t>
      </w:r>
      <w:r>
        <w:t xml:space="preserve"> </w:t>
      </w:r>
      <w:r>
        <w:t xml:space="preserve">Eesti</w:t>
      </w:r>
      <w:r>
        <w:t xml:space="preserve"> </w:t>
      </w:r>
      <w:r>
        <w:t xml:space="preserve">Andmesidevõrk</w:t>
      </w:r>
      <w:r>
        <w:t xml:space="preserve"> </w:t>
      </w:r>
      <w:r>
        <w:t xml:space="preserve">Independent: S.C.</w:t>
      </w:r>
      <w:r>
        <w:t xml:space="preserve"> </w:t>
      </w:r>
      <w:r>
        <w:t xml:space="preserve">Direct One,</w:t>
      </w:r>
      <w:r>
        <w:t xml:space="preserve"> </w:t>
      </w:r>
      <w:r>
        <w:t xml:space="preserve">Netcity Telecom</w:t>
      </w:r>
      <w:r>
        <w:t xml:space="preserve"> </w:t>
      </w:r>
      <w:r>
        <w:t xml:space="preserve">Independent:</w:t>
      </w:r>
      <w:r>
        <w:t xml:space="preserve"> </w:t>
      </w:r>
      <w:r>
        <w:t xml:space="preserve">öGIG,</w:t>
      </w:r>
      <w:r>
        <w:t xml:space="preserve"> </w:t>
      </w:r>
      <w:r>
        <w:t xml:space="preserve">Tirolnet</w:t>
      </w:r>
      <w:r>
        <w:t xml:space="preserve"> </w:t>
      </w:r>
      <w:r>
        <w:t xml:space="preserve">Independent:</w:t>
      </w:r>
      <w:r>
        <w:t xml:space="preserve"> </w:t>
      </w:r>
      <w:r>
        <w:t xml:space="preserve">RUNE</w:t>
      </w:r>
      <w:r>
        <w:t xml:space="preserve"> </w:t>
      </w:r>
      <w:r>
        <w:t xml:space="preserve">Independent:</w:t>
      </w:r>
      <w:r>
        <w:t xml:space="preserve"> </w:t>
      </w:r>
      <w:r>
        <w:t xml:space="preserve">Enemalta</w:t>
      </w:r>
      <w:r>
        <w:t xml:space="preserve"> </w:t>
      </w:r>
      <w:r>
        <w:t xml:space="preserve">Two-telco JV:</w:t>
      </w:r>
      <w:r>
        <w:t xml:space="preserve"> </w:t>
      </w:r>
      <w:r>
        <w:t xml:space="preserve">Unifiber,</w:t>
      </w:r>
      <w:r>
        <w:t xml:space="preserve"> </w:t>
      </w:r>
      <w:r>
        <w:t xml:space="preserve">Telco-</w:t>
      </w:r>
      <w:r>
        <w:t xml:space="preserve"> </w:t>
      </w:r>
      <w:r>
        <w:t xml:space="preserve">investor JVs:</w:t>
      </w:r>
      <w:r>
        <w:t xml:space="preserve"> </w:t>
      </w:r>
      <w:r>
        <w:t xml:space="preserve">Fiberklaar,</w:t>
      </w:r>
      <w:r>
        <w:t xml:space="preserve"> </w:t>
      </w:r>
      <w:r>
        <w:t xml:space="preserve">Go Fiber,</w:t>
      </w:r>
      <w:r>
        <w:t xml:space="preserve"> </w:t>
      </w:r>
      <w:r>
        <w:t xml:space="preserve">Wyre</w:t>
      </w:r>
      <w:r>
        <w:t xml:space="preserve"> </w:t>
      </w:r>
      <w:r>
        <w:t xml:space="preserve">Telco-</w:t>
      </w:r>
      <w:r>
        <w:t xml:space="preserve"> </w:t>
      </w:r>
      <w:r>
        <w:t xml:space="preserve">investor JV:</w:t>
      </w:r>
      <w:r>
        <w:t xml:space="preserve"> </w:t>
      </w:r>
      <w:r>
        <w:t xml:space="preserve">Polish Open</w:t>
      </w:r>
      <w:r>
        <w:t xml:space="preserve"> </w:t>
      </w:r>
      <w:r>
        <w:t xml:space="preserve">Fiber</w:t>
      </w:r>
      <w:r>
        <w:t xml:space="preserve"> </w:t>
      </w:r>
      <w:r>
        <w:t xml:space="preserve">Independent:</w:t>
      </w:r>
      <w:r>
        <w:t xml:space="preserve"> </w:t>
      </w:r>
      <w:r>
        <w:t xml:space="preserve">Nexera</w:t>
      </w:r>
      <w:r>
        <w:t xml:space="preserve"> </w:t>
      </w:r>
      <w:r>
        <w:t xml:space="preserve">Telco-</w:t>
      </w:r>
      <w:r>
        <w:t xml:space="preserve"> </w:t>
      </w:r>
      <w:r>
        <w:t xml:space="preserve">controlled:</w:t>
      </w:r>
      <w:r>
        <w:t xml:space="preserve"> </w:t>
      </w:r>
      <w:r>
        <w:t xml:space="preserve">United</w:t>
      </w:r>
      <w:r>
        <w:t xml:space="preserve"> </w:t>
      </w:r>
      <w:r>
        <w:t xml:space="preserve">Fiber, OTE</w:t>
      </w:r>
      <w:r>
        <w:t xml:space="preserve"> </w:t>
      </w:r>
      <w:r>
        <w:t xml:space="preserve">Rural</w:t>
      </w:r>
      <w:r>
        <w:t xml:space="preserve"> </w:t>
      </w:r>
      <w:r>
        <w:t xml:space="preserve">North/South</w:t>
      </w:r>
      <w:r>
        <w:t xml:space="preserve"> </w:t>
      </w:r>
      <w:r>
        <w:t xml:space="preserve">Independent:</w:t>
      </w:r>
      <w:r>
        <w:t xml:space="preserve"> </w:t>
      </w:r>
      <w:r>
        <w:t xml:space="preserve">RUNE</w:t>
      </w:r>
      <w:r>
        <w:t xml:space="preserve"> </w:t>
      </w:r>
      <w:r>
        <w:t xml:space="preserve">Independent:</w:t>
      </w:r>
      <w:r>
        <w:t xml:space="preserve"> </w:t>
      </w:r>
      <w:r>
        <w:t xml:space="preserve">Míla</w:t>
      </w:r>
    </w:p>
    <w:p>
      <w:pPr>
        <w:pStyle w:val="BodyText"/>
      </w:pPr>
      <w:r>
        <w:t xml:space="preserve">30</w:t>
      </w:r>
    </w:p>
    <w:p>
      <w:pPr>
        <w:pStyle w:val="BodyText"/>
      </w:pPr>
      <w:r>
        <w:t xml:space="preserve">The physical components, topologies and transmission technologies associated with the</w:t>
      </w:r>
      <w:r>
        <w:t xml:space="preserve"> </w:t>
      </w:r>
      <w:r>
        <w:t xml:space="preserve">access networks, determine the performance that can be achieved on an access network</w:t>
      </w:r>
      <w:r>
        <w:t xml:space="preserve"> </w:t>
      </w:r>
      <w:r>
        <w:t xml:space="preserve">regarding capacity and quality. These factors can also affect the degree to which networks can</w:t>
      </w:r>
      <w:r>
        <w:t xml:space="preserve"> </w:t>
      </w:r>
      <w:r>
        <w:t xml:space="preserve">be open to competition (allowing innovation by access seekers) as well as the degree to which</w:t>
      </w:r>
      <w:r>
        <w:t xml:space="preserve"> </w:t>
      </w:r>
      <w:r>
        <w:t xml:space="preserve">they will be future proof, allowing for the expansion of capacity and quality to meet future</w:t>
      </w:r>
      <w:r>
        <w:t xml:space="preserve"> </w:t>
      </w:r>
      <w:r>
        <w:t xml:space="preserve">needs. The EECC currently includes the objective to promote connectivity and access to, and</w:t>
      </w:r>
      <w:r>
        <w:t xml:space="preserve"> </w:t>
      </w:r>
      <w:r>
        <w:t xml:space="preserve">take-up of, very high capacity networks (VHCN). BEREC has provided guidelines regarding</w:t>
      </w:r>
      <w:r>
        <w:t xml:space="preserve"> </w:t>
      </w:r>
      <w:r>
        <w:t xml:space="preserve">the interpretation of this concept.95 For fixed networks either a FTTB (Fibre to the building)</w:t>
      </w:r>
      <w:r>
        <w:t xml:space="preserve"> </w:t>
      </w:r>
      <w:r>
        <w:t xml:space="preserve">should be provided (Criterion 1) or certain criteria regarding bandwidth and quality must be</w:t>
      </w:r>
      <w:r>
        <w:t xml:space="preserve"> </w:t>
      </w:r>
      <w:r>
        <w:t xml:space="preserve">met (Criterion 3). The quality of the in-building connection is not considered.</w:t>
      </w:r>
      <w:r>
        <w:t xml:space="preserve"> </w:t>
      </w:r>
      <w:r>
        <w:t xml:space="preserve">Table below96 provides an overview of the performance capabilities of fixed broadband</w:t>
      </w:r>
      <w:r>
        <w:t xml:space="preserve"> </w:t>
      </w:r>
      <w:r>
        <w:t xml:space="preserve">access technologies97:</w:t>
      </w:r>
    </w:p>
    <w:p>
      <w:pPr>
        <w:pStyle w:val="BodyText"/>
      </w:pPr>
      <w:r>
        <w:t xml:space="preserve">The main access products are the following:</w:t>
      </w:r>
    </w:p>
    <w:p>
      <w:pPr>
        <w:pStyle w:val="BodyText"/>
      </w:pPr>
      <w:r>
        <w:t xml:space="preserve">95 BOR (20) 165, section 3</w:t>
      </w:r>
      <w:r>
        <w:br/>
      </w:r>
      <w:r>
        <w:t xml:space="preserve">96 The table is based on several predecessing studies and updated to the state of the art, see also:</w:t>
      </w:r>
      <w:r>
        <w:t xml:space="preserve"> </w:t>
      </w:r>
      <w:r>
        <w:t xml:space="preserve">Godlovitch, I.; Hocepied, C.; Lemstra, W.; Plückebaum, T.; Strube-Martins, S.; Kroon, P.; Lucidi, S.;</w:t>
      </w:r>
      <w:r>
        <w:t xml:space="preserve"> </w:t>
      </w:r>
      <w:r>
        <w:t xml:space="preserve">Alexiadis, P.; Char, S.; Future electronic communications product and service markets subject to ex-ante</w:t>
      </w:r>
      <w:r>
        <w:t xml:space="preserve"> </w:t>
      </w:r>
      <w:r>
        <w:t xml:space="preserve">regulation, European Commission Brüssel/ Luxemburg Juni 2019, https://op.europa.eu/en/publication-</w:t>
      </w:r>
      <w:r>
        <w:t xml:space="preserve"> </w:t>
      </w:r>
      <w:r>
        <w:t xml:space="preserve">detail/-/publication/7309fa31-b758-11ea-bb7a-01aa75ed71a1.</w:t>
      </w:r>
      <w:r>
        <w:t xml:space="preserve"> </w:t>
      </w:r>
      <w:r>
        <w:t xml:space="preserve">97 Column 1 names the transmission technologies. The lines for the technology descriptions are grouped per</w:t>
      </w:r>
      <w:r>
        <w:t xml:space="preserve"> </w:t>
      </w:r>
      <w:r>
        <w:t xml:space="preserve">access line technology: copper pairs, Hybrid Fibre Coax (HFC), fibre, and Fixed Wireless Access (FWA).</w:t>
      </w:r>
      <w:r>
        <w:t xml:space="preserve"> </w:t>
      </w:r>
      <w:r>
        <w:t xml:space="preserve">The FTT… abbreviations of column 3 enable the identification of technologies which meet criterion 1</w:t>
      </w:r>
      <w:r>
        <w:t xml:space="preserve"> </w:t>
      </w:r>
      <w:r>
        <w:t xml:space="preserve">(FTTB and FTTH). Column VHCN BB quality notes, if the criteria 1 or 3 are met or not. It can be seen in</w:t>
      </w:r>
      <w:r>
        <w:t xml:space="preserve"> </w:t>
      </w:r>
      <w:r>
        <w:t xml:space="preserve">this context, that cable technologies of DOCSIS 3.1 or above and 5G FWA, could meet the VHCN quality</w:t>
      </w:r>
      <w:r>
        <w:t xml:space="preserve"> </w:t>
      </w:r>
      <w:r>
        <w:t xml:space="preserve">criteria (depending on specification). Meanwhile, some older mass-market FTTH technologies such as</w:t>
      </w:r>
      <w:r>
        <w:t xml:space="preserve"> </w:t>
      </w:r>
      <w:r>
        <w:t xml:space="preserve">GPON, while meeting the VHCN definition, may not be Gigabit capable.</w:t>
      </w:r>
      <w:r>
        <w:t xml:space="preserve"> </w:t>
      </w:r>
      <w:r>
        <w:t xml:space="preserve">Transmission</w:t>
      </w:r>
      <w:r>
        <w:t xml:space="preserve"> </w:t>
      </w:r>
      <w:r>
        <w:t xml:space="preserve">technology</w:t>
      </w:r>
      <w:r>
        <w:t xml:space="preserve"> </w:t>
      </w:r>
      <w:r>
        <w:t xml:space="preserve">FTT…</w:t>
      </w:r>
      <w:r>
        <w:t xml:space="preserve"> </w:t>
      </w:r>
      <w:r>
        <w:t xml:space="preserve">Bandwidth</w:t>
      </w:r>
      <w:r>
        <w:t xml:space="preserve"> </w:t>
      </w:r>
      <w:r>
        <w:t xml:space="preserve">down</w:t>
      </w:r>
      <w:r>
        <w:t xml:space="preserve"> </w:t>
      </w:r>
      <w:r>
        <w:t xml:space="preserve">Bandwidth</w:t>
      </w:r>
      <w:r>
        <w:t xml:space="preserve"> </w:t>
      </w:r>
      <w:r>
        <w:t xml:space="preserve">up</w:t>
      </w:r>
      <w:r>
        <w:t xml:space="preserve"> </w:t>
      </w:r>
      <w:r>
        <w:t xml:space="preserve">No. of users</w:t>
      </w:r>
      <w:r>
        <w:t xml:space="preserve"> </w:t>
      </w:r>
      <w:r>
        <w:t xml:space="preserve">share of</w:t>
      </w:r>
      <w:r>
        <w:t xml:space="preserve"> </w:t>
      </w:r>
      <w:r>
        <w:t xml:space="preserve">simultaneo</w:t>
      </w:r>
      <w:r>
        <w:t xml:space="preserve"> </w:t>
      </w:r>
      <w:r>
        <w:t xml:space="preserve">us users</w:t>
      </w:r>
      <w:r>
        <w:t xml:space="preserve"> </w:t>
      </w:r>
      <w:r>
        <w:t xml:space="preserve">Bandwidth</w:t>
      </w:r>
      <w:r>
        <w:t xml:space="preserve"> </w:t>
      </w:r>
      <w:r>
        <w:t xml:space="preserve">effective</w:t>
      </w:r>
      <w:r>
        <w:t xml:space="preserve"> </w:t>
      </w:r>
      <w:r>
        <w:t xml:space="preserve">down</w:t>
      </w:r>
      <w:r>
        <w:t xml:space="preserve"> </w:t>
      </w:r>
      <w:r>
        <w:t xml:space="preserve">Bandwidth</w:t>
      </w:r>
      <w:r>
        <w:t xml:space="preserve"> </w:t>
      </w:r>
      <w:r>
        <w:t xml:space="preserve">effective up</w:t>
      </w:r>
      <w:r>
        <w:t xml:space="preserve"> </w:t>
      </w:r>
      <w:r>
        <w:t xml:space="preserve">Length</w:t>
      </w:r>
      <w:r>
        <w:t xml:space="preserve"> </w:t>
      </w:r>
      <w:r>
        <w:t xml:space="preserve">limitation</w:t>
      </w:r>
      <w:r>
        <w:t xml:space="preserve"> </w:t>
      </w:r>
      <w:r>
        <w:t xml:space="preserve">individual/</w:t>
      </w:r>
      <w:r>
        <w:t xml:space="preserve"> </w:t>
      </w:r>
      <w:r>
        <w:t xml:space="preserve">shared</w:t>
      </w:r>
      <w:r>
        <w:t xml:space="preserve"> </w:t>
      </w:r>
      <w:r>
        <w:t xml:space="preserve">symmetr./</w:t>
      </w:r>
      <w:r>
        <w:t xml:space="preserve"> </w:t>
      </w:r>
      <w:r>
        <w:t xml:space="preserve">asymmetr.</w:t>
      </w:r>
      <w:r>
        <w:t xml:space="preserve"> </w:t>
      </w:r>
      <w:r>
        <w:t xml:space="preserve">VHCN BB</w:t>
      </w:r>
      <w:r>
        <w:t xml:space="preserve"> </w:t>
      </w:r>
      <w:r>
        <w:t xml:space="preserve">Standard</w:t>
      </w:r>
      <w:r>
        <w:t xml:space="preserve"> </w:t>
      </w:r>
      <w:r>
        <w:t xml:space="preserve">Maturity</w:t>
      </w:r>
      <w:r>
        <w:t xml:space="preserve"> </w:t>
      </w:r>
      <w:r>
        <w:t xml:space="preserve">ODF</w:t>
      </w:r>
      <w:r>
        <w:t xml:space="preserve"> </w:t>
      </w:r>
      <w:r>
        <w:t xml:space="preserve">unbund.</w:t>
      </w:r>
      <w:r>
        <w:t xml:space="preserve"> </w:t>
      </w:r>
      <w:r>
        <w:t xml:space="preserve">VULA (L2)</w:t>
      </w:r>
      <w:r>
        <w:t xml:space="preserve"> </w:t>
      </w:r>
      <w:r>
        <w:t xml:space="preserve">Copper pair</w:t>
      </w:r>
      <w:r>
        <w:t xml:space="preserve"> </w:t>
      </w:r>
      <w:r>
        <w:t xml:space="preserve">[Gbps]</w:t>
      </w:r>
      <w:r>
        <w:t xml:space="preserve"> </w:t>
      </w:r>
      <w:r>
        <w:t xml:space="preserve">[Gbps]</w:t>
      </w:r>
      <w:r>
        <w:t xml:space="preserve"> </w:t>
      </w:r>
      <w:r>
        <w:t xml:space="preserve">[Gbps]</w:t>
      </w:r>
      <w:r>
        <w:t xml:space="preserve"> </w:t>
      </w:r>
      <w:r>
        <w:t xml:space="preserve">[Gbps]</w:t>
      </w:r>
      <w:r>
        <w:t xml:space="preserve"> </w:t>
      </w:r>
      <w:r>
        <w:t xml:space="preserve">[m]</w:t>
      </w:r>
      <w:r>
        <w:t xml:space="preserve"> </w:t>
      </w:r>
      <w:r>
        <w:t xml:space="preserve">&gt; 1Gbps down</w:t>
      </w:r>
      <w:r>
        <w:t xml:space="preserve"> </w:t>
      </w:r>
      <w:r>
        <w:t xml:space="preserve">&gt; 200 Mbps up</w:t>
      </w:r>
      <w:r>
        <w:t xml:space="preserve"> </w:t>
      </w:r>
      <w:r>
        <w:t xml:space="preserve">ADSL2+</w:t>
      </w:r>
      <w:r>
        <w:t xml:space="preserve"> </w:t>
      </w:r>
      <w:r>
        <w:t xml:space="preserve">FTTEx/FTTC</w:t>
      </w:r>
      <w:r>
        <w:t xml:space="preserve"> </w:t>
      </w:r>
      <w:r>
        <w:t xml:space="preserve">0,01</w:t>
      </w:r>
      <w:r>
        <w:t xml:space="preserve"> </w:t>
      </w:r>
      <w:r>
        <w:t xml:space="preserve">0,004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0,01</w:t>
      </w:r>
      <w:r>
        <w:t xml:space="preserve"> </w:t>
      </w:r>
      <w:r>
        <w:t xml:space="preserve">0,01</w:t>
      </w:r>
      <w:r>
        <w:t xml:space="preserve"> </w:t>
      </w:r>
      <w:r>
        <w:t xml:space="preserve">2,600</w:t>
      </w:r>
      <w:r>
        <w:t xml:space="preserve"> </w:t>
      </w:r>
      <w:r>
        <w:t xml:space="preserve">i</w:t>
      </w:r>
      <w:r>
        <w:t xml:space="preserve"> </w:t>
      </w:r>
      <w:r>
        <w:t xml:space="preserve">a</w:t>
      </w:r>
      <w:r>
        <w:t xml:space="preserve"> </w:t>
      </w:r>
      <w:r>
        <w:t xml:space="preserve">n</w:t>
      </w:r>
      <w:r>
        <w:t xml:space="preserve"> </w:t>
      </w:r>
      <w:r>
        <w:t xml:space="preserve">2003</w:t>
      </w:r>
      <w:r>
        <w:t xml:space="preserve"> </w:t>
      </w:r>
      <w:r>
        <w:t xml:space="preserve">y</w:t>
      </w:r>
      <w:r>
        <w:t xml:space="preserve"> </w:t>
      </w:r>
      <w:r>
        <w:t xml:space="preserve">y</w:t>
      </w:r>
      <w:r>
        <w:t xml:space="preserve"> </w:t>
      </w:r>
      <w:r>
        <w:t xml:space="preserve">y</w:t>
      </w:r>
      <w:r>
        <w:t xml:space="preserve"> </w:t>
      </w:r>
      <w:r>
        <w:t xml:space="preserve">VDSL2</w:t>
      </w:r>
      <w:r>
        <w:t xml:space="preserve"> </w:t>
      </w:r>
      <w:r>
        <w:t xml:space="preserve">FTTEx/FTTC</w:t>
      </w:r>
      <w:r>
        <w:t xml:space="preserve"> </w:t>
      </w:r>
      <w:r>
        <w:t xml:space="preserve">0,05</w:t>
      </w:r>
      <w:r>
        <w:t xml:space="preserve"> </w:t>
      </w:r>
      <w:r>
        <w:t xml:space="preserve">0,015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0,05</w:t>
      </w:r>
      <w:r>
        <w:t xml:space="preserve"> </w:t>
      </w:r>
      <w:r>
        <w:t xml:space="preserve">0,015</w:t>
      </w:r>
      <w:r>
        <w:t xml:space="preserve"> </w:t>
      </w:r>
      <w:r>
        <w:t xml:space="preserve">400</w:t>
      </w:r>
      <w:r>
        <w:t xml:space="preserve"> </w:t>
      </w:r>
      <w:r>
        <w:t xml:space="preserve">i</w:t>
      </w:r>
      <w:r>
        <w:t xml:space="preserve"> </w:t>
      </w:r>
      <w:r>
        <w:t xml:space="preserve">a</w:t>
      </w:r>
      <w:r>
        <w:t xml:space="preserve"> </w:t>
      </w:r>
      <w:r>
        <w:t xml:space="preserve">n</w:t>
      </w:r>
      <w:r>
        <w:t xml:space="preserve"> </w:t>
      </w:r>
      <w:r>
        <w:t xml:space="preserve">2006</w:t>
      </w:r>
      <w:r>
        <w:t xml:space="preserve"> </w:t>
      </w:r>
      <w:r>
        <w:t xml:space="preserve">y</w:t>
      </w:r>
      <w:r>
        <w:t xml:space="preserve"> </w:t>
      </w:r>
      <w:r>
        <w:t xml:space="preserve">y</w:t>
      </w:r>
      <w:r>
        <w:t xml:space="preserve"> </w:t>
      </w:r>
      <w:r>
        <w:t xml:space="preserve">y</w:t>
      </w:r>
      <w:r>
        <w:t xml:space="preserve"> </w:t>
      </w:r>
      <w:r>
        <w:t xml:space="preserve">VDSL2 Vectoring</w:t>
      </w:r>
      <w:r>
        <w:t xml:space="preserve"> </w:t>
      </w:r>
      <w:r>
        <w:t xml:space="preserve">FTTC</w:t>
      </w:r>
      <w:r>
        <w:t xml:space="preserve"> </w:t>
      </w:r>
      <w:r>
        <w:t xml:space="preserve">0,09</w:t>
      </w:r>
      <w:r>
        <w:t xml:space="preserve"> </w:t>
      </w:r>
      <w:r>
        <w:t xml:space="preserve">0,04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0,09</w:t>
      </w:r>
      <w:r>
        <w:t xml:space="preserve"> </w:t>
      </w:r>
      <w:r>
        <w:t xml:space="preserve">0,04</w:t>
      </w:r>
      <w:r>
        <w:t xml:space="preserve"> </w:t>
      </w:r>
      <w:r>
        <w:t xml:space="preserve">400</w:t>
      </w:r>
      <w:r>
        <w:t xml:space="preserve"> </w:t>
      </w:r>
      <w:r>
        <w:t xml:space="preserve">i</w:t>
      </w:r>
      <w:r>
        <w:t xml:space="preserve"> </w:t>
      </w:r>
      <w:r>
        <w:t xml:space="preserve">a</w:t>
      </w:r>
      <w:r>
        <w:t xml:space="preserve"> </w:t>
      </w:r>
      <w:r>
        <w:t xml:space="preserve">n</w:t>
      </w:r>
      <w:r>
        <w:t xml:space="preserve"> </w:t>
      </w:r>
      <w:r>
        <w:t xml:space="preserve">2010</w:t>
      </w:r>
      <w:r>
        <w:t xml:space="preserve"> </w:t>
      </w:r>
      <w:r>
        <w:t xml:space="preserve">y</w:t>
      </w:r>
      <w:r>
        <w:t xml:space="preserve"> </w:t>
      </w:r>
      <w:r>
        <w:t xml:space="preserve">n</w:t>
      </w:r>
      <w:r>
        <w:t xml:space="preserve"> </w:t>
      </w:r>
      <w:r>
        <w:t xml:space="preserve">y</w:t>
      </w:r>
      <w:r>
        <w:t xml:space="preserve"> </w:t>
      </w:r>
      <w:r>
        <w:t xml:space="preserve">VDSL2 Supervect.</w:t>
      </w:r>
      <w:r>
        <w:t xml:space="preserve"> </w:t>
      </w:r>
      <w:r>
        <w:t xml:space="preserve">FTTC</w:t>
      </w:r>
      <w:r>
        <w:t xml:space="preserve"> </w:t>
      </w:r>
      <w:r>
        <w:t xml:space="preserve">0,25</w:t>
      </w:r>
      <w:r>
        <w:t xml:space="preserve"> </w:t>
      </w:r>
      <w:r>
        <w:t xml:space="preserve">0,1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0,25</w:t>
      </w:r>
      <w:r>
        <w:t xml:space="preserve"> </w:t>
      </w:r>
      <w:r>
        <w:t xml:space="preserve">0,1</w:t>
      </w:r>
      <w:r>
        <w:t xml:space="preserve"> </w:t>
      </w:r>
      <w:r>
        <w:t xml:space="preserve">300</w:t>
      </w:r>
      <w:r>
        <w:t xml:space="preserve"> </w:t>
      </w:r>
      <w:r>
        <w:t xml:space="preserve">i</w:t>
      </w:r>
      <w:r>
        <w:t xml:space="preserve"> </w:t>
      </w:r>
      <w:r>
        <w:t xml:space="preserve">a</w:t>
      </w:r>
      <w:r>
        <w:t xml:space="preserve"> </w:t>
      </w:r>
      <w:r>
        <w:t xml:space="preserve">n</w:t>
      </w:r>
      <w:r>
        <w:t xml:space="preserve"> </w:t>
      </w:r>
      <w:r>
        <w:t xml:space="preserve">2015</w:t>
      </w:r>
      <w:r>
        <w:t xml:space="preserve"> </w:t>
      </w:r>
      <w:r>
        <w:t xml:space="preserve">y</w:t>
      </w:r>
      <w:r>
        <w:t xml:space="preserve"> </w:t>
      </w:r>
      <w:r>
        <w:t xml:space="preserve">n</w:t>
      </w:r>
      <w:r>
        <w:t xml:space="preserve"> </w:t>
      </w:r>
      <w:r>
        <w:t xml:space="preserve">y</w:t>
      </w:r>
      <w:r>
        <w:t xml:space="preserve"> </w:t>
      </w:r>
      <w:r>
        <w:t xml:space="preserve">G.fast</w:t>
      </w:r>
      <w:r>
        <w:t xml:space="preserve"> </w:t>
      </w:r>
      <w:r>
        <w:t xml:space="preserve">FTTS/dp</w:t>
      </w:r>
      <w:r>
        <w:t xml:space="preserve"> </w:t>
      </w:r>
      <w:r>
        <w:t xml:space="preserve">0,5</w:t>
      </w:r>
      <w:r>
        <w:t xml:space="preserve"> </w:t>
      </w:r>
      <w:r>
        <w:t xml:space="preserve">0,5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0,5</w:t>
      </w:r>
      <w:r>
        <w:t xml:space="preserve"> </w:t>
      </w:r>
      <w:r>
        <w:t xml:space="preserve">0,5</w:t>
      </w:r>
      <w:r>
        <w:t xml:space="preserve"> </w:t>
      </w:r>
      <w:r>
        <w:t xml:space="preserve">250</w:t>
      </w:r>
      <w:r>
        <w:t xml:space="preserve"> </w:t>
      </w:r>
      <w:r>
        <w:t xml:space="preserve">i</w:t>
      </w:r>
      <w:r>
        <w:t xml:space="preserve"> </w:t>
      </w:r>
      <w:r>
        <w:t xml:space="preserve">a/s</w:t>
      </w:r>
      <w:r>
        <w:t xml:space="preserve"> </w:t>
      </w:r>
      <w:r>
        <w:t xml:space="preserve">n</w:t>
      </w:r>
      <w:r>
        <w:t xml:space="preserve"> </w:t>
      </w:r>
      <w:r>
        <w:t xml:space="preserve">2014</w:t>
      </w:r>
      <w:r>
        <w:t xml:space="preserve"> </w:t>
      </w:r>
      <w:r>
        <w:t xml:space="preserve">y</w:t>
      </w:r>
      <w:r>
        <w:t xml:space="preserve"> </w:t>
      </w:r>
      <w:r>
        <w:t xml:space="preserve">n</w:t>
      </w:r>
      <w:r>
        <w:t xml:space="preserve"> </w:t>
      </w:r>
      <w:r>
        <w:t xml:space="preserve">y</w:t>
      </w:r>
      <w:r>
        <w:t xml:space="preserve"> </w:t>
      </w:r>
      <w:r>
        <w:t xml:space="preserve">XG.fast</w:t>
      </w:r>
      <w:r>
        <w:t xml:space="preserve"> </w:t>
      </w:r>
      <w:r>
        <w:t xml:space="preserve">FTTB</w:t>
      </w:r>
      <w:r>
        <w:t xml:space="preserve"> </w:t>
      </w:r>
      <w:r>
        <w:t xml:space="preserve">5</w:t>
      </w:r>
      <w:r>
        <w:t xml:space="preserve"> </w:t>
      </w:r>
      <w:r>
        <w:t xml:space="preserve">5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5</w:t>
      </w:r>
      <w:r>
        <w:t xml:space="preserve"> </w:t>
      </w:r>
      <w:r>
        <w:t xml:space="preserve">5</w:t>
      </w:r>
      <w:r>
        <w:t xml:space="preserve"> </w:t>
      </w:r>
      <w:r>
        <w:t xml:space="preserve">50</w:t>
      </w:r>
      <w:r>
        <w:t xml:space="preserve"> </w:t>
      </w:r>
      <w:r>
        <w:t xml:space="preserve">i</w:t>
      </w:r>
      <w:r>
        <w:t xml:space="preserve"> </w:t>
      </w:r>
      <w:r>
        <w:t xml:space="preserve">a/s</w:t>
      </w:r>
      <w:r>
        <w:t xml:space="preserve"> </w:t>
      </w:r>
      <w:r>
        <w:t xml:space="preserve">y</w:t>
      </w:r>
      <w:r>
        <w:t xml:space="preserve"> </w:t>
      </w:r>
      <w:r>
        <w:t xml:space="preserve">2016</w:t>
      </w:r>
      <w:r>
        <w:t xml:space="preserve"> </w:t>
      </w:r>
      <w:r>
        <w:t xml:space="preserve">Y</w:t>
      </w:r>
      <w:r>
        <w:t xml:space="preserve"> </w:t>
      </w:r>
      <w:r>
        <w:t xml:space="preserve">n</w:t>
      </w:r>
      <w:r>
        <w:t xml:space="preserve"> </w:t>
      </w:r>
      <w:r>
        <w:t xml:space="preserve">y</w:t>
      </w:r>
      <w:r>
        <w:t xml:space="preserve"> </w:t>
      </w:r>
      <w:r>
        <w:t xml:space="preserve">HFC</w:t>
      </w:r>
      <w:r>
        <w:t xml:space="preserve"> </w:t>
      </w:r>
      <w:r>
        <w:rPr>
          <w:i/>
          <w:iCs/>
        </w:rPr>
        <w:t xml:space="preserve"> </w:t>
      </w:r>
      <w:r>
        <w:rPr>
          <w:i/>
          <w:iCs/>
        </w:rPr>
        <w:t xml:space="preserve">Docsis 3.0</w:t>
      </w:r>
      <w:r>
        <w:rPr>
          <w:i/>
          <w:iCs/>
        </w:rPr>
        <w:t xml:space="preserve"> </w:t>
      </w:r>
      <w:r>
        <w:rPr>
          <w:i/>
          <w:iCs/>
        </w:rPr>
        <w:t xml:space="preserve">fibre node</w:t>
      </w:r>
      <w:r>
        <w:rPr>
          <w:i/>
          <w:iCs/>
        </w:rPr>
        <w:t xml:space="preserve"> </w:t>
      </w:r>
      <w:r>
        <w:rPr>
          <w:i/>
          <w:iCs/>
        </w:rPr>
        <w:t xml:space="preserve">1,2</w:t>
      </w:r>
      <w:r>
        <w:rPr>
          <w:i/>
          <w:iCs/>
        </w:rPr>
        <w:t xml:space="preserve"> </w:t>
      </w:r>
      <w:r>
        <w:rPr>
          <w:i/>
          <w:iCs/>
        </w:rPr>
        <w:t xml:space="preserve">0,12</w:t>
      </w:r>
      <w:r>
        <w:rPr>
          <w:i/>
          <w:iCs/>
        </w:rPr>
        <w:t xml:space="preserve"> </w:t>
      </w:r>
      <w:r>
        <w:rPr>
          <w:i/>
          <w:iCs/>
        </w:rPr>
        <w:t xml:space="preserve">50</w:t>
      </w:r>
      <w:r>
        <w:rPr>
          <w:i/>
          <w:iCs/>
        </w:rPr>
        <w:t xml:space="preserve"> </w:t>
      </w:r>
      <w:r>
        <w:rPr>
          <w:i/>
          <w:iCs/>
        </w:rPr>
        <w:t xml:space="preserve">0,1</w:t>
      </w:r>
      <w:r>
        <w:rPr>
          <w:i/>
          <w:iCs/>
        </w:rPr>
        <w:t xml:space="preserve"> </w:t>
      </w:r>
      <w:r>
        <w:rPr>
          <w:i/>
          <w:iCs/>
        </w:rPr>
        <w:t xml:space="preserve">0,24</w:t>
      </w:r>
      <w:r>
        <w:rPr>
          <w:i/>
          <w:iCs/>
        </w:rPr>
        <w:t xml:space="preserve"> </w:t>
      </w:r>
      <w:r>
        <w:rPr>
          <w:i/>
          <w:iCs/>
        </w:rPr>
        <w:t xml:space="preserve">0,024</w:t>
      </w:r>
      <w:r>
        <w:rPr>
          <w:i/>
          <w:iCs/>
        </w:rPr>
        <w:t xml:space="preserve"> </w:t>
      </w:r>
      <w:r>
        <w:rPr>
          <w:i/>
          <w:iCs/>
        </w:rPr>
        <w:t xml:space="preserve">160.000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rPr>
          <w:i/>
          <w:iCs/>
        </w:rPr>
        <w:t xml:space="preserve"> </w:t>
      </w:r>
      <w:r>
        <w:rPr>
          <w:i/>
          <w:iCs/>
        </w:rPr>
        <w:t xml:space="preserve">a</w:t>
      </w:r>
      <w:r>
        <w:rPr>
          <w:i/>
          <w:iCs/>
        </w:rPr>
        <w:t xml:space="preserve"> </w:t>
      </w:r>
      <w:r>
        <w:rPr>
          <w:i/>
          <w:iCs/>
        </w:rPr>
        <w:t xml:space="preserve">n</w:t>
      </w:r>
      <w:r>
        <w:rPr>
          <w:i/>
          <w:iCs/>
        </w:rPr>
        <w:t xml:space="preserve"> </w:t>
      </w:r>
      <w:r>
        <w:rPr>
          <w:i/>
          <w:iCs/>
        </w:rPr>
        <w:t xml:space="preserve">2006</w:t>
      </w:r>
      <w:r>
        <w:rPr>
          <w:i/>
          <w:iCs/>
        </w:rPr>
        <w:t xml:space="preserve"> </w:t>
      </w:r>
      <w:r>
        <w:rPr>
          <w:i/>
          <w:iCs/>
        </w:rPr>
        <w:t xml:space="preserve">y</w:t>
      </w:r>
      <w:r>
        <w:rPr>
          <w:i/>
          <w:iCs/>
        </w:rPr>
        <w:t xml:space="preserve"> </w:t>
      </w:r>
      <w:r>
        <w:rPr>
          <w:i/>
          <w:iCs/>
        </w:rPr>
        <w:t xml:space="preserve">n</w:t>
      </w:r>
      <w:r>
        <w:rPr>
          <w:i/>
          <w:iCs/>
        </w:rPr>
        <w:t xml:space="preserve"> </w:t>
      </w:r>
      <w:r>
        <w:rPr>
          <w:i/>
          <w:iCs/>
        </w:rPr>
        <w:t xml:space="preserve">n</w:t>
      </w:r>
      <w:r>
        <w:rPr>
          <w:i/>
          <w:iCs/>
        </w:rPr>
        <w:t xml:space="preserve"> </w:t>
      </w:r>
      <w:r>
        <w:rPr>
          <w:i/>
          <w:iCs/>
        </w:rPr>
        <w:t xml:space="preserve">Docsis 3.1</w:t>
      </w:r>
      <w:r>
        <w:rPr>
          <w:i/>
          <w:iCs/>
        </w:rPr>
        <w:t xml:space="preserve"> </w:t>
      </w:r>
      <w:r>
        <w:rPr>
          <w:i/>
          <w:iCs/>
        </w:rPr>
        <w:t xml:space="preserve">fibre node</w:t>
      </w:r>
      <w:r>
        <w:rPr>
          <w:i/>
          <w:iCs/>
        </w:rPr>
        <w:t xml:space="preserve"> </w:t>
      </w:r>
      <w:r>
        <w:rPr>
          <w:i/>
          <w:iCs/>
        </w:rPr>
        <w:t xml:space="preserve">10</w:t>
      </w:r>
      <w:r>
        <w:rPr>
          <w:i/>
          <w:iCs/>
        </w:rPr>
        <w:t xml:space="preserve"> </w:t>
      </w:r>
      <w:r>
        <w:rPr>
          <w:i/>
          <w:iCs/>
        </w:rPr>
        <w:t xml:space="preserve">1</w:t>
      </w:r>
      <w:r>
        <w:rPr>
          <w:i/>
          <w:iCs/>
        </w:rPr>
        <w:t xml:space="preserve"> </w:t>
      </w:r>
      <w:r>
        <w:rPr>
          <w:i/>
          <w:iCs/>
        </w:rPr>
        <w:t xml:space="preserve">50</w:t>
      </w:r>
      <w:r>
        <w:rPr>
          <w:i/>
          <w:iCs/>
        </w:rPr>
        <w:t xml:space="preserve"> </w:t>
      </w:r>
      <w:r>
        <w:rPr>
          <w:i/>
          <w:iCs/>
        </w:rPr>
        <w:t xml:space="preserve">0,1</w:t>
      </w:r>
      <w:r>
        <w:rPr>
          <w:i/>
          <w:iCs/>
        </w:rPr>
        <w:t xml:space="preserve"> </w:t>
      </w:r>
      <w:r>
        <w:rPr>
          <w:i/>
          <w:iCs/>
        </w:rPr>
        <w:t xml:space="preserve">2</w:t>
      </w:r>
      <w:r>
        <w:rPr>
          <w:i/>
          <w:iCs/>
        </w:rPr>
        <w:t xml:space="preserve"> </w:t>
      </w:r>
      <w:r>
        <w:rPr>
          <w:i/>
          <w:iCs/>
        </w:rPr>
        <w:t xml:space="preserve">0,2</w:t>
      </w:r>
      <w:r>
        <w:rPr>
          <w:i/>
          <w:iCs/>
        </w:rPr>
        <w:t xml:space="preserve"> </w:t>
      </w:r>
      <w:r>
        <w:rPr>
          <w:i/>
          <w:iCs/>
        </w:rPr>
        <w:t xml:space="preserve">160.000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rPr>
          <w:i/>
          <w:iCs/>
        </w:rPr>
        <w:t xml:space="preserve"> </w:t>
      </w:r>
      <w:r>
        <w:rPr>
          <w:i/>
          <w:iCs/>
        </w:rPr>
        <w:t xml:space="preserve">a</w:t>
      </w:r>
      <w:r>
        <w:rPr>
          <w:i/>
          <w:iCs/>
        </w:rPr>
        <w:t xml:space="preserve"> </w:t>
      </w:r>
      <w:r>
        <w:rPr>
          <w:i/>
          <w:iCs/>
        </w:rPr>
        <w:t xml:space="preserve">?</w:t>
      </w:r>
      <w:r>
        <w:rPr>
          <w:i/>
          <w:iCs/>
        </w:rPr>
        <w:t xml:space="preserve"> </w:t>
      </w:r>
      <w:r>
        <w:rPr>
          <w:i/>
          <w:iCs/>
        </w:rPr>
        <w:t xml:space="preserve">2013</w:t>
      </w:r>
      <w:r>
        <w:rPr>
          <w:i/>
          <w:iCs/>
        </w:rPr>
        <w:t xml:space="preserve"> </w:t>
      </w:r>
      <w:r>
        <w:rPr>
          <w:i/>
          <w:iCs/>
        </w:rPr>
        <w:t xml:space="preserve">y</w:t>
      </w:r>
      <w:r>
        <w:rPr>
          <w:i/>
          <w:iCs/>
        </w:rPr>
        <w:t xml:space="preserve"> </w:t>
      </w:r>
      <w:r>
        <w:rPr>
          <w:i/>
          <w:iCs/>
        </w:rPr>
        <w:t xml:space="preserve">n</w:t>
      </w:r>
      <w:r>
        <w:rPr>
          <w:i/>
          <w:iCs/>
        </w:rPr>
        <w:t xml:space="preserve"> </w:t>
      </w:r>
      <w:r>
        <w:rPr>
          <w:i/>
          <w:iCs/>
        </w:rPr>
        <w:t xml:space="preserve">n</w:t>
      </w:r>
      <w:r>
        <w:rPr>
          <w:i/>
          <w:iCs/>
        </w:rPr>
        <w:t xml:space="preserve"> </w:t>
      </w:r>
      <w:r>
        <w:rPr>
          <w:i/>
          <w:iCs/>
        </w:rPr>
        <w:t xml:space="preserve">Docsis 4.0 (FD)</w:t>
      </w:r>
      <w:r>
        <w:rPr>
          <w:i/>
          <w:iCs/>
        </w:rPr>
        <w:t xml:space="preserve"> </w:t>
      </w:r>
      <w:r>
        <w:rPr>
          <w:i/>
          <w:iCs/>
        </w:rPr>
        <w:t xml:space="preserve">deep fibre</w:t>
      </w:r>
      <w:r>
        <w:rPr>
          <w:i/>
          <w:iCs/>
        </w:rPr>
        <w:t xml:space="preserve"> </w:t>
      </w:r>
      <w:r>
        <w:rPr>
          <w:i/>
          <w:iCs/>
        </w:rPr>
        <w:t xml:space="preserve">10</w:t>
      </w:r>
      <w:r>
        <w:rPr>
          <w:i/>
          <w:iCs/>
        </w:rPr>
        <w:t xml:space="preserve"> </w:t>
      </w:r>
      <w:r>
        <w:rPr>
          <w:i/>
          <w:iCs/>
        </w:rPr>
        <w:t xml:space="preserve">10</w:t>
      </w:r>
      <w:r>
        <w:rPr>
          <w:i/>
          <w:iCs/>
        </w:rPr>
        <w:t xml:space="preserve"> </w:t>
      </w:r>
      <w:r>
        <w:rPr>
          <w:i/>
          <w:iCs/>
        </w:rPr>
        <w:t xml:space="preserve">50</w:t>
      </w:r>
      <w:r>
        <w:rPr>
          <w:i/>
          <w:iCs/>
        </w:rPr>
        <w:t xml:space="preserve"> </w:t>
      </w:r>
      <w:r>
        <w:rPr>
          <w:i/>
          <w:iCs/>
        </w:rPr>
        <w:t xml:space="preserve">0,1</w:t>
      </w:r>
      <w:r>
        <w:rPr>
          <w:i/>
          <w:iCs/>
        </w:rPr>
        <w:t xml:space="preserve"> </w:t>
      </w:r>
      <w:r>
        <w:rPr>
          <w:i/>
          <w:iCs/>
        </w:rPr>
        <w:t xml:space="preserve">2</w:t>
      </w:r>
      <w:r>
        <w:rPr>
          <w:i/>
          <w:iCs/>
        </w:rPr>
        <w:t xml:space="preserve"> </w:t>
      </w:r>
      <w:r>
        <w:rPr>
          <w:i/>
          <w:iCs/>
        </w:rPr>
        <w:t xml:space="preserve">2</w:t>
      </w:r>
      <w:r>
        <w:rPr>
          <w:i/>
          <w:iCs/>
        </w:rPr>
        <w:t xml:space="preserve"> </w:t>
      </w:r>
      <w:r>
        <w:rPr>
          <w:i/>
          <w:iCs/>
        </w:rPr>
        <w:t xml:space="preserve">160.000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rPr>
          <w:i/>
          <w:iCs/>
        </w:rPr>
        <w:t xml:space="preserve"> </w:t>
      </w:r>
      <w:r>
        <w:rPr>
          <w:i/>
          <w:iCs/>
        </w:rPr>
        <w:t xml:space="preserve">y</w:t>
      </w:r>
      <w:r>
        <w:rPr>
          <w:i/>
          <w:iCs/>
        </w:rPr>
        <w:t xml:space="preserve"> </w:t>
      </w:r>
      <w:r>
        <w:rPr>
          <w:i/>
          <w:iCs/>
        </w:rPr>
        <w:t xml:space="preserve">2021</w:t>
      </w:r>
      <w:r>
        <w:rPr>
          <w:i/>
          <w:iCs/>
        </w:rPr>
        <w:t xml:space="preserve"> </w:t>
      </w:r>
      <w:r>
        <w:rPr>
          <w:i/>
          <w:iCs/>
        </w:rPr>
        <w:t xml:space="preserve">+ 1 Y</w:t>
      </w:r>
      <w:r>
        <w:rPr>
          <w:i/>
          <w:iCs/>
        </w:rPr>
        <w:t xml:space="preserve"> </w:t>
      </w:r>
      <w:r>
        <w:rPr>
          <w:i/>
          <w:iCs/>
        </w:rPr>
        <w:t xml:space="preserve">n</w:t>
      </w:r>
      <w:r>
        <w:rPr>
          <w:i/>
          <w:iCs/>
        </w:rPr>
        <w:t xml:space="preserve"> </w:t>
      </w:r>
      <w:r>
        <w:rPr>
          <w:i/>
          <w:iCs/>
        </w:rPr>
        <w:t xml:space="preserve">?</w:t>
      </w:r>
      <w:r>
        <w:rPr>
          <w:i/>
          <w:iCs/>
        </w:rPr>
        <w:t xml:space="preserve"> </w:t>
      </w:r>
      <w:r>
        <w:rPr>
          <w:i/>
          <w:iCs/>
        </w:rPr>
        <w:t xml:space="preserve">Fibre</w:t>
      </w:r>
      <w:r>
        <w:rPr>
          <w:i/>
          <w:iCs/>
        </w:rPr>
        <w:t xml:space="preserve"> </w:t>
      </w:r>
      <w:r>
        <w:rPr>
          <w:i/>
          <w:iCs/>
        </w:rPr>
        <w:t xml:space="preserve">GPON (PMP)</w:t>
      </w:r>
      <w:r>
        <w:rPr>
          <w:i/>
          <w:iCs/>
        </w:rPr>
        <w:t xml:space="preserve"> </w:t>
      </w:r>
      <w:r>
        <w:rPr>
          <w:i/>
          <w:iCs/>
        </w:rPr>
        <w:t xml:space="preserve">FTTH</w:t>
      </w:r>
      <w:r>
        <w:rPr>
          <w:i/>
          <w:iCs/>
        </w:rPr>
        <w:t xml:space="preserve"> </w:t>
      </w:r>
      <w:r>
        <w:rPr>
          <w:i/>
          <w:iCs/>
        </w:rPr>
        <w:t xml:space="preserve">2,5</w:t>
      </w:r>
      <w:r>
        <w:rPr>
          <w:i/>
          <w:iCs/>
        </w:rPr>
        <w:t xml:space="preserve"> </w:t>
      </w:r>
      <w:r>
        <w:rPr>
          <w:i/>
          <w:iCs/>
        </w:rPr>
        <w:t xml:space="preserve">1,25</w:t>
      </w:r>
      <w:r>
        <w:rPr>
          <w:i/>
          <w:iCs/>
        </w:rPr>
        <w:t xml:space="preserve"> </w:t>
      </w:r>
      <w:r>
        <w:rPr>
          <w:i/>
          <w:iCs/>
        </w:rPr>
        <w:t xml:space="preserve">30</w:t>
      </w:r>
      <w:r>
        <w:rPr>
          <w:i/>
          <w:iCs/>
        </w:rPr>
        <w:t xml:space="preserve"> </w:t>
      </w:r>
      <w:r>
        <w:rPr>
          <w:i/>
          <w:iCs/>
        </w:rPr>
        <w:t xml:space="preserve">0,1</w:t>
      </w:r>
      <w:r>
        <w:rPr>
          <w:i/>
          <w:iCs/>
        </w:rPr>
        <w:t xml:space="preserve"> </w:t>
      </w:r>
      <w:r>
        <w:rPr>
          <w:i/>
          <w:iCs/>
        </w:rPr>
        <w:t xml:space="preserve">0,8333</w:t>
      </w:r>
      <w:r>
        <w:rPr>
          <w:i/>
          <w:iCs/>
        </w:rPr>
        <w:t xml:space="preserve"> </w:t>
      </w:r>
      <w:r>
        <w:rPr>
          <w:i/>
          <w:iCs/>
        </w:rPr>
        <w:t xml:space="preserve">0,4167</w:t>
      </w:r>
      <w:r>
        <w:rPr>
          <w:i/>
          <w:iCs/>
        </w:rPr>
        <w:t xml:space="preserve"> </w:t>
      </w:r>
      <w:r>
        <w:rPr>
          <w:i/>
          <w:iCs/>
        </w:rPr>
        <w:t xml:space="preserve">20.000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rPr>
          <w:i/>
          <w:iCs/>
        </w:rPr>
        <w:t xml:space="preserve"> </w:t>
      </w:r>
      <w:r>
        <w:rPr>
          <w:i/>
          <w:iCs/>
        </w:rPr>
        <w:t xml:space="preserve">a</w:t>
      </w:r>
      <w:r>
        <w:rPr>
          <w:i/>
          <w:iCs/>
        </w:rPr>
        <w:t xml:space="preserve"> </w:t>
      </w:r>
      <w:r>
        <w:rPr>
          <w:i/>
          <w:iCs/>
        </w:rPr>
        <w:t xml:space="preserve">y</w:t>
      </w:r>
      <w:r>
        <w:rPr>
          <w:i/>
          <w:iCs/>
        </w:rPr>
        <w:t xml:space="preserve"> </w:t>
      </w:r>
      <w:r>
        <w:rPr>
          <w:i/>
          <w:iCs/>
        </w:rPr>
        <w:t xml:space="preserve">2003</w:t>
      </w:r>
      <w:r>
        <w:rPr>
          <w:i/>
          <w:iCs/>
        </w:rPr>
        <w:t xml:space="preserve"> </w:t>
      </w:r>
      <w:r>
        <w:rPr>
          <w:i/>
          <w:iCs/>
        </w:rPr>
        <w:t xml:space="preserve">y</w:t>
      </w:r>
      <w:r>
        <w:rPr>
          <w:i/>
          <w:iCs/>
        </w:rPr>
        <w:t xml:space="preserve"> </w:t>
      </w:r>
      <w:r>
        <w:rPr>
          <w:i/>
          <w:iCs/>
        </w:rPr>
        <w:t xml:space="preserve">n</w:t>
      </w:r>
      <w:r>
        <w:rPr>
          <w:i/>
          <w:iCs/>
        </w:rPr>
        <w:t xml:space="preserve"> </w:t>
      </w:r>
      <w:r>
        <w:rPr>
          <w:i/>
          <w:iCs/>
        </w:rPr>
        <w:t xml:space="preserve">y</w:t>
      </w:r>
      <w:r>
        <w:rPr>
          <w:i/>
          <w:iCs/>
        </w:rPr>
        <w:t xml:space="preserve"> </w:t>
      </w:r>
      <w:r>
        <w:rPr>
          <w:i/>
          <w:iCs/>
        </w:rPr>
        <w:t xml:space="preserve">XG.PON</w:t>
      </w:r>
      <w:r>
        <w:rPr>
          <w:i/>
          <w:iCs/>
        </w:rPr>
        <w:t xml:space="preserve"> </w:t>
      </w:r>
      <w:r>
        <w:rPr>
          <w:i/>
          <w:iCs/>
        </w:rPr>
        <w:t xml:space="preserve">FTTH</w:t>
      </w:r>
      <w:r>
        <w:rPr>
          <w:i/>
          <w:iCs/>
        </w:rPr>
        <w:t xml:space="preserve"> </w:t>
      </w:r>
      <w:r>
        <w:rPr>
          <w:i/>
          <w:iCs/>
        </w:rPr>
        <w:t xml:space="preserve">10</w:t>
      </w:r>
      <w:r>
        <w:rPr>
          <w:i/>
          <w:iCs/>
        </w:rPr>
        <w:t xml:space="preserve"> </w:t>
      </w:r>
      <w:r>
        <w:rPr>
          <w:i/>
          <w:iCs/>
        </w:rPr>
        <w:t xml:space="preserve">2,5</w:t>
      </w:r>
      <w:r>
        <w:rPr>
          <w:i/>
          <w:iCs/>
        </w:rPr>
        <w:t xml:space="preserve"> </w:t>
      </w:r>
      <w:r>
        <w:rPr>
          <w:i/>
          <w:iCs/>
        </w:rPr>
        <w:t xml:space="preserve">30</w:t>
      </w:r>
      <w:r>
        <w:rPr>
          <w:i/>
          <w:iCs/>
        </w:rPr>
        <w:t xml:space="preserve"> </w:t>
      </w:r>
      <w:r>
        <w:rPr>
          <w:i/>
          <w:iCs/>
        </w:rPr>
        <w:t xml:space="preserve">0,1</w:t>
      </w:r>
      <w:r>
        <w:rPr>
          <w:i/>
          <w:iCs/>
        </w:rPr>
        <w:t xml:space="preserve"> </w:t>
      </w:r>
      <w:r>
        <w:rPr>
          <w:i/>
          <w:iCs/>
        </w:rPr>
        <w:t xml:space="preserve">3,3333</w:t>
      </w:r>
      <w:r>
        <w:rPr>
          <w:i/>
          <w:iCs/>
        </w:rPr>
        <w:t xml:space="preserve"> </w:t>
      </w:r>
      <w:r>
        <w:rPr>
          <w:i/>
          <w:iCs/>
        </w:rPr>
        <w:t xml:space="preserve">0,8333</w:t>
      </w:r>
      <w:r>
        <w:rPr>
          <w:i/>
          <w:iCs/>
        </w:rPr>
        <w:t xml:space="preserve"> </w:t>
      </w:r>
      <w:r>
        <w:rPr>
          <w:i/>
          <w:iCs/>
        </w:rPr>
        <w:t xml:space="preserve">40.000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rPr>
          <w:i/>
          <w:iCs/>
        </w:rPr>
        <w:t xml:space="preserve"> </w:t>
      </w:r>
      <w:r>
        <w:rPr>
          <w:i/>
          <w:iCs/>
        </w:rPr>
        <w:t xml:space="preserve">a/s</w:t>
      </w:r>
      <w:r>
        <w:rPr>
          <w:i/>
          <w:iCs/>
        </w:rPr>
        <w:t xml:space="preserve"> </w:t>
      </w:r>
      <w:r>
        <w:rPr>
          <w:i/>
          <w:iCs/>
        </w:rPr>
        <w:t xml:space="preserve">y</w:t>
      </w:r>
      <w:r>
        <w:rPr>
          <w:i/>
          <w:iCs/>
        </w:rPr>
        <w:t xml:space="preserve"> </w:t>
      </w:r>
      <w:r>
        <w:rPr>
          <w:i/>
          <w:iCs/>
        </w:rPr>
        <w:t xml:space="preserve">2008</w:t>
      </w:r>
      <w:r>
        <w:rPr>
          <w:i/>
          <w:iCs/>
        </w:rPr>
        <w:t xml:space="preserve"> </w:t>
      </w:r>
      <w:r>
        <w:rPr>
          <w:i/>
          <w:iCs/>
        </w:rPr>
        <w:t xml:space="preserve">y</w:t>
      </w:r>
      <w:r>
        <w:rPr>
          <w:i/>
          <w:iCs/>
        </w:rPr>
        <w:t xml:space="preserve"> </w:t>
      </w:r>
      <w:r>
        <w:rPr>
          <w:i/>
          <w:iCs/>
        </w:rPr>
        <w:t xml:space="preserve">n</w:t>
      </w:r>
      <w:r>
        <w:rPr>
          <w:i/>
          <w:iCs/>
        </w:rPr>
        <w:t xml:space="preserve"> </w:t>
      </w:r>
      <w:r>
        <w:rPr>
          <w:i/>
          <w:iCs/>
        </w:rPr>
        <w:t xml:space="preserve">y</w:t>
      </w:r>
      <w:r>
        <w:rPr>
          <w:i/>
          <w:iCs/>
        </w:rPr>
        <w:t xml:space="preserve"> </w:t>
      </w:r>
      <w:r>
        <w:rPr>
          <w:i/>
          <w:iCs/>
        </w:rPr>
        <w:t xml:space="preserve">XGS.PON</w:t>
      </w:r>
      <w:r>
        <w:rPr>
          <w:i/>
          <w:iCs/>
        </w:rPr>
        <w:t xml:space="preserve"> </w:t>
      </w:r>
      <w:r>
        <w:rPr>
          <w:i/>
          <w:iCs/>
        </w:rPr>
        <w:t xml:space="preserve">FTTH</w:t>
      </w:r>
      <w:r>
        <w:rPr>
          <w:i/>
          <w:iCs/>
        </w:rPr>
        <w:t xml:space="preserve"> </w:t>
      </w:r>
      <w:r>
        <w:rPr>
          <w:i/>
          <w:iCs/>
        </w:rPr>
        <w:t xml:space="preserve">10</w:t>
      </w:r>
      <w:r>
        <w:rPr>
          <w:i/>
          <w:iCs/>
        </w:rPr>
        <w:t xml:space="preserve"> </w:t>
      </w:r>
      <w:r>
        <w:rPr>
          <w:i/>
          <w:iCs/>
        </w:rPr>
        <w:t xml:space="preserve">10</w:t>
      </w:r>
      <w:r>
        <w:rPr>
          <w:i/>
          <w:iCs/>
        </w:rPr>
        <w:t xml:space="preserve"> </w:t>
      </w:r>
      <w:r>
        <w:rPr>
          <w:i/>
          <w:iCs/>
        </w:rPr>
        <w:t xml:space="preserve">100</w:t>
      </w:r>
      <w:r>
        <w:rPr>
          <w:i/>
          <w:iCs/>
        </w:rPr>
        <w:t xml:space="preserve"> </w:t>
      </w:r>
      <w:r>
        <w:rPr>
          <w:i/>
          <w:iCs/>
        </w:rPr>
        <w:t xml:space="preserve">0,1</w:t>
      </w:r>
      <w:r>
        <w:rPr>
          <w:i/>
          <w:iCs/>
        </w:rPr>
        <w:t xml:space="preserve"> </w:t>
      </w:r>
      <w:r>
        <w:rPr>
          <w:i/>
          <w:iCs/>
        </w:rPr>
        <w:t xml:space="preserve">1</w:t>
      </w:r>
      <w:r>
        <w:rPr>
          <w:i/>
          <w:iCs/>
        </w:rPr>
        <w:t xml:space="preserve"> </w:t>
      </w:r>
      <w:r>
        <w:rPr>
          <w:i/>
          <w:iCs/>
        </w:rPr>
        <w:t xml:space="preserve">1</w:t>
      </w:r>
      <w:r>
        <w:rPr>
          <w:i/>
          <w:iCs/>
        </w:rPr>
        <w:t xml:space="preserve"> </w:t>
      </w:r>
      <w:r>
        <w:rPr>
          <w:i/>
          <w:iCs/>
        </w:rPr>
        <w:t xml:space="preserve">40.000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rPr>
          <w:i/>
          <w:iCs/>
        </w:rPr>
        <w:t xml:space="preserve"> </w:t>
      </w:r>
      <w:r>
        <w:rPr>
          <w:i/>
          <w:iCs/>
        </w:rPr>
        <w:t xml:space="preserve">y</w:t>
      </w:r>
      <w:r>
        <w:rPr>
          <w:i/>
          <w:iCs/>
        </w:rPr>
        <w:t xml:space="preserve"> </w:t>
      </w:r>
      <w:r>
        <w:rPr>
          <w:i/>
          <w:iCs/>
        </w:rPr>
        <w:t xml:space="preserve">2015</w:t>
      </w:r>
      <w:r>
        <w:rPr>
          <w:i/>
          <w:iCs/>
        </w:rPr>
        <w:t xml:space="preserve"> </w:t>
      </w:r>
      <w:r>
        <w:rPr>
          <w:i/>
          <w:iCs/>
        </w:rPr>
        <w:t xml:space="preserve">y</w:t>
      </w:r>
      <w:r>
        <w:rPr>
          <w:i/>
          <w:iCs/>
        </w:rPr>
        <w:t xml:space="preserve"> </w:t>
      </w:r>
      <w:r>
        <w:rPr>
          <w:i/>
          <w:iCs/>
        </w:rPr>
        <w:t xml:space="preserve">n</w:t>
      </w:r>
      <w:r>
        <w:rPr>
          <w:i/>
          <w:iCs/>
        </w:rPr>
        <w:t xml:space="preserve"> </w:t>
      </w:r>
      <w:r>
        <w:rPr>
          <w:i/>
          <w:iCs/>
        </w:rPr>
        <w:t xml:space="preserve">y</w:t>
      </w:r>
      <w:r>
        <w:rPr>
          <w:i/>
          <w:iCs/>
        </w:rPr>
        <w:t xml:space="preserve"> </w:t>
      </w:r>
      <w:r>
        <w:rPr>
          <w:i/>
          <w:iCs/>
        </w:rPr>
        <w:t xml:space="preserve">TWDM GPON</w:t>
      </w:r>
      <w:r>
        <w:rPr>
          <w:i/>
          <w:iCs/>
        </w:rPr>
        <w:t xml:space="preserve"> </w:t>
      </w:r>
      <w:r>
        <w:rPr>
          <w:i/>
          <w:iCs/>
        </w:rPr>
        <w:t xml:space="preserve">FTTH</w:t>
      </w:r>
      <w:r>
        <w:rPr>
          <w:i/>
          <w:iCs/>
        </w:rPr>
        <w:t xml:space="preserve"> </w:t>
      </w:r>
      <w:r>
        <w:rPr>
          <w:i/>
          <w:iCs/>
        </w:rPr>
        <w:t xml:space="preserve">4 - 8 x 10</w:t>
      </w:r>
      <w:r>
        <w:rPr>
          <w:i/>
          <w:iCs/>
        </w:rPr>
        <w:t xml:space="preserve"> </w:t>
      </w:r>
      <w:r>
        <w:rPr>
          <w:i/>
          <w:iCs/>
        </w:rPr>
        <w:t xml:space="preserve">4 - 8 x 10</w:t>
      </w:r>
      <w:r>
        <w:rPr>
          <w:i/>
          <w:iCs/>
        </w:rPr>
        <w:t xml:space="preserve"> </w:t>
      </w:r>
      <w:r>
        <w:rPr>
          <w:i/>
          <w:iCs/>
        </w:rPr>
        <w:t xml:space="preserve">100</w:t>
      </w:r>
      <w:r>
        <w:rPr>
          <w:i/>
          <w:iCs/>
        </w:rPr>
        <w:t xml:space="preserve"> </w:t>
      </w:r>
      <w:r>
        <w:rPr>
          <w:i/>
          <w:iCs/>
        </w:rPr>
        <w:t xml:space="preserve">0,1</w:t>
      </w:r>
      <w:r>
        <w:rPr>
          <w:i/>
          <w:iCs/>
        </w:rPr>
        <w:t xml:space="preserve"> </w:t>
      </w:r>
      <w:r>
        <w:rPr>
          <w:i/>
          <w:iCs/>
        </w:rPr>
        <w:t xml:space="preserve">1</w:t>
      </w:r>
      <w:r>
        <w:rPr>
          <w:i/>
          <w:iCs/>
        </w:rPr>
        <w:t xml:space="preserve"> </w:t>
      </w:r>
      <w:r>
        <w:rPr>
          <w:i/>
          <w:iCs/>
        </w:rPr>
        <w:t xml:space="preserve">1</w:t>
      </w:r>
      <w:r>
        <w:rPr>
          <w:i/>
          <w:iCs/>
        </w:rPr>
        <w:t xml:space="preserve"> </w:t>
      </w:r>
      <w:r>
        <w:rPr>
          <w:i/>
          <w:iCs/>
        </w:rPr>
        <w:t xml:space="preserve">40.000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rPr>
          <w:i/>
          <w:iCs/>
        </w:rPr>
        <w:t xml:space="preserve"> </w:t>
      </w:r>
      <w:r>
        <w:rPr>
          <w:i/>
          <w:iCs/>
        </w:rPr>
        <w:t xml:space="preserve">y</w:t>
      </w:r>
      <w:r>
        <w:rPr>
          <w:i/>
          <w:iCs/>
        </w:rPr>
        <w:t xml:space="preserve"> </w:t>
      </w:r>
      <w:r>
        <w:rPr>
          <w:i/>
          <w:iCs/>
        </w:rPr>
        <w:t xml:space="preserve">2013</w:t>
      </w:r>
      <w:r>
        <w:rPr>
          <w:i/>
          <w:iCs/>
        </w:rPr>
        <w:t xml:space="preserve"> </w:t>
      </w:r>
      <w:r>
        <w:rPr>
          <w:i/>
          <w:iCs/>
        </w:rPr>
        <w:t xml:space="preserve">y</w:t>
      </w:r>
      <w:r>
        <w:rPr>
          <w:i/>
          <w:iCs/>
        </w:rPr>
        <w:t xml:space="preserve"> </w:t>
      </w:r>
      <w:r>
        <w:rPr>
          <w:i/>
          <w:iCs/>
        </w:rPr>
        <w:t xml:space="preserve">4 - 8 Ops</w:t>
      </w:r>
      <w:r>
        <w:rPr>
          <w:i/>
          <w:iCs/>
        </w:rPr>
        <w:t xml:space="preserve"> </w:t>
      </w:r>
      <w:r>
        <w:rPr>
          <w:i/>
          <w:iCs/>
        </w:rPr>
        <w:t xml:space="preserve">y</w:t>
      </w:r>
      <w:r>
        <w:rPr>
          <w:i/>
          <w:iCs/>
        </w:rPr>
        <w:t xml:space="preserve"> </w:t>
      </w:r>
      <w:r>
        <w:rPr>
          <w:i/>
          <w:iCs/>
        </w:rPr>
        <w:t xml:space="preserve">MW-PON</w:t>
      </w:r>
      <w:r>
        <w:rPr>
          <w:i/>
          <w:iCs/>
        </w:rPr>
        <w:t xml:space="preserve"> </w:t>
      </w:r>
      <w:r>
        <w:rPr>
          <w:i/>
          <w:iCs/>
        </w:rPr>
        <w:t xml:space="preserve">FTTH</w:t>
      </w:r>
      <w:r>
        <w:rPr>
          <w:i/>
          <w:iCs/>
        </w:rPr>
        <w:t xml:space="preserve"> </w:t>
      </w:r>
      <w:r>
        <w:rPr>
          <w:i/>
          <w:iCs/>
        </w:rPr>
        <w:t xml:space="preserve">50</w:t>
      </w:r>
      <w:r>
        <w:rPr>
          <w:i/>
          <w:iCs/>
        </w:rPr>
        <w:t xml:space="preserve"> </w:t>
      </w:r>
      <w:r>
        <w:rPr>
          <w:i/>
          <w:iCs/>
        </w:rPr>
        <w:t xml:space="preserve">50</w:t>
      </w:r>
      <w:r>
        <w:rPr>
          <w:i/>
          <w:iCs/>
        </w:rPr>
        <w:t xml:space="preserve"> </w:t>
      </w:r>
      <w:r>
        <w:rPr>
          <w:i/>
          <w:iCs/>
        </w:rPr>
        <w:t xml:space="preserve">100</w:t>
      </w:r>
      <w:r>
        <w:rPr>
          <w:i/>
          <w:iCs/>
        </w:rPr>
        <w:t xml:space="preserve"> </w:t>
      </w:r>
      <w:r>
        <w:rPr>
          <w:i/>
          <w:iCs/>
        </w:rPr>
        <w:t xml:space="preserve">0,1</w:t>
      </w:r>
      <w:r>
        <w:rPr>
          <w:i/>
          <w:iCs/>
        </w:rPr>
        <w:t xml:space="preserve"> </w:t>
      </w:r>
      <w:r>
        <w:rPr>
          <w:i/>
          <w:iCs/>
        </w:rPr>
        <w:t xml:space="preserve">5</w:t>
      </w:r>
      <w:r>
        <w:rPr>
          <w:i/>
          <w:iCs/>
        </w:rPr>
        <w:t xml:space="preserve"> </w:t>
      </w:r>
      <w:r>
        <w:rPr>
          <w:i/>
          <w:iCs/>
        </w:rPr>
        <w:t xml:space="preserve">5</w:t>
      </w:r>
      <w:r>
        <w:rPr>
          <w:i/>
          <w:iCs/>
        </w:rPr>
        <w:t xml:space="preserve"> </w:t>
      </w:r>
      <w:r>
        <w:rPr>
          <w:i/>
          <w:iCs/>
        </w:rPr>
        <w:t xml:space="preserve">40000</w:t>
      </w:r>
      <w:r>
        <w:t xml:space="preserve"> </w:t>
      </w:r>
      <w:r>
        <w:t xml:space="preserve">s</w:t>
      </w:r>
      <w:r>
        <w:t xml:space="preserve"> </w:t>
      </w:r>
      <w:r>
        <w:t xml:space="preserve">s</w:t>
      </w:r>
      <w:r>
        <w:t xml:space="preserve"> </w:t>
      </w:r>
      <w:r>
        <w:t xml:space="preserve">y</w:t>
      </w:r>
      <w:r>
        <w:t xml:space="preserve"> </w:t>
      </w:r>
      <w:r>
        <w:t xml:space="preserve">2024</w:t>
      </w:r>
      <w:r>
        <w:t xml:space="preserve"> </w:t>
      </w:r>
      <w:r>
        <w:t xml:space="preserve">y</w:t>
      </w:r>
      <w:r>
        <w:t xml:space="preserve"> </w:t>
      </w:r>
      <w:r>
        <w:t xml:space="preserve">n</w:t>
      </w:r>
      <w:r>
        <w:t xml:space="preserve"> </w:t>
      </w:r>
      <w:r>
        <w:t xml:space="preserve">y</w:t>
      </w:r>
      <w:r>
        <w:t xml:space="preserve"> </w:t>
      </w:r>
      <w:r>
        <w:t xml:space="preserve">DWDM GPON</w:t>
      </w:r>
      <w:r>
        <w:t xml:space="preserve"> </w:t>
      </w:r>
      <w:r>
        <w:t xml:space="preserve">FTTH</w:t>
      </w:r>
      <w:r>
        <w:t xml:space="preserve"> </w:t>
      </w:r>
      <w:r>
        <w:t xml:space="preserve">1,000 x 1</w:t>
      </w:r>
      <w:r>
        <w:t xml:space="preserve"> </w:t>
      </w:r>
      <w:r>
        <w:t xml:space="preserve">1,000 x 1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100.000</w:t>
      </w:r>
      <w:r>
        <w:t xml:space="preserve"> </w:t>
      </w:r>
      <w:r>
        <w:t xml:space="preserve">i</w:t>
      </w:r>
      <w:r>
        <w:t xml:space="preserve"> </w:t>
      </w:r>
      <w:r>
        <w:t xml:space="preserve">s</w:t>
      </w:r>
      <w:r>
        <w:t xml:space="preserve"> </w:t>
      </w:r>
      <w:r>
        <w:t xml:space="preserve">y</w:t>
      </w:r>
      <w:r>
        <w:t xml:space="preserve"> </w:t>
      </w:r>
      <w:r>
        <w:t xml:space="preserve">2020</w:t>
      </w:r>
      <w:r>
        <w:t xml:space="preserve"> </w:t>
      </w:r>
      <w:r>
        <w:t xml:space="preserve">+ 4 Y</w:t>
      </w:r>
      <w:r>
        <w:t xml:space="preserve"> </w:t>
      </w:r>
      <w:r>
        <w:t xml:space="preserve">y</w:t>
      </w:r>
      <w:r>
        <w:t xml:space="preserve"> </w:t>
      </w:r>
      <w:r>
        <w:t xml:space="preserve">y</w:t>
      </w:r>
      <w:r>
        <w:t xml:space="preserve"> </w:t>
      </w:r>
      <w:r>
        <w:t xml:space="preserve">Ethernet PtP</w:t>
      </w:r>
      <w:r>
        <w:t xml:space="preserve"> </w:t>
      </w:r>
      <w:r>
        <w:t xml:space="preserve">FTTH</w:t>
      </w:r>
      <w:r>
        <w:t xml:space="preserve"> </w:t>
      </w:r>
      <w:r>
        <w:t xml:space="preserve">n x 10,000</w:t>
      </w:r>
      <w:r>
        <w:t xml:space="preserve"> </w:t>
      </w:r>
      <w:r>
        <w:t xml:space="preserve">n x 10,000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10</w:t>
      </w:r>
      <w:r>
        <w:t xml:space="preserve"> </w:t>
      </w:r>
      <w:r>
        <w:t xml:space="preserve">10</w:t>
      </w:r>
      <w:r>
        <w:t xml:space="preserve"> </w:t>
      </w:r>
      <w:r>
        <w:t xml:space="preserve">80.000</w:t>
      </w:r>
      <w:r>
        <w:t xml:space="preserve"> </w:t>
      </w:r>
      <w:r>
        <w:t xml:space="preserve">i</w:t>
      </w:r>
      <w:r>
        <w:t xml:space="preserve"> </w:t>
      </w:r>
      <w:r>
        <w:t xml:space="preserve">s</w:t>
      </w:r>
      <w:r>
        <w:t xml:space="preserve"> </w:t>
      </w:r>
      <w:r>
        <w:t xml:space="preserve">y</w:t>
      </w:r>
      <w:r>
        <w:t xml:space="preserve"> </w:t>
      </w:r>
      <w:r>
        <w:t xml:space="preserve">1998</w:t>
      </w:r>
      <w:r>
        <w:t xml:space="preserve"> </w:t>
      </w:r>
      <w:r>
        <w:t xml:space="preserve">y</w:t>
      </w:r>
      <w:r>
        <w:t xml:space="preserve"> </w:t>
      </w:r>
      <w:r>
        <w:t xml:space="preserve">y</w:t>
      </w:r>
      <w:r>
        <w:t xml:space="preserve"> </w:t>
      </w:r>
      <w:r>
        <w:t xml:space="preserve">y</w:t>
      </w:r>
      <w:r>
        <w:t xml:space="preserve"> </w:t>
      </w:r>
      <w:r>
        <w:t xml:space="preserve">FWA</w:t>
      </w:r>
      <w:r>
        <w:t xml:space="preserve"> </w:t>
      </w:r>
      <w:r>
        <w:t xml:space="preserve">LTE adv./ 4G</w:t>
      </w:r>
      <w:r>
        <w:t xml:space="preserve"> </w:t>
      </w:r>
      <w:r>
        <w:t xml:space="preserve">?</w:t>
      </w:r>
      <w:r>
        <w:t xml:space="preserve"> </w:t>
      </w:r>
      <w:r>
        <w:t xml:space="preserve">1</w:t>
      </w:r>
      <w:r>
        <w:t xml:space="preserve"> </w:t>
      </w:r>
      <w:r>
        <w:t xml:space="preserve">0,15</w:t>
      </w:r>
      <w:r>
        <w:t xml:space="preserve"> </w:t>
      </w:r>
      <w:r>
        <w:t xml:space="preserve">5</w:t>
      </w:r>
      <w:r>
        <w:t xml:space="preserve"> </w:t>
      </w:r>
      <w:r>
        <w:t xml:space="preserve">0,1</w:t>
      </w:r>
      <w:r>
        <w:t xml:space="preserve"> </w:t>
      </w:r>
      <w:r>
        <w:t xml:space="preserve">1</w:t>
      </w:r>
      <w:r>
        <w:t xml:space="preserve"> </w:t>
      </w:r>
      <w:r>
        <w:t xml:space="preserve">0,15</w:t>
      </w:r>
      <w:r>
        <w:t xml:space="preserve"> </w:t>
      </w:r>
      <w:r>
        <w:t xml:space="preserve">10.000</w:t>
      </w:r>
      <w:r>
        <w:t xml:space="preserve"> </w:t>
      </w:r>
      <w:r>
        <w:t xml:space="preserve">s</w:t>
      </w:r>
      <w:r>
        <w:t xml:space="preserve"> </w:t>
      </w:r>
      <w:r>
        <w:t xml:space="preserve">a</w:t>
      </w:r>
      <w:r>
        <w:t xml:space="preserve"> </w:t>
      </w:r>
      <w:r>
        <w:t xml:space="preserve">n</w:t>
      </w:r>
      <w:r>
        <w:t xml:space="preserve"> </w:t>
      </w:r>
      <w:r>
        <w:t xml:space="preserve">2022</w:t>
      </w:r>
      <w:r>
        <w:t xml:space="preserve"> </w:t>
      </w:r>
      <w:r>
        <w:t xml:space="preserve">y</w:t>
      </w:r>
      <w:r>
        <w:t xml:space="preserve"> </w:t>
      </w:r>
      <w:r>
        <w:t xml:space="preserve">n</w:t>
      </w:r>
      <w:r>
        <w:t xml:space="preserve"> </w:t>
      </w:r>
      <w:r>
        <w:t xml:space="preserve">y</w:t>
      </w:r>
      <w:r>
        <w:t xml:space="preserve"> </w:t>
      </w:r>
      <w:r>
        <w:t xml:space="preserve">5G</w:t>
      </w:r>
      <w:r>
        <w:t xml:space="preserve"> </w:t>
      </w:r>
      <w:r>
        <w:t xml:space="preserve">?</w:t>
      </w:r>
      <w:r>
        <w:t xml:space="preserve"> </w:t>
      </w:r>
      <w:r>
        <w:t xml:space="preserve">50</w:t>
      </w:r>
      <w:r>
        <w:t xml:space="preserve"> </w:t>
      </w:r>
      <w:r>
        <w:t xml:space="preserve">0,5</w:t>
      </w:r>
      <w:r>
        <w:t xml:space="preserve"> </w:t>
      </w:r>
      <w:r>
        <w:t xml:space="preserve">5</w:t>
      </w:r>
      <w:r>
        <w:t xml:space="preserve"> </w:t>
      </w:r>
      <w:r>
        <w:t xml:space="preserve">0,1</w:t>
      </w:r>
      <w:r>
        <w:t xml:space="preserve"> </w:t>
      </w:r>
      <w:r>
        <w:t xml:space="preserve">50</w:t>
      </w:r>
      <w:r>
        <w:t xml:space="preserve"> </w:t>
      </w:r>
      <w:r>
        <w:t xml:space="preserve">0,5</w:t>
      </w:r>
      <w:r>
        <w:t xml:space="preserve"> </w:t>
      </w:r>
      <w:r>
        <w:t xml:space="preserve">50 - 10.000</w:t>
      </w:r>
      <w:r>
        <w:t xml:space="preserve"> </w:t>
      </w:r>
      <w:r>
        <w:t xml:space="preserve">s</w:t>
      </w:r>
      <w:r>
        <w:t xml:space="preserve"> </w:t>
      </w:r>
      <w:r>
        <w:t xml:space="preserve">a</w:t>
      </w:r>
      <w:r>
        <w:t xml:space="preserve"> </w:t>
      </w:r>
      <w:r>
        <w:t xml:space="preserve">y</w:t>
      </w:r>
      <w:r>
        <w:t xml:space="preserve"> </w:t>
      </w:r>
      <w:r>
        <w:t xml:space="preserve">2022</w:t>
      </w:r>
      <w:r>
        <w:t xml:space="preserve"> </w:t>
      </w:r>
      <w:r>
        <w:t xml:space="preserve">y</w:t>
      </w:r>
      <w:r>
        <w:t xml:space="preserve"> </w:t>
      </w:r>
      <w:r>
        <w:t xml:space="preserve">n</w:t>
      </w:r>
      <w:r>
        <w:t xml:space="preserve"> </w:t>
      </w:r>
      <w:r>
        <w:t xml:space="preserve">y</w:t>
      </w:r>
    </w:p>
    <w:p>
      <w:pPr>
        <w:pStyle w:val="BodyText"/>
      </w:pPr>
      <w:r>
        <w:t xml:space="preserve">31</w:t>
      </w:r>
    </w:p>
    <w:p>
      <w:pPr>
        <w:pStyle w:val="BodyText"/>
      </w:pPr>
      <w:r>
        <w:t xml:space="preserve">Physical unbundling at ODF sites can only occur as an individual connection in access</w:t>
      </w:r>
      <w:r>
        <w:t xml:space="preserve"> </w:t>
      </w:r>
      <w:r>
        <w:t xml:space="preserve">network topologies of the kind FTTH Point-to-Point (PtP) (see the last line in the fibre section</w:t>
      </w:r>
      <w:r>
        <w:t xml:space="preserve"> </w:t>
      </w:r>
      <w:r>
        <w:t xml:space="preserve">of the table above) or in the old-fashioned copper FTTEx topologies, where the fibres end in</w:t>
      </w:r>
      <w:r>
        <w:t xml:space="preserve"> </w:t>
      </w:r>
      <w:r>
        <w:t xml:space="preserve">the local exchange (FTTEx). Unbundling of PON is feasible, and is provided in certain cases</w:t>
      </w:r>
      <w:r>
        <w:t xml:space="preserve"> </w:t>
      </w:r>
      <w:r>
        <w:t xml:space="preserve">e.g. by Fibercop in Italy, but requires multiple components.</w:t>
      </w:r>
      <w:r>
        <w:t xml:space="preserve"> </w:t>
      </w:r>
      <w:r>
        <w:t xml:space="preserve">When topologies are shared and thus physical unbundling is challenging, an alternative can</w:t>
      </w:r>
      <w:r>
        <w:t xml:space="preserve"> </w:t>
      </w:r>
      <w:r>
        <w:t xml:space="preserve">be to provide virtual unbundled local access (VULA)98. Its ideal characteristics have been</w:t>
      </w:r>
      <w:r>
        <w:t xml:space="preserve"> </w:t>
      </w:r>
      <w:r>
        <w:t xml:space="preserve">defined in State Aid case99, based on BEREC recommendations.100 Common for all VULA</w:t>
      </w:r>
      <w:r>
        <w:t xml:space="preserve"> </w:t>
      </w:r>
      <w:r>
        <w:t xml:space="preserve">approaches is the use of the Layer 2 Ethernet protocol, which allows for a higher degree of</w:t>
      </w:r>
      <w:r>
        <w:t xml:space="preserve"> </w:t>
      </w:r>
      <w:r>
        <w:t xml:space="preserve">product definition freedom than a layer 3 Internet Protocol (IP).</w:t>
      </w:r>
      <w:r>
        <w:t xml:space="preserve"> </w:t>
      </w:r>
      <w:r>
        <w:t xml:space="preserve">There is one access network technology, hybrid fibre coax network (HFC), which does not</w:t>
      </w:r>
      <w:r>
        <w:t xml:space="preserve"> </w:t>
      </w:r>
      <w:r>
        <w:t xml:space="preserve">support Ethernet based communication as a regular capability. Layer 2 communication in</w:t>
      </w:r>
      <w:r>
        <w:t xml:space="preserve"> </w:t>
      </w:r>
      <w:r>
        <w:t xml:space="preserve">form of virtual Local Access Networks (vLAN) is only enabled if an additional optional</w:t>
      </w:r>
      <w:r>
        <w:t xml:space="preserve"> </w:t>
      </w:r>
      <w:r>
        <w:t xml:space="preserve">feature of DOCSIS (3.0 – 4.0), called BSOD (Business services over DOCSIS), is</w:t>
      </w:r>
      <w:r>
        <w:t xml:space="preserve"> </w:t>
      </w:r>
      <w:r>
        <w:t xml:space="preserve">implemented. These operators offer IP-based bitstream access, if at all.</w:t>
      </w:r>
      <w:r>
        <w:t xml:space="preserve"> </w:t>
      </w:r>
      <w:r>
        <w:t xml:space="preserve">5G or in future 6G radio transmission techniques can be used for fixed wireless access (FWA)</w:t>
      </w:r>
      <w:r>
        <w:t xml:space="preserve"> </w:t>
      </w:r>
      <w:r>
        <w:t xml:space="preserve">services in directed antenna applications from the central mast to the individual fixed receiver</w:t>
      </w:r>
      <w:r>
        <w:t xml:space="preserve"> </w:t>
      </w:r>
      <w:r>
        <w:t xml:space="preserve">locations, i.e. as substitutes for expensive and hard to approach fixed fibre access lines, even</w:t>
      </w:r>
      <w:r>
        <w:t xml:space="preserve"> </w:t>
      </w:r>
      <w:r>
        <w:t xml:space="preserve">when deploying aerial constructions. The frequency bands in Europe for this use case are</w:t>
      </w:r>
      <w:r>
        <w:t xml:space="preserve"> </w:t>
      </w:r>
      <w:r>
        <w:t xml:space="preserve">between 26 – 29 GHz, thus of high capacity, but of short range and require line of sight. The</w:t>
      </w:r>
      <w:r>
        <w:t xml:space="preserve"> </w:t>
      </w:r>
      <w:r>
        <w:t xml:space="preserve">short range associated with these high frequencies can be overcome to some extent through</w:t>
      </w:r>
      <w:r>
        <w:t xml:space="preserve"> </w:t>
      </w:r>
      <w:r>
        <w:t xml:space="preserve">directed and bundled outdoor antennas at both sides, central antenna mast and home. Thus far</w:t>
      </w:r>
      <w:r>
        <w:t xml:space="preserve"> </w:t>
      </w:r>
      <w:r>
        <w:t xml:space="preserve">not all member states have deployed FWA to a significant degree.101 When deployed in a</w:t>
      </w:r>
      <w:r>
        <w:t xml:space="preserve"> </w:t>
      </w:r>
      <w:r>
        <w:t xml:space="preserve">suitable manner, 5G FWA is a fixed network technology and could be capable of meeting the</w:t>
      </w:r>
      <w:r>
        <w:t xml:space="preserve"> </w:t>
      </w:r>
      <w:r>
        <w:t xml:space="preserve">BEREC fixed network VHCN conditions.102 Its performance remains however below that of</w:t>
      </w:r>
      <w:r>
        <w:t xml:space="preserve"> </w:t>
      </w:r>
      <w:r>
        <w:t xml:space="preserve">FTTH connections.</w:t>
      </w:r>
      <w:r>
        <w:t xml:space="preserve"> </w:t>
      </w:r>
      <w:r>
        <w:t xml:space="preserve">Overall, data shows that deployment and take-up of VHCNs is progressing across the EU</w:t>
      </w:r>
      <w:r>
        <w:t xml:space="preserve"> </w:t>
      </w:r>
      <w:r>
        <w:t xml:space="preserve">(although at different rates in different countries) and that a choice of options is available for</w:t>
      </w:r>
      <w:r>
        <w:t xml:space="preserve"> </w:t>
      </w:r>
      <w:r>
        <w:t xml:space="preserve">most end-users.</w:t>
      </w:r>
      <w:r>
        <w:br/>
      </w:r>
      <w:r>
        <w:t xml:space="preserve">The graph below103 shows that coverage in 11 MS exceeded 80%, with ES, RO and PT</w:t>
      </w:r>
      <w:r>
        <w:t xml:space="preserve"> </w:t>
      </w:r>
      <w:r>
        <w:t xml:space="preserve">achieved the highest levels, while 8 MS have a fibre coverage between 70 and 80%. Another</w:t>
      </w:r>
      <w:r>
        <w:t xml:space="preserve"> </w:t>
      </w:r>
      <w:r>
        <w:t xml:space="preserve">4 have reached more than 50% of households, only 5 MS have a fibre coverage below 50%:</w:t>
      </w:r>
      <w:r>
        <w:t xml:space="preserve"> </w:t>
      </w:r>
      <w:r>
        <w:t xml:space="preserve">AT, EL, CZ, DE and BE. Europe benefits from significantly higher FTTH coverage than the</w:t>
      </w:r>
    </w:p>
    <w:p>
      <w:pPr>
        <w:pStyle w:val="BodyText"/>
      </w:pPr>
      <w:r>
        <w:t xml:space="preserve">98 Virtual Unbundled Local Access.</w:t>
      </w:r>
      <w:r>
        <w:t xml:space="preserve"> </w:t>
      </w:r>
      <w:r>
        <w:t xml:space="preserve">99 Plückebaum, T.; Godlovitch, I.; Assessment of the technicalities of VULA products in the context of a state</w:t>
      </w:r>
      <w:r>
        <w:t xml:space="preserve"> </w:t>
      </w:r>
      <w:r>
        <w:t xml:space="preserve">aid investigation, Expert opinion, Version 2, EC, Brussels, March 2018, ISBN 978-92-79-79903-7,</w:t>
      </w:r>
      <w:r>
        <w:t xml:space="preserve"> </w:t>
      </w:r>
      <w:r>
        <w:t xml:space="preserve">http://ec.europa.eu/competition/publications/reports/kd0418126enn.pdf.</w:t>
      </w:r>
      <w:r>
        <w:t xml:space="preserve"> </w:t>
      </w:r>
      <w:r>
        <w:t xml:space="preserve">100 Drafts</w:t>
      </w:r>
      <w:r>
        <w:t xml:space="preserve"> </w:t>
      </w:r>
      <w:r>
        <w:t xml:space="preserve">and</w:t>
      </w:r>
      <w:r>
        <w:t xml:space="preserve"> </w:t>
      </w:r>
      <w:r>
        <w:t xml:space="preserve">all</w:t>
      </w:r>
      <w:r>
        <w:t xml:space="preserve"> </w:t>
      </w:r>
      <w:r>
        <w:t xml:space="preserve">documents</w:t>
      </w:r>
      <w:r>
        <w:t xml:space="preserve"> </w:t>
      </w:r>
      <w:r>
        <w:t xml:space="preserve">incl. </w:t>
      </w:r>
      <w:r>
        <w:t xml:space="preserve"> </w:t>
      </w:r>
      <w:r>
        <w:t xml:space="preserve">the</w:t>
      </w:r>
      <w:r>
        <w:t xml:space="preserve"> </w:t>
      </w:r>
      <w:r>
        <w:t xml:space="preserve">original</w:t>
      </w:r>
      <w:r>
        <w:t xml:space="preserve"> </w:t>
      </w:r>
      <w:r>
        <w:t xml:space="preserve">(BoR</w:t>
      </w:r>
      <w:r>
        <w:t xml:space="preserve"> </w:t>
      </w:r>
      <w:r>
        <w:t xml:space="preserve">(15)</w:t>
      </w:r>
      <w:r>
        <w:t xml:space="preserve"> </w:t>
      </w:r>
      <w:r>
        <w:t xml:space="preserve">133)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https://www.berec.europa.eu/en/document-categories/berec/reports/berec-report-on-common-characteristics-</w:t>
      </w:r>
      <w:r>
        <w:t xml:space="preserve"> </w:t>
      </w:r>
      <w:r>
        <w:t xml:space="preserve">of-layer-2-wholesale-access-products-in-the-european-union.</w:t>
      </w:r>
      <w:r>
        <w:t xml:space="preserve"> </w:t>
      </w:r>
      <w:r>
        <w:t xml:space="preserve">101 In Italy FWA is part of the State aid solution for accessing the remaining connectionless homes in the Italia 1</w:t>
      </w:r>
      <w:r>
        <w:t xml:space="preserve"> </w:t>
      </w:r>
      <w:r>
        <w:t xml:space="preserve">Gig connectivity approach by the RFF funded state aid initiative. FWA there has to meet the fixed network</w:t>
      </w:r>
      <w:r>
        <w:t xml:space="preserve"> </w:t>
      </w:r>
      <w:r>
        <w:t xml:space="preserve">VHNC quality conditions of fixed networks (BEREC Criterion 3).</w:t>
      </w:r>
      <w:r>
        <w:t xml:space="preserve"> </w:t>
      </w:r>
      <w:r>
        <w:t xml:space="preserve">102 BEREC Guidelines on VHC Networks, BoR (20) 165, https://www.berec.europa.eu/en/document-</w:t>
      </w:r>
      <w:r>
        <w:t xml:space="preserve"> </w:t>
      </w:r>
      <w:r>
        <w:t xml:space="preserve">categories/berec/regulatory-best-practices/guidelines/berec-guidelines-on-very-high-capacity-networks.</w:t>
      </w:r>
      <w:r>
        <w:t xml:space="preserve"> </w:t>
      </w:r>
      <w:r>
        <w:t xml:space="preserve">103 Source: Digital Decade DESI visualisation tool.</w:t>
      </w:r>
    </w:p>
    <w:p>
      <w:pPr>
        <w:pStyle w:val="BodyText"/>
      </w:pPr>
      <w:r>
        <w:t xml:space="preserve">32</w:t>
      </w:r>
    </w:p>
    <w:p>
      <w:pPr>
        <w:pStyle w:val="BodyText"/>
      </w:pPr>
      <w:r>
        <w:t xml:space="preserve">US, and according to figures provided by Analysys Mason for Connect Europe, bypassed</w:t>
      </w:r>
      <w:r>
        <w:t xml:space="preserve"> </w:t>
      </w:r>
      <w:r>
        <w:t xml:space="preserve">South Korea at the end of 2024104</w:t>
      </w:r>
    </w:p>
    <w:p>
      <w:pPr>
        <w:pStyle w:val="BodyText"/>
      </w:pPr>
      <w:r>
        <w:t xml:space="preserve">Meanwhile, the data shows105 that most European consumers have a choice of multiple</w:t>
      </w:r>
      <w:r>
        <w:t xml:space="preserve"> </w:t>
      </w:r>
      <w:r>
        <w:t xml:space="preserve">providers of VHCN services, based on a combination of own infrastructure (in some cases</w:t>
      </w:r>
      <w:r>
        <w:t xml:space="preserve"> </w:t>
      </w:r>
      <w:r>
        <w:t xml:space="preserve">supported by regulated duct access), services based on co-investment and services based on</w:t>
      </w:r>
      <w:r>
        <w:t xml:space="preserve"> </w:t>
      </w:r>
      <w:r>
        <w:t xml:space="preserve">wholesale access. The following table, based on data provided by NRAs, shows the crucial</w:t>
      </w:r>
      <w:r>
        <w:t xml:space="preserve"> </w:t>
      </w:r>
      <w:r>
        <w:t xml:space="preserve">role played by wholesale local access in supporting choice to consumers.</w:t>
      </w:r>
    </w:p>
    <w:p>
      <w:pPr>
        <w:pStyle w:val="BodyText"/>
      </w:pPr>
      <w:r>
        <w:t xml:space="preserve">104 State of Digital Communications 2025.</w:t>
      </w:r>
      <w:r>
        <w:t xml:space="preserve"> </w:t>
      </w:r>
      <w:r>
        <w:t xml:space="preserve">105 The referenced “access study” is the currently unpublished supporting study “Review of Access Regulation</w:t>
      </w:r>
      <w:r>
        <w:t xml:space="preserve"> </w:t>
      </w:r>
      <w:r>
        <w:t xml:space="preserve">under the European Electronic Communications Code and analysis of future Access policy in full fibre</w:t>
      </w:r>
      <w:r>
        <w:t xml:space="preserve"> </w:t>
      </w:r>
      <w:r>
        <w:t xml:space="preserve">environment”. The possible confidentiality of the data from the NRAs is being checked.</w:t>
      </w:r>
    </w:p>
    <w:p>
      <w:pPr>
        <w:pStyle w:val="BodyText"/>
      </w:pPr>
      <w:r>
        <w:t xml:space="preserve">33</w:t>
      </w:r>
    </w:p>
    <w:p>
      <w:pPr>
        <w:pStyle w:val="BodyText"/>
      </w:pPr>
      <w:r>
        <w:t xml:space="preserve">Table: Role played by wholesale local access (“WLA”) in supporting consumer choice106</w:t>
      </w:r>
    </w:p>
    <w:p>
      <w:pPr>
        <w:pStyle w:val="BodyText"/>
      </w:pPr>
      <w:r>
        <w:t xml:space="preserve">4.3. Overview and evaluation of the access provisions</w:t>
      </w:r>
      <w:r>
        <w:t xml:space="preserve"> </w:t>
      </w:r>
      <w:r>
        <w:t xml:space="preserve">Wholesale access regulation107 has been widely applied across the EU. Access regulation has</w:t>
      </w:r>
      <w:r>
        <w:t xml:space="preserve"> </w:t>
      </w:r>
      <w:r>
        <w:t xml:space="preserve">supported the development of infrastructure-based competition (also via granting access to</w:t>
      </w:r>
      <w:r>
        <w:t xml:space="preserve"> </w:t>
      </w:r>
      <w:r>
        <w:t xml:space="preserve">physical infrastructure) and choice in broadband services, including VHCN, for a high</w:t>
      </w:r>
      <w:r>
        <w:t xml:space="preserve"> </w:t>
      </w:r>
      <w:r>
        <w:t xml:space="preserve">proportion of households in the EU. Meanwhile evidence of the effects of asymmetric (and</w:t>
      </w:r>
      <w:r>
        <w:t xml:space="preserve"> </w:t>
      </w:r>
      <w:r>
        <w:t xml:space="preserve">some cases symmetric) wholesale local access regulation on the choice for consumers is also</w:t>
      </w:r>
      <w:r>
        <w:t xml:space="preserve"> </w:t>
      </w:r>
      <w:r>
        <w:t xml:space="preserve">visible by looking at the proportion of retail broadband lines that have been provided on the</w:t>
      </w:r>
      <w:r>
        <w:t xml:space="preserve"> </w:t>
      </w:r>
      <w:r>
        <w:t xml:space="preserve">basis of wholesale access, either directly resulting from regulation, or as a result of regulatory</w:t>
      </w:r>
      <w:r>
        <w:t xml:space="preserve"> </w:t>
      </w:r>
      <w:r>
        <w:t xml:space="preserve">incentives or a continuation of practices that were triggered by regulation in the past108.</w:t>
      </w:r>
      <w:r>
        <w:br/>
      </w:r>
      <w:r>
        <w:t xml:space="preserve">The success of the EECC’s access rules would allow for further deregulation of markets and</w:t>
      </w:r>
      <w:r>
        <w:t xml:space="preserve"> </w:t>
      </w:r>
      <w:r>
        <w:t xml:space="preserve">for some simplification of provisions which have not - or only scarcely - been used.</w:t>
      </w:r>
      <w:r>
        <w:t xml:space="preserve"> </w:t>
      </w:r>
      <w:r>
        <w:t xml:space="preserve">4.3.1. Effectiveness</w:t>
      </w:r>
      <w:r>
        <w:t xml:space="preserve"> </w:t>
      </w:r>
      <w:r>
        <w:t xml:space="preserve">Except for incumbent operators, which mostly favour a withdrawal of access regulation109 in</w:t>
      </w:r>
      <w:r>
        <w:t xml:space="preserve"> </w:t>
      </w:r>
      <w:r>
        <w:t xml:space="preserve">case of sustainable competition and focus only on limited bottlenecks, other stakeholders</w:t>
      </w:r>
      <w:r>
        <w:t xml:space="preserve"> </w:t>
      </w:r>
      <w:r>
        <w:t xml:space="preserve">generally consider that the EECC access-related provisions have provided regulatory</w:t>
      </w:r>
      <w:r>
        <w:t xml:space="preserve"> </w:t>
      </w:r>
      <w:r>
        <w:t xml:space="preserve">predictability and are well-understood by NRAs and the market. Alternative operators further</w:t>
      </w:r>
      <w:r>
        <w:t xml:space="preserve"> </w:t>
      </w:r>
      <w:r>
        <w:t xml:space="preserve">observe that their existing investments (which amount to around one quarter of the FTTH</w:t>
      </w:r>
    </w:p>
    <w:p>
      <w:pPr>
        <w:pStyle w:val="BodyText"/>
      </w:pPr>
      <w:r>
        <w:t xml:space="preserve">106 Data from FR includes the role played by co-investment under symmetric regulation. Symmetric regulation</w:t>
      </w:r>
      <w:r>
        <w:t xml:space="preserve"> </w:t>
      </w:r>
      <w:r>
        <w:t xml:space="preserve">of the fibre terminating segment in FR applies to around 90% of all households, and is based on the principle</w:t>
      </w:r>
      <w:r>
        <w:t xml:space="preserve"> </w:t>
      </w:r>
      <w:r>
        <w:t xml:space="preserve">that, outside very dense urban areas, only one FTTH network is viable.</w:t>
      </w:r>
      <w:r>
        <w:t xml:space="preserve"> </w:t>
      </w:r>
      <w:r>
        <w:t xml:space="preserve">107 Primarily based on SMP, but also symmetric regulation in the case of FR and HR.</w:t>
      </w:r>
      <w:r>
        <w:t xml:space="preserve"> </w:t>
      </w:r>
      <w:r>
        <w:t xml:space="preserve">108 An analysis of the technologies used for the provision of wholesale access on incumbent operators’ networks</w:t>
      </w:r>
      <w:r>
        <w:t xml:space="preserve"> </w:t>
      </w:r>
      <w:r>
        <w:t xml:space="preserve">shows that copper and FTTC-based wholesale access still accounts for more than 50% of wholesale</w:t>
      </w:r>
      <w:r>
        <w:t xml:space="preserve"> </w:t>
      </w:r>
      <w:r>
        <w:t xml:space="preserve">connections sold by incumbents, despite accounting for only 26% of retail lines.</w:t>
      </w:r>
      <w:r>
        <w:br/>
      </w:r>
      <w:r>
        <w:t xml:space="preserve">109 Reference to the access study, section 4.3.1. and the results of the call for evidence (see Annex 2 of the</w:t>
      </w:r>
      <w:r>
        <w:t xml:space="preserve"> </w:t>
      </w:r>
      <w:r>
        <w:t xml:space="preserve">Impact Assessment).</w:t>
      </w:r>
    </w:p>
    <w:p>
      <w:pPr>
        <w:pStyle w:val="BodyText"/>
      </w:pPr>
      <w:r>
        <w:t xml:space="preserve">34</w:t>
      </w:r>
    </w:p>
    <w:p>
      <w:pPr>
        <w:pStyle w:val="BodyText"/>
      </w:pPr>
      <w:r>
        <w:t xml:space="preserve">lines deployed in Europe110) were based on the existing regulatory regime, and these</w:t>
      </w:r>
      <w:r>
        <w:t xml:space="preserve"> </w:t>
      </w:r>
      <w:r>
        <w:t xml:space="preserve">investments would be undermined in the event of changes.</w:t>
      </w:r>
      <w:r>
        <w:br/>
      </w:r>
      <w:r>
        <w:t xml:space="preserve">An analysis of the approaches taken to access regulation under the EECC shows that NRAs</w:t>
      </w:r>
      <w:r>
        <w:t xml:space="preserve"> </w:t>
      </w:r>
      <w:r>
        <w:t xml:space="preserve">have reflected in their market analysis and other regulatory decisions, factors which should</w:t>
      </w:r>
      <w:r>
        <w:t xml:space="preserve"> </w:t>
      </w:r>
      <w:r>
        <w:t xml:space="preserve">serve to minimise ex ante regulation to that needed to support competition in the interests of</w:t>
      </w:r>
      <w:r>
        <w:t xml:space="preserve"> </w:t>
      </w:r>
      <w:r>
        <w:t xml:space="preserve">end-users. In particular:</w:t>
      </w:r>
      <w:r>
        <w:t xml:space="preserve"> </w:t>
      </w:r>
      <w:r>
        <w:t xml:space="preserve">-</w:t>
      </w:r>
      <w:r>
        <w:t xml:space="preserve"> </w:t>
      </w:r>
      <w:r>
        <w:t xml:space="preserve">NRAs have taken into account commercial agreements when considering whether ex</w:t>
      </w:r>
      <w:r>
        <w:t xml:space="preserve"> </w:t>
      </w:r>
      <w:r>
        <w:t xml:space="preserve">ante access obligations are appropriate. Such considerations have led to deregulation</w:t>
      </w:r>
      <w:r>
        <w:t xml:space="preserve"> </w:t>
      </w:r>
      <w:r>
        <w:t xml:space="preserve">or lighter touch regulation in several countries. Whereas Article 79 EECC was directly</w:t>
      </w:r>
      <w:r>
        <w:t xml:space="preserve"> </w:t>
      </w:r>
      <w:r>
        <w:t xml:space="preserve">implemented only in three relevant markets111, it also served as a point of orientation</w:t>
      </w:r>
      <w:r>
        <w:t xml:space="preserve"> </w:t>
      </w:r>
      <w:r>
        <w:t xml:space="preserve">for those NRAs that decided to apply it mutatis mutandis112</w:t>
      </w:r>
      <w:r>
        <w:t xml:space="preserve"> </w:t>
      </w:r>
      <w:r>
        <w:t xml:space="preserve">-</w:t>
      </w:r>
      <w:r>
        <w:t xml:space="preserve"> </w:t>
      </w:r>
      <w:r>
        <w:t xml:space="preserve">In line with Article 72 EECC, NRAs increasingly focused on passive infrastructure</w:t>
      </w:r>
      <w:r>
        <w:t xml:space="preserve"> </w:t>
      </w:r>
      <w:r>
        <w:t xml:space="preserve">access (PIA) markets, either as a remedy for problems identified on wholesale local</w:t>
      </w:r>
      <w:r>
        <w:t xml:space="preserve"> </w:t>
      </w:r>
      <w:r>
        <w:t xml:space="preserve">access or, where such markets are not regulated, as a reason to define separate markets</w:t>
      </w:r>
      <w:r>
        <w:t xml:space="preserve"> </w:t>
      </w:r>
      <w:r>
        <w:t xml:space="preserve">for access to physical infrastructure and mandate access to those. This has contributed</w:t>
      </w:r>
      <w:r>
        <w:t xml:space="preserve"> </w:t>
      </w:r>
      <w:r>
        <w:t xml:space="preserve">to downstream deregulation (reliance on PIA alone) in cases where it has supported</w:t>
      </w:r>
      <w:r>
        <w:t xml:space="preserve"> </w:t>
      </w:r>
      <w:r>
        <w:t xml:space="preserve">competition at the level of active network infrastructure113.</w:t>
      </w:r>
      <w:r>
        <w:t xml:space="preserve"> </w:t>
      </w:r>
      <w:r>
        <w:t xml:space="preserve">-</w:t>
      </w:r>
      <w:r>
        <w:t xml:space="preserve"> </w:t>
      </w:r>
      <w:r>
        <w:t xml:space="preserve">NRAs have increasingly defined markets subject to regulation as regional or local. As</w:t>
      </w:r>
      <w:r>
        <w:t xml:space="preserve"> </w:t>
      </w:r>
      <w:r>
        <w:t xml:space="preserve">a result, there has been progressive removal of ex ante regulation (other than access to</w:t>
      </w:r>
      <w:r>
        <w:t xml:space="preserve"> </w:t>
      </w:r>
      <w:r>
        <w:t xml:space="preserve">physical infrastructure) in wholesale local access and dedicated connectivity in many</w:t>
      </w:r>
      <w:r>
        <w:t xml:space="preserve"> </w:t>
      </w:r>
      <w:r>
        <w:t xml:space="preserve">areas, in particular urban areas, where competition takes place. In many countries,</w:t>
      </w:r>
      <w:r>
        <w:t xml:space="preserve"> </w:t>
      </w:r>
      <w:r>
        <w:t xml:space="preserve">regulation is limited to some geographic markets, often rural or less densely populated</w:t>
      </w:r>
      <w:r>
        <w:t xml:space="preserve"> </w:t>
      </w:r>
      <w:r>
        <w:t xml:space="preserve">areas. This has ensured that regulation is adapted to specific conditions in the different</w:t>
      </w:r>
      <w:r>
        <w:t xml:space="preserve"> </w:t>
      </w:r>
      <w:r>
        <w:t xml:space="preserve">geographic areas114. The NRAs in the EU Member States have conducted extensive</w:t>
      </w:r>
      <w:r>
        <w:t xml:space="preserve"> </w:t>
      </w:r>
      <w:r>
        <w:t xml:space="preserve">geographical analyses to assess whether there is a need to define geographical</w:t>
      </w:r>
      <w:r>
        <w:t xml:space="preserve"> </w:t>
      </w:r>
      <w:r>
        <w:t xml:space="preserve">markets.</w:t>
      </w:r>
      <w:r>
        <w:br/>
      </w:r>
      <w:r>
        <w:t xml:space="preserve">➢ In Demark and Finland the segmentation is based on the network reach of local</w:t>
      </w:r>
      <w:r>
        <w:t xml:space="preserve"> </w:t>
      </w:r>
      <w:r>
        <w:t xml:space="preserve">and regional network operators.</w:t>
      </w:r>
    </w:p>
    <w:p>
      <w:pPr>
        <w:pStyle w:val="BodyText"/>
      </w:pPr>
      <w:r>
        <w:t xml:space="preserve">110 Reference to the access study section 4.3.1.</w:t>
      </w:r>
      <w:r>
        <w:t xml:space="preserve"> </w:t>
      </w:r>
      <w:r>
        <w:t xml:space="preserve">111 Denmark (DK/2021/2346), where four (out of 17 proposed for regulation) regional operators offered</w:t>
      </w:r>
      <w:r>
        <w:t xml:space="preserve"> </w:t>
      </w:r>
      <w:r>
        <w:t xml:space="preserve">commitments. DBA proposed to make the commitments binding, and to impose no additional obligations on</w:t>
      </w:r>
      <w:r>
        <w:t xml:space="preserve"> </w:t>
      </w:r>
      <w:r>
        <w:t xml:space="preserve">the concerned operators, France (broadcasting – FR/2022/2365): TDF proposed a set of commitments,</w:t>
      </w:r>
      <w:r>
        <w:t xml:space="preserve"> </w:t>
      </w:r>
      <w:r>
        <w:t xml:space="preserve">which were accepted by ARCEP and made binding for 5 years, Finland (broadcasting – FI/2022/2401):</w:t>
      </w:r>
      <w:r>
        <w:t xml:space="preserve"> </w:t>
      </w:r>
      <w:r>
        <w:t xml:space="preserve">Digita’s commitments accepted and made binding and complemented by additional remedy (cost</w:t>
      </w:r>
      <w:r>
        <w:t xml:space="preserve"> </w:t>
      </w:r>
      <w:r>
        <w:t xml:space="preserve">orientation).</w:t>
      </w:r>
      <w:r>
        <w:t xml:space="preserve"> </w:t>
      </w:r>
      <w:r>
        <w:t xml:space="preserve">112 Austrian wholesale broadband access market (case AT/2022/2389).</w:t>
      </w:r>
      <w:r>
        <w:t xml:space="preserve"> </w:t>
      </w:r>
      <w:r>
        <w:t xml:space="preserve">113 17 Member States regulate PIA based on SMP, out of it: 6 countries (Bulgaria, Estonia, France, Ireland,</w:t>
      </w:r>
      <w:r>
        <w:t xml:space="preserve"> </w:t>
      </w:r>
      <w:r>
        <w:t xml:space="preserve">Latvia, Portugal) have defined a separate PIA market and 11 countries (Belgium, Croatia, Cyprus, Germany,</w:t>
      </w:r>
      <w:r>
        <w:t xml:space="preserve"> </w:t>
      </w:r>
      <w:r>
        <w:t xml:space="preserve">Greece, Italy, Lithuania, Poland, Slovakia, Slovenia, Spain) have imposed PIA as a remedy in market 1.</w:t>
      </w:r>
      <w:r>
        <w:t xml:space="preserve"> </w:t>
      </w:r>
      <w:r>
        <w:t xml:space="preserve">114 Out of the 12 Member States in which the NRA conducted a geographic segmentation of the WLA market</w:t>
      </w:r>
      <w:r>
        <w:t xml:space="preserve"> </w:t>
      </w:r>
      <w:r>
        <w:t xml:space="preserve">and found SMP in a portion of the territory, 10 have distinguished between areas based on differing</w:t>
      </w:r>
      <w:r>
        <w:t xml:space="preserve"> </w:t>
      </w:r>
      <w:r>
        <w:t xml:space="preserve">competitive conditions. In Croatia, the Czech Republic, Estonia, Ireland, Italy, Latvia, Poland and Spain the</w:t>
      </w:r>
      <w:r>
        <w:t xml:space="preserve"> </w:t>
      </w:r>
      <w:r>
        <w:t xml:space="preserve">NRAs continue to regulate in the non-competitive areas. in Denmark and Finland geographic segmentation</w:t>
      </w:r>
      <w:r>
        <w:t xml:space="preserve"> </w:t>
      </w:r>
      <w:r>
        <w:t xml:space="preserve">has been based on the network reach of local and regional network operators, leading to the designation of</w:t>
      </w:r>
      <w:r>
        <w:t xml:space="preserve"> </w:t>
      </w:r>
      <w:r>
        <w:t xml:space="preserve">different operators with SMP in different areas.</w:t>
      </w:r>
    </w:p>
    <w:p>
      <w:pPr>
        <w:pStyle w:val="BodyText"/>
      </w:pPr>
      <w:r>
        <w:t xml:space="preserve">35</w:t>
      </w:r>
    </w:p>
    <w:p>
      <w:pPr>
        <w:pStyle w:val="BodyText"/>
      </w:pPr>
      <w:r>
        <w:t xml:space="preserve">➢ In Ireland, in a first step the market is segmented in two areas (intervention</w:t>
      </w:r>
      <w:r>
        <w:t xml:space="preserve"> </w:t>
      </w:r>
      <w:r>
        <w:t xml:space="preserve">area IA NG area and commercial NG area) based on network reach of the</w:t>
      </w:r>
      <w:r>
        <w:t xml:space="preserve"> </w:t>
      </w:r>
      <w:r>
        <w:t xml:space="preserve">network operators Eircom and NBI. The competitive conditions are assessed in</w:t>
      </w:r>
      <w:r>
        <w:t xml:space="preserve"> </w:t>
      </w:r>
      <w:r>
        <w:t xml:space="preserve">a second step for each area.</w:t>
      </w:r>
      <w:r>
        <w:br/>
      </w:r>
      <w:r>
        <w:t xml:space="preserve">➢ In France, Hungary, Netherlands and Portugal the NRAs also combine the</w:t>
      </w:r>
      <w:r>
        <w:t xml:space="preserve"> </w:t>
      </w:r>
      <w:r>
        <w:t xml:space="preserve">assessment</w:t>
      </w:r>
      <w:r>
        <w:t xml:space="preserve"> </w:t>
      </w:r>
      <w:r>
        <w:t xml:space="preserve">of</w:t>
      </w:r>
      <w:r>
        <w:t xml:space="preserve"> </w:t>
      </w:r>
      <w:r>
        <w:t xml:space="preserve">competitive</w:t>
      </w:r>
      <w:r>
        <w:t xml:space="preserve"> </w:t>
      </w:r>
      <w:r>
        <w:t xml:space="preserve">conditions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network</w:t>
      </w:r>
      <w:r>
        <w:t xml:space="preserve"> </w:t>
      </w:r>
      <w:r>
        <w:t xml:space="preserve">reach</w:t>
      </w:r>
      <w:r>
        <w:t xml:space="preserve"> </w:t>
      </w:r>
      <w:r>
        <w:t xml:space="preserve">of</w:t>
      </w:r>
      <w:r>
        <w:t xml:space="preserve"> </w:t>
      </w:r>
      <w:r>
        <w:t xml:space="preserve">operators/market leaders in the geographical market analysis.</w:t>
      </w:r>
      <w:r>
        <w:t xml:space="preserve"> </w:t>
      </w:r>
      <w:r>
        <w:t xml:space="preserve">➢ 16 NRAs use municipalities as a geographical unit. Other geographical units</w:t>
      </w:r>
      <w:r>
        <w:t xml:space="preserve"> </w:t>
      </w:r>
      <w:r>
        <w:t xml:space="preserve">used are the modified exchange of Eircom (Ireland), the energy supply areas</w:t>
      </w:r>
      <w:r>
        <w:t xml:space="preserve"> </w:t>
      </w:r>
      <w:r>
        <w:t xml:space="preserve">(Denmark), 6 digit postal code and concession areas (Hungary).</w:t>
      </w:r>
      <w:r>
        <w:t xml:space="preserve"> </w:t>
      </w:r>
      <w:r>
        <w:t xml:space="preserve">➢ With reference to the rationale/methodology used to segment the market, the</w:t>
      </w:r>
      <w:r>
        <w:t xml:space="preserve"> </w:t>
      </w:r>
      <w:r>
        <w:t xml:space="preserve">majority of NRAs combine criteria with reference to retail market share,</w:t>
      </w:r>
      <w:r>
        <w:t xml:space="preserve"> </w:t>
      </w:r>
      <w:r>
        <w:t xml:space="preserve">minimum number of alternative operators and a threshold for the coverage of</w:t>
      </w:r>
      <w:r>
        <w:t xml:space="preserve"> </w:t>
      </w:r>
      <w:r>
        <w:t xml:space="preserve">alternative operators (in sum or individually).</w:t>
      </w:r>
      <w:r>
        <w:t xml:space="preserve"> </w:t>
      </w:r>
      <w:r>
        <w:t xml:space="preserve">-</w:t>
      </w:r>
      <w:r>
        <w:t xml:space="preserve"> </w:t>
      </w:r>
      <w:r>
        <w:t xml:space="preserve">In this respect, geographic surveys (under Article 22 EECC) provide an important</w:t>
      </w:r>
      <w:r>
        <w:t xml:space="preserve"> </w:t>
      </w:r>
      <w:r>
        <w:t xml:space="preserve">input that should help national administrations and NRAs to understand to what extent</w:t>
      </w:r>
      <w:r>
        <w:t xml:space="preserve"> </w:t>
      </w:r>
      <w:r>
        <w:t xml:space="preserve">there may be regions that are likely to be underserved with VHCN on a commercial</w:t>
      </w:r>
      <w:r>
        <w:t xml:space="preserve"> </w:t>
      </w:r>
      <w:r>
        <w:t xml:space="preserve">basis, and which may therefore require State Aid to ensure adequate coverage. In areas</w:t>
      </w:r>
      <w:r>
        <w:t xml:space="preserve"> </w:t>
      </w:r>
      <w:r>
        <w:t xml:space="preserve">where commercial deployment is envisaged, geographic surveys can also be used to</w:t>
      </w:r>
      <w:r>
        <w:t xml:space="preserve"> </w:t>
      </w:r>
      <w:r>
        <w:t xml:space="preserve">understand to what extent infrastructure-based competition is present (or could</w:t>
      </w:r>
      <w:r>
        <w:t xml:space="preserve"> </w:t>
      </w:r>
      <w:r>
        <w:t xml:space="preserve">emerge), data which is essential in defining geographic markets and tailoring SMP (or</w:t>
      </w:r>
      <w:r>
        <w:t xml:space="preserve"> </w:t>
      </w:r>
      <w:r>
        <w:t xml:space="preserve">symmetric) regulation to reflect the competitive situation in the area concerned.</w:t>
      </w:r>
      <w:r>
        <w:t xml:space="preserve"> </w:t>
      </w:r>
      <w:r>
        <w:t xml:space="preserve">Information about network technologies and spectrum use could also provide</w:t>
      </w:r>
      <w:r>
        <w:t xml:space="preserve"> </w:t>
      </w:r>
      <w:r>
        <w:t xml:space="preserve">important insights regarding the quality of mobile services. NRAs could, therefore,</w:t>
      </w:r>
      <w:r>
        <w:t xml:space="preserve"> </w:t>
      </w:r>
      <w:r>
        <w:t xml:space="preserve">use the provisions in Article 22 much more to address several issues related to</w:t>
      </w:r>
      <w:r>
        <w:t xml:space="preserve"> </w:t>
      </w:r>
      <w:r>
        <w:t xml:space="preserve">achieving connectivity and accelerating copper switch-off. They could with this</w:t>
      </w:r>
      <w:r>
        <w:t xml:space="preserve"> </w:t>
      </w:r>
      <w:r>
        <w:t xml:space="preserve">approach identify the areas which are relevant for state aid. Combined with analysis</w:t>
      </w:r>
      <w:r>
        <w:t xml:space="preserve"> </w:t>
      </w:r>
      <w:r>
        <w:t xml:space="preserve">based on cost modelling, they could identify areas where duplication of networks is</w:t>
      </w:r>
      <w:r>
        <w:t xml:space="preserve"> </w:t>
      </w:r>
      <w:r>
        <w:t xml:space="preserve">unviable and where infrastructure competition can be expected.</w:t>
      </w:r>
      <w:r>
        <w:t xml:space="preserve"> </w:t>
      </w:r>
      <w:r>
        <w:t xml:space="preserve">-</w:t>
      </w:r>
      <w:r>
        <w:t xml:space="preserve"> </w:t>
      </w:r>
      <w:r>
        <w:t xml:space="preserve">Many NRAs have refrained from imposing cost-orientation remedies when mandating</w:t>
      </w:r>
      <w:r>
        <w:t xml:space="preserve"> </w:t>
      </w:r>
      <w:r>
        <w:t xml:space="preserve">access to FTTH115, and instead relied on pricing flexibility, sometimes coupled with</w:t>
      </w:r>
      <w:r>
        <w:t xml:space="preserve"> </w:t>
      </w:r>
      <w:r>
        <w:t xml:space="preserve">Economic Replicability Test. Those which have nonetheless applied cost-orientation</w:t>
      </w:r>
      <w:r>
        <w:t xml:space="preserve"> </w:t>
      </w:r>
      <w:r>
        <w:t xml:space="preserve">have noted that it has been justified based on an absence of sufficient competitive</w:t>
      </w:r>
      <w:r>
        <w:t xml:space="preserve"> </w:t>
      </w:r>
      <w:r>
        <w:t xml:space="preserve">constraints.</w:t>
      </w:r>
      <w:r>
        <w:t xml:space="preserve"> </w:t>
      </w:r>
      <w:r>
        <w:t xml:space="preserve">-</w:t>
      </w:r>
      <w:r>
        <w:t xml:space="preserve"> </w:t>
      </w:r>
      <w:r>
        <w:t xml:space="preserve">Under Article 32(10) EECC NRAs, in exceptional circumstances, where that there is</w:t>
      </w:r>
      <w:r>
        <w:t xml:space="preserve"> </w:t>
      </w:r>
      <w:r>
        <w:t xml:space="preserve">an urgent need to act, to safeguard competition it may immediately adopt</w:t>
      </w:r>
      <w:r>
        <w:t xml:space="preserve"> </w:t>
      </w:r>
      <w:r>
        <w:t xml:space="preserve">proportionate and provisional measures (without the EU consultation process). As of</w:t>
      </w:r>
      <w:r>
        <w:t xml:space="preserve"> </w:t>
      </w:r>
      <w:r>
        <w:t xml:space="preserve">2020 only 11 interim measures were adopted by 6 NRAs116 and communicated to the</w:t>
      </w:r>
      <w:r>
        <w:t xml:space="preserve"> </w:t>
      </w:r>
      <w:r>
        <w:t xml:space="preserve">Commission.</w:t>
      </w:r>
      <w:r>
        <w:br/>
      </w:r>
      <w:r>
        <w:t xml:space="preserve">-</w:t>
      </w:r>
      <w:r>
        <w:t xml:space="preserve"> </w:t>
      </w:r>
      <w:r>
        <w:t xml:space="preserve">Furthermore, despite overall general effectiveness of the process which allowed the</w:t>
      </w:r>
      <w:r>
        <w:t xml:space="preserve"> </w:t>
      </w:r>
      <w:r>
        <w:t xml:space="preserve">EU markets for electronic communication develop by removing part of high entry</w:t>
      </w:r>
    </w:p>
    <w:p>
      <w:pPr>
        <w:pStyle w:val="BodyText"/>
      </w:pPr>
      <w:r>
        <w:t xml:space="preserve">115 Of the 23 countries which found SMP on market 1 (2020)/market 3a (2014), 11 apply cost orientation to</w:t>
      </w:r>
      <w:r>
        <w:t xml:space="preserve"> </w:t>
      </w:r>
      <w:r>
        <w:t xml:space="preserve">fibre-based wholesale products. Depending on the results of the geographical market segmentation, this</w:t>
      </w:r>
      <w:r>
        <w:t xml:space="preserve"> </w:t>
      </w:r>
      <w:r>
        <w:t xml:space="preserve">may apply only to non-competitive areas of the market.</w:t>
      </w:r>
      <w:r>
        <w:t xml:space="preserve"> </w:t>
      </w:r>
      <w:r>
        <w:t xml:space="preserve">116 BU, IT, HU – 1 measure each, EL – 2 measures, DE, HR – 3 measures each.</w:t>
      </w:r>
    </w:p>
    <w:p>
      <w:pPr>
        <w:pStyle w:val="BodyText"/>
      </w:pPr>
      <w:r>
        <w:t xml:space="preserve">36</w:t>
      </w:r>
    </w:p>
    <w:p>
      <w:pPr>
        <w:pStyle w:val="BodyText"/>
      </w:pPr>
      <w:r>
        <w:t xml:space="preserve">barriers and allowed greater tendency towards effective competition, several problems</w:t>
      </w:r>
      <w:r>
        <w:t xml:space="preserve"> </w:t>
      </w:r>
      <w:r>
        <w:t xml:space="preserve">were identified. In particular:</w:t>
      </w:r>
      <w:r>
        <w:t xml:space="preserve"> </w:t>
      </w:r>
      <w:r>
        <w:t xml:space="preserve">• the Commission pointed in its comments letter to the fact that some market</w:t>
      </w:r>
      <w:r>
        <w:t xml:space="preserve"> </w:t>
      </w:r>
      <w:r>
        <w:t xml:space="preserve">reviews are delayed117.</w:t>
      </w:r>
      <w:r>
        <w:t xml:space="preserve"> </w:t>
      </w:r>
      <w:r>
        <w:t xml:space="preserve">• a significant time gap was observed between the market review and the</w:t>
      </w:r>
      <w:r>
        <w:t xml:space="preserve"> </w:t>
      </w:r>
      <w:r>
        <w:t xml:space="preserve">imposition of remedies (sometimes reaching three years). The Commission in a</w:t>
      </w:r>
      <w:r>
        <w:t xml:space="preserve"> </w:t>
      </w:r>
      <w:r>
        <w:t xml:space="preserve">number of its comments letters118 stressed that significant time gap between the</w:t>
      </w:r>
      <w:r>
        <w:t xml:space="preserve"> </w:t>
      </w:r>
      <w:r>
        <w:t xml:space="preserve">market review and the imposition of remedies, and the imposition of various</w:t>
      </w:r>
      <w:r>
        <w:t xml:space="preserve"> </w:t>
      </w:r>
      <w:r>
        <w:t xml:space="preserve">remedies in piecemeal manner, undermines the goal of predictable regulation,</w:t>
      </w:r>
      <w:r>
        <w:t xml:space="preserve"> </w:t>
      </w:r>
      <w:r>
        <w:t xml:space="preserve">as set out in Article 3(4) of the EECC.</w:t>
      </w:r>
      <w:r>
        <w:t xml:space="preserve"> </w:t>
      </w:r>
      <w:r>
        <w:t xml:space="preserve">• Data supporting the market analysis were not up-to-date (sometimes four years</w:t>
      </w:r>
      <w:r>
        <w:t xml:space="preserve"> </w:t>
      </w:r>
      <w:r>
        <w:t xml:space="preserve">old)119;</w:t>
      </w:r>
      <w:r>
        <w:br/>
      </w:r>
      <w:r>
        <w:t xml:space="preserve">As for symmetric regulation (Article 61 of the EECC), eight countries have applied</w:t>
      </w:r>
      <w:r>
        <w:t xml:space="preserve"> </w:t>
      </w:r>
      <w:r>
        <w:t xml:space="preserve">symmetric access to in-building wiring120. Of these, four countries (Cyprus, Greece, Italy and</w:t>
      </w:r>
      <w:r>
        <w:t xml:space="preserve"> </w:t>
      </w:r>
      <w:r>
        <w:t xml:space="preserve">Poland) imposed symmetric access for in-building wiring only, while the other four (France,</w:t>
      </w:r>
      <w:r>
        <w:t xml:space="preserve"> </w:t>
      </w:r>
      <w:r>
        <w:t xml:space="preserve">Spain, Portugal and Croatia) imposed symmetric access at the first distribution point with a</w:t>
      </w:r>
      <w:r>
        <w:t xml:space="preserve"> </w:t>
      </w:r>
      <w:r>
        <w:t xml:space="preserve">possibility for this to lie outside the building. Access to in-building wiring typically refers to</w:t>
      </w:r>
      <w:r>
        <w:t xml:space="preserve"> </w:t>
      </w:r>
      <w:r>
        <w:t xml:space="preserve">passive access.</w:t>
      </w:r>
    </w:p>
    <w:p>
      <w:pPr>
        <w:pStyle w:val="BodyText"/>
      </w:pPr>
      <w:r>
        <w:t xml:space="preserve">117 ES/2022/2361, MT/2024/2484, PL/2024/2528, DE/2024/2512.</w:t>
      </w:r>
      <w:r>
        <w:t xml:space="preserve"> </w:t>
      </w:r>
      <w:r>
        <w:t xml:space="preserve">118 E.g. DE/2018/2133, DE/2020/2258.</w:t>
      </w:r>
      <w:r>
        <w:t xml:space="preserve"> </w:t>
      </w:r>
      <w:r>
        <w:t xml:space="preserve">119 AT/2023/2446, DE/2024/2512.</w:t>
      </w:r>
      <w:r>
        <w:t xml:space="preserve"> </w:t>
      </w:r>
      <w:r>
        <w:t xml:space="preserve">120 in accordance with Article 61 (3) EECC. Of these, four countries (Cyprus, Greece, Italy and Poland) impose</w:t>
      </w:r>
      <w:r>
        <w:t xml:space="preserve"> </w:t>
      </w:r>
      <w:r>
        <w:t xml:space="preserve">symmetric access for in-building wiring only, while the other four (France, Spain, Portugal and Croatia)</w:t>
      </w:r>
      <w:r>
        <w:t xml:space="preserve"> </w:t>
      </w:r>
      <w:r>
        <w:t xml:space="preserve">impose symmetric access at the first distribution point with a possibility for this to lie outside the building.</w:t>
      </w:r>
    </w:p>
    <w:p>
      <w:pPr>
        <w:pStyle w:val="BodyText"/>
      </w:pPr>
      <w:r>
        <w:t xml:space="preserve">37</w:t>
      </w:r>
    </w:p>
    <w:p>
      <w:pPr>
        <w:pStyle w:val="BodyText"/>
      </w:pPr>
      <w:r>
        <w:t xml:space="preserve">Figure 2: Application of symmetric regulation according to Art. 61 (3) EECC</w:t>
      </w:r>
    </w:p>
    <w:p>
      <w:pPr>
        <w:pStyle w:val="BodyText"/>
      </w:pPr>
      <w:r>
        <w:t xml:space="preserve">Source: NRA online survey and Godlovitch, I. et al. (2023).121</w:t>
      </w:r>
      <w:r>
        <w:t xml:space="preserve"> </w:t>
      </w:r>
      <w:r>
        <w:t xml:space="preserve">Under Article 122 of the EECC, the Commission shall evaluate in particular the market</w:t>
      </w:r>
      <w:r>
        <w:t xml:space="preserve"> </w:t>
      </w:r>
      <w:r>
        <w:t xml:space="preserve">implications of Article 61(3) and Articles 76, 78 and 79:</w:t>
      </w:r>
      <w:r>
        <w:t xml:space="preserve"> </w:t>
      </w:r>
      <w:r>
        <w:t xml:space="preserve">Symmetric regulation under Article 61(3) was designed, inter alia, to limit network</w:t>
      </w:r>
      <w:r>
        <w:t xml:space="preserve"> </w:t>
      </w:r>
      <w:r>
        <w:t xml:space="preserve">duplication in areas where it is not viable by identifying a viable connection point for</w:t>
      </w:r>
      <w:r>
        <w:t xml:space="preserve"> </w:t>
      </w:r>
      <w:r>
        <w:t xml:space="preserve">wholesale access and requiring the provision of access by any network operator that deploys</w:t>
      </w:r>
      <w:r>
        <w:t xml:space="preserve"> </w:t>
      </w:r>
      <w:r>
        <w:t xml:space="preserve">in such an area. However symmetric regulation has only been used to limit FTTH duplication</w:t>
      </w:r>
      <w:r>
        <w:t xml:space="preserve"> </w:t>
      </w:r>
      <w:r>
        <w:t xml:space="preserve">in areas where it is not viable in two Member States (France and Croatia). This may be in part</w:t>
      </w:r>
      <w:r>
        <w:t xml:space="preserve"> </w:t>
      </w:r>
      <w:r>
        <w:t xml:space="preserve">because the provisions relating to symmetric regulation are optional (i.e. NRAs are not</w:t>
      </w:r>
      <w:r>
        <w:t xml:space="preserve"> </w:t>
      </w:r>
      <w:r>
        <w:t xml:space="preserve">obliged to impose them but to react to “reasonable request”), whereas the requirement to</w:t>
      </w:r>
      <w:r>
        <w:t xml:space="preserve"> </w:t>
      </w:r>
      <w:r>
        <w:t xml:space="preserve">conduct a market analysis of markets listed in the Relevant Market Recommendation as</w:t>
      </w:r>
      <w:r>
        <w:t xml:space="preserve"> </w:t>
      </w:r>
      <w:r>
        <w:t xml:space="preserve">susceptible to ex ante regulation is, in principle, mandatory.</w:t>
      </w:r>
      <w:r>
        <w:br/>
      </w:r>
      <w:r>
        <w:t xml:space="preserve">In addition, art 61(3) seems to place a focus on in-building wiring or access to the first</w:t>
      </w:r>
      <w:r>
        <w:t xml:space="preserve"> </w:t>
      </w:r>
      <w:r>
        <w:t xml:space="preserve">concentration point (which is typically not a viable connection point when chosen by the</w:t>
      </w:r>
      <w:r>
        <w:t xml:space="preserve"> </w:t>
      </w:r>
      <w:r>
        <w:t xml:space="preserve">operator concerned). This requires a high burden of proof for the imposition of passive access</w:t>
      </w:r>
      <w:r>
        <w:t xml:space="preserve"> </w:t>
      </w:r>
      <w:r>
        <w:t xml:space="preserve">at this point for which there is limited elaboration or case law, and sets an even higher burden</w:t>
      </w:r>
      <w:r>
        <w:t xml:space="preserve"> </w:t>
      </w:r>
      <w:r>
        <w:t xml:space="preserve">of proof to mandate access at a point “capable of hosting a sufficient number of end-user</w:t>
      </w:r>
      <w:r>
        <w:t xml:space="preserve"> </w:t>
      </w:r>
      <w:r>
        <w:t xml:space="preserve">connections to be commercially viable for efficient access seekers”, with a further</w:t>
      </w:r>
      <w:r>
        <w:t xml:space="preserve"> </w:t>
      </w:r>
      <w:r>
        <w:t xml:space="preserve">justification required to impose active access. Moreover, it makes only brief mention of the</w:t>
      </w:r>
      <w:r>
        <w:t xml:space="preserve"> </w:t>
      </w:r>
      <w:r>
        <w:t xml:space="preserve">conditions that can be attached to access. This contrasts with the extensive menu of measures</w:t>
      </w:r>
      <w:r>
        <w:t xml:space="preserve"> </w:t>
      </w:r>
      <w:r>
        <w:t xml:space="preserve">and obligations that may be linked to SMP regulation.</w:t>
      </w:r>
    </w:p>
    <w:p>
      <w:pPr>
        <w:pStyle w:val="BodyText"/>
      </w:pPr>
      <w:r>
        <w:t xml:space="preserve">121 Godlovitch, I.; Knips, J.; Strube Martins, S.; Wernick, C.; Tenbrock, S.; Hocepied, C. (2023): Study on the</w:t>
      </w:r>
      <w:r>
        <w:t xml:space="preserve"> </w:t>
      </w:r>
      <w:r>
        <w:t xml:space="preserve">evolution of the competition dynamics of tower and access infrastructure companies not directly providing</w:t>
      </w:r>
      <w:r>
        <w:t xml:space="preserve"> </w:t>
      </w:r>
      <w:r>
        <w:t xml:space="preserve">retail services, study for BEREC, BoR (23) 206, https://www.berec.europa.eu/system/files/2023-</w:t>
      </w:r>
      <w:r>
        <w:t xml:space="preserve"> </w:t>
      </w:r>
      <w:r>
        <w:t xml:space="preserve">12/BoR%20%2823%29%20206_Rev1_Study_towernetco_PUBLIC_0.pdf (last accessed on 19.03.2025).</w:t>
      </w:r>
    </w:p>
    <w:p>
      <w:pPr>
        <w:pStyle w:val="BodyText"/>
      </w:pPr>
      <w:r>
        <w:t xml:space="preserve">38</w:t>
      </w:r>
    </w:p>
    <w:p>
      <w:pPr>
        <w:pStyle w:val="BodyText"/>
      </w:pPr>
      <w:r>
        <w:t xml:space="preserve">The limited use of symmetric regulation under Art 61(3) by other Member States could</w:t>
      </w:r>
      <w:r>
        <w:t xml:space="preserve"> </w:t>
      </w:r>
      <w:r>
        <w:t xml:space="preserve">therefore be due, not only to the high burden of proof, but also to the fact that the weight of</w:t>
      </w:r>
      <w:r>
        <w:t xml:space="preserve"> </w:t>
      </w:r>
      <w:r>
        <w:t xml:space="preserve">attention in the EECC (and the associated number of provisions) was rather towards SMP</w:t>
      </w:r>
      <w:r>
        <w:t xml:space="preserve"> </w:t>
      </w:r>
      <w:r>
        <w:t xml:space="preserve">regulation. SMP regulation, in fact provides an alternative means of mandating wholesale</w:t>
      </w:r>
      <w:r>
        <w:t xml:space="preserve"> </w:t>
      </w:r>
      <w:r>
        <w:t xml:space="preserve">access including to FTTH. Such wholesale access, however is based on the existing market</w:t>
      </w:r>
      <w:r>
        <w:t xml:space="preserve"> </w:t>
      </w:r>
      <w:r>
        <w:t xml:space="preserve">power of an identified operator in a given area, rather than a prospective analysis of the</w:t>
      </w:r>
      <w:r>
        <w:t xml:space="preserve"> </w:t>
      </w:r>
      <w:r>
        <w:t xml:space="preserve">potential (or otherwise) for networks to be viably duplicated in general.</w:t>
      </w:r>
      <w:r>
        <w:t xml:space="preserve"> </w:t>
      </w:r>
      <w:r>
        <w:t xml:space="preserve">Provisions in the EECC that can be said to have been particularly effective in minimising the</w:t>
      </w:r>
      <w:r>
        <w:t xml:space="preserve"> </w:t>
      </w:r>
      <w:r>
        <w:t xml:space="preserve">overall burden of ex ante regulation are those which highlighted the need to prioritise civil</w:t>
      </w:r>
      <w:r>
        <w:t xml:space="preserve"> </w:t>
      </w:r>
      <w:r>
        <w:t xml:space="preserve">engineering access where possible (Article 72) and to take into account different geographic</w:t>
      </w:r>
      <w:r>
        <w:t xml:space="preserve"> </w:t>
      </w:r>
      <w:r>
        <w:t xml:space="preserve">conditions. The newly introduced option to make use of “commitments” instead of obligations</w:t>
      </w:r>
      <w:r>
        <w:t xml:space="preserve"> </w:t>
      </w:r>
      <w:r>
        <w:t xml:space="preserve">to address SMP concerns (Article 79) has also been successfully used, albeit in a limited</w:t>
      </w:r>
      <w:r>
        <w:t xml:space="preserve"> </w:t>
      </w:r>
      <w:r>
        <w:t xml:space="preserve">number of cases and has been supported by stakeholders interviewed by WIK.</w:t>
      </w:r>
      <w:r>
        <w:t xml:space="preserve"> </w:t>
      </w:r>
      <w:r>
        <w:t xml:space="preserve">The EECC acknowledged the positive role that can be played by commercial agreements</w:t>
      </w:r>
      <w:r>
        <w:t xml:space="preserve"> </w:t>
      </w:r>
      <w:r>
        <w:t xml:space="preserve">including co-investment by requiring NRAs to consider the impact of such agreements on</w:t>
      </w:r>
      <w:r>
        <w:t xml:space="preserve"> </w:t>
      </w:r>
      <w:r>
        <w:t xml:space="preserve">competitive dynamics, when they consider imposing SMP obligations. However, regarding</w:t>
      </w:r>
      <w:r>
        <w:t xml:space="preserve"> </w:t>
      </w:r>
      <w:r>
        <w:t xml:space="preserve">co-investment under Article 76, there were no cases, in which the NRAs have formally</w:t>
      </w:r>
      <w:r>
        <w:t xml:space="preserve"> </w:t>
      </w:r>
      <w:r>
        <w:t xml:space="preserve">applied this provision122.</w:t>
      </w:r>
      <w:r>
        <w:br/>
      </w:r>
      <w:r>
        <w:t xml:space="preserve">Therefore, Article 76 EECC did not prove to be an efficient tool to incentivize SMP</w:t>
      </w:r>
      <w:r>
        <w:t xml:space="preserve"> </w:t>
      </w:r>
      <w:r>
        <w:t xml:space="preserve">operators to share investments with (potential) competitors on a voluntary basis. The co-</w:t>
      </w:r>
      <w:r>
        <w:t xml:space="preserve"> </w:t>
      </w:r>
      <w:r>
        <w:t xml:space="preserve">investment provisions in Art 76 EECC appeared complex, limiting their potential application.</w:t>
      </w:r>
      <w:r>
        <w:t xml:space="preserve"> </w:t>
      </w:r>
      <w:r>
        <w:t xml:space="preserve">The provision, if applied, could potentially be counterproductive, as it would risk locking in</w:t>
      </w:r>
      <w:r>
        <w:t xml:space="preserve"> </w:t>
      </w:r>
      <w:r>
        <w:t xml:space="preserve">customers to the SMP operators’ network, thereby reducing the potential customer base that</w:t>
      </w:r>
      <w:r>
        <w:t xml:space="preserve"> </w:t>
      </w:r>
      <w:r>
        <w:t xml:space="preserve">would be needed to support the entry of infrastructure-based competitors123. Therefore,</w:t>
      </w:r>
      <w:r>
        <w:t xml:space="preserve"> </w:t>
      </w:r>
      <w:r>
        <w:t xml:space="preserve">Article 76 provisions should either be substantially revised or removed.</w:t>
      </w:r>
      <w:r>
        <w:t xml:space="preserve"> </w:t>
      </w:r>
      <w:r>
        <w:t xml:space="preserve">No NRA has mandated functional separation under Article 77. However voluntary legal or</w:t>
      </w:r>
      <w:r>
        <w:t xml:space="preserve"> </w:t>
      </w:r>
      <w:r>
        <w:t xml:space="preserve">functional separation has been pursued in at least three countries124 under Article 78.</w:t>
      </w:r>
      <w:r>
        <w:br/>
      </w:r>
      <w:r>
        <w:t xml:space="preserve">As regards the effectiveness and relevance of Article 80, the possibility of lifting regulation</w:t>
      </w:r>
      <w:r>
        <w:t xml:space="preserve"> </w:t>
      </w:r>
      <w:r>
        <w:t xml:space="preserve">does not seem to have been a key driver in either incentivising wholesale-only models or</w:t>
      </w:r>
      <w:r>
        <w:t xml:space="preserve"> </w:t>
      </w:r>
      <w:r>
        <w:t xml:space="preserve">separation by former incumbents125 . The key driver for the emergence of wholesale only</w:t>
      </w:r>
      <w:r>
        <w:t xml:space="preserve"> </w:t>
      </w:r>
      <w:r>
        <w:t xml:space="preserve">operators seem to have been rather investor expectations and business choices.</w:t>
      </w:r>
      <w:r>
        <w:br/>
      </w:r>
      <w:r>
        <w:t xml:space="preserve">Article 80, indeed, offers regulatory relief (no strict price control). However, while NRAs and</w:t>
      </w:r>
      <w:r>
        <w:t xml:space="preserve"> </w:t>
      </w:r>
      <w:r>
        <w:t xml:space="preserve">alternative telecom providers agree that there may be reduced incentives for wholesale-only</w:t>
      </w:r>
      <w:r>
        <w:t xml:space="preserve"> </w:t>
      </w:r>
      <w:r>
        <w:t xml:space="preserve">undertakings to engage in anti-competitive behaviour, such as discrimination (in the absence</w:t>
      </w:r>
      <w:r>
        <w:t xml:space="preserve"> </w:t>
      </w:r>
      <w:r>
        <w:t xml:space="preserve">of preferential agreements with retailers), they highlight that a risk of excessive pricing</w:t>
      </w:r>
      <w:r>
        <w:t xml:space="preserve"> </w:t>
      </w:r>
      <w:r>
        <w:t xml:space="preserve">remains in cases where the wholesale-only operator keeps a SMP position126.</w:t>
      </w:r>
    </w:p>
    <w:p>
      <w:pPr>
        <w:pStyle w:val="BodyText"/>
      </w:pPr>
      <w:r>
        <w:t xml:space="preserve">122 Only in Italy country an SMP operator sought to make use of the new possibility offered by the Article 76</w:t>
      </w:r>
      <w:r>
        <w:t xml:space="preserve"> </w:t>
      </w:r>
      <w:r>
        <w:t xml:space="preserve">EECC. AGCOM, however, withdrew its notification once the SMP operator unilaterally changed its offer on</w:t>
      </w:r>
      <w:r>
        <w:t xml:space="preserve"> </w:t>
      </w:r>
      <w:r>
        <w:t xml:space="preserve">an essential element (prices), thus requiring a new assessment by AGCOM. Later, AGCOM requested</w:t>
      </w:r>
      <w:r>
        <w:t xml:space="preserve"> </w:t>
      </w:r>
      <w:r>
        <w:t xml:space="preserve">amendments of the offer and eventually, when the SMP operator did not implement them, rejected the offer</w:t>
      </w:r>
      <w:r>
        <w:t xml:space="preserve"> </w:t>
      </w:r>
      <w:r>
        <w:t xml:space="preserve">as non-compliant with the EECC.</w:t>
      </w:r>
      <w:r>
        <w:t xml:space="preserve"> </w:t>
      </w:r>
      <w:r>
        <w:t xml:space="preserve">123 WIK.</w:t>
      </w:r>
      <w:r>
        <w:t xml:space="preserve"> </w:t>
      </w:r>
      <w:r>
        <w:t xml:space="preserve">124 Czechia (although this took place before the entry into force of the Code), Denmark, Italy.</w:t>
      </w:r>
      <w:r>
        <w:t xml:space="preserve"> </w:t>
      </w:r>
      <w:r>
        <w:t xml:space="preserve">125 Only one NRA (DBA in Denmark) decided to regulate wholesale only operators.</w:t>
      </w:r>
      <w:r>
        <w:br/>
      </w:r>
      <w:r>
        <w:t xml:space="preserve">126 See. DK/2021/2346.</w:t>
      </w:r>
    </w:p>
    <w:p>
      <w:pPr>
        <w:pStyle w:val="BodyText"/>
      </w:pPr>
      <w:r>
        <w:t xml:space="preserve">39</w:t>
      </w:r>
    </w:p>
    <w:p>
      <w:pPr>
        <w:pStyle w:val="BodyText"/>
      </w:pPr>
      <w:r>
        <w:t xml:space="preserve">Part of stakeholders interviewed by WIK for the access study considered that specific</w:t>
      </w:r>
      <w:r>
        <w:t xml:space="preserve"> </w:t>
      </w:r>
      <w:r>
        <w:t xml:space="preserve">provisions relating to wholesale only companies should be removed, leaving the analysis to be</w:t>
      </w:r>
      <w:r>
        <w:t xml:space="preserve"> </w:t>
      </w:r>
      <w:r>
        <w:t xml:space="preserve">conducted in line with standard market analysis procedures. On the other hand, wholesale</w:t>
      </w:r>
      <w:r>
        <w:t xml:space="preserve"> </w:t>
      </w:r>
      <w:r>
        <w:t xml:space="preserve">only providers argue that the existing provisions should remain but be clarified e.g. to allow</w:t>
      </w:r>
      <w:r>
        <w:t xml:space="preserve"> </w:t>
      </w:r>
      <w:r>
        <w:t xml:space="preserve">the provision of services to business customers or to favour wholesale only companies which</w:t>
      </w:r>
      <w:r>
        <w:t xml:space="preserve"> </w:t>
      </w:r>
      <w:r>
        <w:t xml:space="preserve">offer passive access. Meanwhile, former SMP operators which have engaged in separation</w:t>
      </w:r>
      <w:r>
        <w:t xml:space="preserve"> </w:t>
      </w:r>
      <w:r>
        <w:t xml:space="preserve">consider that the conditions to be considered as wholesale only operators are too strict.</w:t>
      </w:r>
      <w:r>
        <w:br/>
      </w:r>
      <w:r>
        <w:t xml:space="preserve">The EECC also requires, under Article 122, the Commission to review whether ex ante and</w:t>
      </w:r>
      <w:r>
        <w:t xml:space="preserve"> </w:t>
      </w:r>
      <w:r>
        <w:t xml:space="preserve">other intervention powers pursuant to the EECC are sufficient to enable NRAs to address</w:t>
      </w:r>
      <w:r>
        <w:t xml:space="preserve"> </w:t>
      </w:r>
      <w:r>
        <w:t xml:space="preserve">possible competition issues in the markets with an oligopolistic structure, and to ensure that</w:t>
      </w:r>
      <w:r>
        <w:t xml:space="preserve"> </w:t>
      </w:r>
      <w:r>
        <w:t xml:space="preserve">competition in electronic communications markets continues to thrive to the benefit of end-</w:t>
      </w:r>
      <w:r>
        <w:t xml:space="preserve"> </w:t>
      </w:r>
      <w:r>
        <w:t xml:space="preserve">users.</w:t>
      </w:r>
      <w:r>
        <w:t xml:space="preserve"> </w:t>
      </w:r>
      <w:r>
        <w:t xml:space="preserve">No recent cases have been confirmed in which joint SMP was found and access obligations</w:t>
      </w:r>
      <w:r>
        <w:t xml:space="preserve"> </w:t>
      </w:r>
      <w:r>
        <w:t xml:space="preserve">applied in the context of ex ante regulation under the access provisions of the EECC. At the</w:t>
      </w:r>
      <w:r>
        <w:t xml:space="preserve"> </w:t>
      </w:r>
      <w:r>
        <w:t xml:space="preserve">same time the number of draft measures, notified under Article 32 of the EECC, with</w:t>
      </w:r>
      <w:r>
        <w:t xml:space="preserve"> </w:t>
      </w:r>
      <w:r>
        <w:t xml:space="preserve">collective dominance finding was very limited. In 2018 the Commission provided guidance</w:t>
      </w:r>
      <w:r>
        <w:t xml:space="preserve"> </w:t>
      </w:r>
      <w:r>
        <w:t xml:space="preserve">on the interpretation and application of the joint SMP concept in the context of the SMP</w:t>
      </w:r>
      <w:r>
        <w:t xml:space="preserve"> </w:t>
      </w:r>
      <w:r>
        <w:t xml:space="preserve">Guidelines of April 2018.127 This was followed by a finding of joint SMP by the Dutch NRA</w:t>
      </w:r>
      <w:r>
        <w:t xml:space="preserve"> </w:t>
      </w:r>
      <w:r>
        <w:t xml:space="preserve">ACM later in 2018, which was not vetoed by the Commission128 under the review procedure</w:t>
      </w:r>
      <w:r>
        <w:t xml:space="preserve"> </w:t>
      </w:r>
      <w:r>
        <w:t xml:space="preserve">for market analyses in force at that time (Article 7(3) Framework Directive). However,</w:t>
      </w:r>
      <w:r>
        <w:t xml:space="preserve"> </w:t>
      </w:r>
      <w:r>
        <w:t xml:space="preserve">despite the Commission’s absence of objection against the finding of joint SMP, the ACM’s</w:t>
      </w:r>
      <w:r>
        <w:t xml:space="preserve"> </w:t>
      </w:r>
      <w:r>
        <w:t xml:space="preserve">decision was subsequently annulled by the Dutch court.129</w:t>
      </w:r>
      <w:r>
        <w:br/>
      </w:r>
      <w:r>
        <w:t xml:space="preserve">In February 2022130 and in March 2023131, the European Commission adopted the decisions</w:t>
      </w:r>
      <w:r>
        <w:t xml:space="preserve"> </w:t>
      </w:r>
      <w:r>
        <w:t xml:space="preserve">requiring the Czech telecommunications regulator, CTU, to withdraw its proposed draft</w:t>
      </w:r>
      <w:r>
        <w:t xml:space="preserve"> </w:t>
      </w:r>
      <w:r>
        <w:t xml:space="preserve">measures to regulate wholesale access to mobile networks in Czechia via a finding of joint</w:t>
      </w:r>
      <w:r>
        <w:t xml:space="preserve"> </w:t>
      </w:r>
      <w:r>
        <w:t xml:space="preserve">SMP. A key factor was that other regulatory tools such as the enforcement of already imposed</w:t>
      </w:r>
      <w:r>
        <w:t xml:space="preserve"> </w:t>
      </w:r>
      <w:r>
        <w:t xml:space="preserve">spectrum related obligations had the potential to solve the problems.132</w:t>
      </w:r>
      <w:r>
        <w:br/>
      </w:r>
      <w:r>
        <w:t xml:space="preserve">In turn, the Maltese regulator attempted to regulate the broadband access market with two</w:t>
      </w:r>
      <w:r>
        <w:t xml:space="preserve"> </w:t>
      </w:r>
      <w:r>
        <w:t xml:space="preserve">local nationwide networks on the basis of single SMP findings and to regulate only one out of</w:t>
      </w:r>
    </w:p>
    <w:p>
      <w:pPr>
        <w:pStyle w:val="BodyText"/>
      </w:pPr>
      <w:r>
        <w:t xml:space="preserve">127 https://digital-strategy.ec.europa.eu/en/library/communication-smp-guidelines.</w:t>
      </w:r>
      <w:r>
        <w:t xml:space="preserve"> </w:t>
      </w:r>
      <w:r>
        <w:t xml:space="preserve">128 Commission Decision C(2018) 5848 final of 30.8.2018 concerning Cases NL/2018/2099 and NL/2018/2100:</w:t>
      </w:r>
      <w:r>
        <w:t xml:space="preserve"> </w:t>
      </w:r>
      <w:r>
        <w:t xml:space="preserve">Wholesale fixed access market in the Netherlands.</w:t>
      </w:r>
      <w:r>
        <w:br/>
      </w:r>
      <w:r>
        <w:t xml:space="preserve">129 https://www.jdsupra.com/legalnews/highest-dutch-court-annuls-acm-s-joint-71679/.</w:t>
      </w:r>
      <w:r>
        <w:t xml:space="preserve"> </w:t>
      </w:r>
      <w:r>
        <w:t xml:space="preserve">130 Commission closes its in-depth investigation on the proposed Czech regulation on mobile access market |</w:t>
      </w:r>
      <w:r>
        <w:t xml:space="preserve"> </w:t>
      </w:r>
      <w:r>
        <w:t xml:space="preserve">Shaping Europe’s digital future.</w:t>
      </w:r>
      <w:r>
        <w:t xml:space="preserve"> </w:t>
      </w:r>
      <w:r>
        <w:t xml:space="preserve">131 https://digital-strategy.ec.europa.eu/en/news/commission-closes-its-depth-investigation-proposed-regulation-</w:t>
      </w:r>
      <w:r>
        <w:t xml:space="preserve"> </w:t>
      </w:r>
      <w:r>
        <w:t xml:space="preserve">market-wholesale-access-mobile.</w:t>
      </w:r>
      <w:r>
        <w:t xml:space="preserve"> </w:t>
      </w:r>
      <w:r>
        <w:t xml:space="preserve">132 In a 2023 study, see https://www.berec.europa.eu/system/files/2023-</w:t>
      </w:r>
      <w:r>
        <w:t xml:space="preserve"> </w:t>
      </w:r>
      <w:r>
        <w:t xml:space="preserve">04/BoR%20%2823%29%2041%20Study%20on%20wholesale%20mobile%20connectivity%20trends%20a</w:t>
      </w:r>
      <w:r>
        <w:t xml:space="preserve"> </w:t>
      </w:r>
      <w:r>
        <w:t xml:space="preserve">nd%20issues%20for%20emerging%20mobile%20technologies%20and%20deployments_final_0.pdf,</w:t>
      </w:r>
      <w:r>
        <w:br/>
      </w:r>
      <w:r>
        <w:t xml:space="preserve">WIK-Consult noted that the nature of MVNO obligations in spectrum licences might affect the degree to</w:t>
      </w:r>
      <w:r>
        <w:t xml:space="preserve"> </w:t>
      </w:r>
      <w:r>
        <w:t xml:space="preserve">which an MVNO could differentiate its services from that of its host and thus its potential to provide</w:t>
      </w:r>
      <w:r>
        <w:t xml:space="preserve"> </w:t>
      </w:r>
      <w:r>
        <w:t xml:space="preserve">competitive disruption. It noted that in the Czech case, the spectrum licence provides “prices must allow</w:t>
      </w:r>
      <w:r>
        <w:t xml:space="preserve"> </w:t>
      </w:r>
      <w:r>
        <w:t xml:space="preserve">equally efficient operators to profitably operate on the downstream (retail) market”. The study noted in this</w:t>
      </w:r>
      <w:r>
        <w:t xml:space="preserve"> </w:t>
      </w:r>
      <w:r>
        <w:t xml:space="preserve">context that “The fact that the spectrum licence MVNO obligations require wholesale prices to be set on the</w:t>
      </w:r>
      <w:r>
        <w:t xml:space="preserve"> </w:t>
      </w:r>
      <w:r>
        <w:t xml:space="preserve">basis of an EEO margin-squeeze test in practice limits the potential for MVNOs to engage in price</w:t>
      </w:r>
      <w:r>
        <w:t xml:space="preserve"> </w:t>
      </w:r>
      <w:r>
        <w:t xml:space="preserve">competition.”</w:t>
      </w:r>
    </w:p>
    <w:p>
      <w:pPr>
        <w:pStyle w:val="BodyText"/>
      </w:pPr>
      <w:r>
        <w:t xml:space="preserve">40</w:t>
      </w:r>
    </w:p>
    <w:p>
      <w:pPr>
        <w:pStyle w:val="BodyText"/>
      </w:pPr>
      <w:r>
        <w:t xml:space="preserve">two nationwide networks. After a thorough investigation, the Commission found that the</w:t>
      </w:r>
      <w:r>
        <w:t xml:space="preserve"> </w:t>
      </w:r>
      <w:r>
        <w:t xml:space="preserve">Maltese regulator should take into account the role of the second operator with an alternative</w:t>
      </w:r>
      <w:r>
        <w:t xml:space="preserve"> </w:t>
      </w:r>
      <w:r>
        <w:t xml:space="preserve">cable infrastructure and the competitive constraints it imposes. Therefore, the Commission</w:t>
      </w:r>
      <w:r>
        <w:t xml:space="preserve"> </w:t>
      </w:r>
      <w:r>
        <w:t xml:space="preserve">has determined that the draft measure is not compatible with EU law and has issued a veto133.</w:t>
      </w:r>
      <w:r>
        <w:t xml:space="preserve"> </w:t>
      </w:r>
      <w:r>
        <w:t xml:space="preserve">No other proposed cases involving joint SMP or oligopolistic markets have been notified.</w:t>
      </w:r>
      <w:r>
        <w:t xml:space="preserve"> </w:t>
      </w:r>
      <w:r>
        <w:t xml:space="preserve">Despite of small number of joint dominance cases under the SMP regime, competitive</w:t>
      </w:r>
      <w:r>
        <w:t xml:space="preserve"> </w:t>
      </w:r>
      <w:r>
        <w:t xml:space="preserve">concerns in oligopolistic markets which involve a limited number of (most often two)</w:t>
      </w:r>
      <w:r>
        <w:t xml:space="preserve"> </w:t>
      </w:r>
      <w:r>
        <w:t xml:space="preserve">significant players with similar market positions have been addressed in different ways, not</w:t>
      </w:r>
      <w:r>
        <w:t xml:space="preserve"> </w:t>
      </w:r>
      <w:r>
        <w:t xml:space="preserve">all of which involve the traditional application of access-related measures under the EECC.</w:t>
      </w:r>
      <w:r>
        <w:t xml:space="preserve"> </w:t>
      </w:r>
      <w:r>
        <w:t xml:space="preserve">The SMP Guidelines134 adopted by the Commission set out the main principles and criteria</w:t>
      </w:r>
      <w:r>
        <w:t xml:space="preserve"> </w:t>
      </w:r>
      <w:r>
        <w:t xml:space="preserve">for determining single SMP and joint SMP.</w:t>
      </w:r>
      <w:r>
        <w:t xml:space="preserve"> </w:t>
      </w:r>
      <w:r>
        <w:t xml:space="preserve">For example, in the Belgian market they were addressed through distinguishing separate</w:t>
      </w:r>
      <w:r>
        <w:t xml:space="preserve"> </w:t>
      </w:r>
      <w:r>
        <w:t xml:space="preserve">markets for FTTx-based access and cable, while in the Dutch market, following the legal</w:t>
      </w:r>
      <w:r>
        <w:t xml:space="preserve"> </w:t>
      </w:r>
      <w:r>
        <w:t xml:space="preserve">challenge to the NRA’s proposed joint SMP finding, concerns were addressed via</w:t>
      </w:r>
      <w:r>
        <w:t xml:space="preserve"> </w:t>
      </w:r>
      <w:r>
        <w:t xml:space="preserve">commitments, which were entered into following a market investigation under competition</w:t>
      </w:r>
      <w:r>
        <w:t xml:space="preserve"> </w:t>
      </w:r>
      <w:r>
        <w:t xml:space="preserve">law. Meanwhile, proposals to apply SMP regulation in Czechia (mobile market) Malta (fixed</w:t>
      </w:r>
      <w:r>
        <w:t xml:space="preserve"> </w:t>
      </w:r>
      <w:r>
        <w:t xml:space="preserve">broadband access market) to address refusal to supply by the incumbent operator, were</w:t>
      </w:r>
      <w:r>
        <w:t xml:space="preserve"> </w:t>
      </w:r>
      <w:r>
        <w:t xml:space="preserve">withdrawn following a veto decision issued by the Commission. While in general, the</w:t>
      </w:r>
      <w:r>
        <w:t xml:space="preserve"> </w:t>
      </w:r>
      <w:r>
        <w:t xml:space="preserve">EECC’s provisions on the access regulation have contributed to supporting competitive</w:t>
      </w:r>
      <w:r>
        <w:t xml:space="preserve"> </w:t>
      </w:r>
      <w:r>
        <w:t xml:space="preserve">outcomes, one issue of the access-related provisions concerns how to address uncompetitive</w:t>
      </w:r>
      <w:r>
        <w:t xml:space="preserve"> </w:t>
      </w:r>
      <w:r>
        <w:t xml:space="preserve">oligopolies. The test of joint SMP is based on the competition law concept of joint</w:t>
      </w:r>
      <w:r>
        <w:t xml:space="preserve"> </w:t>
      </w:r>
      <w:r>
        <w:t xml:space="preserve">dominance, as further detailed in the case-law of EU Courts starting from the Airtours</w:t>
      </w:r>
      <w:r>
        <w:t xml:space="preserve"> </w:t>
      </w:r>
      <w:r>
        <w:t xml:space="preserve">judgement, which has set a higher level the required burden of proof. There are also different</w:t>
      </w:r>
      <w:r>
        <w:t xml:space="preserve"> </w:t>
      </w:r>
      <w:r>
        <w:t xml:space="preserve">views among stakeholders, as to what extent the ex ante intervention into oligopolistic</w:t>
      </w:r>
      <w:r>
        <w:t xml:space="preserve"> </w:t>
      </w:r>
      <w:r>
        <w:t xml:space="preserve">electronic communications market is needed.</w:t>
      </w:r>
      <w:r>
        <w:t xml:space="preserve"> </w:t>
      </w:r>
      <w:r>
        <w:t xml:space="preserve">While incumbent operators generally observe that one network is sufficient if wholesale</w:t>
      </w:r>
      <w:r>
        <w:t xml:space="preserve"> </w:t>
      </w:r>
      <w:r>
        <w:t xml:space="preserve">access is provided and that the situation in which at least two players are present does not</w:t>
      </w:r>
      <w:r>
        <w:t xml:space="preserve"> </w:t>
      </w:r>
      <w:r>
        <w:t xml:space="preserve">raise competition issues (and thus that the concept of joint SMP is not relevant), NRAs,</w:t>
      </w:r>
      <w:r>
        <w:t xml:space="preserve"> </w:t>
      </w:r>
      <w:r>
        <w:t xml:space="preserve">consumer representatives, MVNOs and some alternative operators consider that it all depends</w:t>
      </w:r>
      <w:r>
        <w:t xml:space="preserve"> </w:t>
      </w:r>
      <w:r>
        <w:t xml:space="preserve">on the behaviours and incentives of the oligopolistic operators. These stakeholders underline</w:t>
      </w:r>
      <w:r>
        <w:t xml:space="preserve"> </w:t>
      </w:r>
      <w:r>
        <w:t xml:space="preserve">that the lack of cases is due mainly to the high burden of proof for joint SMP established by</w:t>
      </w:r>
      <w:r>
        <w:t xml:space="preserve"> </w:t>
      </w:r>
      <w:r>
        <w:t xml:space="preserve">the case law and the difficulty faced by enforcers to prove a case.</w:t>
      </w:r>
      <w:r>
        <w:br/>
      </w:r>
      <w:r>
        <w:t xml:space="preserve">As regards Article 81 regulating copper switch-off, operators with significant market power</w:t>
      </w:r>
      <w:r>
        <w:t xml:space="preserve"> </w:t>
      </w:r>
      <w:r>
        <w:t xml:space="preserve">and subject to network access obligations must notify NRAs when they plan to decommission</w:t>
      </w:r>
      <w:r>
        <w:t xml:space="preserve"> </w:t>
      </w:r>
      <w:r>
        <w:t xml:space="preserve">or replace their copper networks135. This ensures that migrations are transparent with a clear</w:t>
      </w:r>
      <w:r>
        <w:t xml:space="preserve"> </w:t>
      </w:r>
      <w:r>
        <w:t xml:space="preserve">timetable and adequate notice periods, do not harm competition or end-user rights and that</w:t>
      </w:r>
      <w:r>
        <w:t xml:space="preserve"> </w:t>
      </w:r>
      <w:r>
        <w:t xml:space="preserve">alternative access products of comparable quality are available. These requirements apply</w:t>
      </w:r>
      <w:r>
        <w:t xml:space="preserve"> </w:t>
      </w:r>
      <w:r>
        <w:t xml:space="preserve">only to migrations of operators with SMP and had only limited practical relevance either</w:t>
      </w:r>
      <w:r>
        <w:t xml:space="preserve"> </w:t>
      </w:r>
      <w:r>
        <w:t xml:space="preserve">because (i) the incumbents had not announced copper switch off plans, (ii) the conditions for</w:t>
      </w:r>
      <w:r>
        <w:t xml:space="preserve"> </w:t>
      </w:r>
      <w:r>
        <w:t xml:space="preserve">copper switch off were set prior the entry into force of the EECC or (iii) copper markets were</w:t>
      </w:r>
      <w:r>
        <w:t xml:space="preserve"> </w:t>
      </w:r>
      <w:r>
        <w:t xml:space="preserve">deregulated. Several Member States (e.g., Belgium, France, Spain, Italy and Portugal) have</w:t>
      </w:r>
      <w:r>
        <w:t xml:space="preserve"> </w:t>
      </w:r>
      <w:r>
        <w:t xml:space="preserve">implemented copper switch-off conditions through their SMP market reviews, while others as</w:t>
      </w:r>
    </w:p>
    <w:p>
      <w:pPr>
        <w:pStyle w:val="BodyText"/>
      </w:pPr>
      <w:r>
        <w:t xml:space="preserve">133 C(2024) 1928 final.</w:t>
      </w:r>
      <w:r>
        <w:t xml:space="preserve"> </w:t>
      </w:r>
      <w:r>
        <w:t xml:space="preserve">134 See points 46-49 and 51 of the SMP Guidelines.</w:t>
      </w:r>
      <w:r>
        <w:t xml:space="preserve"> </w:t>
      </w:r>
      <w:r>
        <w:t xml:space="preserve">135 See Article 81 EECC.</w:t>
      </w:r>
    </w:p>
    <w:p>
      <w:pPr>
        <w:pStyle w:val="BodyText"/>
      </w:pPr>
      <w:r>
        <w:t xml:space="preserve">41</w:t>
      </w:r>
    </w:p>
    <w:p>
      <w:pPr>
        <w:pStyle w:val="BodyText"/>
      </w:pPr>
      <w:r>
        <w:t xml:space="preserve">Ireland have set a specific framework. More generally, this provision was not aimed and did</w:t>
      </w:r>
      <w:r>
        <w:t xml:space="preserve"> </w:t>
      </w:r>
      <w:r>
        <w:t xml:space="preserve">not contribute in any fashion to accelerate the move from copper to fibre, as it only gave the</w:t>
      </w:r>
      <w:r>
        <w:t xml:space="preserve"> </w:t>
      </w:r>
      <w:r>
        <w:t xml:space="preserve">means to regulators to govern the process for the switch off.</w:t>
      </w:r>
      <w:r>
        <w:t xml:space="preserve"> </w:t>
      </w:r>
      <w:r>
        <w:t xml:space="preserve">As regards the application of Article 32(10) EECC which allows NRAs, who are in</w:t>
      </w:r>
      <w:r>
        <w:t xml:space="preserve"> </w:t>
      </w:r>
      <w:r>
        <w:t xml:space="preserve">position In exceptional circumstances, where a NRA considers that there is an urgent need to</w:t>
      </w:r>
      <w:r>
        <w:t xml:space="preserve"> </w:t>
      </w:r>
      <w:r>
        <w:t xml:space="preserve">act, in order to safeguard competition and protect the interests of users, by way of derogation</w:t>
      </w:r>
      <w:r>
        <w:t xml:space="preserve"> </w:t>
      </w:r>
      <w:r>
        <w:t xml:space="preserve">from the procedure set out in paragraphs 3 and 4, it may immediately adopt proportionate and</w:t>
      </w:r>
      <w:r>
        <w:t xml:space="preserve"> </w:t>
      </w:r>
      <w:r>
        <w:t xml:space="preserve">provisional measures.</w:t>
      </w:r>
      <w:r>
        <w:t xml:space="preserve"> </w:t>
      </w:r>
      <w:r>
        <w:t xml:space="preserve">Furthermore, despite overall general effectiveness of the process which allowed the EU</w:t>
      </w:r>
      <w:r>
        <w:t xml:space="preserve"> </w:t>
      </w:r>
      <w:r>
        <w:t xml:space="preserve">markets for electronic communication develop by removing part of high entry barriers and</w:t>
      </w:r>
      <w:r>
        <w:t xml:space="preserve"> </w:t>
      </w:r>
      <w:r>
        <w:t xml:space="preserve">allowed greater tendency towards effective competition, several problems were identified. In</w:t>
      </w:r>
      <w:r>
        <w:t xml:space="preserve"> </w:t>
      </w:r>
      <w:r>
        <w:t xml:space="preserve">particular, the significant time gap between the market review and the imposition of remedies</w:t>
      </w:r>
      <w:r>
        <w:t xml:space="preserve"> </w:t>
      </w:r>
      <w:r>
        <w:t xml:space="preserve">(sometimes reaching three years), and imposition of various remedies, addressing identified</w:t>
      </w:r>
      <w:r>
        <w:t xml:space="preserve"> </w:t>
      </w:r>
      <w:r>
        <w:t xml:space="preserve">competition problems in different manner in different markets and in piecemeal manner,</w:t>
      </w:r>
      <w:r>
        <w:t xml:space="preserve"> </w:t>
      </w:r>
      <w:r>
        <w:t xml:space="preserve">undermines the goal of predictable regulation.</w:t>
      </w:r>
      <w:r>
        <w:br/>
      </w:r>
      <w:r>
        <w:t xml:space="preserve">4.3.2. Efficiency</w:t>
      </w:r>
      <w:r>
        <w:t xml:space="preserve"> </w:t>
      </w:r>
      <w:r>
        <w:t xml:space="preserve">Data gathered from NRAs shows that the direct costs associated with the access regulation</w:t>
      </w:r>
      <w:r>
        <w:t xml:space="preserve"> </w:t>
      </w:r>
      <w:r>
        <w:t xml:space="preserve">processes are relatively limited. As shown in the following table, extrapolations from data</w:t>
      </w:r>
      <w:r>
        <w:t xml:space="preserve"> </w:t>
      </w:r>
      <w:r>
        <w:t xml:space="preserve">provided by NRAs suggest that, while the total Full Time Equivalent (FTEs) employed in</w:t>
      </w:r>
      <w:r>
        <w:t xml:space="preserve"> </w:t>
      </w:r>
      <w:r>
        <w:t xml:space="preserve">NRAs/ Dispute Settlement Bodies (DSBs) was around 9,500, across Europe, only around 725</w:t>
      </w:r>
      <w:r>
        <w:t xml:space="preserve"> </w:t>
      </w:r>
      <w:r>
        <w:t xml:space="preserve">of these were involved in access-related issues. Likewise, the European Commission employs</w:t>
      </w:r>
      <w:r>
        <w:t xml:space="preserve"> </w:t>
      </w:r>
      <w:r>
        <w:t xml:space="preserve">approx.. 15 FTEs for the tasks related to access regulation procedures. Under the assumption</w:t>
      </w:r>
      <w:r>
        <w:t xml:space="preserve"> </w:t>
      </w:r>
      <w:r>
        <w:t xml:space="preserve">that twice as many resources are deployed in the private sector in relation to access regulation,</w:t>
      </w:r>
      <w:r>
        <w:t xml:space="preserve"> </w:t>
      </w:r>
      <w:r>
        <w:t xml:space="preserve">with a similar per FTE cost of €60,000, total costs would be around €133m.</w:t>
      </w:r>
    </w:p>
    <w:p>
      <w:pPr>
        <w:pStyle w:val="BodyText"/>
      </w:pPr>
      <w:r>
        <w:t xml:space="preserve">42</w:t>
      </w:r>
    </w:p>
    <w:p>
      <w:pPr>
        <w:pStyle w:val="BodyText"/>
      </w:pPr>
      <w:r>
        <w:t xml:space="preserve">Total</w:t>
      </w:r>
      <w:r>
        <w:t xml:space="preserve"> </w:t>
      </w:r>
      <w:r>
        <w:t xml:space="preserve">FTEs</w:t>
      </w:r>
      <w:r>
        <w:t xml:space="preserve"> </w:t>
      </w:r>
      <w:r>
        <w:t xml:space="preserve">NRA /DSB</w:t>
      </w:r>
      <w:r>
        <w:t xml:space="preserve"> </w:t>
      </w:r>
      <w:r>
        <w:t xml:space="preserve">FTEs engaged</w:t>
      </w:r>
      <w:r>
        <w:t xml:space="preserve"> </w:t>
      </w:r>
      <w:r>
        <w:t xml:space="preserve">in</w:t>
      </w:r>
      <w:r>
        <w:t xml:space="preserve"> </w:t>
      </w:r>
      <w:r>
        <w:t xml:space="preserve">dispute</w:t>
      </w:r>
      <w:r>
        <w:t xml:space="preserve"> </w:t>
      </w:r>
      <w:r>
        <w:t xml:space="preserve">resolution</w:t>
      </w:r>
      <w:r>
        <w:t xml:space="preserve"> </w:t>
      </w:r>
      <w:r>
        <w:t xml:space="preserve">BCRD/GIA</w:t>
      </w:r>
      <w:r>
        <w:t xml:space="preserve"> </w:t>
      </w:r>
      <w:r>
        <w:t xml:space="preserve">FTEs engaged</w:t>
      </w:r>
      <w:r>
        <w:t xml:space="preserve"> </w:t>
      </w:r>
      <w:r>
        <w:t xml:space="preserve">in</w:t>
      </w:r>
      <w:r>
        <w:t xml:space="preserve"> </w:t>
      </w:r>
      <w:r>
        <w:t xml:space="preserve">market</w:t>
      </w:r>
      <w:r>
        <w:t xml:space="preserve"> </w:t>
      </w:r>
      <w:r>
        <w:t xml:space="preserve">reviews</w:t>
      </w:r>
      <w:r>
        <w:t xml:space="preserve"> </w:t>
      </w:r>
      <w:r>
        <w:t xml:space="preserve">FTEs engaged</w:t>
      </w:r>
      <w:r>
        <w:t xml:space="preserve"> </w:t>
      </w:r>
      <w:r>
        <w:t xml:space="preserve">in</w:t>
      </w:r>
      <w:r>
        <w:t xml:space="preserve"> </w:t>
      </w:r>
      <w:r>
        <w:t xml:space="preserve">symmetric</w:t>
      </w:r>
      <w:r>
        <w:t xml:space="preserve"> </w:t>
      </w:r>
      <w:r>
        <w:t xml:space="preserve">regulation</w:t>
      </w:r>
      <w:r>
        <w:t xml:space="preserve"> </w:t>
      </w:r>
      <w:r>
        <w:t xml:space="preserve">FTEs engaged</w:t>
      </w:r>
      <w:r>
        <w:t xml:space="preserve"> </w:t>
      </w:r>
      <w:r>
        <w:t xml:space="preserve">in geographic</w:t>
      </w:r>
      <w:r>
        <w:t xml:space="preserve"> </w:t>
      </w:r>
      <w:r>
        <w:t xml:space="preserve">survey’s</w:t>
      </w:r>
      <w:r>
        <w:br/>
      </w:r>
      <w:r>
        <w:t xml:space="preserve">FTEs engaged</w:t>
      </w:r>
      <w:r>
        <w:t xml:space="preserve"> </w:t>
      </w:r>
      <w:r>
        <w:t xml:space="preserve">in</w:t>
      </w:r>
      <w:r>
        <w:t xml:space="preserve"> </w:t>
      </w:r>
      <w:r>
        <w:t xml:space="preserve">dispute</w:t>
      </w:r>
      <w:r>
        <w:t xml:space="preserve"> </w:t>
      </w:r>
      <w:r>
        <w:t xml:space="preserve">resolutions</w:t>
      </w:r>
      <w:r>
        <w:t xml:space="preserve"> </w:t>
      </w:r>
      <w:r>
        <w:t xml:space="preserve">(Art. 26)</w:t>
      </w:r>
      <w:r>
        <w:t xml:space="preserve"> </w:t>
      </w:r>
      <w:r>
        <w:t xml:space="preserve">Total</w:t>
      </w:r>
      <w:r>
        <w:t xml:space="preserve"> </w:t>
      </w:r>
      <w:r>
        <w:t xml:space="preserve">5238</w:t>
      </w:r>
      <w:r>
        <w:t xml:space="preserve"> </w:t>
      </w:r>
      <w:r>
        <w:t xml:space="preserve">59,2</w:t>
      </w:r>
      <w:r>
        <w:t xml:space="preserve"> </w:t>
      </w:r>
      <w:r>
        <w:t xml:space="preserve">185</w:t>
      </w:r>
      <w:r>
        <w:t xml:space="preserve"> </w:t>
      </w:r>
      <w:r>
        <w:t xml:space="preserve">26,5</w:t>
      </w:r>
      <w:r>
        <w:t xml:space="preserve"> </w:t>
      </w:r>
      <w:r>
        <w:t xml:space="preserve">118</w:t>
      </w:r>
      <w:r>
        <w:t xml:space="preserve"> </w:t>
      </w:r>
      <w:r>
        <w:t xml:space="preserve">41,1</w:t>
      </w:r>
      <w:r>
        <w:t xml:space="preserve"> </w:t>
      </w:r>
      <w:r>
        <w:t xml:space="preserve">Total</w:t>
      </w:r>
      <w:r>
        <w:t xml:space="preserve"> </w:t>
      </w:r>
      <w:r>
        <w:t xml:space="preserve">responses</w:t>
      </w:r>
      <w:r>
        <w:t xml:space="preserve"> </w:t>
      </w:r>
      <w:r>
        <w:t xml:space="preserve">15</w:t>
      </w:r>
      <w:r>
        <w:t xml:space="preserve"> </w:t>
      </w:r>
      <w:r>
        <w:t xml:space="preserve">12</w:t>
      </w:r>
      <w:r>
        <w:t xml:space="preserve"> </w:t>
      </w:r>
      <w:r>
        <w:t xml:space="preserve">17</w:t>
      </w:r>
      <w:r>
        <w:t xml:space="preserve"> </w:t>
      </w:r>
      <w:r>
        <w:t xml:space="preserve">9</w:t>
      </w:r>
      <w:r>
        <w:t xml:space="preserve"> </w:t>
      </w:r>
      <w:r>
        <w:t xml:space="preserve">12</w:t>
      </w:r>
      <w:r>
        <w:t xml:space="preserve"> </w:t>
      </w:r>
      <w:r>
        <w:t xml:space="preserve">13</w:t>
      </w:r>
      <w:r>
        <w:t xml:space="preserve"> </w:t>
      </w:r>
      <w:r>
        <w:t xml:space="preserve">Average</w:t>
      </w:r>
      <w:r>
        <w:t xml:space="preserve"> </w:t>
      </w:r>
      <w:r>
        <w:t xml:space="preserve">number</w:t>
      </w:r>
      <w:r>
        <w:t xml:space="preserve"> </w:t>
      </w:r>
      <w:r>
        <w:t xml:space="preserve">of</w:t>
      </w:r>
      <w:r>
        <w:t xml:space="preserve"> </w:t>
      </w:r>
      <w:r>
        <w:t xml:space="preserve">FTEs per NRA</w:t>
      </w:r>
      <w:r>
        <w:t xml:space="preserve"> </w:t>
      </w:r>
      <w:r>
        <w:t xml:space="preserve">and topic</w:t>
      </w:r>
      <w:r>
        <w:t xml:space="preserve"> </w:t>
      </w:r>
      <w:r>
        <w:t xml:space="preserve">349,20</w:t>
      </w:r>
      <w:r>
        <w:t xml:space="preserve"> </w:t>
      </w:r>
      <w:r>
        <w:t xml:space="preserve">4,93</w:t>
      </w:r>
      <w:r>
        <w:t xml:space="preserve"> </w:t>
      </w:r>
      <w:r>
        <w:t xml:space="preserve">10,88</w:t>
      </w:r>
      <w:r>
        <w:t xml:space="preserve"> </w:t>
      </w:r>
      <w:r>
        <w:t xml:space="preserve">2,94</w:t>
      </w:r>
      <w:r>
        <w:t xml:space="preserve"> </w:t>
      </w:r>
      <w:r>
        <w:t xml:space="preserve">9,83</w:t>
      </w:r>
      <w:r>
        <w:t xml:space="preserve"> </w:t>
      </w:r>
      <w:r>
        <w:t xml:space="preserve">3,16</w:t>
      </w:r>
      <w:r>
        <w:t xml:space="preserve"> </w:t>
      </w:r>
      <w:r>
        <w:t xml:space="preserve">Total number</w:t>
      </w:r>
      <w:r>
        <w:t xml:space="preserve"> </w:t>
      </w:r>
      <w:r>
        <w:t xml:space="preserve">of FTEs in the</w:t>
      </w:r>
      <w:r>
        <w:t xml:space="preserve"> </w:t>
      </w:r>
      <w:r>
        <w:t xml:space="preserve">EU27</w:t>
      </w:r>
      <w:r>
        <w:t xml:space="preserve"> </w:t>
      </w:r>
      <w:r>
        <w:t xml:space="preserve">per</w:t>
      </w:r>
      <w:r>
        <w:t xml:space="preserve"> </w:t>
      </w:r>
      <w:r>
        <w:t xml:space="preserve">Topic based on</w:t>
      </w:r>
      <w:r>
        <w:t xml:space="preserve"> </w:t>
      </w:r>
      <w:r>
        <w:t xml:space="preserve">average</w:t>
      </w:r>
      <w:r>
        <w:t xml:space="preserve"> </w:t>
      </w:r>
      <w:r>
        <w:t xml:space="preserve">9428,40</w:t>
      </w:r>
      <w:r>
        <w:t xml:space="preserve"> </w:t>
      </w:r>
      <w:r>
        <w:t xml:space="preserve">133,20</w:t>
      </w:r>
      <w:r>
        <w:t xml:space="preserve"> </w:t>
      </w:r>
      <w:r>
        <w:t xml:space="preserve">293,82</w:t>
      </w:r>
      <w:r>
        <w:t xml:space="preserve"> </w:t>
      </w:r>
      <w:r>
        <w:t xml:space="preserve">79,50</w:t>
      </w:r>
      <w:r>
        <w:t xml:space="preserve"> </w:t>
      </w:r>
      <w:r>
        <w:t xml:space="preserve">265,50</w:t>
      </w:r>
      <w:r>
        <w:t xml:space="preserve"> </w:t>
      </w:r>
      <w:r>
        <w:t xml:space="preserve">85,36</w:t>
      </w:r>
    </w:p>
    <w:p>
      <w:pPr>
        <w:pStyle w:val="BodyText"/>
      </w:pPr>
      <w:r>
        <w:t xml:space="preserve">The following chart shows that 34% of FTEs were involved in market reviews, with an</w:t>
      </w:r>
      <w:r>
        <w:t xml:space="preserve"> </w:t>
      </w:r>
      <w:r>
        <w:t xml:space="preserve">average of 9% involved in symmetric regulation (although this is likely to be skewed by</w:t>
      </w:r>
      <w:r>
        <w:t xml:space="preserve"> </w:t>
      </w:r>
      <w:r>
        <w:t xml:space="preserve">figures in France and Croatia, which rely on these measures extensively). Meanwhile, a</w:t>
      </w:r>
      <w:r>
        <w:t xml:space="preserve"> </w:t>
      </w:r>
      <w:r>
        <w:t xml:space="preserve">relatively high proportion (31%) were engaged in geographic surveys and a further 10% in</w:t>
      </w:r>
      <w:r>
        <w:t xml:space="preserve"> </w:t>
      </w:r>
      <w:r>
        <w:t xml:space="preserve">dispute resolution136.</w:t>
      </w:r>
    </w:p>
    <w:p>
      <w:pPr>
        <w:pStyle w:val="BodyText"/>
      </w:pPr>
      <w:r>
        <w:t xml:space="preserve">136 Dispute resolution under the BCRD / GIA (not relevant to the assessment of the EECC access-related</w:t>
      </w:r>
      <w:r>
        <w:t xml:space="preserve"> </w:t>
      </w:r>
      <w:r>
        <w:t xml:space="preserve">provisions) but interesting as a comparison accounted for 16% of the total FTE.</w:t>
      </w:r>
    </w:p>
    <w:p>
      <w:pPr>
        <w:pStyle w:val="BodyText"/>
      </w:pPr>
      <w:r>
        <w:t xml:space="preserve">43</w:t>
      </w:r>
    </w:p>
    <w:p>
      <w:pPr>
        <w:pStyle w:val="BodyText"/>
      </w:pPr>
      <w:r>
        <w:t xml:space="preserve">4.3.3. Coherence</w:t>
      </w:r>
      <w:r>
        <w:t xml:space="preserve"> </w:t>
      </w:r>
      <w:r>
        <w:t xml:space="preserve">The access-related provisions of the EECC are largely internally coherent, as they build upon</w:t>
      </w:r>
      <w:r>
        <w:t xml:space="preserve"> </w:t>
      </w:r>
      <w:r>
        <w:t xml:space="preserve">a long tradition of economic regulation in the telecom sector based on findings of “significant</w:t>
      </w:r>
      <w:r>
        <w:t xml:space="preserve"> </w:t>
      </w:r>
      <w:r>
        <w:t xml:space="preserve">market power”, while offering the possibility (pursued in only a small number of countries</w:t>
      </w:r>
      <w:r>
        <w:t xml:space="preserve"> </w:t>
      </w:r>
      <w:r>
        <w:t xml:space="preserve">such as France and Croatia) to follow an approach based on symmetric regulation as an</w:t>
      </w:r>
      <w:r>
        <w:t xml:space="preserve"> </w:t>
      </w:r>
      <w:r>
        <w:t xml:space="preserve">alternative to achieve the public policy objective of fostering the deployment of VHCN.</w:t>
      </w:r>
      <w:r>
        <w:t xml:space="preserve"> </w:t>
      </w:r>
      <w:r>
        <w:t xml:space="preserve">Some internal inconsistencies have become apparent in relation to provisions that were newly</w:t>
      </w:r>
      <w:r>
        <w:t xml:space="preserve"> </w:t>
      </w:r>
      <w:r>
        <w:t xml:space="preserve">introduced in the EECC. In particular:</w:t>
      </w:r>
      <w:r>
        <w:t xml:space="preserve"> </w:t>
      </w:r>
      <w:r>
        <w:t xml:space="preserve">-</w:t>
      </w:r>
      <w:r>
        <w:t xml:space="preserve"> </w:t>
      </w:r>
      <w:r>
        <w:t xml:space="preserve">The attempted application of Article 76 (co-investment) in the Italian market revealed</w:t>
      </w:r>
      <w:r>
        <w:t xml:space="preserve"> </w:t>
      </w:r>
      <w:r>
        <w:t xml:space="preserve">that there can be tensions between this provision and the objective in Art 3 EECC that</w:t>
      </w:r>
      <w:r>
        <w:t xml:space="preserve"> </w:t>
      </w:r>
      <w:r>
        <w:t xml:space="preserve">NRAs should promote efficient infrastructure-based competition. Specifically, in cases</w:t>
      </w:r>
      <w:r>
        <w:t xml:space="preserve"> </w:t>
      </w:r>
      <w:r>
        <w:t xml:space="preserve">where co-investment relies on long-term commitments involving a high share of</w:t>
      </w:r>
      <w:r>
        <w:t xml:space="preserve"> </w:t>
      </w:r>
      <w:r>
        <w:t xml:space="preserve">access lines, this could limit the potential for an alternative VHCN infrastructure to</w:t>
      </w:r>
      <w:r>
        <w:t xml:space="preserve"> </w:t>
      </w:r>
      <w:r>
        <w:t xml:space="preserve">secure sufficient take-up and remain economically viable. This issue was considered</w:t>
      </w:r>
      <w:r>
        <w:t xml:space="preserve"> </w:t>
      </w:r>
      <w:r>
        <w:t xml:space="preserve">by the Italian competition authority AGCM ((Autorità Garante della Concorrenza e del</w:t>
      </w:r>
      <w:r>
        <w:t xml:space="preserve"> </w:t>
      </w:r>
      <w:r>
        <w:t xml:space="preserve">Mercato) as well as the NRA during their review of the proposed co-investment.</w:t>
      </w:r>
      <w:r>
        <w:br/>
      </w:r>
      <w:r>
        <w:t xml:space="preserve">-</w:t>
      </w:r>
      <w:r>
        <w:t xml:space="preserve"> </w:t>
      </w:r>
      <w:r>
        <w:t xml:space="preserve">The provision that civil engineering access can be mandated as a remedy even where</w:t>
      </w:r>
      <w:r>
        <w:t xml:space="preserve"> </w:t>
      </w:r>
      <w:r>
        <w:t xml:space="preserve">not referenced in the market definition (Art 72) is only practicable in cases where SMP</w:t>
      </w:r>
      <w:r>
        <w:t xml:space="preserve"> </w:t>
      </w:r>
      <w:r>
        <w:t xml:space="preserve">duct and pole access does not provide a core foundation for downstream competition.</w:t>
      </w:r>
      <w:r>
        <w:t xml:space="preserve"> </w:t>
      </w:r>
      <w:r>
        <w:t xml:space="preserve">Where it does play a significant role, it has proved necessary to identify a separate and</w:t>
      </w:r>
      <w:r>
        <w:t xml:space="preserve"> </w:t>
      </w:r>
      <w:r>
        <w:t xml:space="preserve">distinct market for PIA in order to allow the effects of this remedy on downstream</w:t>
      </w:r>
      <w:r>
        <w:t xml:space="preserve"> </w:t>
      </w:r>
      <w:r>
        <w:t xml:space="preserve">competition to be considered in the market analysis and reflected e.g. through</w:t>
      </w:r>
      <w:r>
        <w:t xml:space="preserve"> </w:t>
      </w:r>
      <w:r>
        <w:t xml:space="preserve">geographic segmentation.</w:t>
      </w:r>
      <w:r>
        <w:t xml:space="preserve"> </w:t>
      </w:r>
      <w:r>
        <w:t xml:space="preserve">-</w:t>
      </w:r>
      <w:r>
        <w:t xml:space="preserve"> </w:t>
      </w:r>
      <w:r>
        <w:t xml:space="preserve">Provisions on wholesale only require operators to not have retail operations in retail</w:t>
      </w:r>
      <w:r>
        <w:t xml:space="preserve"> </w:t>
      </w:r>
      <w:r>
        <w:t xml:space="preserve">markets for electronic communication services provided “to end-users in the Union”.</w:t>
      </w:r>
      <w:r>
        <w:t xml:space="preserve"> </w:t>
      </w:r>
      <w:r>
        <w:t xml:space="preserve">However, for the purposes of a market analysis, only the provision of retail services in</w:t>
      </w:r>
      <w:r>
        <w:t xml:space="preserve"> </w:t>
      </w:r>
      <w:r>
        <w:t xml:space="preserve">the geographic market concerned is relevant. Some stakeholders also question whether</w:t>
      </w:r>
      <w:r>
        <w:t xml:space="preserve"> </w:t>
      </w:r>
      <w:r>
        <w:t xml:space="preserve">the provision in Art 80 limiting the application of regulatory obligations including</w:t>
      </w:r>
      <w:r>
        <w:t xml:space="preserve"> </w:t>
      </w:r>
      <w:r>
        <w:t xml:space="preserve">price control on wholesale only companies is objectively justified and coherent with</w:t>
      </w:r>
      <w:r>
        <w:t xml:space="preserve"> </w:t>
      </w:r>
      <w:r>
        <w:t xml:space="preserve">wider provisions in the EECC, noting that wholesale only companies may still have</w:t>
      </w:r>
      <w:r>
        <w:t xml:space="preserve"> </w:t>
      </w:r>
      <w:r>
        <w:t xml:space="preserve">the ability and incentive to raise prices above the competitive level, if they enjoy a</w:t>
      </w:r>
      <w:r>
        <w:t xml:space="preserve"> </w:t>
      </w:r>
      <w:r>
        <w:t xml:space="preserve">position of significant market power.</w:t>
      </w:r>
      <w:r>
        <w:br/>
      </w:r>
      <w:r>
        <w:t xml:space="preserve">-</w:t>
      </w:r>
      <w:r>
        <w:t xml:space="preserve"> </w:t>
      </w:r>
      <w:r>
        <w:t xml:space="preserve">Provisions regarding commitments have proven to be difficult to apply for SMP</w:t>
      </w:r>
      <w:r>
        <w:t xml:space="preserve"> </w:t>
      </w:r>
      <w:r>
        <w:t xml:space="preserve">operators engaging in structural separation as the company engaging in separation</w:t>
      </w:r>
      <w:r>
        <w:t xml:space="preserve"> </w:t>
      </w:r>
      <w:r>
        <w:t xml:space="preserve">cannot enter into commitments on behalf of a future separated entity. This may have</w:t>
      </w:r>
      <w:r>
        <w:t xml:space="preserve"> </w:t>
      </w:r>
      <w:r>
        <w:t xml:space="preserve">limited their usefulness in providing assurances regarding the regulatory implications</w:t>
      </w:r>
      <w:r>
        <w:t xml:space="preserve"> </w:t>
      </w:r>
      <w:r>
        <w:t xml:space="preserve">of separation for the companies concerned.</w:t>
      </w:r>
      <w:r>
        <w:t xml:space="preserve"> </w:t>
      </w:r>
      <w:r>
        <w:t xml:space="preserve">As regards external coherence, access regulation is based on the principles of EU competition</w:t>
      </w:r>
      <w:r>
        <w:t xml:space="preserve"> </w:t>
      </w:r>
      <w:r>
        <w:t xml:space="preserve">law. Markets which are no longer subject to ex ante access regulation (based on a competition</w:t>
      </w:r>
      <w:r>
        <w:t xml:space="preserve"> </w:t>
      </w:r>
      <w:r>
        <w:t xml:space="preserve">policy-based test), continue to remain subject to competition law. It is therefore coherent.</w:t>
      </w:r>
      <w:r>
        <w:t xml:space="preserve"> </w:t>
      </w:r>
      <w:r>
        <w:t xml:space="preserve">In the same vein, as regards external coherence with other legislative and soft law</w:t>
      </w:r>
      <w:r>
        <w:t xml:space="preserve"> </w:t>
      </w:r>
      <w:r>
        <w:t xml:space="preserve">instruments, the provisions of the EECC overlap to a certain extent (but are not inconsistent</w:t>
      </w:r>
      <w:r>
        <w:t xml:space="preserve"> </w:t>
      </w:r>
      <w:r>
        <w:t xml:space="preserve">with) provisions of the GIA. Areas of overlap include:</w:t>
      </w:r>
      <w:r>
        <w:t xml:space="preserve"> </w:t>
      </w:r>
      <w:r>
        <w:t xml:space="preserve">-</w:t>
      </w:r>
      <w:r>
        <w:t xml:space="preserve"> </w:t>
      </w:r>
      <w:r>
        <w:t xml:space="preserve">Provisions on rights of access to public infrastructure under Art 3 GIA (including</w:t>
      </w:r>
      <w:r>
        <w:t xml:space="preserve"> </w:t>
      </w:r>
      <w:r>
        <w:t xml:space="preserve">rooftops, street furniture). The GIA provisions overlap and extend beyond provisions</w:t>
      </w:r>
    </w:p>
    <w:p>
      <w:pPr>
        <w:pStyle w:val="BodyText"/>
      </w:pPr>
      <w:r>
        <w:t xml:space="preserve">44</w:t>
      </w:r>
    </w:p>
    <w:p>
      <w:pPr>
        <w:pStyle w:val="BodyText"/>
      </w:pPr>
      <w:r>
        <w:t xml:space="preserve">specifically relating to Small Area Wireless Access Points (SAWAP) under Art 57</w:t>
      </w:r>
      <w:r>
        <w:t xml:space="preserve"> </w:t>
      </w:r>
      <w:r>
        <w:t xml:space="preserve">EECC.</w:t>
      </w:r>
      <w:r>
        <w:br/>
      </w:r>
      <w:r>
        <w:t xml:space="preserve">-</w:t>
      </w:r>
      <w:r>
        <w:t xml:space="preserve"> </w:t>
      </w:r>
      <w:r>
        <w:t xml:space="preserve">Provisions on the processes to obtain Rights of Way and permits under Art 7-9 along</w:t>
      </w:r>
      <w:r>
        <w:t xml:space="preserve"> </w:t>
      </w:r>
      <w:r>
        <w:t xml:space="preserve">with rights for access to public buildings and associated dispute resolution under the</w:t>
      </w:r>
      <w:r>
        <w:t xml:space="preserve"> </w:t>
      </w:r>
      <w:r>
        <w:t xml:space="preserve">GIA could overlap and go beyond provisions regarding RoW in the EECC, in</w:t>
      </w:r>
      <w:r>
        <w:t xml:space="preserve"> </w:t>
      </w:r>
      <w:r>
        <w:t xml:space="preserve">particular by introducing shorter timeframes and stipulating specific procedures for</w:t>
      </w:r>
      <w:r>
        <w:t xml:space="preserve"> </w:t>
      </w:r>
      <w:r>
        <w:t xml:space="preserve">applications and dispute resolution around the terms of access.</w:t>
      </w:r>
      <w:r>
        <w:t xml:space="preserve"> </w:t>
      </w:r>
      <w:r>
        <w:t xml:space="preserve">Other aspects of the GIA have synergies with the EECC and do not conflict to any significant</w:t>
      </w:r>
      <w:r>
        <w:t xml:space="preserve"> </w:t>
      </w:r>
      <w:r>
        <w:t xml:space="preserve">degree. These include:</w:t>
      </w:r>
      <w:r>
        <w:t xml:space="preserve"> </w:t>
      </w:r>
      <w:r>
        <w:t xml:space="preserve">-</w:t>
      </w:r>
      <w:r>
        <w:t xml:space="preserve"> </w:t>
      </w:r>
      <w:r>
        <w:t xml:space="preserve">Provisions on access to ducts and poles under Art 3 GIA. These complement the</w:t>
      </w:r>
      <w:r>
        <w:t xml:space="preserve"> </w:t>
      </w:r>
      <w:r>
        <w:t xml:space="preserve">potential (indeed encouragement in the context of the market review process) to</w:t>
      </w:r>
      <w:r>
        <w:t xml:space="preserve"> </w:t>
      </w:r>
      <w:r>
        <w:t xml:space="preserve">mandate SMP PIA under the EECC by adding the potential for access to other</w:t>
      </w:r>
      <w:r>
        <w:t xml:space="preserve"> </w:t>
      </w:r>
      <w:r>
        <w:t xml:space="preserve">physical infrastructure and may be considered as subsidiary to such provisions.137 The</w:t>
      </w:r>
      <w:r>
        <w:t xml:space="preserve"> </w:t>
      </w:r>
      <w:r>
        <w:t xml:space="preserve">requirement in the context of Art 3 GIA to take into account the impact on the</w:t>
      </w:r>
      <w:r>
        <w:t xml:space="preserve"> </w:t>
      </w:r>
      <w:r>
        <w:t xml:space="preserve">business case when establishing prices for access to PIA further highlights the fact that</w:t>
      </w:r>
      <w:r>
        <w:t xml:space="preserve"> </w:t>
      </w:r>
      <w:r>
        <w:t xml:space="preserve">these provisions do not substitute for SMP PIA, as they seek to reduce costs for and</w:t>
      </w:r>
      <w:r>
        <w:t xml:space="preserve"> </w:t>
      </w:r>
      <w:r>
        <w:t xml:space="preserve">extend VHCN roll-out (and include measures which reduce the attractiveness of PIA</w:t>
      </w:r>
      <w:r>
        <w:t xml:space="preserve"> </w:t>
      </w:r>
      <w:r>
        <w:t xml:space="preserve">and serve to limit VHCN duplication in this context), whereas SMP PIA obligations</w:t>
      </w:r>
      <w:r>
        <w:t xml:space="preserve"> </w:t>
      </w:r>
      <w:r>
        <w:t xml:space="preserve">are focused on promoting, where possible, infrastructure competition by fostering the</w:t>
      </w:r>
      <w:r>
        <w:t xml:space="preserve"> </w:t>
      </w:r>
      <w:r>
        <w:t xml:space="preserve">sharing of (largely historic) physical infrastructure deployed by SMP operators.</w:t>
      </w:r>
      <w:r>
        <w:t xml:space="preserve"> </w:t>
      </w:r>
      <w:r>
        <w:t xml:space="preserve">-</w:t>
      </w:r>
      <w:r>
        <w:t xml:space="preserve"> </w:t>
      </w:r>
      <w:r>
        <w:t xml:space="preserve">Provisions to establish standards and obligations to deploy in-building infrastructure</w:t>
      </w:r>
      <w:r>
        <w:t xml:space="preserve"> </w:t>
      </w:r>
      <w:r>
        <w:t xml:space="preserve">and fibre wiring (Art 8 GIA) complement obligations under art 61(3) EECC for</w:t>
      </w:r>
      <w:r>
        <w:t xml:space="preserve"> </w:t>
      </w:r>
      <w:r>
        <w:t xml:space="preserve">owners of such infrastructure to provide access to in-building wiring. One point where</w:t>
      </w:r>
      <w:r>
        <w:t xml:space="preserve"> </w:t>
      </w:r>
      <w:r>
        <w:t xml:space="preserve">there may be a lack of coherence however is that whereas Art 8 GIA refers to in-</w:t>
      </w:r>
      <w:r>
        <w:t xml:space="preserve"> </w:t>
      </w:r>
      <w:r>
        <w:t xml:space="preserve">building fibre wiring specifically, Art 61(3) goes beyond these provisions to grant</w:t>
      </w:r>
      <w:r>
        <w:t xml:space="preserve"> </w:t>
      </w:r>
      <w:r>
        <w:t xml:space="preserve">access to wiring that could go beyond the in-building wiring and extend to the first</w:t>
      </w:r>
      <w:r>
        <w:t xml:space="preserve"> </w:t>
      </w:r>
      <w:r>
        <w:t xml:space="preserve">concentration or distribution point. The focus on ensuring fibre wiring in-building</w:t>
      </w:r>
      <w:r>
        <w:t xml:space="preserve"> </w:t>
      </w:r>
      <w:r>
        <w:t xml:space="preserve">in the GIA may also signal a need to review the case for excluding in-building</w:t>
      </w:r>
      <w:r>
        <w:t xml:space="preserve"> </w:t>
      </w:r>
      <w:r>
        <w:t xml:space="preserve">wiring or other wireless connectivity from the definition of VHCN.</w:t>
      </w:r>
      <w:r>
        <w:t xml:space="preserve"> </w:t>
      </w:r>
      <w:r>
        <w:t xml:space="preserve">-</w:t>
      </w:r>
      <w:r>
        <w:t xml:space="preserve"> </w:t>
      </w:r>
      <w:r>
        <w:t xml:space="preserve">Provisions to grant access to in-building infrastructure under Art 9 GIA are understood</w:t>
      </w:r>
      <w:r>
        <w:t xml:space="preserve"> </w:t>
      </w:r>
      <w:r>
        <w:t xml:space="preserve">to refer to in-building ducts and chambers and as such do not overlap but rather</w:t>
      </w:r>
      <w:r>
        <w:t xml:space="preserve"> </w:t>
      </w:r>
      <w:r>
        <w:t xml:space="preserve">complement provisions in Art 61(3) that refer to access to wiring.</w:t>
      </w:r>
      <w:r>
        <w:t xml:space="preserve"> </w:t>
      </w:r>
      <w:r>
        <w:t xml:space="preserve">-</w:t>
      </w:r>
      <w:r>
        <w:t xml:space="preserve"> </w:t>
      </w:r>
      <w:r>
        <w:t xml:space="preserve">Provisions in the GIA that refer to the development of Single Information Points (SIP)</w:t>
      </w:r>
      <w:r>
        <w:t xml:space="preserve"> </w:t>
      </w:r>
      <w:r>
        <w:t xml:space="preserve">for existing physical infrastructure (Art 4 GIA) and planned civil works (Art 6 GIA),</w:t>
      </w:r>
      <w:r>
        <w:t xml:space="preserve"> </w:t>
      </w:r>
      <w:r>
        <w:t xml:space="preserve">complement provisions in the EECC (Art 22) regarding geographic surveys.</w:t>
      </w:r>
      <w:r>
        <w:t xml:space="preserve"> </w:t>
      </w:r>
      <w:r>
        <w:t xml:space="preserve">Specifically, whereas the GIA focuses on the location of physical infrastructure</w:t>
      </w:r>
      <w:r>
        <w:t xml:space="preserve"> </w:t>
      </w:r>
      <w:r>
        <w:t xml:space="preserve">suitable for the deployment of VHCN, such as ducts, poles, towers and public</w:t>
      </w:r>
      <w:r>
        <w:t xml:space="preserve"> </w:t>
      </w:r>
      <w:r>
        <w:t xml:space="preserve">buildings, Art 22 EECC focuses on networks deployed (existing and forecast) and can</w:t>
      </w:r>
      <w:r>
        <w:t xml:space="preserve"> </w:t>
      </w:r>
      <w:r>
        <w:t xml:space="preserve">also be used to track the technologies used and associated quality as well as the</w:t>
      </w:r>
      <w:r>
        <w:t xml:space="preserve"> </w:t>
      </w:r>
      <w:r>
        <w:t xml:space="preserve">number of networks deployed in specific locations.</w:t>
      </w:r>
    </w:p>
    <w:p>
      <w:pPr>
        <w:pStyle w:val="BodyText"/>
      </w:pPr>
      <w:r>
        <w:t xml:space="preserve">137 Art 1(2) GIA: If any provision of this Regulation conflicts with a provision of Directive 2002/77/EC, (EU)</w:t>
      </w:r>
      <w:r>
        <w:t xml:space="preserve"> </w:t>
      </w:r>
      <w:r>
        <w:t xml:space="preserve">2018/1972 or (EU) 2022/2555, the relevant provision of those Directives shall prevail, while Art 3(9) notes</w:t>
      </w:r>
      <w:r>
        <w:t xml:space="preserve"> </w:t>
      </w:r>
      <w:r>
        <w:t xml:space="preserve">that Physical infrastructure which is already subject to access obligations imposed by NRAs pursuant to</w:t>
      </w:r>
      <w:r>
        <w:t xml:space="preserve"> </w:t>
      </w:r>
      <w:r>
        <w:t xml:space="preserve">Directive (EU) 2018/1972 or resulting from the application of Union State aid rules shall not be subject to</w:t>
      </w:r>
      <w:r>
        <w:t xml:space="preserve"> </w:t>
      </w:r>
      <w:r>
        <w:t xml:space="preserve">the obligations set out in paragraphs 1, 4, and 5 for as long as such access obligations are in place.</w:t>
      </w:r>
    </w:p>
    <w:p>
      <w:pPr>
        <w:pStyle w:val="BodyText"/>
      </w:pPr>
      <w:r>
        <w:t xml:space="preserve">45</w:t>
      </w:r>
    </w:p>
    <w:p>
      <w:pPr>
        <w:pStyle w:val="BodyText"/>
      </w:pPr>
      <w:r>
        <w:t xml:space="preserve">The EECC has adopted the Digital Decade Policy Programme (DDPP).138 As such, it does not</w:t>
      </w:r>
      <w:r>
        <w:t xml:space="preserve"> </w:t>
      </w:r>
      <w:r>
        <w:t xml:space="preserve">make reference to the specific objectives included in the DDPP such as the target that all end-</w:t>
      </w:r>
      <w:r>
        <w:t xml:space="preserve"> </w:t>
      </w:r>
      <w:r>
        <w:t xml:space="preserve">users at a fixed location should be covered by a gigabit network up to the network termination</w:t>
      </w:r>
      <w:r>
        <w:t xml:space="preserve"> </w:t>
      </w:r>
      <w:r>
        <w:t xml:space="preserve">point. The reference to “Very High Capacity Networks” in the EECC could be interpreted</w:t>
      </w:r>
      <w:r>
        <w:t xml:space="preserve"> </w:t>
      </w:r>
      <w:r>
        <w:t xml:space="preserve">consistently with that target, as it is defined in the EECC to mean “an electronic</w:t>
      </w:r>
      <w:r>
        <w:t xml:space="preserve"> </w:t>
      </w:r>
      <w:r>
        <w:t xml:space="preserve">communications network which consists wholly of optical fibre elements at least up to the</w:t>
      </w:r>
      <w:r>
        <w:t xml:space="preserve"> </w:t>
      </w:r>
      <w:r>
        <w:t xml:space="preserve">distribution point at the serving location” or a network which offers equivalent capabilities.</w:t>
      </w:r>
      <w:r>
        <w:br/>
      </w:r>
      <w:r>
        <w:t xml:space="preserve">Certain provisions in the EECC are however not consistent with the coverage targets in DDPP</w:t>
      </w:r>
      <w:r>
        <w:t xml:space="preserve"> </w:t>
      </w:r>
      <w:r>
        <w:t xml:space="preserve">and therefore could be viewed as not internally coherent. Specifically, Art 22 regarding</w:t>
      </w:r>
      <w:r>
        <w:t xml:space="preserve"> </w:t>
      </w:r>
      <w:r>
        <w:t xml:space="preserve">geographic surveys permits NRAs to designate areas where no undertaking or public authority</w:t>
      </w:r>
      <w:r>
        <w:t xml:space="preserve"> </w:t>
      </w:r>
      <w:r>
        <w:t xml:space="preserve">has deployed or is planning to deploy “a very high capacity network or significantly upgrade</w:t>
      </w:r>
      <w:r>
        <w:t xml:space="preserve"> </w:t>
      </w:r>
      <w:r>
        <w:t xml:space="preserve">or extend its network to a performance of at least 100 Mbps download speeds”. On the basis</w:t>
      </w:r>
      <w:r>
        <w:t xml:space="preserve"> </w:t>
      </w:r>
      <w:r>
        <w:t xml:space="preserve">of this information, NRAs may invite undertaking to declare an intention to deploy VHCN or</w:t>
      </w:r>
      <w:r>
        <w:t xml:space="preserve"> </w:t>
      </w:r>
      <w:r>
        <w:t xml:space="preserve">extend network performance to 100Mbit/s. As quality of service and bandwidths achievable</w:t>
      </w:r>
      <w:r>
        <w:t xml:space="preserve"> </w:t>
      </w:r>
      <w:r>
        <w:t xml:space="preserve">over fibre networks improves, the reference to 100Mbit/s may become increasingly divorced</w:t>
      </w:r>
      <w:r>
        <w:t xml:space="preserve"> </w:t>
      </w:r>
      <w:r>
        <w:t xml:space="preserve">from Europe’s aspirations regarding VHCN. Such a bandwidth may also over time depart</w:t>
      </w:r>
      <w:r>
        <w:t xml:space="preserve"> </w:t>
      </w:r>
      <w:r>
        <w:t xml:space="preserve">from approaches taken to State Aid, which is likely to provide a vital contribution in closing</w:t>
      </w:r>
      <w:r>
        <w:t xml:space="preserve"> </w:t>
      </w:r>
      <w:r>
        <w:t xml:space="preserve">the gap to achieving the DDPP targets. In this context, it should be noted that the 2023</w:t>
      </w:r>
      <w:r>
        <w:t xml:space="preserve"> </w:t>
      </w:r>
      <w:r>
        <w:t xml:space="preserve">Broadband Guidelines refer to Gigabit-capable networks.139</w:t>
      </w:r>
      <w:r>
        <w:br/>
      </w:r>
      <w:r>
        <w:t xml:space="preserve">4.3.4. Relevance</w:t>
      </w:r>
      <w:r>
        <w:t xml:space="preserve"> </w:t>
      </w:r>
      <w:r>
        <w:t xml:space="preserve">The consultation process under Article 32 EECC plays a key role in developing and</w:t>
      </w:r>
      <w:r>
        <w:t xml:space="preserve"> </w:t>
      </w:r>
      <w:r>
        <w:t xml:space="preserve">implementing consistent market-based regulatory guidance to be applied by NRAs. The role</w:t>
      </w:r>
      <w:r>
        <w:t xml:space="preserve"> </w:t>
      </w:r>
      <w:r>
        <w:t xml:space="preserve">of the publicly available Commission’s letters is not only to provide the assessment of</w:t>
      </w:r>
      <w:r>
        <w:t xml:space="preserve"> </w:t>
      </w:r>
      <w:r>
        <w:t xml:space="preserve">individual cases but to promote consistent regulatory approach in the EU.</w:t>
      </w:r>
      <w:r>
        <w:br/>
      </w:r>
      <w:r>
        <w:t xml:space="preserve">The Commission’s assessments in phase I can have a form of a “no comments” or</w:t>
      </w:r>
      <w:r>
        <w:t xml:space="preserve"> </w:t>
      </w:r>
      <w:r>
        <w:t xml:space="preserve">“comments” letters. In case the notified draft measure may not be compatible with EU law,</w:t>
      </w:r>
      <w:r>
        <w:t xml:space="preserve"> </w:t>
      </w:r>
      <w:r>
        <w:t xml:space="preserve">the Commission adopts and publishes its “serious doubts letter” which is the basis for a</w:t>
      </w:r>
      <w:r>
        <w:t xml:space="preserve"> </w:t>
      </w:r>
      <w:r>
        <w:t xml:space="preserve">further in-depth investigation in phase II and is also a basis for stakeholders to submit their</w:t>
      </w:r>
      <w:r>
        <w:t xml:space="preserve"> </w:t>
      </w:r>
      <w:r>
        <w:t xml:space="preserve">comments. Finally, the Commission can adopt a decision requiring an NRAs to withdraw its</w:t>
      </w:r>
      <w:r>
        <w:t xml:space="preserve"> </w:t>
      </w:r>
      <w:r>
        <w:t xml:space="preserve">draft regulatory measure (veto decision) with respect to the market definition, the analysis of</w:t>
      </w:r>
      <w:r>
        <w:t xml:space="preserve"> </w:t>
      </w:r>
      <w:r>
        <w:t xml:space="preserve">the three criteria test and SMP assessment. The Commission can also adopt a</w:t>
      </w:r>
      <w:r>
        <w:t xml:space="preserve"> </w:t>
      </w:r>
      <w:r>
        <w:t xml:space="preserve">recommendation under Article 33 EECC which may affect the proposed remedies at the end</w:t>
      </w:r>
      <w:r>
        <w:t xml:space="preserve"> </w:t>
      </w:r>
      <w:r>
        <w:t xml:space="preserve">of phase II assessment. The legal consequence of a veto decision is that the NRA must</w:t>
      </w:r>
      <w:r>
        <w:t xml:space="preserve"> </w:t>
      </w:r>
      <w:r>
        <w:t xml:space="preserve">withdraw its notify draft regulatory measure and cannot adopt it. In case of a</w:t>
      </w:r>
      <w:r>
        <w:t xml:space="preserve"> </w:t>
      </w:r>
      <w:r>
        <w:t xml:space="preserve">recommendation, the NRAs must provide reasons as to why they decide not to amend or</w:t>
      </w:r>
      <w:r>
        <w:t xml:space="preserve"> </w:t>
      </w:r>
      <w:r>
        <w:t xml:space="preserve">withdraw their draft measures.</w:t>
      </w:r>
      <w:r>
        <w:t xml:space="preserve"> </w:t>
      </w:r>
      <w:r>
        <w:t xml:space="preserve">Despite the very short deadline (one month without any possibility of prolongation) for the</w:t>
      </w:r>
      <w:r>
        <w:t xml:space="preserve"> </w:t>
      </w:r>
      <w:r>
        <w:t xml:space="preserve">assessment of legally and economically complex files, the Commission has responded to all</w:t>
      </w:r>
      <w:r>
        <w:t xml:space="preserve"> </w:t>
      </w:r>
      <w:r>
        <w:t xml:space="preserve">the notified draft measures. The short EU consultation process does not, therefore, cause</w:t>
      </w:r>
      <w:r>
        <w:t xml:space="preserve"> </w:t>
      </w:r>
      <w:r>
        <w:t xml:space="preserve">delays in the preparation and adoption of regulatory measures. In turn, it is instrumental in</w:t>
      </w:r>
      <w:r>
        <w:t xml:space="preserve"> </w:t>
      </w:r>
      <w:r>
        <w:t xml:space="preserve">ensuring consistency in implementing ex ante regulation across the EU.</w:t>
      </w:r>
    </w:p>
    <w:p>
      <w:pPr>
        <w:pStyle w:val="BodyText"/>
      </w:pPr>
      <w:r>
        <w:t xml:space="preserve">138 https://eur-lex.europa.eu/legal-content/EN/TXT/?uri=celex%3A32022D2481.</w:t>
      </w:r>
      <w:r>
        <w:t xml:space="preserve"> </w:t>
      </w:r>
      <w:r>
        <w:t xml:space="preserve">139 See points 56 and following</w:t>
      </w:r>
      <w:r>
        <w:br/>
      </w:r>
      <w:r>
        <w:t xml:space="preserve">https://eur-lex.europa.eu/legal-content/EN/TXT/?uri=celex%3A52023XC0131%2801%29.</w:t>
      </w:r>
    </w:p>
    <w:p>
      <w:pPr>
        <w:pStyle w:val="BodyText"/>
      </w:pPr>
      <w:r>
        <w:t xml:space="preserve">46</w:t>
      </w:r>
    </w:p>
    <w:p>
      <w:pPr>
        <w:pStyle w:val="BodyText"/>
      </w:pPr>
      <w:r>
        <w:t xml:space="preserve">In the vast majority of the cases, the Commission closed its assessment after one month by</w:t>
      </w:r>
      <w:r>
        <w:t xml:space="preserve"> </w:t>
      </w:r>
      <w:r>
        <w:t xml:space="preserve">adopting a ‘no comments’ or ‘comment’ letter. Only a small fraction of cases required in-</w:t>
      </w:r>
      <w:r>
        <w:t xml:space="preserve"> </w:t>
      </w:r>
      <w:r>
        <w:t xml:space="preserve">depth investigation during the Phase 2 investigation.</w:t>
      </w:r>
      <w:r>
        <w:br/>
      </w:r>
      <w:r>
        <w:t xml:space="preserve">The number of cases, assessed after the adoption of the EECC i.e. after 1 January 2019,</w:t>
      </w:r>
      <w:r>
        <w:t xml:space="preserve"> </w:t>
      </w:r>
      <w:r>
        <w:t xml:space="preserve">broken down by the outcome of the analysis are shown in the chart below:</w:t>
      </w:r>
    </w:p>
    <w:p>
      <w:pPr>
        <w:pStyle w:val="BodyText"/>
      </w:pPr>
      <w:r>
        <w:t xml:space="preserve">Even if NRAs have increasingly defined markets subject to regulation as regional or local the</w:t>
      </w:r>
      <w:r>
        <w:t xml:space="preserve"> </w:t>
      </w:r>
      <w:r>
        <w:t xml:space="preserve">access-related provisions remain relevant for the future. However, some streamlining could be</w:t>
      </w:r>
      <w:r>
        <w:t xml:space="preserve"> </w:t>
      </w:r>
      <w:r>
        <w:t xml:space="preserve">considered (in particular in relation to some of the newly introduced measures i.e. access to</w:t>
      </w:r>
      <w:r>
        <w:t xml:space="preserve"> </w:t>
      </w:r>
      <w:r>
        <w:t xml:space="preserve">civil engineering infrastructure (Article 72), regulatory commitments (Article 79) and</w:t>
      </w:r>
      <w:r>
        <w:t xml:space="preserve"> </w:t>
      </w:r>
      <w:r>
        <w:t xml:space="preserve">wholesale-only (Article 80). Other measures, such as Article 76 (co-investment), Articles 77</w:t>
      </w:r>
      <w:r>
        <w:t xml:space="preserve"> </w:t>
      </w:r>
      <w:r>
        <w:t xml:space="preserve">and 78 (mandated and voluntary separation) that, as detailed in the previous sections, have</w:t>
      </w:r>
      <w:r>
        <w:t xml:space="preserve"> </w:t>
      </w:r>
      <w:r>
        <w:t xml:space="preserve">proven to be of limited application and therefore relevance, could be removed in an effort of</w:t>
      </w:r>
      <w:r>
        <w:t xml:space="preserve"> </w:t>
      </w:r>
      <w:r>
        <w:t xml:space="preserve">simplification.</w:t>
      </w:r>
      <w:r>
        <w:t xml:space="preserve"> </w:t>
      </w:r>
      <w:r>
        <w:t xml:space="preserve">More generally, while measures are well adapted to addressing instances of significant market</w:t>
      </w:r>
      <w:r>
        <w:t xml:space="preserve"> </w:t>
      </w:r>
      <w:r>
        <w:t xml:space="preserve">power including local monopolies, which may become more widespread in a post-copper</w:t>
      </w:r>
      <w:r>
        <w:t xml:space="preserve"> </w:t>
      </w:r>
      <w:r>
        <w:t xml:space="preserve">world, the EECC asked also the Commission to carry out a review of the legal framework to</w:t>
      </w:r>
      <w:r>
        <w:t xml:space="preserve"> </w:t>
      </w:r>
      <w:r>
        <w:t xml:space="preserve">assess its ability to address concerns related to oligopolies. As detailed in the previous</w:t>
      </w:r>
      <w:r>
        <w:t xml:space="preserve"> </w:t>
      </w:r>
      <w:r>
        <w:t xml:space="preserve">sections, the number of cases regarding the oligopolistic markets, notified under Article 32</w:t>
      </w:r>
      <w:r>
        <w:t xml:space="preserve"> </w:t>
      </w:r>
      <w:r>
        <w:t xml:space="preserve">EECC was insignificant. The oligopolistic markets have, so far been addressed either under</w:t>
      </w:r>
      <w:r>
        <w:t xml:space="preserve"> </w:t>
      </w:r>
      <w:r>
        <w:t xml:space="preserve">the spectrum authorisation regime or under competition law. Furthermore, the SMP</w:t>
      </w:r>
      <w:r>
        <w:t xml:space="preserve"> </w:t>
      </w:r>
      <w:r>
        <w:t xml:space="preserve">Guidelines, adopted in 2018, specifically focus on the joint SMP findings.</w:t>
      </w:r>
      <w:r>
        <w:br/>
      </w:r>
      <w:r>
        <w:t xml:space="preserve">4.3.5. EU added value</w:t>
      </w:r>
      <w:r>
        <w:t xml:space="preserve"> </w:t>
      </w:r>
      <w:r>
        <w:t xml:space="preserve">Under the EECC, the imposition of ex ante regulatory obligations on undertakings that have</w:t>
      </w:r>
      <w:r>
        <w:t xml:space="preserve"> </w:t>
      </w:r>
      <w:r>
        <w:t xml:space="preserve">SMP on a specific market can be justified if proven that (i) these markets are characterised by</w:t>
      </w:r>
      <w:r>
        <w:t xml:space="preserve"> </w:t>
      </w:r>
      <w:r>
        <w:t xml:space="preserve">high barriers to entry and (ii) do not tend towards effective competition, and that (iii)</w:t>
      </w:r>
      <w:r>
        <w:t xml:space="preserve"> </w:t>
      </w:r>
      <w:r>
        <w:t xml:space="preserve">competition law instruments are insufficient to tackle the identified competition problems</w:t>
      </w:r>
      <w:r>
        <w:t xml:space="preserve"> </w:t>
      </w:r>
      <w:r>
        <w:t xml:space="preserve">(this is the so-called the three criteria test).</w:t>
      </w:r>
      <w:r>
        <w:t xml:space="preserve"> </w:t>
      </w:r>
      <w:r>
        <w:t xml:space="preserve">211</w:t>
      </w:r>
      <w:r>
        <w:t xml:space="preserve"> </w:t>
      </w:r>
      <w:r>
        <w:t xml:space="preserve">224</w:t>
      </w:r>
      <w:r>
        <w:t xml:space="preserve"> </w:t>
      </w:r>
      <w:r>
        <w:t xml:space="preserve">1</w:t>
      </w:r>
      <w:r>
        <w:t xml:space="preserve"> </w:t>
      </w:r>
      <w:r>
        <w:t xml:space="preserve">6 1</w:t>
      </w:r>
      <w:r>
        <w:t xml:space="preserve"> </w:t>
      </w:r>
      <w:r>
        <w:t xml:space="preserve">4</w:t>
      </w:r>
      <w:r>
        <w:t xml:space="preserve"> </w:t>
      </w:r>
      <w:r>
        <w:t xml:space="preserve">17</w:t>
      </w:r>
      <w:r>
        <w:t xml:space="preserve"> </w:t>
      </w:r>
      <w:r>
        <w:t xml:space="preserve">Cases assessed under Article 32 EECC as of 1 January</w:t>
      </w:r>
      <w:r>
        <w:t xml:space="preserve"> </w:t>
      </w:r>
      <w:r>
        <w:t xml:space="preserve">2019</w:t>
      </w:r>
      <w:r>
        <w:t xml:space="preserve"> </w:t>
      </w:r>
      <w:r>
        <w:t xml:space="preserve">Closed (with comments)</w:t>
      </w:r>
      <w:r>
        <w:t xml:space="preserve"> </w:t>
      </w:r>
      <w:r>
        <w:t xml:space="preserve">Closed (without comment)</w:t>
      </w:r>
      <w:r>
        <w:t xml:space="preserve"> </w:t>
      </w:r>
      <w:r>
        <w:t xml:space="preserve">Closed by Recommendation Phase II</w:t>
      </w:r>
      <w:r>
        <w:t xml:space="preserve"> </w:t>
      </w:r>
      <w:r>
        <w:t xml:space="preserve">Closed by Veto Phase II</w:t>
      </w:r>
      <w:r>
        <w:t xml:space="preserve"> </w:t>
      </w:r>
      <w:r>
        <w:t xml:space="preserve">Closed with Comments Phase II</w:t>
      </w:r>
      <w:r>
        <w:t xml:space="preserve"> </w:t>
      </w:r>
      <w:r>
        <w:t xml:space="preserve">Withdrawn by Authority Phase I</w:t>
      </w:r>
      <w:r>
        <w:t xml:space="preserve"> </w:t>
      </w:r>
      <w:r>
        <w:t xml:space="preserve">Withdrawn by Authority Phase II</w:t>
      </w:r>
    </w:p>
    <w:p>
      <w:pPr>
        <w:pStyle w:val="BodyText"/>
      </w:pPr>
      <w:r>
        <w:t xml:space="preserve">47</w:t>
      </w:r>
    </w:p>
    <w:p>
      <w:pPr>
        <w:pStyle w:val="BodyText"/>
      </w:pPr>
      <w:r>
        <w:t xml:space="preserve">EU consultations regarding draft regulatory decisions which aim at imposing ex-ante</w:t>
      </w:r>
      <w:r>
        <w:t xml:space="preserve"> </w:t>
      </w:r>
      <w:r>
        <w:t xml:space="preserve">regulation, based on the SMP finding play a central role in the process. The draft regulatory</w:t>
      </w:r>
      <w:r>
        <w:t xml:space="preserve"> </w:t>
      </w:r>
      <w:r>
        <w:t xml:space="preserve">measures must be always notified to the Commission, BEREC and other NRAs. The</w:t>
      </w:r>
      <w:r>
        <w:t xml:space="preserve"> </w:t>
      </w:r>
      <w:r>
        <w:t xml:space="preserve">Commission has a power to require NRAs to withdraw their draft measures if the market</w:t>
      </w:r>
      <w:r>
        <w:t xml:space="preserve"> </w:t>
      </w:r>
      <w:r>
        <w:t xml:space="preserve">definition and/or SMP assessment creates a barrier in the internal market or if there is lack of</w:t>
      </w:r>
      <w:r>
        <w:t xml:space="preserve"> </w:t>
      </w:r>
      <w:r>
        <w:t xml:space="preserve">compatibility with Union law. Furthermore, the Commission can adopt recommendations</w:t>
      </w:r>
      <w:r>
        <w:t xml:space="preserve"> </w:t>
      </w:r>
      <w:r>
        <w:t xml:space="preserve">with regard to the proposed remedies. Consistency of regulatory approaches taken by NRAs is</w:t>
      </w:r>
      <w:r>
        <w:t xml:space="preserve"> </w:t>
      </w:r>
      <w:r>
        <w:t xml:space="preserve">of fundamental importance to avoiding distortions of the single market and to creating legal</w:t>
      </w:r>
      <w:r>
        <w:t xml:space="preserve"> </w:t>
      </w:r>
      <w:r>
        <w:t xml:space="preserve">certainty for all investing undertakings. For this the Commission’s publicly available</w:t>
      </w:r>
      <w:r>
        <w:t xml:space="preserve"> </w:t>
      </w:r>
      <w:r>
        <w:t xml:space="preserve">assessments of the notified draft measures (including the so called comment letters or no</w:t>
      </w:r>
      <w:r>
        <w:t xml:space="preserve"> </w:t>
      </w:r>
      <w:r>
        <w:t xml:space="preserve">comments letters) play a key role in guiding the NRAs’ regulatory practices. EU consultations</w:t>
      </w:r>
      <w:r>
        <w:t xml:space="preserve"> </w:t>
      </w:r>
      <w:r>
        <w:t xml:space="preserve">regarding draft regulatory decisions which aim at imposing ex ante regulation plays a central</w:t>
      </w:r>
      <w:r>
        <w:t xml:space="preserve"> </w:t>
      </w:r>
      <w:r>
        <w:t xml:space="preserve">role in the process.</w:t>
      </w:r>
      <w:r>
        <w:br/>
      </w:r>
      <w:r>
        <w:t xml:space="preserve">As indicated in the graph below, the number of notified cases is lower after 2019, in particular</w:t>
      </w:r>
      <w:r>
        <w:t xml:space="preserve"> </w:t>
      </w:r>
      <w:r>
        <w:t xml:space="preserve">due to the removal of the markets for wholesale termination on fixed and mobile networks</w:t>
      </w:r>
      <w:r>
        <w:t xml:space="preserve"> </w:t>
      </w:r>
      <w:r>
        <w:t xml:space="preserve">from the list of recommended markets (Article 76 EECC removed the risk of charging</w:t>
      </w:r>
      <w:r>
        <w:t xml:space="preserve"> </w:t>
      </w:r>
      <w:r>
        <w:t xml:space="preserve">excessive prices by operators terminating the calls). However as of 2020 the number of cases</w:t>
      </w:r>
      <w:r>
        <w:t xml:space="preserve"> </w:t>
      </w:r>
      <w:r>
        <w:t xml:space="preserve">notified annually was fairly stable. Despite slightly lower intensity of notifications in</w:t>
      </w:r>
      <w:r>
        <w:t xml:space="preserve"> </w:t>
      </w:r>
      <w:r>
        <w:t xml:space="preserve">comparison with 2019, the complexity of the assessed cases increased. Indeed, the regulators</w:t>
      </w:r>
      <w:r>
        <w:t xml:space="preserve"> </w:t>
      </w:r>
      <w:r>
        <w:t xml:space="preserve">and the Commission need to assess the markets for a more regional perspective with</w:t>
      </w:r>
      <w:r>
        <w:t xml:space="preserve"> </w:t>
      </w:r>
      <w:r>
        <w:t xml:space="preserve">competitive and non-competitive areas. Moreover, regulatory obligations, in some cases are</w:t>
      </w:r>
      <w:r>
        <w:t xml:space="preserve"> </w:t>
      </w:r>
      <w:r>
        <w:t xml:space="preserve">different to reflect variations of competitive conditions in the geographic areas.</w:t>
      </w:r>
    </w:p>
    <w:p>
      <w:pPr>
        <w:pStyle w:val="BodyText"/>
      </w:pPr>
      <w:r>
        <w:t xml:space="preserve">There is a presumption that for the markets listed in the Recommendation on relevant</w:t>
      </w:r>
      <w:r>
        <w:t xml:space="preserve"> </w:t>
      </w:r>
      <w:r>
        <w:t xml:space="preserve">markets140, the three criteria test is met across the Union. However, an NRA may consider it</w:t>
      </w:r>
      <w:r>
        <w:t xml:space="preserve"> </w:t>
      </w:r>
      <w:r>
        <w:t xml:space="preserve">appropriate, based on specific national circumstances, to conduct its own three criteria test on</w:t>
      </w:r>
      <w:r>
        <w:t xml:space="preserve"> </w:t>
      </w:r>
      <w:r>
        <w:t xml:space="preserve">the wholesale markets in this Recommendation and notify its findings according to the</w:t>
      </w:r>
      <w:r>
        <w:t xml:space="preserve"> </w:t>
      </w:r>
      <w:r>
        <w:t xml:space="preserve">consultation procedure set out in Article 32 of the EECC.</w:t>
      </w:r>
    </w:p>
    <w:p>
      <w:pPr>
        <w:pStyle w:val="BodyText"/>
      </w:pPr>
      <w:r>
        <w:t xml:space="preserve">140 Under Article 64 EECC the Commission is mandated to publish and regularly review its recommendations</w:t>
      </w:r>
      <w:r>
        <w:t xml:space="preserve"> </w:t>
      </w:r>
      <w:r>
        <w:t xml:space="preserve">on relevant markets.</w:t>
      </w:r>
    </w:p>
    <w:p>
      <w:pPr>
        <w:pStyle w:val="BodyText"/>
      </w:pPr>
      <w:r>
        <w:t xml:space="preserve">48</w:t>
      </w:r>
    </w:p>
    <w:p>
      <w:pPr>
        <w:pStyle w:val="BodyText"/>
      </w:pPr>
      <w:r>
        <w:t xml:space="preserve">At the same time, NRAs should always carry out the three criteria test when they intend to</w:t>
      </w:r>
      <w:r>
        <w:t xml:space="preserve"> </w:t>
      </w:r>
      <w:r>
        <w:t xml:space="preserve">regulate a market which is not listed in the Recommendation but which, in the light of specific</w:t>
      </w:r>
      <w:r>
        <w:t xml:space="preserve"> </w:t>
      </w:r>
      <w:r>
        <w:t xml:space="preserve">national circumstances and having conducted an analysis of competition at retail level, could</w:t>
      </w:r>
      <w:r>
        <w:t xml:space="preserve"> </w:t>
      </w:r>
      <w:r>
        <w:t xml:space="preserve">be susceptible to ex ante regulation.</w:t>
      </w:r>
      <w:r>
        <w:br/>
      </w:r>
      <w:r>
        <w:t xml:space="preserve">An undertaking is deemed to have SMP, if, either individually or jointly with others, it enjoys</w:t>
      </w:r>
      <w:r>
        <w:t xml:space="preserve"> </w:t>
      </w:r>
      <w:r>
        <w:t xml:space="preserve">a position equivalent to dominance, i.e. a position of economic strength, which gives it the</w:t>
      </w:r>
      <w:r>
        <w:t xml:space="preserve"> </w:t>
      </w:r>
      <w:r>
        <w:t xml:space="preserve">power to behave to an appreciable extent independently of competitors, customers and</w:t>
      </w:r>
      <w:r>
        <w:t xml:space="preserve"> </w:t>
      </w:r>
      <w:r>
        <w:t xml:space="preserve">ultimately consumers.</w:t>
      </w:r>
      <w:r>
        <w:br/>
      </w:r>
      <w:r>
        <w:t xml:space="preserve">The NRAs should then impose obligations on SMP operators which are proportionate,</w:t>
      </w:r>
      <w:r>
        <w:t xml:space="preserve"> </w:t>
      </w:r>
      <w:r>
        <w:t xml:space="preserve">justified and based on the nature of the problem identified, also with a view to achieving the</w:t>
      </w:r>
      <w:r>
        <w:t xml:space="preserve"> </w:t>
      </w:r>
      <w:r>
        <w:t xml:space="preserve">objectives set out in Article 3 of the EECC. When assessing the proportionality of the</w:t>
      </w:r>
      <w:r>
        <w:t xml:space="preserve"> </w:t>
      </w:r>
      <w:r>
        <w:t xml:space="preserve">obligations and conditions to be imposed, as when carrying out their market analysis, NRAs</w:t>
      </w:r>
      <w:r>
        <w:t xml:space="preserve"> </w:t>
      </w:r>
      <w:r>
        <w:t xml:space="preserve">should take into account the different competitive conditions existing in the different areas</w:t>
      </w:r>
      <w:r>
        <w:t xml:space="preserve"> </w:t>
      </w:r>
      <w:r>
        <w:t xml:space="preserve">within Member States.</w:t>
      </w:r>
      <w:r>
        <w:t xml:space="preserve"> </w:t>
      </w:r>
      <w:r>
        <w:t xml:space="preserve">Consistency of regulatory approaches taken by NRAs is of fundamental importance to</w:t>
      </w:r>
      <w:r>
        <w:t xml:space="preserve"> </w:t>
      </w:r>
      <w:r>
        <w:t xml:space="preserve">avoiding distortions of the single market and to creating legal certainty for all investing</w:t>
      </w:r>
      <w:r>
        <w:t xml:space="preserve"> </w:t>
      </w:r>
      <w:r>
        <w:t xml:space="preserve">undertakings.</w:t>
      </w:r>
      <w:r>
        <w:t xml:space="preserve"> </w:t>
      </w:r>
      <w:r>
        <w:t xml:space="preserve">The access-based provisions have, therefore, added considerable value compared with</w:t>
      </w:r>
      <w:r>
        <w:t xml:space="preserve"> </w:t>
      </w:r>
      <w:r>
        <w:t xml:space="preserve">Member States acting alone. Specifically, pursuing a common ruleset based (in the vast</w:t>
      </w:r>
      <w:r>
        <w:t xml:space="preserve"> </w:t>
      </w:r>
      <w:r>
        <w:t xml:space="preserve">majority of cases on SMP), has meant that common and well-understood principles could be</w:t>
      </w:r>
      <w:r>
        <w:t xml:space="preserve"> </w:t>
      </w:r>
      <w:r>
        <w:t xml:space="preserve">applied across Europe, while ensuring that the regime was sufficiently flexible to address very</w:t>
      </w:r>
      <w:r>
        <w:t xml:space="preserve"> </w:t>
      </w:r>
      <w:r>
        <w:t xml:space="preserve">different underlying market situations at national and local level. The use of common</w:t>
      </w:r>
      <w:r>
        <w:t xml:space="preserve"> </w:t>
      </w:r>
      <w:r>
        <w:t xml:space="preserve">principles for access regulation has also enabled the progressive deregulation of telecom</w:t>
      </w:r>
      <w:r>
        <w:t xml:space="preserve"> </w:t>
      </w:r>
      <w:r>
        <w:t xml:space="preserve">markets in areas where competition can be sustained in the absence of regulation.</w:t>
      </w:r>
      <w:r>
        <w:t xml:space="preserve"> </w:t>
      </w:r>
      <w:r>
        <w:t xml:space="preserve">5. SPECTRUM</w:t>
      </w:r>
      <w:r>
        <w:t xml:space="preserve"> </w:t>
      </w:r>
      <w:r>
        <w:t xml:space="preserve">5.1. Strategic Dimension of spectrum</w:t>
      </w:r>
      <w:r>
        <w:t xml:space="preserve"> </w:t>
      </w:r>
      <w:r>
        <w:t xml:space="preserve">Radio spectrum is of outmost strategic and geopolitical importance; it is essential to enable</w:t>
      </w:r>
      <w:r>
        <w:t xml:space="preserve"> </w:t>
      </w:r>
      <w:r>
        <w:t xml:space="preserve">communication, drive economic growth and social prosperity, and support security and</w:t>
      </w:r>
      <w:r>
        <w:t xml:space="preserve"> </w:t>
      </w:r>
      <w:r>
        <w:t xml:space="preserve">provision of mission critical services across various sectors. Spectrum has become a pre-</w:t>
      </w:r>
      <w:r>
        <w:t xml:space="preserve"> </w:t>
      </w:r>
      <w:r>
        <w:t xml:space="preserve">requisite for EU’s strategic autonomy and security, hence the need for its effective</w:t>
      </w:r>
      <w:r>
        <w:t xml:space="preserve"> </w:t>
      </w:r>
      <w:r>
        <w:t xml:space="preserve">management and strategic and efficient utilisation.</w:t>
      </w:r>
      <w:r>
        <w:br/>
      </w:r>
      <w:r>
        <w:t xml:space="preserve">The EECC and the previous framework were developed at a different geopolitical context and</w:t>
      </w:r>
      <w:r>
        <w:t xml:space="preserve"> </w:t>
      </w:r>
      <w:r>
        <w:t xml:space="preserve">hence its strategic dimension had not been addressed. As a basic commodity, like electricity,</w:t>
      </w:r>
      <w:r>
        <w:t xml:space="preserve"> </w:t>
      </w:r>
      <w:r>
        <w:t xml:space="preserve">it can also become a vulnerability. Spectrum supports vital services like critical</w:t>
      </w:r>
      <w:r>
        <w:t xml:space="preserve"> </w:t>
      </w:r>
      <w:r>
        <w:t xml:space="preserve">communication, emergency communications, air traffic control, maritime navigation, and</w:t>
      </w:r>
      <w:r>
        <w:t xml:space="preserve"> </w:t>
      </w:r>
      <w:r>
        <w:t xml:space="preserve">public security and safety networks. Today spectrum is weaponised in the context of armed</w:t>
      </w:r>
      <w:r>
        <w:t xml:space="preserve"> </w:t>
      </w:r>
      <w:r>
        <w:t xml:space="preserve">and economic conflicts. It is not only used for operating drones and radars, but also for</w:t>
      </w:r>
      <w:r>
        <w:t xml:space="preserve"> </w:t>
      </w:r>
      <w:r>
        <w:t xml:space="preserve">jamming and spoofing signals and disturbing key military and civil activities (from transport</w:t>
      </w:r>
      <w:r>
        <w:t xml:space="preserve"> </w:t>
      </w:r>
      <w:r>
        <w:t xml:space="preserve">to banking).</w:t>
      </w:r>
      <w:r>
        <w:br/>
      </w:r>
      <w:r>
        <w:t xml:space="preserve">The basic legal acts of the EU framework on spectrum management consists of the Radio</w:t>
      </w:r>
      <w:r>
        <w:t xml:space="preserve"> </w:t>
      </w:r>
      <w:r>
        <w:t xml:space="preserve">Spectrum Decision141, the EECC and the Radio Spectrum Policy Programme.</w:t>
      </w:r>
    </w:p>
    <w:p>
      <w:pPr>
        <w:pStyle w:val="BodyText"/>
      </w:pPr>
      <w:r>
        <w:t xml:space="preserve">141 Decision No 676/2002/EC of the European Parliament and of the Council of 7 March 2002 on a regulatory</w:t>
      </w:r>
      <w:r>
        <w:t xml:space="preserve"> </w:t>
      </w:r>
      <w:r>
        <w:t xml:space="preserve">framework for radio spectrum policy in the European Community (Radio Spectrum Decision) (OJ L 108,</w:t>
      </w:r>
      <w:r>
        <w:t xml:space="preserve"> </w:t>
      </w:r>
      <w:r>
        <w:t xml:space="preserve">24/04/2002).</w:t>
      </w:r>
    </w:p>
    <w:p>
      <w:pPr>
        <w:pStyle w:val="BodyText"/>
      </w:pPr>
      <w:r>
        <w:t xml:space="preserve">49</w:t>
      </w:r>
    </w:p>
    <w:p>
      <w:pPr>
        <w:pStyle w:val="BodyText"/>
      </w:pPr>
      <w:r>
        <w:t xml:space="preserve">The Radio Spectrum Decision created an EU legal framework in order to ensure the</w:t>
      </w:r>
      <w:r>
        <w:t xml:space="preserve"> </w:t>
      </w:r>
      <w:r>
        <w:t xml:space="preserve">coordination of policy approaches and harmonised conditions with regard to the availability</w:t>
      </w:r>
      <w:r>
        <w:t xml:space="preserve"> </w:t>
      </w:r>
      <w:r>
        <w:t xml:space="preserve">and efficient use of the radio spectrum necessary for the establishment and functioning of the</w:t>
      </w:r>
      <w:r>
        <w:t xml:space="preserve"> </w:t>
      </w:r>
      <w:r>
        <w:t xml:space="preserve">internal market in all EU policy areas not only for electronic communications but also for</w:t>
      </w:r>
      <w:r>
        <w:t xml:space="preserve"> </w:t>
      </w:r>
      <w:r>
        <w:t xml:space="preserve">policies such as transport and research and development (R&amp;D). It will not be incorporated in</w:t>
      </w:r>
      <w:r>
        <w:t xml:space="preserve"> </w:t>
      </w:r>
      <w:r>
        <w:t xml:space="preserve">the DNA, as its scope is wider than the DNA since it covers all spectrum usages including</w:t>
      </w:r>
      <w:r>
        <w:t xml:space="preserve"> </w:t>
      </w:r>
      <w:r>
        <w:t xml:space="preserve">uses not related to electronic communications and as it creates a technical harmonisation</w:t>
      </w:r>
      <w:r>
        <w:t xml:space="preserve"> </w:t>
      </w:r>
      <w:r>
        <w:t xml:space="preserve">process for spectrum that is specifically addressed to the Member States.</w:t>
      </w:r>
      <w:r>
        <w:br/>
      </w:r>
      <w:r>
        <w:t xml:space="preserve">5.2. Spectrum provisions in the EECC</w:t>
      </w:r>
      <w:r>
        <w:t xml:space="preserve"> </w:t>
      </w:r>
      <w:r>
        <w:t xml:space="preserve">The EECC defines a harmonised framework of objectives and principles for the strategic</w:t>
      </w:r>
      <w:r>
        <w:t xml:space="preserve"> </w:t>
      </w:r>
      <w:r>
        <w:t xml:space="preserve">planning and coordination of the effective management and efficient allocation, assignment</w:t>
      </w:r>
      <w:r>
        <w:t xml:space="preserve"> </w:t>
      </w:r>
      <w:r>
        <w:t xml:space="preserve">and effective use of radio spectrum for electronic communications. Spectrum policy is a</w:t>
      </w:r>
      <w:r>
        <w:t xml:space="preserve"> </w:t>
      </w:r>
      <w:r>
        <w:t xml:space="preserve">shared competence between the Union and the Member States, therefore the EECC defines</w:t>
      </w:r>
      <w:r>
        <w:t xml:space="preserve"> </w:t>
      </w:r>
      <w:r>
        <w:t xml:space="preserve">elements that competent authorities should consider while authorising radio spectrum at</w:t>
      </w:r>
      <w:r>
        <w:t xml:space="preserve"> </w:t>
      </w:r>
      <w:r>
        <w:t xml:space="preserve">national level, both through general authorisation and individual rights of use. It also defines</w:t>
      </w:r>
      <w:r>
        <w:t xml:space="preserve"> </w:t>
      </w:r>
      <w:r>
        <w:t xml:space="preserve">rules for strategic planning and coordination of spectrum use between Member States and</w:t>
      </w:r>
      <w:r>
        <w:t xml:space="preserve"> </w:t>
      </w:r>
      <w:r>
        <w:t xml:space="preserve">means to address harmful interferences.</w:t>
      </w:r>
      <w:r>
        <w:br/>
      </w:r>
      <w:r>
        <w:t xml:space="preserve">Several novelties were introduced by the EECC in the spectrum regulatory framework to</w:t>
      </w:r>
      <w:r>
        <w:t xml:space="preserve"> </w:t>
      </w:r>
      <w:r>
        <w:t xml:space="preserve">strengthen its single market dimension. It created an integrated process of cross-border radio</w:t>
      </w:r>
      <w:r>
        <w:t xml:space="preserve"> </w:t>
      </w:r>
      <w:r>
        <w:t xml:space="preserve">spectrum coordination between Member States. It introduced longer duration of spectrum</w:t>
      </w:r>
      <w:r>
        <w:t xml:space="preserve"> </w:t>
      </w:r>
      <w:r>
        <w:t xml:space="preserve">usage rights for wireless broadband services to increase predictability and formalised the</w:t>
      </w:r>
      <w:r>
        <w:t xml:space="preserve"> </w:t>
      </w:r>
      <w:r>
        <w:t xml:space="preserve">possibility to renew existing spectrum usage rights. It also formalised a peer review process to</w:t>
      </w:r>
      <w:r>
        <w:t xml:space="preserve"> </w:t>
      </w:r>
      <w:r>
        <w:t xml:space="preserve">promote peer learning and convergence of the authorisation of spectrum usage rights. It set a</w:t>
      </w:r>
      <w:r>
        <w:t xml:space="preserve"> </w:t>
      </w:r>
      <w:r>
        <w:t xml:space="preserve">coordinated timing of assignment for spectrum that was technically harmonised under the</w:t>
      </w:r>
      <w:r>
        <w:t xml:space="preserve"> </w:t>
      </w:r>
      <w:r>
        <w:t xml:space="preserve">Radio Spectrum Decision142. Moreover, the EECC developed a basis for timely 5G</w:t>
      </w:r>
      <w:r>
        <w:t xml:space="preserve"> </w:t>
      </w:r>
      <w:r>
        <w:t xml:space="preserve">deployment and network densification, by setting specific deadlines for the assignment of the</w:t>
      </w:r>
      <w:r>
        <w:t xml:space="preserve"> </w:t>
      </w:r>
      <w:r>
        <w:t xml:space="preserve">5G pioneer bands, facilitating access to radio local area networks and defining common</w:t>
      </w:r>
      <w:r>
        <w:t xml:space="preserve"> </w:t>
      </w:r>
      <w:r>
        <w:t xml:space="preserve">criteria for the deployment and operation of small-area wireless access points</w:t>
      </w:r>
      <w:r>
        <w:t xml:space="preserve"> </w:t>
      </w:r>
      <w:r>
        <w:t xml:space="preserve">However, the effect of the improvements introduced by the EECC in 2018 has not been</w:t>
      </w:r>
      <w:r>
        <w:t xml:space="preserve"> </w:t>
      </w:r>
      <w:r>
        <w:t xml:space="preserve">sufficient to fully exploit the potential of the single market in supporting effective and</w:t>
      </w:r>
      <w:r>
        <w:t xml:space="preserve"> </w:t>
      </w:r>
      <w:r>
        <w:t xml:space="preserve">efficient spectrum policy and in ensuring EU leadership in mobile connectivity and advanced</w:t>
      </w:r>
      <w:r>
        <w:t xml:space="preserve"> </w:t>
      </w:r>
      <w:r>
        <w:t xml:space="preserve">5G deployment for citizens and businesses. Because of its voluntary nature, the peer review</w:t>
      </w:r>
      <w:r>
        <w:t xml:space="preserve"> </w:t>
      </w:r>
      <w:r>
        <w:t xml:space="preserve">failed to align authorisation processes and conditions. Member States also chose different</w:t>
      </w:r>
      <w:r>
        <w:t xml:space="preserve"> </w:t>
      </w:r>
      <w:r>
        <w:t xml:space="preserve">approaches in the case of duration of spectrum usage rights and conditions to renew them. All</w:t>
      </w:r>
      <w:r>
        <w:t xml:space="preserve"> </w:t>
      </w:r>
      <w:r>
        <w:t xml:space="preserve">that failed in fostering regulatory predictability and investment capacity. Despite the binding</w:t>
      </w:r>
      <w:r>
        <w:t xml:space="preserve"> </w:t>
      </w:r>
      <w:r>
        <w:t xml:space="preserve">deadlines imposed by law, delays in the assignment of 5G pioneer and other bands, due to</w:t>
      </w:r>
      <w:r>
        <w:t xml:space="preserve"> </w:t>
      </w:r>
      <w:r>
        <w:t xml:space="preserve">exogenous (e.g. interference) but also endogenous reasons (e.g. delays or litigation) have also</w:t>
      </w:r>
      <w:r>
        <w:t xml:space="preserve"> </w:t>
      </w:r>
      <w:r>
        <w:t xml:space="preserve">considerably slowed down deployment. The EECC has also not been fully effective in</w:t>
      </w:r>
      <w:r>
        <w:t xml:space="preserve"> </w:t>
      </w:r>
      <w:r>
        <w:t xml:space="preserve">addressing harmful interferences between Member States and from third countries, due to</w:t>
      </w:r>
      <w:r>
        <w:t xml:space="preserve"> </w:t>
      </w:r>
      <w:r>
        <w:t xml:space="preserve">limitations in the legal basis, therefore limiting the use of spectrum. Regulatory uncertainty</w:t>
      </w:r>
      <w:r>
        <w:t xml:space="preserve"> </w:t>
      </w:r>
      <w:r>
        <w:t xml:space="preserve">further affected the limited attractiveness of the mobile sector for financial investors due to</w:t>
      </w:r>
      <w:r>
        <w:t xml:space="preserve"> </w:t>
      </w:r>
      <w:r>
        <w:t xml:space="preserve">low profitability and significant investment required for acquiring spectrum and densifying</w:t>
      </w:r>
      <w:r>
        <w:t xml:space="preserve"> </w:t>
      </w:r>
      <w:r>
        <w:t xml:space="preserve">networks.</w:t>
      </w:r>
    </w:p>
    <w:p>
      <w:pPr>
        <w:pStyle w:val="BodyText"/>
      </w:pPr>
      <w:r>
        <w:t xml:space="preserve">142 Decision No 676/2002/EC of the European Parliament and of the Council of 7 March 2002 on a regulatory</w:t>
      </w:r>
      <w:r>
        <w:t xml:space="preserve"> </w:t>
      </w:r>
      <w:r>
        <w:t xml:space="preserve">framework for radio spectrum policy in the European Community (Radio Spectrum Decision) (OJ L 108,</w:t>
      </w:r>
      <w:r>
        <w:t xml:space="preserve"> </w:t>
      </w:r>
      <w:r>
        <w:t xml:space="preserve">24/04/2002).</w:t>
      </w:r>
    </w:p>
    <w:p>
      <w:pPr>
        <w:pStyle w:val="BodyText"/>
      </w:pPr>
      <w:r>
        <w:t xml:space="preserve">50</w:t>
      </w:r>
    </w:p>
    <w:p>
      <w:pPr>
        <w:pStyle w:val="BodyText"/>
      </w:pPr>
      <w:r>
        <w:t xml:space="preserve">5.3. Radio Spectrum Policy Programme</w:t>
      </w:r>
      <w:r>
        <w:t xml:space="preserve"> </w:t>
      </w:r>
      <w:r>
        <w:t xml:space="preserve">The Radio Spectrum Policy Programme143 (RSPP) dates to 2012 and sets out policy</w:t>
      </w:r>
      <w:r>
        <w:t xml:space="preserve"> </w:t>
      </w:r>
      <w:r>
        <w:t xml:space="preserve">orientations and objectives for strategic spectrum planning and harmonisation, and actions for</w:t>
      </w:r>
      <w:r>
        <w:t xml:space="preserve"> </w:t>
      </w:r>
      <w:r>
        <w:t xml:space="preserve">swift implementation of policy objectives. It applies to a broad range of EU policies that</w:t>
      </w:r>
      <w:r>
        <w:t xml:space="preserve"> </w:t>
      </w:r>
      <w:r>
        <w:t xml:space="preserve">involve spectrum use such as electronic communications, research, technological</w:t>
      </w:r>
      <w:r>
        <w:t xml:space="preserve"> </w:t>
      </w:r>
      <w:r>
        <w:t xml:space="preserve">development and space, transport, energy and audiovisual policies. While some RSPP general</w:t>
      </w:r>
      <w:r>
        <w:t xml:space="preserve"> </w:t>
      </w:r>
      <w:r>
        <w:t xml:space="preserve">objectives are still valid and, based on RSPG opinion144 and related public consultation145,</w:t>
      </w:r>
      <w:r>
        <w:t xml:space="preserve"> </w:t>
      </w:r>
      <w:r>
        <w:t xml:space="preserve">stakeholders see the RSPP merits as a strategic measure setting orientations, the EU policy,</w:t>
      </w:r>
      <w:r>
        <w:t xml:space="preserve"> </w:t>
      </w:r>
      <w:r>
        <w:t xml:space="preserve">regulatory and technology context has changed considerably. Many RSPP actions were</w:t>
      </w:r>
      <w:r>
        <w:t xml:space="preserve"> </w:t>
      </w:r>
      <w:r>
        <w:t xml:space="preserve">designed to support EU political priorities that are now either completed or outdated.</w:t>
      </w:r>
      <w:r>
        <w:t xml:space="preserve"> </w:t>
      </w:r>
      <w:r>
        <w:t xml:space="preserve">Moreover, certain provisions have already been integrated in the EECC, as for example</w:t>
      </w:r>
      <w:r>
        <w:t xml:space="preserve"> </w:t>
      </w:r>
      <w:r>
        <w:t xml:space="preserve">Article 5 on competition into Article 52 EECC and Article 10(2) on cross-border coordination</w:t>
      </w:r>
      <w:r>
        <w:t xml:space="preserve"> </w:t>
      </w:r>
      <w:r>
        <w:t xml:space="preserve">with third countries into Article 28 EECC.</w:t>
      </w:r>
      <w:r>
        <w:br/>
      </w:r>
      <w:r>
        <w:t xml:space="preserve">Based on previous evaluation Reports146, studies147 and stakeholder inputs (above mentioned</w:t>
      </w:r>
      <w:r>
        <w:t xml:space="preserve"> </w:t>
      </w:r>
      <w:r>
        <w:t xml:space="preserve">RSPG opinion and related public consultation), we identified which actions included in the</w:t>
      </w:r>
      <w:r>
        <w:t xml:space="preserve"> </w:t>
      </w:r>
      <w:r>
        <w:t xml:space="preserve">RSPP could be considered as completed and which provisions have become obsolete</w:t>
      </w:r>
      <w:r>
        <w:t xml:space="preserve"> </w:t>
      </w:r>
      <w:r>
        <w:t xml:space="preserve">(including due to the substantive revision of spectrum rules brought about by the EECC). The</w:t>
      </w:r>
      <w:r>
        <w:t xml:space="preserve"> </w:t>
      </w:r>
      <w:r>
        <w:t xml:space="preserve">analysis identified on the one hand which objectives and general principles of the RSPP</w:t>
      </w:r>
      <w:r>
        <w:t xml:space="preserve"> </w:t>
      </w:r>
      <w:r>
        <w:t xml:space="preserve">remain relevant in the context of strategic policy needs and support of broader EU policy</w:t>
      </w:r>
      <w:r>
        <w:t xml:space="preserve"> </w:t>
      </w:r>
      <w:r>
        <w:t xml:space="preserve">objectives, taking into account the current and future needs of key stakeholders. On the other</w:t>
      </w:r>
      <w:r>
        <w:t xml:space="preserve"> </w:t>
      </w:r>
      <w:r>
        <w:t xml:space="preserve">hand, it specified which provisions have been taken over and further developed in the policy</w:t>
      </w:r>
      <w:r>
        <w:t xml:space="preserve"> </w:t>
      </w:r>
      <w:r>
        <w:t xml:space="preserve">options of the Digital Network Act Impact Assessment (see Annex II for more details).</w:t>
      </w:r>
      <w:r>
        <w:t xml:space="preserve"> </w:t>
      </w:r>
      <w:r>
        <w:t xml:space="preserve">Objectives and general principles which remain relevant include:</w:t>
      </w:r>
      <w:r>
        <w:br/>
      </w:r>
      <w:r>
        <w:t xml:space="preserve">-</w:t>
      </w:r>
      <w:r>
        <w:t xml:space="preserve"> </w:t>
      </w:r>
      <w:r>
        <w:t xml:space="preserve">Authorisation principles to maximise flexibility and efficiency in spectrum use,</w:t>
      </w:r>
      <w:r>
        <w:br/>
      </w:r>
      <w:r>
        <w:t xml:space="preserve">-</w:t>
      </w:r>
      <w:r>
        <w:t xml:space="preserve"> </w:t>
      </w:r>
      <w:r>
        <w:t xml:space="preserve">fostering development of the internal market by promoting the emergence of future</w:t>
      </w:r>
      <w:r>
        <w:t xml:space="preserve"> </w:t>
      </w:r>
      <w:r>
        <w:t xml:space="preserve">Union-wide digital services,</w:t>
      </w:r>
    </w:p>
    <w:p>
      <w:pPr>
        <w:pStyle w:val="BodyText"/>
      </w:pPr>
      <w:r>
        <w:t xml:space="preserve">143 Decision No 243/2012/EU of the European Parliament and of the Council of 14 March 2012 establishing a</w:t>
      </w:r>
      <w:r>
        <w:t xml:space="preserve"> </w:t>
      </w:r>
      <w:r>
        <w:t xml:space="preserve">multiannual radio spectrum policy programme (OJ L 91, 21.3.2012, p. 7), https://eur-lex.europa.eu/legal-</w:t>
      </w:r>
      <w:r>
        <w:t xml:space="preserve"> </w:t>
      </w:r>
      <w:r>
        <w:t xml:space="preserve">content/EN/ALL/?uri=CELEX%3A32012D0243.</w:t>
      </w:r>
      <w:r>
        <w:t xml:space="preserve"> </w:t>
      </w:r>
      <w:r>
        <w:t xml:space="preserve">144 RSPG Opinion on a Radio Spectrum Policy Programme (RSPP) (16 June 2021) https://radio-spectrum-</w:t>
      </w:r>
      <w:r>
        <w:t xml:space="preserve"> </w:t>
      </w:r>
      <w:r>
        <w:t xml:space="preserve">policy-group.ec.europa.eu/document/download/00cfd520-efa9-48a1-bfec-</w:t>
      </w:r>
      <w:r>
        <w:t xml:space="preserve"> </w:t>
      </w:r>
      <w:r>
        <w:t xml:space="preserve">d2980f511c3c_en?filename=RSPG21-033final-RSPG_Opinion_on_RSPP.pdf.</w:t>
      </w:r>
      <w:r>
        <w:t xml:space="preserve"> </w:t>
      </w:r>
      <w:r>
        <w:t xml:space="preserve">145 Public consultation on the draft RSPG Opinion on a Radio Spectrum Policy Programme (RSPP)</w:t>
      </w:r>
      <w:r>
        <w:t xml:space="preserve"> </w:t>
      </w:r>
      <w:r>
        <w:t xml:space="preserve">(https://radio-spectrum-policy-group.ec.europa.eu/consultations-0_en).</w:t>
      </w:r>
      <w:r>
        <w:t xml:space="preserve"> </w:t>
      </w:r>
      <w:r>
        <w:t xml:space="preserve">146 Commission report on the implementation of the Radio Spectrum Policy Programme (COM(2014) 228 final)</w:t>
      </w:r>
      <w:r>
        <w:t xml:space="preserve"> </w:t>
      </w:r>
      <w:r>
        <w:t xml:space="preserve">(22 April 2014), https://eur-lex.europa.eu/legal-content/EN/TXT/PDF/?uri=CELEX:52014DC0228&amp;rid=1</w:t>
      </w:r>
      <w:r>
        <w:t xml:space="preserve"> </w:t>
      </w:r>
      <w:r>
        <w:t xml:space="preserve">and</w:t>
      </w:r>
      <w:r>
        <w:br/>
      </w:r>
      <w:r>
        <w:t xml:space="preserve">Commission report on the Radio Spectrum Inventory (COM(2014) 536 final), 1 September 2014, https://eur-</w:t>
      </w:r>
      <w:r>
        <w:t xml:space="preserve"> </w:t>
      </w:r>
      <w:r>
        <w:t xml:space="preserve">lex.europa.eu/legal-content/en/ALL/?uri=CELEX:52014DC0536,</w:t>
      </w:r>
      <w:r>
        <w:br/>
      </w:r>
      <w:r>
        <w:t xml:space="preserve">the Commission’s 2016 fitness check accompanying the Code legislative proposal- Commission Staff</w:t>
      </w:r>
      <w:r>
        <w:t xml:space="preserve"> </w:t>
      </w:r>
      <w:r>
        <w:t xml:space="preserve">Working Document on Evaluation of the regulatory framework for electronic communications (SWD(2016)</w:t>
      </w:r>
      <w:r>
        <w:t xml:space="preserve"> </w:t>
      </w:r>
      <w:r>
        <w:t xml:space="preserve">313 final), 14 September 2016,</w:t>
      </w:r>
      <w:r>
        <w:t xml:space="preserve"> </w:t>
      </w:r>
      <w:r>
        <w:t xml:space="preserve">https://eur-lex.europa.eu/LexUriServ/LexUriServ.do?uri=SWD:2016:0313:FIN:EN:PDF.</w:t>
      </w:r>
      <w:r>
        <w:t xml:space="preserve"> </w:t>
      </w:r>
      <w:r>
        <w:t xml:space="preserve">147 European Commission, Directorate-General for Communications Networks, Content and Technology, LS</w:t>
      </w:r>
      <w:r>
        <w:t xml:space="preserve"> </w:t>
      </w:r>
      <w:r>
        <w:t xml:space="preserve">Telcom, PolicyTracker and VVA, Study on radio spectrum policy programme – Taking stock and discussing</w:t>
      </w:r>
      <w:r>
        <w:t xml:space="preserve"> </w:t>
      </w:r>
      <w:r>
        <w:t xml:space="preserve">future scenarios – Executive summary, Publications Office of the European Union, 2024,</w:t>
      </w:r>
      <w:r>
        <w:t xml:space="preserve"> </w:t>
      </w:r>
      <w:r>
        <w:t xml:space="preserve">https://data.europa.eu/doi/10.2759/687724.</w:t>
      </w:r>
    </w:p>
    <w:p>
      <w:pPr>
        <w:pStyle w:val="BodyText"/>
      </w:pPr>
      <w:r>
        <w:t xml:space="preserve">51</w:t>
      </w:r>
    </w:p>
    <w:p>
      <w:pPr>
        <w:pStyle w:val="Compact"/>
        <w:numPr>
          <w:ilvl w:val="0"/>
          <w:numId w:val="1003"/>
        </w:numPr>
      </w:pPr>
      <w:r>
        <w:t xml:space="preserve">fostering the collective use of spectrum as well as shared use of spectrum within the limits</w:t>
      </w:r>
      <w:r>
        <w:t xml:space="preserve"> </w:t>
      </w:r>
      <w:r>
        <w:t xml:space="preserve">imposed by competition law rules, assessing the justification and feasibility of extending</w:t>
      </w:r>
      <w:r>
        <w:t xml:space="preserve"> </w:t>
      </w:r>
      <w:r>
        <w:t xml:space="preserve">the allocations of unlicensed spectrum,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co-operation between Member States and the European Commission to allocate sufficient</w:t>
      </w:r>
      <w:r>
        <w:t xml:space="preserve"> </w:t>
      </w:r>
      <w:r>
        <w:t xml:space="preserve">spectrum for wireless services, including in the unlicensed bands, as part of an evolving</w:t>
      </w:r>
      <w:r>
        <w:t xml:space="preserve"> </w:t>
      </w:r>
      <w:r>
        <w:t xml:space="preserve">roadmap,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promoting competition, innovation and investment,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the need to avoid harmful interference,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promoting technology and service neutrality in the rights of use of spectrum</w:t>
      </w:r>
    </w:p>
    <w:p>
      <w:pPr>
        <w:pStyle w:val="Compact"/>
        <w:numPr>
          <w:ilvl w:val="0"/>
          <w:numId w:val="1003"/>
        </w:numPr>
      </w:pPr>
      <w:r>
        <w:t xml:space="preserve">promoting spectrum harmonisation,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upgrading networks to the most efficient technology in order to ensure that all citizens</w:t>
      </w:r>
      <w:r>
        <w:t xml:space="preserve"> </w:t>
      </w:r>
      <w:r>
        <w:t xml:space="preserve">have access to advanced digital services including broadband in remote and sparsely</w:t>
      </w:r>
      <w:r>
        <w:t xml:space="preserve"> </w:t>
      </w:r>
      <w:r>
        <w:t xml:space="preserve">populated areas,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exploring the availability of sufficient spectrum for the provision of broadband satellite</w:t>
      </w:r>
      <w:r>
        <w:t xml:space="preserve"> </w:t>
      </w:r>
      <w:r>
        <w:t xml:space="preserve">services enabling internet access,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allocating sufficient and appropriate spectrum in a timely manner to support Union policy</w:t>
      </w:r>
      <w:r>
        <w:t xml:space="preserve"> </w:t>
      </w:r>
      <w:r>
        <w:t xml:space="preserve">objectives and satisfying the increased wireless data traffic as part of an evolving</w:t>
      </w:r>
      <w:r>
        <w:t xml:space="preserve"> </w:t>
      </w:r>
      <w:r>
        <w:t xml:space="preserve">spectrum roadmap,</w:t>
      </w:r>
    </w:p>
    <w:p>
      <w:pPr>
        <w:pStyle w:val="Compact"/>
        <w:numPr>
          <w:ilvl w:val="0"/>
          <w:numId w:val="1003"/>
        </w:numPr>
      </w:pPr>
      <w:r>
        <w:t xml:space="preserve">encouraging efficient management and use of spectrum, ensuring sufficient spectrum,</w:t>
      </w:r>
      <w:r>
        <w:t xml:space="preserve"> </w:t>
      </w:r>
      <w:r>
        <w:t xml:space="preserve">harmonised where necessary, for specified uses including wireless broadband, provision</w:t>
      </w:r>
      <w:r>
        <w:t xml:space="preserve"> </w:t>
      </w:r>
      <w:r>
        <w:t xml:space="preserve">of innovative audiovisual services like earth monitoring services and transport systems,</w:t>
      </w:r>
      <w:r>
        <w:t xml:space="preserve"> </w:t>
      </w:r>
      <w:r>
        <w:t xml:space="preserve">safety of life services, Scientific services, PMSE, IoT services.</w:t>
      </w:r>
      <w:r>
        <w:br/>
      </w:r>
      <w:r>
        <w:t xml:space="preserve">The RSPP also refers to certain aspects of international governance of spectrum that are still</w:t>
      </w:r>
      <w:r>
        <w:t xml:space="preserve"> </w:t>
      </w:r>
      <w:r>
        <w:t xml:space="preserve">relevant such as the role of the Union in international negotiations relating to spectrum</w:t>
      </w:r>
      <w:r>
        <w:t xml:space="preserve"> </w:t>
      </w:r>
      <w:r>
        <w:t xml:space="preserve">matters, such as for instance the recurrent World Radio Communications Conferences of the</w:t>
      </w:r>
      <w:r>
        <w:t xml:space="preserve"> </w:t>
      </w:r>
      <w:r>
        <w:t xml:space="preserve">International Telecommunications Union and the role of the Union in assisting Member States</w:t>
      </w:r>
      <w:r>
        <w:t xml:space="preserve"> </w:t>
      </w:r>
      <w:r>
        <w:t xml:space="preserve">with legal, political and technical support to resolve spectrum coordination issues with</w:t>
      </w:r>
      <w:r>
        <w:t xml:space="preserve"> </w:t>
      </w:r>
      <w:r>
        <w:t xml:space="preserve">neighbouring third countries.</w:t>
      </w:r>
      <w:r>
        <w:br/>
      </w:r>
      <w:r>
        <w:t xml:space="preserve">Annex II also identifies a set of key challenges moving forward, such as for example</w:t>
      </w:r>
      <w:r>
        <w:t xml:space="preserve"> </w:t>
      </w:r>
      <w:r>
        <w:t xml:space="preserve">allocating sufficient and appropriate spectrum in a timely manner the need for greater focus</w:t>
      </w:r>
      <w:r>
        <w:t xml:space="preserve"> </w:t>
      </w:r>
      <w:r>
        <w:t xml:space="preserve">on spectrum sharing and flexible licensing solutions, the need to support development of</w:t>
      </w:r>
      <w:r>
        <w:t xml:space="preserve"> </w:t>
      </w:r>
      <w:r>
        <w:t xml:space="preserve">satellite communications. These challenges are further elaborated in the sections below</w:t>
      </w:r>
      <w:r>
        <w:t xml:space="preserve"> </w:t>
      </w:r>
      <w:r>
        <w:t xml:space="preserve">evaluating the EU spectrum policy effectiveness, in particular in the sections on delays in 5G</w:t>
      </w:r>
      <w:r>
        <w:t xml:space="preserve"> </w:t>
      </w:r>
      <w:r>
        <w:t xml:space="preserve">bands assignments, on effectiveness of spectrum sharing, transfer and leasing and on</w:t>
      </w:r>
      <w:r>
        <w:t xml:space="preserve"> </w:t>
      </w:r>
      <w:r>
        <w:t xml:space="preserve">supporting satellite EU-wide connectivity.</w:t>
      </w:r>
      <w:r>
        <w:t xml:space="preserve"> </w:t>
      </w:r>
      <w:r>
        <w:t xml:space="preserve">5.4. Effectiveness in promoting connectivity</w:t>
      </w:r>
      <w:r>
        <w:t xml:space="preserve"> </w:t>
      </w:r>
      <w:r>
        <w:t xml:space="preserve">Effectiveness is assessed with regard to promoting advanced 5G connectivity and ensuring</w:t>
      </w:r>
      <w:r>
        <w:t xml:space="preserve"> </w:t>
      </w:r>
      <w:r>
        <w:t xml:space="preserve">investments and benefits for citizens.</w:t>
      </w:r>
    </w:p>
    <w:p>
      <w:pPr>
        <w:pStyle w:val="FirstParagraph"/>
      </w:pPr>
      <w:r>
        <w:t xml:space="preserve">52</w:t>
      </w:r>
    </w:p>
    <w:p>
      <w:pPr>
        <w:pStyle w:val="BodyText"/>
      </w:pPr>
      <w:r>
        <w:t xml:space="preserve">5.4.1. 5G Connectivity achievements</w:t>
      </w:r>
      <w:r>
        <w:t xml:space="preserve"> </w:t>
      </w:r>
      <w:r>
        <w:t xml:space="preserve">While the deadlines for the assignment of 5G pioneer bands’148 and the RSPG’s 5G</w:t>
      </w:r>
      <w:r>
        <w:t xml:space="preserve"> </w:t>
      </w:r>
      <w:r>
        <w:t xml:space="preserve">Roadmap149, sent a clear regulatory signal and helped define a common EU vision, they have</w:t>
      </w:r>
      <w:r>
        <w:t xml:space="preserve"> </w:t>
      </w:r>
      <w:r>
        <w:t xml:space="preserve">not been successful in ensuring a coordinated timing of the 5G pioneer bands’ assignment and</w:t>
      </w:r>
      <w:r>
        <w:t xml:space="preserve"> </w:t>
      </w:r>
      <w:r>
        <w:t xml:space="preserve">promoting mobile and wireless connectivity by all citizens and business in the Union (Art. 3</w:t>
      </w:r>
      <w:r>
        <w:t xml:space="preserve"> </w:t>
      </w:r>
      <w:r>
        <w:t xml:space="preserve">EECC connectivity objective).While the single market delivered on basic 5G coverage and</w:t>
      </w:r>
      <w:r>
        <w:t xml:space="preserve"> </w:t>
      </w:r>
      <w:r>
        <w:t xml:space="preserve">low mobile prices for consumers, that are generally significantly lower than in the US, both</w:t>
      </w:r>
      <w:r>
        <w:t xml:space="preserve"> </w:t>
      </w:r>
      <w:r>
        <w:t xml:space="preserve">prices and basic coverage differ considerably between Member States due to inherently</w:t>
      </w:r>
      <w:r>
        <w:t xml:space="preserve"> </w:t>
      </w:r>
      <w:r>
        <w:t xml:space="preserve">different market and regulatory landscapes150. Average 5G household coverage by at least one</w:t>
      </w:r>
      <w:r>
        <w:t xml:space="preserve"> </w:t>
      </w:r>
      <w:r>
        <w:t xml:space="preserve">basic 5G network across the EU reached 94.3% by the end of 2024151, behind South Korea</w:t>
      </w:r>
      <w:r>
        <w:t xml:space="preserve"> </w:t>
      </w:r>
      <w:r>
        <w:t xml:space="preserve">(100%), Japan (99.2%), Norway and Iceland (99%), and the United States (97%)152, although</w:t>
      </w:r>
      <w:r>
        <w:t xml:space="preserve"> </w:t>
      </w:r>
      <w:r>
        <w:t xml:space="preserve">with only 79.6% of households in rural areas being covered by 5G.</w:t>
      </w:r>
      <w:r>
        <w:t xml:space="preserve"> </w:t>
      </w:r>
      <w:r>
        <w:t xml:space="preserve">Figure 3: Total 5G households coverage- 5G Observatory Report 2025 | Shaping Europe’s digital</w:t>
      </w:r>
      <w:r>
        <w:t xml:space="preserve"> </w:t>
      </w:r>
      <w:r>
        <w:t xml:space="preserve">future</w:t>
      </w:r>
    </w:p>
    <w:p>
      <w:pPr>
        <w:pStyle w:val="BodyText"/>
      </w:pPr>
      <w:r>
        <w:t xml:space="preserve">148 Aligned with the UHF Decision and supported by the 2016 5G Action Plan “Communication from the</w:t>
      </w:r>
      <w:r>
        <w:t xml:space="preserve"> </w:t>
      </w:r>
      <w:r>
        <w:t xml:space="preserve">commission to the European Parliament, the Council, the European Economic and Social Committee and the</w:t>
      </w:r>
      <w:r>
        <w:t xml:space="preserve"> </w:t>
      </w:r>
      <w:r>
        <w:t xml:space="preserve">Committee of the Regions. 5G for Europe: An Action Plan”, European Commission, Brussels, 2016.</w:t>
      </w:r>
      <w:r>
        <w:t xml:space="preserve"> </w:t>
      </w:r>
      <w:r>
        <w:t xml:space="preserve">149 Radio Spectrum Policy Group: Strategic Roadmap towards 5G for Europe: Spectrum related aspects for</w:t>
      </w:r>
      <w:r>
        <w:t xml:space="preserve"> </w:t>
      </w:r>
      <w:r>
        <w:t xml:space="preserve">next-generation wireless systems (5G) and 5G implementation challenges Final progress report of RSPG</w:t>
      </w:r>
      <w:r>
        <w:t xml:space="preserve"> </w:t>
      </w:r>
      <w:r>
        <w:t xml:space="preserve">Working Group 5G (2016-2019) on the Strategic Roadmap towards 5G for Europe to the RSPG Plenary,</w:t>
      </w:r>
      <w:r>
        <w:t xml:space="preserve"> </w:t>
      </w:r>
      <w:r>
        <w:t xml:space="preserve">2019.</w:t>
      </w:r>
      <w:r>
        <w:t xml:space="preserve"> </w:t>
      </w:r>
      <w:r>
        <w:t xml:space="preserve">150 Mobile broadband prices vary widely across the EU not only in nominal terms but also at price purchasing</w:t>
      </w:r>
      <w:r>
        <w:t xml:space="preserve"> </w:t>
      </w:r>
      <w:r>
        <w:t xml:space="preserve">parity. See European Commission, Directorate-General for Communications Networks, Content and</w:t>
      </w:r>
      <w:r>
        <w:t xml:space="preserve"> </w:t>
      </w:r>
      <w:r>
        <w:t xml:space="preserve">Technology, Mobile and fixed broadband prices in Europe.</w:t>
      </w:r>
      <w:r>
        <w:br/>
      </w:r>
      <w:r>
        <w:t xml:space="preserve">151 5G Observatory Report 2025 | Shaping Europe’s digital future In the majority of Member States household</w:t>
      </w:r>
      <w:r>
        <w:t xml:space="preserve"> </w:t>
      </w:r>
      <w:r>
        <w:t xml:space="preserve">5G coverage is reaching levels around or above 90%, with only Hungary, Bulgaria, Latvia and Romania</w:t>
      </w:r>
      <w:r>
        <w:t xml:space="preserve"> </w:t>
      </w:r>
      <w:r>
        <w:t xml:space="preserve">lagging behind.</w:t>
      </w:r>
      <w:r>
        <w:t xml:space="preserve"> </w:t>
      </w:r>
      <w:r>
        <w:t xml:space="preserve">152 European Commission. (2025). Digital Decade 2025 – 5G Observatory Report. Directorate-General for</w:t>
      </w:r>
      <w:r>
        <w:t xml:space="preserve"> </w:t>
      </w:r>
      <w:r>
        <w:t xml:space="preserve">Communications</w:t>
      </w:r>
      <w:r>
        <w:t xml:space="preserve"> </w:t>
      </w:r>
      <w:r>
        <w:t xml:space="preserve">Networks,</w:t>
      </w:r>
      <w:r>
        <w:t xml:space="preserve"> </w:t>
      </w:r>
      <w:r>
        <w:t xml:space="preserve">Content</w:t>
      </w:r>
      <w:r>
        <w:t xml:space="preserve"> </w:t>
      </w:r>
      <w:r>
        <w:t xml:space="preserve">and</w:t>
      </w:r>
      <w:r>
        <w:t xml:space="preserve"> </w:t>
      </w:r>
      <w:r>
        <w:t xml:space="preserve">Technology.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https://digital-</w:t>
      </w:r>
      <w:r>
        <w:t xml:space="preserve"> </w:t>
      </w:r>
      <w:r>
        <w:t xml:space="preserve">strategy.ec.europa.eu/en/policies/5g-observatory-2025.</w:t>
      </w:r>
    </w:p>
    <w:p>
      <w:pPr>
        <w:pStyle w:val="BodyText"/>
      </w:pPr>
      <w:r>
        <w:t xml:space="preserve">53</w:t>
      </w:r>
    </w:p>
    <w:p>
      <w:pPr>
        <w:pStyle w:val="BodyText"/>
      </w:pPr>
      <w:r>
        <w:t xml:space="preserve">5G deployment has not been even across the EU, in particular coverage with the 3.6 GHz</w:t>
      </w:r>
      <w:r>
        <w:t xml:space="preserve"> </w:t>
      </w:r>
      <w:r>
        <w:t xml:space="preserve">band153 and deployment of 5G standalone (SA) networks. The EU average household</w:t>
      </w:r>
      <w:r>
        <w:t xml:space="preserve"> </w:t>
      </w:r>
      <w:r>
        <w:t xml:space="preserve">coverage with the 3.6 GHz band was at around 67%, with 90% in Netherlands, Italy, Slovenia</w:t>
      </w:r>
      <w:r>
        <w:t xml:space="preserve"> </w:t>
      </w:r>
      <w:r>
        <w:t xml:space="preserve">and Finland while it stood below 45% in Croatia, Czechia, Malta, Cyprus and Romania 154.</w:t>
      </w:r>
      <w:r>
        <w:t xml:space="preserve"> </w:t>
      </w:r>
      <w:r>
        <w:t xml:space="preserve">Moreover, only 26% of households in rural areas in the EU were covered by 5G using mid-</w:t>
      </w:r>
      <w:r>
        <w:t xml:space="preserve"> </w:t>
      </w:r>
      <w:r>
        <w:t xml:space="preserve">band spectrum in 2024. 5G SA requires substantially higher investments and is essential for</w:t>
      </w:r>
      <w:r>
        <w:t xml:space="preserve"> </w:t>
      </w:r>
      <w:r>
        <w:t xml:space="preserve">industrial use relying on very-high reliability, security, low latency and higher</w:t>
      </w:r>
      <w:r>
        <w:t xml:space="preserve"> </w:t>
      </w:r>
      <w:r>
        <w:t xml:space="preserve">throughput, and is a prerequisite to 6G deployment. High-capacity networks, based on 5G</w:t>
      </w:r>
      <w:r>
        <w:t xml:space="preserve"> </w:t>
      </w:r>
      <w:r>
        <w:t xml:space="preserve">SA, require high-band spectrum characterised by limited coverage and need for network</w:t>
      </w:r>
      <w:r>
        <w:t xml:space="preserve"> </w:t>
      </w:r>
      <w:r>
        <w:t xml:space="preserve">densification. Article 57 EECC and the adoption of a Commission Regulation on a light</w:t>
      </w:r>
      <w:r>
        <w:t xml:space="preserve"> </w:t>
      </w:r>
      <w:r>
        <w:t xml:space="preserve">deployment regime for small cells aimed to boost high-capacity network deployment (5G</w:t>
      </w:r>
      <w:r>
        <w:t xml:space="preserve"> </w:t>
      </w:r>
      <w:r>
        <w:t xml:space="preserve">and beyond). However, application of this regime remains limited and has not delivered any</w:t>
      </w:r>
      <w:r>
        <w:t xml:space="preserve"> </w:t>
      </w:r>
      <w:r>
        <w:t xml:space="preserve">significant take-up compared with the US and Asia, as confirmed in surveys conducted by the</w:t>
      </w:r>
      <w:r>
        <w:t xml:space="preserve"> </w:t>
      </w:r>
      <w:r>
        <w:t xml:space="preserve">Small Cell Forum (SCF).</w:t>
      </w:r>
      <w:r>
        <w:br/>
      </w:r>
      <w:r>
        <w:t xml:space="preserve">Figure 4: 5G coverage of households in the 3.6 GHz band - 5G Observatory Report 2025 | Shaping</w:t>
      </w:r>
      <w:r>
        <w:t xml:space="preserve"> </w:t>
      </w:r>
      <w:r>
        <w:t xml:space="preserve">Europe’s digital future</w:t>
      </w:r>
    </w:p>
    <w:p>
      <w:pPr>
        <w:pStyle w:val="BodyText"/>
      </w:pPr>
      <w:r>
        <w:t xml:space="preserve">Ericsson data see Figure 5 on mid-band coverage that follow a different methodology and</w:t>
      </w:r>
      <w:r>
        <w:t xml:space="preserve"> </w:t>
      </w:r>
      <w:r>
        <w:t xml:space="preserve">allow for an international comparison alarmingly confirm that Europe is lagging in mid-band</w:t>
      </w:r>
      <w:r>
        <w:t xml:space="preserve"> </w:t>
      </w:r>
      <w:r>
        <w:t xml:space="preserve">coverage with 50% compared to 95% in India and China and 90% in the US.</w:t>
      </w:r>
    </w:p>
    <w:p>
      <w:pPr>
        <w:pStyle w:val="BodyText"/>
      </w:pPr>
      <w:r>
        <w:t xml:space="preserve">153 The 3,6 GHz band, together with the 700 MHz and the 26 GHz bands are the 5G pioneer bands. While the</w:t>
      </w:r>
      <w:r>
        <w:t xml:space="preserve"> </w:t>
      </w:r>
      <w:r>
        <w:t xml:space="preserve">700 MHz ensures wide coverage, the 3,6 GHz band is the “sweet spot” which strikes the best balance</w:t>
      </w:r>
      <w:r>
        <w:t xml:space="preserve"> </w:t>
      </w:r>
      <w:r>
        <w:t xml:space="preserve">between speed capacity and coverage, is more accessible than mmW band, making it ideal for deploying 5G</w:t>
      </w:r>
      <w:r>
        <w:t xml:space="preserve"> </w:t>
      </w:r>
      <w:r>
        <w:t xml:space="preserve">services to the general public and supporting the substantial data demands of dense urban areas and industry.</w:t>
      </w:r>
      <w:r>
        <w:br/>
      </w:r>
      <w:r>
        <w:t xml:space="preserve">154 5G Observatory Report 2025 | Shaping Europe’s digital future.</w:t>
      </w:r>
    </w:p>
    <w:p>
      <w:pPr>
        <w:pStyle w:val="BodyText"/>
      </w:pPr>
      <w:r>
        <w:t xml:space="preserve">54</w:t>
      </w:r>
    </w:p>
    <w:p>
      <w:pPr>
        <w:pStyle w:val="BodyText"/>
      </w:pPr>
      <w:r>
        <w:t xml:space="preserve">Figure 5: World population and mid-band coverage split per region (end of 2024155)</w:t>
      </w:r>
    </w:p>
    <w:p>
      <w:pPr>
        <w:pStyle w:val="BodyText"/>
      </w:pPr>
      <w:r>
        <w:t xml:space="preserve">Data from Connect Europe on 5G SA also confirm this finding: the EU lags considerably</w:t>
      </w:r>
      <w:r>
        <w:t xml:space="preserve"> </w:t>
      </w:r>
      <w:r>
        <w:t xml:space="preserve">behind other major regions, marking the weakest performance in this advanced technology156.</w:t>
      </w:r>
      <w:r>
        <w:t xml:space="preserve"> </w:t>
      </w:r>
      <w:r>
        <w:t xml:space="preserve">The very low availability157 of 5G SA in the EU (2%) compared to other global economies,</w:t>
      </w:r>
      <w:r>
        <w:t xml:space="preserve"> </w:t>
      </w:r>
      <w:r>
        <w:t xml:space="preserve">China (80%), India (52%), and the USA (24%), is confirmed by Ookla’s Speedtest® sample</w:t>
      </w:r>
      <w:r>
        <w:t xml:space="preserve"> </w:t>
      </w:r>
      <w:r>
        <w:t xml:space="preserve">share.158</w:t>
      </w:r>
      <w:r>
        <w:br/>
      </w:r>
      <w:r>
        <w:t xml:space="preserve">The EC study159 also confirms the limited use of mid-band spectrum in Europe, despite the</w:t>
      </w:r>
      <w:r>
        <w:t xml:space="preserve"> </w:t>
      </w:r>
      <w:r>
        <w:t xml:space="preserve">widespread availability of this spectrum in most Member States as of 2022160.</w:t>
      </w:r>
      <w:r>
        <w:br/>
      </w:r>
      <w:r>
        <w:t xml:space="preserve">Article 57 EECC and the adoption of a Commission Regulation on a light deployment regime</w:t>
      </w:r>
      <w:r>
        <w:t xml:space="preserve"> </w:t>
      </w:r>
      <w:r>
        <w:t xml:space="preserve">for small cells aimed to boost high-capacity network deployment (5G and beyond).</w:t>
      </w:r>
      <w:r>
        <w:t xml:space="preserve"> </w:t>
      </w:r>
      <w:r>
        <w:t xml:space="preserve">However, application of this regime remains limited and has not delivered any significant</w:t>
      </w:r>
      <w:r>
        <w:t xml:space="preserve"> </w:t>
      </w:r>
      <w:r>
        <w:t xml:space="preserve">take-up compared with the US and Asia, as confirmed in surveys conducted by the Small Cell</w:t>
      </w:r>
      <w:r>
        <w:t xml:space="preserve"> </w:t>
      </w:r>
      <w:r>
        <w:t xml:space="preserve">Forum (SCF).161.</w:t>
      </w:r>
      <w:r>
        <w:br/>
      </w:r>
      <w:r>
        <w:t xml:space="preserve">Use of mid-band and high band spectrum requires network densification. Operators indicate</w:t>
      </w:r>
      <w:r>
        <w:t xml:space="preserve"> </w:t>
      </w:r>
      <w:r>
        <w:t xml:space="preserve">that they are hesitant to invest heavily in small cells given that, despite their potential to boost</w:t>
      </w:r>
      <w:r>
        <w:t xml:space="preserve"> </w:t>
      </w:r>
      <w:r>
        <w:t xml:space="preserve">network capacity in dense urban areas, small cells face significant economic hurdles (high</w:t>
      </w:r>
    </w:p>
    <w:p>
      <w:pPr>
        <w:pStyle w:val="BodyText"/>
      </w:pPr>
      <w:r>
        <w:t xml:space="preserve">155 The Ericsson data are favoured compared to DESI data, to ensure comparability with performance of major</w:t>
      </w:r>
      <w:r>
        <w:t xml:space="preserve"> </w:t>
      </w:r>
      <w:r>
        <w:t xml:space="preserve">economies, DESI data are instead presented in the Annex and include also data per MS.</w:t>
      </w:r>
      <w:r>
        <w:br/>
      </w:r>
      <w:r>
        <w:t xml:space="preserve">156 By the end of 2024, 5G SA coverage in North America reached 91%, in Asia-Pacific 45%, while Europe</w:t>
      </w:r>
      <w:r>
        <w:t xml:space="preserve"> </w:t>
      </w:r>
      <w:r>
        <w:t xml:space="preserve">lagged at only 40%, despite the number of commercial 5G SA networks nearly doubling from 10 in 2023 to</w:t>
      </w:r>
      <w:r>
        <w:t xml:space="preserve"> </w:t>
      </w:r>
      <w:r>
        <w:t xml:space="preserve">19 in 2024. In Europe, Spain and Austria reported the highest proportions of 5G SA networks, with Germany</w:t>
      </w:r>
      <w:r>
        <w:t xml:space="preserve"> </w:t>
      </w:r>
      <w:r>
        <w:t xml:space="preserve">and Greece following, although overall levels remain low. cf. Connect Europe (2025), State of Digital</w:t>
      </w:r>
      <w:r>
        <w:t xml:space="preserve"> </w:t>
      </w:r>
      <w:r>
        <w:t xml:space="preserve">Communications, p. 5.</w:t>
      </w:r>
      <w:r>
        <w:t xml:space="preserve"> </w:t>
      </w:r>
      <w:r>
        <w:t xml:space="preserve">157 Availability refers to the proportion of 5G connections that utilize 5G Standalone (SA) technology within the</w:t>
      </w:r>
      <w:r>
        <w:t xml:space="preserve"> </w:t>
      </w:r>
      <w:r>
        <w:t xml:space="preserve">total number of 5G connections tested or sampled. It highlights the level of adoption and usage of 5G SA</w:t>
      </w:r>
      <w:r>
        <w:t xml:space="preserve"> </w:t>
      </w:r>
      <w:r>
        <w:t xml:space="preserve">networks by users in various regions, as reflected in Ookla’s Speedtest® data. This differs from coverage,</w:t>
      </w:r>
      <w:r>
        <w:t xml:space="preserve"> </w:t>
      </w:r>
      <w:r>
        <w:t xml:space="preserve">which measures the percentage of the population or geographic area that has access to 5G SA networks,</w:t>
      </w:r>
      <w:r>
        <w:t xml:space="preserve"> </w:t>
      </w:r>
      <w:r>
        <w:t xml:space="preserve">irrespective of actual usage.</w:t>
      </w:r>
      <w:r>
        <w:t xml:space="preserve"> </w:t>
      </w:r>
      <w:r>
        <w:t xml:space="preserve">158 Ookla/ Omdia (2025), A Global Evaluation of Europe’s Digital Competitiveness in 5G Standalone.</w:t>
      </w:r>
      <w:r>
        <w:t xml:space="preserve"> </w:t>
      </w:r>
      <w:r>
        <w:t xml:space="preserve">159 Study on Completing the Digital Single Market (DSM): Regulatory enablers for cross-border networks.</w:t>
      </w:r>
      <w:r>
        <w:t xml:space="preserve"> </w:t>
      </w:r>
      <w:r>
        <w:t xml:space="preserve">160 BEREC (2023). Study on wholesale mobile connectivity, trends and issues for emerging mobile technologies</w:t>
      </w:r>
      <w:r>
        <w:t xml:space="preserve"> </w:t>
      </w:r>
      <w:r>
        <w:t xml:space="preserve">and deployments, BoR(23) 41: https://www.berec.europa.eu/en/document-categories/berec/reports/study-on-</w:t>
      </w:r>
      <w:r>
        <w:t xml:space="preserve"> </w:t>
      </w:r>
      <w:r>
        <w:t xml:space="preserve">wholesale-mobile-connectivity-trends-and-issues-for-emerging-mobile-technologies-and-deployments.</w:t>
      </w:r>
      <w:r>
        <w:t xml:space="preserve"> </w:t>
      </w:r>
      <w:r>
        <w:t xml:space="preserve">161 SCF (2024). SCF Market forecast report: https://www.smallcellforum.org/docs/scf-market-forecast-report/?.</w:t>
      </w:r>
    </w:p>
    <w:p>
      <w:pPr>
        <w:pStyle w:val="BodyText"/>
      </w:pPr>
      <w:r>
        <w:t xml:space="preserve">55</w:t>
      </w:r>
    </w:p>
    <w:p>
      <w:pPr>
        <w:pStyle w:val="BodyText"/>
      </w:pPr>
      <w:r>
        <w:t xml:space="preserve">cost of equipment compared to small coverage area, complexity of deployment, permits) and</w:t>
      </w:r>
      <w:r>
        <w:t xml:space="preserve"> </w:t>
      </w:r>
      <w:r>
        <w:t xml:space="preserve">they consider that until the regulatory framework and deployment economics improve, small</w:t>
      </w:r>
      <w:r>
        <w:t xml:space="preserve"> </w:t>
      </w:r>
      <w:r>
        <w:t xml:space="preserve">cells might remain a secondary option.</w:t>
      </w:r>
      <w:r>
        <w:t xml:space="preserve"> </w:t>
      </w:r>
      <w:r>
        <w:t xml:space="preserve">Analysys Mason data also confirms low 5G standalone coverage in Europe, with values at</w:t>
      </w:r>
      <w:r>
        <w:t xml:space="preserve"> </w:t>
      </w:r>
      <w:r>
        <w:t xml:space="preserve">around 40% compared to 90% in North America and 45% in Asia Pacific.</w:t>
      </w:r>
      <w:r>
        <w:br/>
      </w:r>
      <w:r>
        <w:t xml:space="preserve">Figure 6: 5G SA coverage, by region, 3Q 2024, Source Analysys Mason, 2024</w:t>
      </w:r>
    </w:p>
    <w:p>
      <w:pPr>
        <w:pStyle w:val="BodyText"/>
      </w:pPr>
      <w:r>
        <w:t xml:space="preserve">According to an EC study162, the lack of 5G SA-based connectivity, especially in mid-band</w:t>
      </w:r>
      <w:r>
        <w:t xml:space="preserve"> </w:t>
      </w:r>
      <w:r>
        <w:t xml:space="preserve">frequencies enabling the use of bandwidth intensive services on mobile devices is the main</w:t>
      </w:r>
      <w:r>
        <w:t xml:space="preserve"> </w:t>
      </w:r>
      <w:r>
        <w:t xml:space="preserve">cause for the lower take-up of innovative fully-fledged 5G services together with lack of</w:t>
      </w:r>
      <w:r>
        <w:t xml:space="preserve"> </w:t>
      </w:r>
      <w:r>
        <w:t xml:space="preserve">availability of unlimited data packages as well as high prices in some countries, together with</w:t>
      </w:r>
      <w:r>
        <w:t xml:space="preserve"> </w:t>
      </w:r>
      <w:r>
        <w:t xml:space="preserve">financial (profitability) challenges in particular for smaller operators, which impede their</w:t>
      </w:r>
      <w:r>
        <w:t xml:space="preserve"> </w:t>
      </w:r>
      <w:r>
        <w:t xml:space="preserve">capacity to invest. These problems and the underlying drivers are further elaborated below.</w:t>
      </w:r>
      <w:r>
        <w:t xml:space="preserve"> </w:t>
      </w:r>
      <w:r>
        <w:t xml:space="preserve">Moreover, a lack of demand or perceived willingness of consumers to pay for 5G and of</w:t>
      </w:r>
      <w:r>
        <w:t xml:space="preserve"> </w:t>
      </w:r>
      <w:r>
        <w:t xml:space="preserve">enhanced mobile connectivity in general has also played a significant role.</w:t>
      </w:r>
      <w:r>
        <w:t xml:space="preserve"> </w:t>
      </w:r>
      <w:r>
        <w:t xml:space="preserve">Moreover, it appears that in Q4 2024, users in major EU cities still connected to 4G for 25%</w:t>
      </w:r>
      <w:r>
        <w:t xml:space="preserve"> </w:t>
      </w:r>
      <w:r>
        <w:t xml:space="preserve">of the time on average, some cities lagged in 5G mid-band deployments and some 5G</w:t>
      </w:r>
      <w:r>
        <w:t xml:space="preserve"> </w:t>
      </w:r>
      <w:r>
        <w:t xml:space="preserve">networks failed to deliver promised speed and advantages. See in Appendix II B MedUX - 5G</w:t>
      </w:r>
      <w:r>
        <w:t xml:space="preserve"> </w:t>
      </w:r>
      <w:r>
        <w:t xml:space="preserve">QoE Benchmark in Europe: Drive Testing Report published at MWC25 (Q42024 data)163.</w:t>
      </w:r>
      <w:r>
        <w:t xml:space="preserve"> </w:t>
      </w:r>
      <w:r>
        <w:t xml:space="preserve">From the consumer and business end-user perspectives, MedUX QoE data confirm the trend</w:t>
      </w:r>
      <w:r>
        <w:t xml:space="preserve"> </w:t>
      </w:r>
      <w:r>
        <w:t xml:space="preserve">of EU lagging behind on high quality 5G (mid-band and standalone). While overall across EU</w:t>
      </w:r>
      <w:r>
        <w:t xml:space="preserve"> </w:t>
      </w:r>
      <w:r>
        <w:t xml:space="preserve">states, 5G availability (any type of 5G) stood at 46.6% based on end user experience (5G</w:t>
      </w:r>
      <w:r>
        <w:t xml:space="preserve"> </w:t>
      </w:r>
      <w:r>
        <w:t xml:space="preserve">devices only), deployments that rely specifically on the mid-band 3.4-3.8 GHz have now</w:t>
      </w:r>
      <w:r>
        <w:t xml:space="preserve"> </w:t>
      </w:r>
      <w:r>
        <w:t xml:space="preserve">reached approximately 57.2% of this 46.6%, whereas 5G SA availability represents less than</w:t>
      </w:r>
      <w:r>
        <w:t xml:space="preserve"> </w:t>
      </w:r>
      <w:r>
        <w:t xml:space="preserve">2.5% (2.1%). See in Appendix II B MedUX – Status of 5G Quality and Experience in Europe,</w:t>
      </w:r>
      <w:r>
        <w:t xml:space="preserve"> </w:t>
      </w:r>
      <w:r>
        <w:t xml:space="preserve">Report prepared for the EC (Q12025 data).</w:t>
      </w:r>
      <w:r>
        <w:t xml:space="preserve"> </w:t>
      </w:r>
      <w:r>
        <w:t xml:space="preserve">MedUX QoE data show that, despite wide 5G coverage on paper, users in many EU countries</w:t>
      </w:r>
      <w:r>
        <w:t xml:space="preserve"> </w:t>
      </w:r>
      <w:r>
        <w:t xml:space="preserve">still rely predominantly on 4G. Across the EU27, average 5G usage (any type) stands at</w:t>
      </w:r>
      <w:r>
        <w:t xml:space="preserve"> </w:t>
      </w:r>
      <w:r>
        <w:t xml:space="preserve">46.6% among 5G-ready devices, meaning more than half of their traffic still flows over 4G or</w:t>
      </w:r>
      <w:r>
        <w:t xml:space="preserve"> </w:t>
      </w:r>
      <w:r>
        <w:t xml:space="preserve">earlier technologies. This lags behind the US (74%), Thailand (57%), Switzerland (56%) and</w:t>
      </w:r>
      <w:r>
        <w:t xml:space="preserve"> </w:t>
      </w:r>
      <w:r>
        <w:t xml:space="preserve">Norway (53%). Of the overall 5G deployments (when users are connected to 5G), usage of</w:t>
      </w:r>
    </w:p>
    <w:p>
      <w:pPr>
        <w:pStyle w:val="BodyText"/>
      </w:pPr>
      <w:r>
        <w:t xml:space="preserve">162 WIK‑Consult. (2025). Financial Conditions, Demand and Investment Needs and Their Regulatory and</w:t>
      </w:r>
      <w:r>
        <w:t xml:space="preserve"> </w:t>
      </w:r>
      <w:r>
        <w:t xml:space="preserve">Policy Implications, Including the Review of the Universal Service (Study for the European Commission).</w:t>
      </w:r>
      <w:r>
        <w:t xml:space="preserve"> </w:t>
      </w:r>
      <w:r>
        <w:t xml:space="preserve">163 https://medux.com/blog/all-5g-networks-are-not-created-equal-unveiling-true-qoe-5g-europe-</w:t>
      </w:r>
      <w:r>
        <w:t xml:space="preserve"> </w:t>
      </w:r>
      <w:r>
        <w:t xml:space="preserve">lll?utm_source=chatgpt.com.</w:t>
      </w:r>
    </w:p>
    <w:p>
      <w:pPr>
        <w:pStyle w:val="BodyText"/>
      </w:pPr>
      <w:r>
        <w:t xml:space="preserve">56</w:t>
      </w:r>
    </w:p>
    <w:p>
      <w:pPr>
        <w:pStyle w:val="BodyText"/>
      </w:pPr>
      <w:r>
        <w:t xml:space="preserve">the mid-band 3.4–3.8 GHz has reached approximately 57.2% in the EU27, compared to</w:t>
      </w:r>
      <w:r>
        <w:t xml:space="preserve"> </w:t>
      </w:r>
      <w:r>
        <w:t xml:space="preserve">67.6% at the international level. However, on average across all technologies, end-users in the</w:t>
      </w:r>
      <w:r>
        <w:t xml:space="preserve"> </w:t>
      </w:r>
      <w:r>
        <w:t xml:space="preserve">EU are connected to the mid-band only around 27.1% of the time. The deployment of 5G SA</w:t>
      </w:r>
      <w:r>
        <w:t xml:space="preserve"> </w:t>
      </w:r>
      <w:r>
        <w:t xml:space="preserve">in Europe remains very limited. In the EU27, less than 2.5% of 5G connections are on SA,</w:t>
      </w:r>
      <w:r>
        <w:t xml:space="preserve"> </w:t>
      </w:r>
      <w:r>
        <w:t xml:space="preserve">and when considering all access technologies, SA accounts for only 1.2% of usage. This</w:t>
      </w:r>
      <w:r>
        <w:t xml:space="preserve"> </w:t>
      </w:r>
      <w:r>
        <w:t xml:space="preserve">reflects the fact that most European operators still operate in the 5G Non-Standalone (NSA)</w:t>
      </w:r>
      <w:r>
        <w:t xml:space="preserve"> </w:t>
      </w:r>
      <w:r>
        <w:t xml:space="preserve">phase. By contrast, internationally, the situation is more advanced: 48.3% of 5G connections</w:t>
      </w:r>
      <w:r>
        <w:t xml:space="preserve"> </w:t>
      </w:r>
      <w:r>
        <w:t xml:space="preserve">are already SA (vs 2.1% in EU27), and SA represents 20.5% of all access technologies.</w:t>
      </w:r>
      <w:r>
        <w:t xml:space="preserve"> </w:t>
      </w:r>
      <w:r>
        <w:t xml:space="preserve">Certain markets are leading the global transition: India records 25% SA usage and the US</w:t>
      </w:r>
      <w:r>
        <w:t xml:space="preserve"> </w:t>
      </w:r>
      <w:r>
        <w:t xml:space="preserve">18%, positioning them far ahead of the EU average (1.2%), (considering all access</w:t>
      </w:r>
      <w:r>
        <w:t xml:space="preserve"> </w:t>
      </w:r>
      <w:r>
        <w:t xml:space="preserve">technologies).</w:t>
      </w:r>
      <w:r>
        <w:br/>
      </w:r>
      <w:r>
        <w:t xml:space="preserve">Average download speed performances in the fastest markets are led by South Korea (162.2</w:t>
      </w:r>
      <w:r>
        <w:t xml:space="preserve"> </w:t>
      </w:r>
      <w:r>
        <w:t xml:space="preserve">Mbps), followed by Norway (133.3 Mbps), the US (129.3 Mbps), and China (100 Mbps). In</w:t>
      </w:r>
      <w:r>
        <w:t xml:space="preserve"> </w:t>
      </w:r>
      <w:r>
        <w:t xml:space="preserve">most markets, speeds exceed 85 Mbps. By contrast, the EU27 lags behind with an average of</w:t>
      </w:r>
      <w:r>
        <w:t xml:space="preserve"> </w:t>
      </w:r>
      <w:r>
        <w:t xml:space="preserve">69.9 Mbps - about 2.3 times slower than South Korea and slightly below the global average</w:t>
      </w:r>
      <w:r>
        <w:t xml:space="preserve"> </w:t>
      </w:r>
      <w:r>
        <w:t xml:space="preserve">(70.4 Mbps). The UK and some Asian countries, such as India and Thailand, record even</w:t>
      </w:r>
      <w:r>
        <w:t xml:space="preserve"> </w:t>
      </w:r>
      <w:r>
        <w:t xml:space="preserve">lower figures, with download speeds at or just below 50 Mbps.</w:t>
      </w:r>
      <w:r>
        <w:t xml:space="preserve"> </w:t>
      </w:r>
      <w:r>
        <w:t xml:space="preserve">Figure 7: International comparison of average download speed</w:t>
      </w:r>
    </w:p>
    <w:p>
      <w:pPr>
        <w:pStyle w:val="BodyText"/>
      </w:pPr>
      <w:r>
        <w:t xml:space="preserve">The RSPG analysis confirms this trend164 and recalls that the adoption of 5G SA is occurring</w:t>
      </w:r>
      <w:r>
        <w:t xml:space="preserve"> </w:t>
      </w:r>
      <w:r>
        <w:t xml:space="preserve">slowly and unevenly among European MNOs and that European operators had been relatively</w:t>
      </w:r>
      <w:r>
        <w:t xml:space="preserve"> </w:t>
      </w:r>
      <w:r>
        <w:t xml:space="preserve">hesitant in making the transformation to 5G SA compared to the US and Asia.</w:t>
      </w:r>
      <w:r>
        <w:br/>
      </w:r>
      <w:r>
        <w:t xml:space="preserve">Despite EECC measures meant to ensure timely 5G deployment (cf. following section),</w:t>
      </w:r>
      <w:r>
        <w:t xml:space="preserve"> </w:t>
      </w:r>
      <w:r>
        <w:t xml:space="preserve">delays in assignment of 5G pioneer bands, lack of demand, non-timely transposition of the</w:t>
      </w:r>
      <w:r>
        <w:t xml:space="preserve"> </w:t>
      </w:r>
      <w:r>
        <w:t xml:space="preserve">EECC, slow national administrative processes and unresolved cross-border interference,</w:t>
      </w:r>
      <w:r>
        <w:t xml:space="preserve"> </w:t>
      </w:r>
      <w:r>
        <w:t xml:space="preserve">together with low investment capacity have negatively affected the deployment and</w:t>
      </w:r>
      <w:r>
        <w:t xml:space="preserve"> </w:t>
      </w:r>
      <w:r>
        <w:t xml:space="preserve">achievement of advanced 5G connectivity across the EU. Additionally, lack of market</w:t>
      </w:r>
      <w:r>
        <w:t xml:space="preserve"> </w:t>
      </w:r>
      <w:r>
        <w:t xml:space="preserve">demand, particularly for the 26 GHz frequency band, further contributed to fragmented</w:t>
      </w:r>
      <w:r>
        <w:t xml:space="preserve"> </w:t>
      </w:r>
      <w:r>
        <w:t xml:space="preserve">assignments.</w:t>
      </w:r>
      <w:r>
        <w:br/>
      </w:r>
      <w:r>
        <w:t xml:space="preserve">Despite the launch of 5G in 2020, the uneven pace and quality of deployment, including low</w:t>
      </w:r>
      <w:r>
        <w:t xml:space="preserve"> </w:t>
      </w:r>
      <w:r>
        <w:t xml:space="preserve">5G SA core usage, show that the situation in the EU is highly fragmented and the EU is</w:t>
      </w:r>
      <w:r>
        <w:t xml:space="preserve"> </w:t>
      </w:r>
      <w:r>
        <w:t xml:space="preserve">lagging behind other major economies. Hence, the EU intervention did not achieve the desired</w:t>
      </w:r>
    </w:p>
    <w:p>
      <w:pPr>
        <w:pStyle w:val="BodyText"/>
      </w:pPr>
      <w:r>
        <w:t xml:space="preserve">164 RSPG Opinion on 6G vision RSPG25-006 FINAL.</w:t>
      </w:r>
    </w:p>
    <w:p>
      <w:pPr>
        <w:pStyle w:val="BodyText"/>
      </w:pPr>
      <w:r>
        <w:t xml:space="preserve">57</w:t>
      </w:r>
    </w:p>
    <w:p>
      <w:pPr>
        <w:pStyle w:val="BodyText"/>
      </w:pPr>
      <w:r>
        <w:t xml:space="preserve">level of effectiveness within the envisaged timelines, negatively affecting overall 5G</w:t>
      </w:r>
      <w:r>
        <w:t xml:space="preserve"> </w:t>
      </w:r>
      <w:r>
        <w:t xml:space="preserve">deployment.</w:t>
      </w:r>
      <w:r>
        <w:br/>
      </w:r>
      <w:r>
        <w:t xml:space="preserve">The lack of investment in ”full 5G” (including 5G SA using mid and high band spectrum)</w:t>
      </w:r>
      <w:r>
        <w:t xml:space="preserve"> </w:t>
      </w:r>
      <w:r>
        <w:t xml:space="preserve">limits the quality of overall mobile services in EU, as well as the availability of quality-</w:t>
      </w:r>
      <w:r>
        <w:t xml:space="preserve"> </w:t>
      </w:r>
      <w:r>
        <w:t xml:space="preserve">assured services that require high bandwidths and/or low latency, therefore affecting business</w:t>
      </w:r>
      <w:r>
        <w:t xml:space="preserve"> </w:t>
      </w:r>
      <w:r>
        <w:t xml:space="preserve">innovation potential. Capex trends reported by Analysys Mason show that capex in 5G mobile</w:t>
      </w:r>
      <w:r>
        <w:t xml:space="preserve"> </w:t>
      </w:r>
      <w:r>
        <w:t xml:space="preserve">plateaued at 20% of total European telecom capex in 2023, with capex in FTTH networks</w:t>
      </w:r>
      <w:r>
        <w:t xml:space="preserve"> </w:t>
      </w:r>
      <w:r>
        <w:t xml:space="preserve">more than double this value.</w:t>
      </w:r>
      <w:r>
        <w:br/>
      </w:r>
      <w:r>
        <w:t xml:space="preserve">The Sections below will evaluate the likely causes of limited deployment of 5G SA, like</w:t>
      </w:r>
      <w:r>
        <w:t xml:space="preserve"> </w:t>
      </w:r>
      <w:r>
        <w:t xml:space="preserve">delays in 5G pioneer band assignments, auction design and conditions (licence duration,</w:t>
      </w:r>
      <w:r>
        <w:t xml:space="preserve"> </w:t>
      </w:r>
      <w:r>
        <w:t xml:space="preserve">coverage requirements, spectrum cost, market shaping measures) and availability of spectrum</w:t>
      </w:r>
      <w:r>
        <w:t xml:space="preserve"> </w:t>
      </w:r>
      <w:r>
        <w:t xml:space="preserve">for industry/verticals.</w:t>
      </w:r>
      <w:r>
        <w:br/>
      </w:r>
      <w:r>
        <w:t xml:space="preserve">5.4.2. Delays in 5G pioneer band assignment</w:t>
      </w:r>
      <w:r>
        <w:t xml:space="preserve"> </w:t>
      </w:r>
      <w:r>
        <w:t xml:space="preserve">The EECC aimed to ensure timely spectrum assignment to enable swift 5G roll-out by</w:t>
      </w:r>
      <w:r>
        <w:t xml:space="preserve"> </w:t>
      </w:r>
      <w:r>
        <w:t xml:space="preserve">imposing coordinated timing of assignment for the use of two of the three pioneer spectrum</w:t>
      </w:r>
      <w:r>
        <w:t xml:space="preserve"> </w:t>
      </w:r>
      <w:r>
        <w:t xml:space="preserve">bands for 5G (3.6 GHz frequency band and at least 1 GHz in the 26 GHz frequency band</w:t>
      </w:r>
      <w:r>
        <w:t xml:space="preserve"> </w:t>
      </w:r>
      <w:r>
        <w:t xml:space="preserve">upon market demand, see Article 54) by 31 December 2020. For the third 5G pioneer band</w:t>
      </w:r>
      <w:r>
        <w:t xml:space="preserve"> </w:t>
      </w:r>
      <w:r>
        <w:t xml:space="preserve">(700 MHz), the UHF Decision 2017/899/EU had set the deadline for the assignment by 30</w:t>
      </w:r>
      <w:r>
        <w:t xml:space="preserve"> </w:t>
      </w:r>
      <w:r>
        <w:t xml:space="preserve">June 2020. The EECC also set a general obligation to assign spectrum at the latest 30 months</w:t>
      </w:r>
      <w:r>
        <w:t xml:space="preserve"> </w:t>
      </w:r>
      <w:r>
        <w:t xml:space="preserve">after the adoption of a harmonisation Decision (Article 53).</w:t>
      </w:r>
      <w:r>
        <w:t xml:space="preserve"> </w:t>
      </w:r>
      <w:r>
        <w:t xml:space="preserve">Although such legal deadlines could have had some accelerating effect on assignments of 5G</w:t>
      </w:r>
      <w:r>
        <w:t xml:space="preserve"> </w:t>
      </w:r>
      <w:r>
        <w:t xml:space="preserve">pioneer bands, Member States finally accumulated significant delays in the assignment of</w:t>
      </w:r>
      <w:r>
        <w:t xml:space="preserve"> </w:t>
      </w:r>
      <w:r>
        <w:t xml:space="preserve">all three 5G pioneer bands, and a large number (about half) of Member States has not met the</w:t>
      </w:r>
      <w:r>
        <w:t xml:space="preserve"> </w:t>
      </w:r>
      <w:r>
        <w:t xml:space="preserve">overall deadline of 31 December 2020. The process for authorising 5G pioneer spectrum</w:t>
      </w:r>
      <w:r>
        <w:t xml:space="preserve"> </w:t>
      </w:r>
      <w:r>
        <w:t xml:space="preserve">across the EU has been very long, spanning over 10 years and in 2025, and is still not yet</w:t>
      </w:r>
      <w:r>
        <w:t xml:space="preserve"> </w:t>
      </w:r>
      <w:r>
        <w:t xml:space="preserve">completed (5 years after the overall deadline). The chart below underscores the fragmentation</w:t>
      </w:r>
      <w:r>
        <w:t xml:space="preserve"> </w:t>
      </w:r>
      <w:r>
        <w:t xml:space="preserve">in spectrum policy implementation and rollout timelines across the EU for the three pioneer</w:t>
      </w:r>
      <w:r>
        <w:t xml:space="preserve"> </w:t>
      </w:r>
      <w:r>
        <w:t xml:space="preserve">5G bands between 2015 and 2025. The 700 MHz and 3.3–3.8 GHz frequency bands are more</w:t>
      </w:r>
      <w:r>
        <w:t xml:space="preserve"> </w:t>
      </w:r>
      <w:r>
        <w:t xml:space="preserve">widely awarded contrarily to the 26 GHz frequency band reflecting the latter’s more limited</w:t>
      </w:r>
      <w:r>
        <w:t xml:space="preserve"> </w:t>
      </w:r>
      <w:r>
        <w:t xml:space="preserve">uptake to date.</w:t>
      </w:r>
    </w:p>
    <w:p>
      <w:pPr>
        <w:pStyle w:val="BodyText"/>
      </w:pPr>
      <w:r>
        <w:t xml:space="preserve">58</w:t>
      </w:r>
    </w:p>
    <w:p>
      <w:pPr>
        <w:pStyle w:val="BodyText"/>
      </w:pPr>
      <w:r>
        <w:t xml:space="preserve">Figure 8: Timeline of pioneer band awards by EU Member State (2015-2025)</w:t>
      </w:r>
    </w:p>
    <w:p>
      <w:pPr>
        <w:pStyle w:val="BodyText"/>
      </w:pPr>
      <w:r>
        <w:t xml:space="preserve">Source: Policy Tracker (2025)</w:t>
      </w:r>
      <w:r>
        <w:t xml:space="preserve"> </w:t>
      </w:r>
      <w:r>
        <w:t xml:space="preserve">In particular, most national auctions for the 3.6 GHz frequency band (3.4-3.8 GHz) took place</w:t>
      </w:r>
      <w:r>
        <w:t xml:space="preserve"> </w:t>
      </w:r>
      <w:r>
        <w:t xml:space="preserve">in a relatively long-time span, between 2017 and 2024, starting with early assignments in the</w:t>
      </w:r>
      <w:r>
        <w:t xml:space="preserve"> </w:t>
      </w:r>
      <w:r>
        <w:t xml:space="preserve">Czech Republic and Ireland in 2017, complemented with additional assignment in 2018-2020</w:t>
      </w:r>
      <w:r>
        <w:t xml:space="preserve"> </w:t>
      </w:r>
      <w:r>
        <w:t xml:space="preserve">leading to overall 17 Member States (two of them only provisionally) respecting the 2020</w:t>
      </w:r>
      <w:r>
        <w:t xml:space="preserve"> </w:t>
      </w:r>
      <w:r>
        <w:t xml:space="preserve">legal deadline and ending with the most recent in the Netherlands in 2024. As for the 700</w:t>
      </w:r>
      <w:r>
        <w:t xml:space="preserve"> </w:t>
      </w:r>
      <w:r>
        <w:t xml:space="preserve">MHz frequency band, six Member States awarded it before the 30 June 2020 deadline, and</w:t>
      </w:r>
      <w:r>
        <w:t xml:space="preserve"> </w:t>
      </w:r>
      <w:r>
        <w:t xml:space="preserve">another seven followed in the second half of 2020. Poland was the last Member State to</w:t>
      </w:r>
      <w:r>
        <w:t xml:space="preserve"> </w:t>
      </w:r>
      <w:r>
        <w:t xml:space="preserve">complete the assignment process during 2025. The band has been assigned in all Member</w:t>
      </w:r>
      <w:r>
        <w:t xml:space="preserve"> </w:t>
      </w:r>
      <w:r>
        <w:t xml:space="preserve">States except Malta where there is no market demand. As for the 26 GHz frequency band</w:t>
      </w:r>
      <w:r>
        <w:t xml:space="preserve"> </w:t>
      </w:r>
      <w:r>
        <w:t xml:space="preserve">(24.25–27.5 GHz), by early 2025, only 12 Member States have assigned the band, while the</w:t>
      </w:r>
      <w:r>
        <w:t xml:space="preserve"> </w:t>
      </w:r>
      <w:r>
        <w:t xml:space="preserve">remaining 17 consider that there is no market demand. Overall, the assignment of EU pioneer</w:t>
      </w:r>
      <w:r>
        <w:t xml:space="preserve"> </w:t>
      </w:r>
      <w:r>
        <w:t xml:space="preserve">spectrum bands was at 75% 165 on EU average in February 2025166, mainly because of the 26</w:t>
      </w:r>
      <w:r>
        <w:t xml:space="preserve"> </w:t>
      </w:r>
      <w:r>
        <w:t xml:space="preserve">GHz frequency band. However, the 26 GHz band, remains pivotal for advancing innovative</w:t>
      </w:r>
      <w:r>
        <w:t xml:space="preserve"> </w:t>
      </w:r>
      <w:r>
        <w:t xml:space="preserve">private networks and fostering overall technological innovation.</w:t>
      </w:r>
      <w:r>
        <w:t xml:space="preserve"> </w:t>
      </w:r>
      <w:r>
        <w:t xml:space="preserve">The delays in assignment were largely due to non-timely transposition of the EECC, slow</w:t>
      </w:r>
      <w:r>
        <w:t xml:space="preserve"> </w:t>
      </w:r>
      <w:r>
        <w:t xml:space="preserve">national administrative process of spectrum assignment (partially due to the Covid-19 crisis),</w:t>
      </w:r>
      <w:r>
        <w:t xml:space="preserve"> </w:t>
      </w:r>
      <w:r>
        <w:t xml:space="preserve">delays in freeing the bands from previous uses and, in certain cases, unresolved cross-border</w:t>
      </w:r>
      <w:r>
        <w:t xml:space="preserve"> </w:t>
      </w:r>
      <w:r>
        <w:t xml:space="preserve">interference with non-EU countries or lack of market demand (in particular for the 26 GHz</w:t>
      </w:r>
      <w:r>
        <w:t xml:space="preserve"> </w:t>
      </w:r>
      <w:r>
        <w:t xml:space="preserve">frequency band).</w:t>
      </w:r>
    </w:p>
    <w:p>
      <w:pPr>
        <w:pStyle w:val="BodyText"/>
      </w:pPr>
      <w:r>
        <w:t xml:space="preserve">165 The amount of spectrum assigned and ready for 5G use within the 5G pioneer bands. All three spectrum</w:t>
      </w:r>
      <w:r>
        <w:t xml:space="preserve"> </w:t>
      </w:r>
      <w:r>
        <w:t xml:space="preserve">bands have an equal weight. 5gobservatory.eu, DESI indicators.</w:t>
      </w:r>
      <w:r>
        <w:br/>
      </w:r>
      <w:r>
        <w:t xml:space="preserve">166 5G Observatory Report 2025 | Shaping Europe’s digital future.</w:t>
      </w:r>
    </w:p>
    <w:p>
      <w:pPr>
        <w:pStyle w:val="BodyText"/>
      </w:pPr>
      <w:r>
        <w:t xml:space="preserve">59</w:t>
      </w:r>
    </w:p>
    <w:p>
      <w:pPr>
        <w:pStyle w:val="BodyText"/>
      </w:pPr>
      <w:r>
        <w:t xml:space="preserve">According to an EC study167, there is a strong correlation between time of 5G spectrum</w:t>
      </w:r>
      <w:r>
        <w:t xml:space="preserve"> </w:t>
      </w:r>
      <w:r>
        <w:t xml:space="preserve">assignment and 5G deployment and 5G population coverage. Member States that assigned</w:t>
      </w:r>
      <w:r>
        <w:t xml:space="preserve"> </w:t>
      </w:r>
      <w:r>
        <w:t xml:space="preserve">spectrum earlier have generally seen faster and broader 5G deployments and achieved high</w:t>
      </w:r>
      <w:r>
        <w:t xml:space="preserve"> </w:t>
      </w:r>
      <w:r>
        <w:t xml:space="preserve">5G population coverage faster than the late movers. Figure 9 shows strong negative</w:t>
      </w:r>
      <w:r>
        <w:t xml:space="preserve"> </w:t>
      </w:r>
      <w:r>
        <w:t xml:space="preserve">correlation between the time taken to award 5G pioneer bands and 5G population coverage:</w:t>
      </w:r>
      <w:r>
        <w:t xml:space="preserve"> </w:t>
      </w:r>
      <w:r>
        <w:t xml:space="preserve">almost 20% of the variation in 5G population coverage in the EU can be explained by the</w:t>
      </w:r>
      <w:r>
        <w:t xml:space="preserve"> </w:t>
      </w:r>
      <w:r>
        <w:t xml:space="preserve">delay in awarding the three 5G pioneer bands.</w:t>
      </w:r>
      <w:r>
        <w:t xml:space="preserve"> </w:t>
      </w:r>
      <w:r>
        <w:t xml:space="preserve">Figure 9: 5G population coverage vs. years to awards, Source: Study on assessing the efficiency of</w:t>
      </w:r>
      <w:r>
        <w:t xml:space="preserve"> </w:t>
      </w:r>
      <w:r>
        <w:t xml:space="preserve">radio spectrum award</w:t>
      </w:r>
    </w:p>
    <w:p>
      <w:pPr>
        <w:pStyle w:val="BodyText"/>
      </w:pPr>
      <w:r>
        <w:t xml:space="preserve">While the 30 months authorisation deadline set by the EECC (Article 53) has been generally</w:t>
      </w:r>
      <w:r>
        <w:t xml:space="preserve"> </w:t>
      </w:r>
      <w:r>
        <w:t xml:space="preserve">respected (e.g. with the revamped harmonisation of the 900 MHz and 1800 MHz frequency</w:t>
      </w:r>
      <w:r>
        <w:t xml:space="preserve"> </w:t>
      </w:r>
      <w:r>
        <w:t xml:space="preserve">bands in 2022), it may, as a side effect, impose a constraint in the EU harmonisation process</w:t>
      </w:r>
      <w:r>
        <w:t xml:space="preserve"> </w:t>
      </w:r>
      <w:r>
        <w:t xml:space="preserve">in cases of questionable market demand burdening the authorisation process, thus calling for</w:t>
      </w:r>
      <w:r>
        <w:t xml:space="preserve"> </w:t>
      </w:r>
      <w:r>
        <w:t xml:space="preserve">more legal flexibility in the formulation of certain deadlines. This became evident during the</w:t>
      </w:r>
      <w:r>
        <w:t xml:space="preserve"> </w:t>
      </w:r>
      <w:r>
        <w:t xml:space="preserve">harmonisation of the 42 GHz frequency band168 where many Member States expressed</w:t>
      </w:r>
      <w:r>
        <w:t xml:space="preserve"> </w:t>
      </w:r>
      <w:r>
        <w:t xml:space="preserve">concerns that the application of the 30 months authorisation deadline would impose</w:t>
      </w:r>
      <w:r>
        <w:t xml:space="preserve"> </w:t>
      </w:r>
      <w:r>
        <w:t xml:space="preserve">considerable administrative burden in the persistent absence of market demand.</w:t>
      </w:r>
      <w:r>
        <w:t xml:space="preserve"> </w:t>
      </w:r>
      <w:r>
        <w:t xml:space="preserve">5.4.3. Spectrum for industry: verticals and private networks</w:t>
      </w:r>
      <w:r>
        <w:t xml:space="preserve"> </w:t>
      </w:r>
      <w:r>
        <w:t xml:space="preserve">The EECC does not contain measures facilitating development of private networks or</w:t>
      </w:r>
      <w:r>
        <w:t xml:space="preserve"> </w:t>
      </w:r>
      <w:r>
        <w:t xml:space="preserve">harmonising conditions for local networks. However, EECC rules are flexible enough to</w:t>
      </w:r>
      <w:r>
        <w:t xml:space="preserve"> </w:t>
      </w:r>
      <w:r>
        <w:t xml:space="preserve">allow for local 5G spectrum awards. Local networks are used primarily by verticals (e.g. </w:t>
      </w:r>
      <w:r>
        <w:t xml:space="preserve"> </w:t>
      </w:r>
      <w:r>
        <w:t xml:space="preserve">transport, energy, manufacturing, mining, seaports) that have special needs as regards</w:t>
      </w:r>
      <w:r>
        <w:t xml:space="preserve"> </w:t>
      </w:r>
      <w:r>
        <w:t xml:space="preserve">security, resilience, low latency and high-performance wireless connectivity. In general,</w:t>
      </w:r>
    </w:p>
    <w:p>
      <w:pPr>
        <w:pStyle w:val="BodyText"/>
      </w:pPr>
      <w:r>
        <w:t xml:space="preserve">167 Study on assessing the efficiency of radio spectrum award processes in the Member States, including the</w:t>
      </w:r>
      <w:r>
        <w:t xml:space="preserve"> </w:t>
      </w:r>
      <w:r>
        <w:t xml:space="preserve">effects of applying the EECC Jan 2023, https://digital-strategy.ec.europa.eu/en/library/study-assessing-</w:t>
      </w:r>
      <w:r>
        <w:t xml:space="preserve"> </w:t>
      </w:r>
      <w:r>
        <w:t xml:space="preserve">efficiency-radio-spectrum-award-processes-member-states-including-effects-applying.</w:t>
      </w:r>
      <w:r>
        <w:t xml:space="preserve"> </w:t>
      </w:r>
      <w:r>
        <w:t xml:space="preserve">168 Commission Implementing Decision (EU) 2024/1983 of 18 July 2024 on the harmonisation of the 40,5-43,5</w:t>
      </w:r>
      <w:r>
        <w:t xml:space="preserve"> </w:t>
      </w:r>
      <w:r>
        <w:t xml:space="preserve">GHz frequency band for terrestrial systems capable of providing wireless broadband electronic</w:t>
      </w:r>
      <w:r>
        <w:t xml:space="preserve"> </w:t>
      </w:r>
      <w:r>
        <w:t xml:space="preserve">communications services in the Union.</w:t>
      </w:r>
    </w:p>
    <w:p>
      <w:pPr>
        <w:pStyle w:val="BodyText"/>
      </w:pPr>
      <w:r>
        <w:t xml:space="preserve">60</w:t>
      </w:r>
    </w:p>
    <w:p>
      <w:pPr>
        <w:pStyle w:val="BodyText"/>
      </w:pPr>
      <w:r>
        <w:t xml:space="preserve">spectrum for private mobile networks is made available on a licence-exempt basis where</w:t>
      </w:r>
      <w:r>
        <w:t xml:space="preserve"> </w:t>
      </w:r>
      <w:r>
        <w:t xml:space="preserve">possible, or on a licensed basis through local assignments for private network use or can be</w:t>
      </w:r>
      <w:r>
        <w:t xml:space="preserve"> </w:t>
      </w:r>
      <w:r>
        <w:t xml:space="preserve">leased from existing operators who hold exclusive usage rights.</w:t>
      </w:r>
      <w:r>
        <w:br/>
      </w:r>
      <w:r>
        <w:t xml:space="preserve">Spectrum for local use has been made available in at least 13 Member States, yet in a</w:t>
      </w:r>
      <w:r>
        <w:t xml:space="preserve"> </w:t>
      </w:r>
      <w:r>
        <w:t xml:space="preserve">fragmented way, i.e. in different frequency bands such as 2.3 GHz, 2.6 GHz, 3.6 GHz or 26</w:t>
      </w:r>
      <w:r>
        <w:t xml:space="preserve"> </w:t>
      </w:r>
      <w:r>
        <w:t xml:space="preserve">GHz and under different procedures (auction, most commonly on a first-come first-served</w:t>
      </w:r>
      <w:r>
        <w:t xml:space="preserve"> </w:t>
      </w:r>
      <w:r>
        <w:t xml:space="preserve">basis) and conditions (price, duration of rights, between 5 and 20 years). Spectrum for</w:t>
      </w:r>
      <w:r>
        <w:t xml:space="preserve"> </w:t>
      </w:r>
      <w:r>
        <w:t xml:space="preserve">intelligent transport systems (connected and automated mobility) in the 5.9 GHz frequency</w:t>
      </w:r>
      <w:r>
        <w:t xml:space="preserve"> </w:t>
      </w:r>
      <w:r>
        <w:t xml:space="preserve">band has not been taken up also due to lack of consensus in the industry on the preferred</w:t>
      </w:r>
      <w:r>
        <w:t xml:space="preserve"> </w:t>
      </w:r>
      <w:r>
        <w:t xml:space="preserve">technology to be used (cellular or Wi-Fi based).</w:t>
      </w:r>
      <w:r>
        <w:br/>
      </w:r>
      <w:r>
        <w:t xml:space="preserve">Germany, Finland, Estonia, Spain, Latvia and Sweden have private networks also in the 26</w:t>
      </w:r>
      <w:r>
        <w:t xml:space="preserve"> </w:t>
      </w:r>
      <w:r>
        <w:t xml:space="preserve">GHz frequency band, Finland, Slovenia and Spain in the 2.3 GHz frequency band, Croatia</w:t>
      </w:r>
      <w:r>
        <w:t xml:space="preserve"> </w:t>
      </w:r>
      <w:r>
        <w:t xml:space="preserve">and France in the 2.6 GHz frequency band. Belgium, Greece, Spain and Slovenia reported</w:t>
      </w:r>
      <w:r>
        <w:t xml:space="preserve"> </w:t>
      </w:r>
      <w:r>
        <w:t xml:space="preserve">private networks, integrated in public networks and based on MNO spectrum. In Denmark, it</w:t>
      </w:r>
      <w:r>
        <w:t xml:space="preserve"> </w:t>
      </w:r>
      <w:r>
        <w:t xml:space="preserve">is up to MNO’s commercial consideration if it uses licenced spectrum for standalone private</w:t>
      </w:r>
      <w:r>
        <w:t xml:space="preserve"> </w:t>
      </w:r>
      <w:r>
        <w:t xml:space="preserve">networks and for public integrated private networks. France has made the 3.8–4.0 GHz</w:t>
      </w:r>
      <w:r>
        <w:t xml:space="preserve"> </w:t>
      </w:r>
      <w:r>
        <w:t xml:space="preserve">frequency band available for local licensing, with up to 100 MHz per site and has issued more</w:t>
      </w:r>
      <w:r>
        <w:t xml:space="preserve"> </w:t>
      </w:r>
      <w:r>
        <w:t xml:space="preserve">than a dozen licenses since 2022. Belgium and Denmark have taken steps to open the 3.8–4.2</w:t>
      </w:r>
      <w:r>
        <w:t xml:space="preserve"> </w:t>
      </w:r>
      <w:r>
        <w:t xml:space="preserve">GHz frequency band for private networks, with similar initiatives underway in Spain.</w:t>
      </w:r>
      <w:r>
        <w:t xml:space="preserve"> </w:t>
      </w:r>
      <w:r>
        <w:t xml:space="preserve">Slovenia has auctioned the 2.3 GHz frequency band for private networks targeting local</w:t>
      </w:r>
      <w:r>
        <w:t xml:space="preserve"> </w:t>
      </w:r>
      <w:r>
        <w:t xml:space="preserve">administrations, while the Netherlands has issued local licenses across multiple frequency</w:t>
      </w:r>
      <w:r>
        <w:t xml:space="preserve"> </w:t>
      </w:r>
      <w:r>
        <w:t xml:space="preserve">bands including 2.3 GHz, 3.5 GHz, and 3.7–3.8 GHz, catering to sector-specific connectivity</w:t>
      </w:r>
      <w:r>
        <w:t xml:space="preserve"> </w:t>
      </w:r>
      <w:r>
        <w:t xml:space="preserve">demands. Overall, Germany has granted around 400 authorisations, Sweden 90, Spain 10 and</w:t>
      </w:r>
      <w:r>
        <w:t xml:space="preserve"> </w:t>
      </w:r>
      <w:r>
        <w:t xml:space="preserve">Slovenia 1 private and 5 local licences.</w:t>
      </w:r>
      <w:r>
        <w:br/>
      </w:r>
      <w:r>
        <w:t xml:space="preserve">Figure 10: Overview of private networks’ information on 3400-4200 MHz – for illustrative purposes</w:t>
      </w:r>
      <w:r>
        <w:t xml:space="preserve"> </w:t>
      </w:r>
      <w:r>
        <w:t xml:space="preserve">only Source: BoR(25) 33</w:t>
      </w:r>
    </w:p>
    <w:p>
      <w:pPr>
        <w:pStyle w:val="BodyText"/>
      </w:pPr>
      <w:r>
        <w:t xml:space="preserve">Overall, despite being a core driver of 5G development, vertical sectors have shown slow</w:t>
      </w:r>
      <w:r>
        <w:t xml:space="preserve"> </w:t>
      </w:r>
      <w:r>
        <w:t xml:space="preserve">adoption across the EU. Worldwide, 1489 private mobile network deployments have been</w:t>
      </w:r>
      <w:r>
        <w:t xml:space="preserve"> </w:t>
      </w:r>
      <w:r>
        <w:t xml:space="preserve">identified, of which only 694 (47%) use 5G. In manufacturing—the leading sector for such</w:t>
      </w:r>
      <w:r>
        <w:t xml:space="preserve"> </w:t>
      </w:r>
      <w:r>
        <w:t xml:space="preserve">networks—298 deployments were recorded, of which only 60% included 5G.169 In contrast,</w:t>
      </w:r>
    </w:p>
    <w:p>
      <w:pPr>
        <w:pStyle w:val="BodyText"/>
      </w:pPr>
      <w:r>
        <w:t xml:space="preserve">169 Global mobile Suppliers Association (GSA). (2024). Private Mobile Networks Summary Report –</w:t>
      </w:r>
      <w:r>
        <w:t xml:space="preserve"> </w:t>
      </w:r>
      <w:r>
        <w:t xml:space="preserve">September 2024: https://gsacom.com/paper/private-mobile-networks-september-2024/ .</w:t>
      </w:r>
    </w:p>
    <w:p>
      <w:pPr>
        <w:pStyle w:val="BodyText"/>
      </w:pPr>
      <w:r>
        <w:t xml:space="preserve">61</w:t>
      </w:r>
    </w:p>
    <w:p>
      <w:pPr>
        <w:pStyle w:val="BodyText"/>
      </w:pPr>
      <w:r>
        <w:t xml:space="preserve">Asia-Pacific countries like Japan and South Korea have advanced more quickly, driven by</w:t>
      </w:r>
      <w:r>
        <w:t xml:space="preserve"> </w:t>
      </w:r>
      <w:r>
        <w:t xml:space="preserve">favourable policies and coordinated industrial strategies.</w:t>
      </w:r>
      <w:r>
        <w:t xml:space="preserve"> </w:t>
      </w:r>
      <w:r>
        <w:t xml:space="preserve">Systemic barriers help to explain the limited uptake. Spectrum access remains uneven, due to</w:t>
      </w:r>
      <w:r>
        <w:t xml:space="preserve"> </w:t>
      </w:r>
      <w:r>
        <w:t xml:space="preserve">lack of spectrum sharing between public and private networks, with only a few Member</w:t>
      </w:r>
      <w:r>
        <w:t xml:space="preserve"> </w:t>
      </w:r>
      <w:r>
        <w:t xml:space="preserve">States offering transparent and affordable local licensing regimes. Many companies—</w:t>
      </w:r>
      <w:r>
        <w:t xml:space="preserve"> </w:t>
      </w:r>
      <w:r>
        <w:t xml:space="preserve">especially SMEs—face uncertainty on return on investment, given high costs of deployment,</w:t>
      </w:r>
      <w:r>
        <w:t xml:space="preserve"> </w:t>
      </w:r>
      <w:r>
        <w:t xml:space="preserve">integration, and cybersecurity. The limited availability of skilled personnel and a still-nascent</w:t>
      </w:r>
      <w:r>
        <w:t xml:space="preserve"> </w:t>
      </w:r>
      <w:r>
        <w:t xml:space="preserve">ecosystem of industrial-grade 5G devices (with fewer than 2% designed for robotics e.g.)</w:t>
      </w:r>
      <w:r>
        <w:t xml:space="preserve"> </w:t>
      </w:r>
      <w:r>
        <w:t xml:space="preserve">further restrict adoption.170</w:t>
      </w:r>
      <w:r>
        <w:br/>
      </w:r>
      <w:r>
        <w:t xml:space="preserve">Moreover, unresolved legal and regulatory issues—such as data governance, service-level</w:t>
      </w:r>
      <w:r>
        <w:t xml:space="preserve"> </w:t>
      </w:r>
      <w:r>
        <w:t xml:space="preserve">agreement frameworks for network slicing, and cross-border IoT regulation—have</w:t>
      </w:r>
      <w:r>
        <w:t xml:space="preserve"> </w:t>
      </w:r>
      <w:r>
        <w:t xml:space="preserve">fragmented the investment landscape. Without coordinated regulatory reform, spectrum</w:t>
      </w:r>
      <w:r>
        <w:t xml:space="preserve"> </w:t>
      </w:r>
      <w:r>
        <w:t xml:space="preserve">access facilitation, and vertical-specific integration support, Europe risks falling behind in</w:t>
      </w:r>
      <w:r>
        <w:t xml:space="preserve"> </w:t>
      </w:r>
      <w:r>
        <w:t xml:space="preserve">realising the strategic benefits of industrial 5G connectivity.</w:t>
      </w:r>
      <w:r>
        <w:t xml:space="preserve"> </w:t>
      </w:r>
      <w:r>
        <w:t xml:space="preserve">5.4.4. Conditions of assignment (duration, coverage, price)</w:t>
      </w:r>
      <w:r>
        <w:t xml:space="preserve"> </w:t>
      </w:r>
      <w:r>
        <w:t xml:space="preserve">The EU legal framework entrusts Member States with carrying out most authorisation aspects</w:t>
      </w:r>
      <w:r>
        <w:t xml:space="preserve"> </w:t>
      </w:r>
      <w:r>
        <w:t xml:space="preserve">of spectrum use in a context of shared competence. The EECC includes a number of</w:t>
      </w:r>
      <w:r>
        <w:t xml:space="preserve"> </w:t>
      </w:r>
      <w:r>
        <w:t xml:space="preserve">requirements regarding duration of rights of use, coverage and quality of service and</w:t>
      </w:r>
      <w:r>
        <w:t xml:space="preserve"> </w:t>
      </w:r>
      <w:r>
        <w:t xml:space="preserve">competition.</w:t>
      </w:r>
      <w:r>
        <w:br/>
      </w:r>
      <w:r>
        <w:t xml:space="preserve">Duration of rights of use</w:t>
      </w:r>
      <w:r>
        <w:t xml:space="preserve"> </w:t>
      </w:r>
      <w:r>
        <w:t xml:space="preserve">Article 49 of the EECC introduced new requirements for minimum duration of rights of use.</w:t>
      </w:r>
      <w:r>
        <w:t xml:space="preserve"> </w:t>
      </w:r>
      <w:r>
        <w:t xml:space="preserve">Member States must ensure 20 years of regulatory predictability through rights lasting a</w:t>
      </w:r>
      <w:r>
        <w:t xml:space="preserve"> </w:t>
      </w:r>
      <w:r>
        <w:t xml:space="preserve">minimum of 15 years, with an option for a 5-year extension based on clear criteria related to</w:t>
      </w:r>
      <w:r>
        <w:t xml:space="preserve"> </w:t>
      </w:r>
      <w:r>
        <w:t xml:space="preserve">spectrum utilisation and competition. An assessment before expiration determines if</w:t>
      </w:r>
      <w:r>
        <w:t xml:space="preserve"> </w:t>
      </w:r>
      <w:r>
        <w:t xml:space="preserve">conditions are met for extension; if they are not, rights are reassigned through an open</w:t>
      </w:r>
      <w:r>
        <w:t xml:space="preserve"> </w:t>
      </w:r>
      <w:r>
        <w:t xml:space="preserve">procedure.</w:t>
      </w:r>
      <w:r>
        <w:br/>
      </w:r>
      <w:r>
        <w:t xml:space="preserve">First, it has to be noted that since the EECC’s introduction in 2020, there has been a</w:t>
      </w:r>
      <w:r>
        <w:t xml:space="preserve"> </w:t>
      </w:r>
      <w:r>
        <w:t xml:space="preserve">significant shift towards longer duration. The EC 2023 study171, shows that 92% of pioneer</w:t>
      </w:r>
      <w:r>
        <w:t xml:space="preserve"> </w:t>
      </w:r>
      <w:r>
        <w:t xml:space="preserve">band licenses from 2020 onwards were for 15 years or more, compared to 77% before 2020.</w:t>
      </w:r>
      <w:r>
        <w:t xml:space="preserve"> </w:t>
      </w:r>
      <w:r>
        <w:t xml:space="preserve">Between 2022 and 2025, 96% of the 23 awarded licenses in the EU were for 15 years or</w:t>
      </w:r>
      <w:r>
        <w:t xml:space="preserve"> </w:t>
      </w:r>
      <w:r>
        <w:t xml:space="preserve">longer. Only Finland issued a 9-year license for the 700 MHz frequency band with a term</w:t>
      </w:r>
      <w:r>
        <w:t xml:space="preserve"> </w:t>
      </w:r>
      <w:r>
        <w:t xml:space="preserve">shorter than 15 years (however, this was done before the EECC entered in force). These</w:t>
      </w:r>
      <w:r>
        <w:t xml:space="preserve"> </w:t>
      </w:r>
      <w:r>
        <w:t xml:space="preserve">findings suggest that longer license terms have become more prevalent172.</w:t>
      </w:r>
      <w:r>
        <w:br/>
      </w:r>
      <w:r>
        <w:t xml:space="preserve">However, the EECC’s goal of ensuring 20-year predictability and enhancing investment</w:t>
      </w:r>
      <w:r>
        <w:t xml:space="preserve"> </w:t>
      </w:r>
      <w:r>
        <w:t xml:space="preserve">certainty and business efficiency by supporting long-term planning has been only partially</w:t>
      </w:r>
      <w:r>
        <w:t xml:space="preserve"> </w:t>
      </w:r>
      <w:r>
        <w:t xml:space="preserve">met. First, a number of auctions were conducted under the old rules, due to delays in EECC</w:t>
      </w:r>
      <w:r>
        <w:t xml:space="preserve"> </w:t>
      </w:r>
      <w:r>
        <w:t xml:space="preserve">transposition, ignoring longer licence durations introduced by the EECC and rules on license</w:t>
      </w:r>
      <w:r>
        <w:t xml:space="preserve"> </w:t>
      </w:r>
      <w:r>
        <w:t xml:space="preserve">renewals. This results in persistent sub-optimal licence durations and lack of renewal</w:t>
      </w:r>
    </w:p>
    <w:p>
      <w:pPr>
        <w:pStyle w:val="BodyText"/>
      </w:pPr>
      <w:r>
        <w:t xml:space="preserve">170 Global mobile Suppliers Association (GSA). (2024). Private Mobile Networks — Industry Focus:</w:t>
      </w:r>
      <w:r>
        <w:t xml:space="preserve"> </w:t>
      </w:r>
      <w:r>
        <w:t xml:space="preserve">Manufacturing: https://gsacom.com/paper/private-mobile-networks-september-2024/.</w:t>
      </w:r>
      <w:r>
        <w:br/>
      </w:r>
      <w:r>
        <w:t xml:space="preserve">171 Study on assessing the efficiency of radio spectrum award processes in the Member States, including the</w:t>
      </w:r>
      <w:r>
        <w:t xml:space="preserve"> </w:t>
      </w:r>
      <w:r>
        <w:t xml:space="preserve">effects of applying the EECC, 2023, p.329.</w:t>
      </w:r>
      <w:r>
        <w:t xml:space="preserve"> </w:t>
      </w:r>
      <w:r>
        <w:t xml:space="preserve">172 Study on assessing the efficiency of radio spectrum award processes and Study on Completing the Digital</w:t>
      </w:r>
      <w:r>
        <w:t xml:space="preserve"> </w:t>
      </w:r>
      <w:r>
        <w:t xml:space="preserve">Single Market (DSM): Regulatory enablers for cross-border networks.</w:t>
      </w:r>
    </w:p>
    <w:p>
      <w:pPr>
        <w:pStyle w:val="BodyText"/>
      </w:pPr>
      <w:r>
        <w:t xml:space="preserve">62</w:t>
      </w:r>
    </w:p>
    <w:p>
      <w:pPr>
        <w:pStyle w:val="BodyText"/>
      </w:pPr>
      <w:r>
        <w:t xml:space="preserve">possibilities for spectrum which is currently in use by MNOs therefore still leaving untapped</w:t>
      </w:r>
      <w:r>
        <w:t xml:space="preserve"> </w:t>
      </w:r>
      <w:r>
        <w:t xml:space="preserve">potential to enhance predictability. Second, many Member States still opted for the minimum</w:t>
      </w:r>
      <w:r>
        <w:t xml:space="preserve"> </w:t>
      </w:r>
      <w:r>
        <w:t xml:space="preserve">solution allowed by the EECC, i.e. providing limited predictability (15+5) with less than half</w:t>
      </w:r>
      <w:r>
        <w:t xml:space="preserve"> </w:t>
      </w:r>
      <w:r>
        <w:t xml:space="preserve">of the licences (46%) reaching 20 years or beyond. Overall, since 2010, out of 929 licenses</w:t>
      </w:r>
      <w:r>
        <w:t xml:space="preserve"> </w:t>
      </w:r>
      <w:r>
        <w:t xml:space="preserve">lasting one year or longer, 650 (70%) were licensed under 20 years duration, while 279 (30%)</w:t>
      </w:r>
      <w:r>
        <w:t xml:space="preserve"> </w:t>
      </w:r>
      <w:r>
        <w:t xml:space="preserve">were licensed for 20 years or longer (source: Policy Tracker 2025).</w:t>
      </w:r>
      <w:r>
        <w:br/>
      </w:r>
      <w:r>
        <w:t xml:space="preserve">Moreover, operators are claiming that even the 20-year EECC licence duration is</w:t>
      </w:r>
      <w:r>
        <w:t xml:space="preserve"> </w:t>
      </w:r>
      <w:r>
        <w:t xml:space="preserve">insufficient173 and still represents a business continuity risk, negatively affects the investment</w:t>
      </w:r>
      <w:r>
        <w:t xml:space="preserve"> </w:t>
      </w:r>
      <w:r>
        <w:t xml:space="preserve">return timescales and depreciation rates and is putting pressure on the mobile operators to</w:t>
      </w:r>
      <w:r>
        <w:t xml:space="preserve"> </w:t>
      </w:r>
      <w:r>
        <w:t xml:space="preserve">cope with an investment horizon shorter than other communication technologies. Moreover,</w:t>
      </w:r>
      <w:r>
        <w:t xml:space="preserve"> </w:t>
      </w:r>
      <w:r>
        <w:t xml:space="preserve">MNOs must sustain spectrum assignment cycles repeated in Europe approximately every</w:t>
      </w:r>
      <w:r>
        <w:t xml:space="preserve"> </w:t>
      </w:r>
      <w:r>
        <w:t xml:space="preserve">seven years since 2000 (new and expiring licences).</w:t>
      </w:r>
      <w:r>
        <w:t xml:space="preserve"> </w:t>
      </w:r>
      <w:r>
        <w:t xml:space="preserve">Third, the guarantees for renewals are still considered insufficient to support long term</w:t>
      </w:r>
      <w:r>
        <w:t xml:space="preserve"> </w:t>
      </w:r>
      <w:r>
        <w:t xml:space="preserve">investment planning, especially if compared to some other markets like the US, Australia, and</w:t>
      </w:r>
      <w:r>
        <w:t xml:space="preserve"> </w:t>
      </w:r>
      <w:r>
        <w:t xml:space="preserve">New Zealand that typically grant for a first limited period of 10 to 20 year-licences, but with</w:t>
      </w:r>
      <w:r>
        <w:t xml:space="preserve"> </w:t>
      </w:r>
      <w:r>
        <w:t xml:space="preserve">options for indefinite or recurrent renewal174. For instance, FCC licenses typically are issued</w:t>
      </w:r>
      <w:r>
        <w:t xml:space="preserve"> </w:t>
      </w:r>
      <w:r>
        <w:t xml:space="preserve">for a fixed (limited) period, but renewals are routine.</w:t>
      </w:r>
      <w:r>
        <w:t xml:space="preserve"> </w:t>
      </w:r>
      <w:r>
        <w:t xml:space="preserve">Finally, the criteria for renewal under article 49, are considered by the telcos too broad and</w:t>
      </w:r>
      <w:r>
        <w:t xml:space="preserve"> </w:t>
      </w:r>
      <w:r>
        <w:t xml:space="preserve">fail to provide sufficient guarantees for renewal. They relate to the need to ensure the</w:t>
      </w:r>
      <w:r>
        <w:t xml:space="preserve"> </w:t>
      </w:r>
      <w:r>
        <w:t xml:space="preserve">effective and efficient use of the radio spectrum concerned, to avoid harmful interference and</w:t>
      </w:r>
      <w:r>
        <w:t xml:space="preserve"> </w:t>
      </w:r>
      <w:r>
        <w:t xml:space="preserve">protect public health against electromagnetic fields, or to fulfil general interest objectives</w:t>
      </w:r>
      <w:r>
        <w:t xml:space="preserve"> </w:t>
      </w:r>
      <w:r>
        <w:t xml:space="preserve">related to ensuring safety of life, public order, public security or defence; and the need to</w:t>
      </w:r>
      <w:r>
        <w:t xml:space="preserve"> </w:t>
      </w:r>
      <w:r>
        <w:t xml:space="preserve">ensure undistorted competition. Moreover, derogations from the standard framework are</w:t>
      </w:r>
      <w:r>
        <w:t xml:space="preserve"> </w:t>
      </w:r>
      <w:r>
        <w:t xml:space="preserve">allowed for specific cases such as geographical limitations or experimental use. Additionally,</w:t>
      </w:r>
      <w:r>
        <w:t xml:space="preserve"> </w:t>
      </w:r>
      <w:r>
        <w:t xml:space="preserve">Member States may synchronize expiry dates to effectively manage spectrum allocation.</w:t>
      </w:r>
      <w:r>
        <w:t xml:space="preserve"> </w:t>
      </w:r>
      <w:r>
        <w:t xml:space="preserve">In France, under the “New Deal Mobile” agreement between ARCEP and mobile operators,</w:t>
      </w:r>
      <w:r>
        <w:t xml:space="preserve"> </w:t>
      </w:r>
      <w:r>
        <w:t xml:space="preserve">the latter were granted the renewal of their 900 MHz, 1 800 MHz, and 2 100 MHz spectrum</w:t>
      </w:r>
      <w:r>
        <w:t xml:space="preserve"> </w:t>
      </w:r>
      <w:r>
        <w:t xml:space="preserve">licences free of charge, in return for binding commitments to significantly improve mobile</w:t>
      </w:r>
      <w:r>
        <w:t xml:space="preserve"> </w:t>
      </w:r>
      <w:r>
        <w:t xml:space="preserve">coverage, particularly in rural and underserved areas.175 Operators were required to deploy at</w:t>
      </w:r>
      <w:r>
        <w:t xml:space="preserve"> </w:t>
      </w:r>
      <w:r>
        <w:t xml:space="preserve">least 5 000 new mobile sites in so-called “white zones” identified by local authorities, as well</w:t>
      </w:r>
      <w:r>
        <w:t xml:space="preserve"> </w:t>
      </w:r>
      <w:r>
        <w:t xml:space="preserve">as upgrade existing sites to 4G. The agreement also included obligations to cover 10 000</w:t>
      </w:r>
      <w:r>
        <w:t xml:space="preserve"> </w:t>
      </w:r>
      <w:r>
        <w:t xml:space="preserve">specific locations (such as town centres, tourist areas, and major roads) with 4G within a set</w:t>
      </w:r>
      <w:r>
        <w:t xml:space="preserve"> </w:t>
      </w:r>
      <w:r>
        <w:t xml:space="preserve">timeframe. To facilitate this deployment, operators were encouraged to share infrastructure,</w:t>
      </w:r>
      <w:r>
        <w:t xml:space="preserve"> </w:t>
      </w:r>
      <w:r>
        <w:t xml:space="preserve">particularly in areas where individual investment would be economically unviable. ARCEP</w:t>
      </w:r>
      <w:r>
        <w:t xml:space="preserve"> </w:t>
      </w:r>
      <w:r>
        <w:t xml:space="preserve">monitors compliance through a dedicated dashboard, and operators face penalties in case of</w:t>
      </w:r>
      <w:r>
        <w:t xml:space="preserve"> </w:t>
      </w:r>
      <w:r>
        <w:t xml:space="preserve">non-compliance.</w:t>
      </w:r>
      <w:r>
        <w:t xml:space="preserve"> </w:t>
      </w:r>
      <w:r>
        <w:t xml:space="preserve">The German regulator BNetzA has opted to extend mobile licences in the 800 MHz, 1 800</w:t>
      </w:r>
      <w:r>
        <w:t xml:space="preserve"> </w:t>
      </w:r>
      <w:r>
        <w:t xml:space="preserve">MHz and 2.6 GHz frequency bands rather than re-auction them. These licences, due to expire</w:t>
      </w:r>
      <w:r>
        <w:t xml:space="preserve"> </w:t>
      </w:r>
      <w:r>
        <w:t xml:space="preserve">at the end of 2025, will be prolonged for five years under the current award procedure. The</w:t>
      </w:r>
    </w:p>
    <w:p>
      <w:pPr>
        <w:pStyle w:val="BodyText"/>
      </w:pPr>
      <w:r>
        <w:t xml:space="preserve">173 For example, in its response to the EC’s Call for Evidence on the DNA, GSMA argued that moving towards</w:t>
      </w:r>
      <w:r>
        <w:t xml:space="preserve"> </w:t>
      </w:r>
      <w:r>
        <w:t xml:space="preserve">indefinite licences — or at least extending licence terms to 40 years with tacit renewal conditions — would</w:t>
      </w:r>
      <w:r>
        <w:t xml:space="preserve"> </w:t>
      </w:r>
      <w:r>
        <w:t xml:space="preserve">significantly support long-term network planning and deployment.</w:t>
      </w:r>
      <w:r>
        <w:t xml:space="preserve"> </w:t>
      </w:r>
      <w:r>
        <w:t xml:space="preserve">174 Federal</w:t>
      </w:r>
      <w:r>
        <w:t xml:space="preserve"> </w:t>
      </w:r>
      <w:r>
        <w:t xml:space="preserve">Communications</w:t>
      </w:r>
      <w:r>
        <w:t xml:space="preserve"> </w:t>
      </w:r>
      <w:r>
        <w:t xml:space="preserve">Commission</w:t>
      </w:r>
      <w:r>
        <w:t xml:space="preserve"> </w:t>
      </w:r>
      <w:r>
        <w:t xml:space="preserve">(FCC).</w:t>
      </w:r>
      <w:r>
        <w:t xml:space="preserve"> </w:t>
      </w:r>
      <w:r>
        <w:t xml:space="preserve">Auction</w:t>
      </w:r>
      <w:r>
        <w:t xml:space="preserve"> </w:t>
      </w:r>
      <w:r>
        <w:t xml:space="preserve">107</w:t>
      </w:r>
      <w:r>
        <w:t xml:space="preserve"> </w:t>
      </w:r>
      <w:r>
        <w:t xml:space="preserve">–</w:t>
      </w:r>
      <w:r>
        <w:t xml:space="preserve"> </w:t>
      </w:r>
      <w:r>
        <w:t xml:space="preserve">3.7</w:t>
      </w:r>
      <w:r>
        <w:t xml:space="preserve"> </w:t>
      </w:r>
      <w:r>
        <w:t xml:space="preserve">GHz</w:t>
      </w:r>
      <w:r>
        <w:t xml:space="preserve"> </w:t>
      </w:r>
      <w:r>
        <w:t xml:space="preserve">Band:</w:t>
      </w:r>
      <w:r>
        <w:t xml:space="preserve"> </w:t>
      </w:r>
      <w:r>
        <w:t xml:space="preserve">https://www.fcc.gov/auction/107.</w:t>
      </w:r>
      <w:r>
        <w:t xml:space="preserve"> </w:t>
      </w:r>
      <w:r>
        <w:t xml:space="preserve">175 Arcep (2022). Le New Deal Mobile: https://www.arcep.fr/la-regulation/grands-dossiers-reseaux-mobiles/la-</w:t>
      </w:r>
      <w:r>
        <w:t xml:space="preserve"> </w:t>
      </w:r>
      <w:r>
        <w:t xml:space="preserve">couverture-mobile-en-metropole/le-new-deal-mobile.html.</w:t>
      </w:r>
    </w:p>
    <w:p>
      <w:pPr>
        <w:pStyle w:val="BodyText"/>
      </w:pPr>
      <w:r>
        <w:t xml:space="preserve">63</w:t>
      </w:r>
    </w:p>
    <w:p>
      <w:pPr>
        <w:pStyle w:val="BodyText"/>
      </w:pPr>
      <w:r>
        <w:t xml:space="preserve">aim is to align their expiry with later-ending licences and to prepare a larger pool of spectrum</w:t>
      </w:r>
      <w:r>
        <w:t xml:space="preserve"> </w:t>
      </w:r>
      <w:r>
        <w:t xml:space="preserve">for future allocation. The extension will be accompanied by obligations for further mobile</w:t>
      </w:r>
      <w:r>
        <w:t xml:space="preserve"> </w:t>
      </w:r>
      <w:r>
        <w:t xml:space="preserve">network rollout and measures to promote competition.</w:t>
      </w:r>
      <w:r>
        <w:t xml:space="preserve"> </w:t>
      </w:r>
      <w:r>
        <w:t xml:space="preserve">Lastly, Spain’s Ministry for Digital Transformation and Public Service extended existing</w:t>
      </w:r>
      <w:r>
        <w:t xml:space="preserve"> </w:t>
      </w:r>
      <w:r>
        <w:t xml:space="preserve">mobile operator spectrum licenses for an additional 10 years at no extra cost, effective from</w:t>
      </w:r>
      <w:r>
        <w:t xml:space="preserve"> </w:t>
      </w:r>
      <w:r>
        <w:t xml:space="preserve">June 2024. This measure, part of revisions to the General Telecommunications Law, grants</w:t>
      </w:r>
      <w:r>
        <w:t xml:space="preserve"> </w:t>
      </w:r>
      <w:r>
        <w:t xml:space="preserve">operators certainty for their 5G and future 6G deployments by extending license durations to</w:t>
      </w:r>
      <w:r>
        <w:t xml:space="preserve"> </w:t>
      </w:r>
      <w:r>
        <w:t xml:space="preserve">2040 and beyond. The extension applies to frequency bands like 800 MHz, 900 MHz, 1.8</w:t>
      </w:r>
      <w:r>
        <w:t xml:space="preserve"> </w:t>
      </w:r>
      <w:r>
        <w:t xml:space="preserve">GHz, 2.1 GHz, 2.6 GHz, and 3.5 GHz, and encourages investment in network upgrades and</w:t>
      </w:r>
      <w:r>
        <w:t xml:space="preserve"> </w:t>
      </w:r>
      <w:r>
        <w:t xml:space="preserve">deployment.</w:t>
      </w:r>
      <w:r>
        <w:br/>
      </w:r>
      <w:r>
        <w:t xml:space="preserve">According to GSMA Intelligence, assignments in frequency bands such as 900 MHz, 1 800</w:t>
      </w:r>
      <w:r>
        <w:t xml:space="preserve"> </w:t>
      </w:r>
      <w:r>
        <w:t xml:space="preserve">MHz and 2 100 MHz – widely used for 2G and 3G – are approaching expiry in more than 30</w:t>
      </w:r>
      <w:r>
        <w:t xml:space="preserve"> </w:t>
      </w:r>
      <w:r>
        <w:t xml:space="preserve">countries in 2025. In parallel, 61 network sunsets for 2G and 3G are planned in the same year.</w:t>
      </w:r>
      <w:r>
        <w:t xml:space="preserve"> </w:t>
      </w:r>
      <w:r>
        <w:t xml:space="preserve">According to a report by Aetha for Ericsson, out of the 32 countries studied (European</w:t>
      </w:r>
      <w:r>
        <w:t xml:space="preserve"> </w:t>
      </w:r>
      <w:r>
        <w:t xml:space="preserve">Economic Area plus Switzerland and the UK), only two – Liechtenstein and the United</w:t>
      </w:r>
      <w:r>
        <w:t xml:space="preserve"> </w:t>
      </w:r>
      <w:r>
        <w:t xml:space="preserve">Kingdom – do not have any spectrum licences expiring within the next 10 years (from 2002</w:t>
      </w:r>
      <w:r>
        <w:t xml:space="preserve"> </w:t>
      </w:r>
      <w:r>
        <w:t xml:space="preserve">onwards). The frequency bands with the highest number of upcoming expiries are 800 MHz,</w:t>
      </w:r>
      <w:r>
        <w:t xml:space="preserve"> </w:t>
      </w:r>
      <w:r>
        <w:t xml:space="preserve">900 MHz, 1 800 MHz, 2.1 GHz and 2.6 GHz. Among these, 800 MHz and 2.6 GHz are key</w:t>
      </w:r>
      <w:r>
        <w:t xml:space="preserve"> </w:t>
      </w:r>
      <w:r>
        <w:t xml:space="preserve">4G frequency bands, while 900 MHz and 2.1 GHz are typically used for 2G and 3G. In the</w:t>
      </w:r>
      <w:r>
        <w:t xml:space="preserve"> </w:t>
      </w:r>
      <w:r>
        <w:t xml:space="preserve">longer term, however, all frequency bands are expected to be refarmed for 5G use.</w:t>
      </w:r>
      <w:r>
        <w:t xml:space="preserve"> </w:t>
      </w:r>
      <w:r>
        <w:t xml:space="preserve">For the above reasons, it is important for operators to have confidence that spectrum renewal</w:t>
      </w:r>
      <w:r>
        <w:t xml:space="preserve"> </w:t>
      </w:r>
      <w:r>
        <w:t xml:space="preserve">processes will enable them to retain key spectrum at a price that is affordable in the long term,</w:t>
      </w:r>
      <w:r>
        <w:t xml:space="preserve"> </w:t>
      </w:r>
      <w:r>
        <w:t xml:space="preserve">so that they can divert their energy and investments into deploying 5G and enhancing mobile</w:t>
      </w:r>
      <w:r>
        <w:t xml:space="preserve"> </w:t>
      </w:r>
      <w:r>
        <w:t xml:space="preserve">network coverage.</w:t>
      </w:r>
      <w:r>
        <w:t xml:space="preserve"> </w:t>
      </w:r>
      <w:r>
        <w:t xml:space="preserve">Coverage requirements</w:t>
      </w:r>
      <w:r>
        <w:t xml:space="preserve"> </w:t>
      </w:r>
      <w:r>
        <w:t xml:space="preserve">When necessary to limit the number of rights of use, Article 55(2) EECC requires Member</w:t>
      </w:r>
      <w:r>
        <w:t xml:space="preserve"> </w:t>
      </w:r>
      <w:r>
        <w:t xml:space="preserve">States to design a selection process and allows to follow additional objectives in relation to</w:t>
      </w:r>
      <w:r>
        <w:t xml:space="preserve"> </w:t>
      </w:r>
      <w:r>
        <w:t xml:space="preserve">coverage, quality of service, efficient use of spectrum, and innovation and business</w:t>
      </w:r>
      <w:r>
        <w:t xml:space="preserve"> </w:t>
      </w:r>
      <w:r>
        <w:t xml:space="preserve">development. Member States may attach to the spectrum rights conditions related to coverage</w:t>
      </w:r>
      <w:r>
        <w:t xml:space="preserve"> </w:t>
      </w:r>
      <w:r>
        <w:t xml:space="preserve">and quality of service and to any commitment the holder of spectrum rights has taken in the</w:t>
      </w:r>
      <w:r>
        <w:t xml:space="preserve"> </w:t>
      </w:r>
      <w:r>
        <w:t xml:space="preserve">process prior to the granting of the rights (Article 13 EECC and Annex I, Part D, 1 and 7).</w:t>
      </w:r>
      <w:r>
        <w:br/>
      </w:r>
      <w:r>
        <w:t xml:space="preserve">Coverage obligations have become a widely adopted regulatory tool in EU spectrum auctions</w:t>
      </w:r>
      <w:r>
        <w:t xml:space="preserve"> </w:t>
      </w:r>
      <w:r>
        <w:t xml:space="preserve">over the past decade, to promote equitable network deployment and reduce the digital divide,</w:t>
      </w:r>
      <w:r>
        <w:t xml:space="preserve"> </w:t>
      </w:r>
      <w:r>
        <w:t xml:space="preserve">so that mobile operators who receive valuable spectrum rights invest in infrastructure rollouts</w:t>
      </w:r>
      <w:r>
        <w:t xml:space="preserve"> </w:t>
      </w:r>
      <w:r>
        <w:t xml:space="preserve">aligned with public interest objectives—particularly in rural areas, underserved regions, and</w:t>
      </w:r>
      <w:r>
        <w:t xml:space="preserve"> </w:t>
      </w:r>
      <w:r>
        <w:t xml:space="preserve">along critical transport routes. Nearly all EU Member States have included some coverage</w:t>
      </w:r>
      <w:r>
        <w:t xml:space="preserve"> </w:t>
      </w:r>
      <w:r>
        <w:t xml:space="preserve">obligation into their 5G auction frameworks, even if the scope, ambition, and enforceability of</w:t>
      </w:r>
      <w:r>
        <w:t xml:space="preserve"> </w:t>
      </w:r>
      <w:r>
        <w:t xml:space="preserve">these obligations vary significantly176. The use of coverage obligations has remained relatively</w:t>
      </w:r>
      <w:r>
        <w:t xml:space="preserve"> </w:t>
      </w:r>
      <w:r>
        <w:t xml:space="preserve">stable with only a few percentage points variation from 2020 onwards (coverage obligation -</w:t>
      </w:r>
      <w:r>
        <w:t xml:space="preserve"> </w:t>
      </w:r>
      <w:r>
        <w:t xml:space="preserve">85% before 2020 and 82% after 2020)177. In a study published by OECD in 2022, it stands out</w:t>
      </w:r>
    </w:p>
    <w:p>
      <w:pPr>
        <w:pStyle w:val="BodyText"/>
      </w:pPr>
      <w:r>
        <w:t xml:space="preserve">176 Sörries, B., Franken, M., Baischew, D., &amp; Lucidi, S. (2020). Einfluss von Versorgungsauflagen auf die</w:t>
      </w:r>
      <w:r>
        <w:t xml:space="preserve"> </w:t>
      </w:r>
      <w:r>
        <w:t xml:space="preserve">Mobilfunkabdeckung in der EU (WIK Diskussionsbeitrag Nr. 470). Bad Honnef: WIK Wissenschaftliches</w:t>
      </w:r>
      <w:r>
        <w:t xml:space="preserve"> </w:t>
      </w:r>
      <w:r>
        <w:t xml:space="preserve">Institut für Infrastruktur und Kommunikationsdienste GmbH. Available at:</w:t>
      </w:r>
      <w:r>
        <w:t xml:space="preserve"> </w:t>
      </w:r>
      <w:r>
        <w:t xml:space="preserve">https://www.wik.org/fileadmin/user_upload/Unternehmen/Veroeffentlichungen/Diskus/2022/WIK_Diskussi</w:t>
      </w:r>
      <w:r>
        <w:t xml:space="preserve"> </w:t>
      </w:r>
      <w:r>
        <w:t xml:space="preserve">onsbeitrag_Nr_470.pdf.</w:t>
      </w:r>
      <w:r>
        <w:t xml:space="preserve"> </w:t>
      </w:r>
      <w:r>
        <w:t xml:space="preserve">177 Study on assessing the efficiency of radio spectrum award processes.</w:t>
      </w:r>
    </w:p>
    <w:p>
      <w:pPr>
        <w:pStyle w:val="BodyText"/>
      </w:pPr>
      <w:r>
        <w:t xml:space="preserve">64</w:t>
      </w:r>
    </w:p>
    <w:p>
      <w:pPr>
        <w:pStyle w:val="BodyText"/>
      </w:pPr>
      <w:r>
        <w:t xml:space="preserve">that nearly 49% of spectrum auctions between 2016–2021 included coverage obligations,</w:t>
      </w:r>
      <w:r>
        <w:t xml:space="preserve"> </w:t>
      </w:r>
      <w:r>
        <w:t xml:space="preserve">rising to 73% for sub-1 GHz frequency bands, essential for rural deployment178.</w:t>
      </w:r>
      <w:r>
        <w:br/>
      </w:r>
      <w:r>
        <w:t xml:space="preserve">Two main types of coverage obligations emerged across Member States: “hard” or demanding</w:t>
      </w:r>
      <w:r>
        <w:t xml:space="preserve"> </w:t>
      </w:r>
      <w:r>
        <w:t xml:space="preserve">obligations, and “soft” or flexible obligations. Hard obligations include quantitative, time-</w:t>
      </w:r>
      <w:r>
        <w:t xml:space="preserve"> </w:t>
      </w:r>
      <w:r>
        <w:t xml:space="preserve">bound, and geographically specific requirements, designed to directly influence the</w:t>
      </w:r>
      <w:r>
        <w:t xml:space="preserve"> </w:t>
      </w:r>
      <w:r>
        <w:t xml:space="preserve">investment strategies of mobile network operators, that may target population coverage (e.g. </w:t>
      </w:r>
      <w:r>
        <w:t xml:space="preserve"> </w:t>
      </w:r>
      <w:r>
        <w:t xml:space="preserve">90–98% in a defined timeframe), geographic reach (e.g. minimum number of municipalities),</w:t>
      </w:r>
      <w:r>
        <w:t xml:space="preserve"> </w:t>
      </w:r>
      <w:r>
        <w:t xml:space="preserve">infrastructure milestones (e.g. motorway or railway coverage), or service-specific</w:t>
      </w:r>
      <w:r>
        <w:t xml:space="preserve"> </w:t>
      </w:r>
      <w:r>
        <w:t xml:space="preserve">requirements (e.g. institutions like schools and hospitals). However, hard coverage</w:t>
      </w:r>
      <w:r>
        <w:t xml:space="preserve"> </w:t>
      </w:r>
      <w:r>
        <w:t xml:space="preserve">obligations, applied in all spectrum lots in an auction may raise obstacles for certain business</w:t>
      </w:r>
      <w:r>
        <w:t xml:space="preserve"> </w:t>
      </w:r>
      <w:r>
        <w:t xml:space="preserve">cases, such as that of wholesale only operators, which do not control the service provided to</w:t>
      </w:r>
      <w:r>
        <w:t xml:space="preserve"> </w:t>
      </w:r>
      <w:r>
        <w:t xml:space="preserve">end-users, and to the development of efficient deployment methods, such as spectrum sharing.</w:t>
      </w:r>
      <w:r>
        <w:br/>
      </w:r>
      <w:r>
        <w:t xml:space="preserve">France shows one of most prominent examples of this approach. Its 2020 auction for the 3.4–</w:t>
      </w:r>
      <w:r>
        <w:t xml:space="preserve"> </w:t>
      </w:r>
      <w:r>
        <w:t xml:space="preserve">3.8 GHz frequency band included a multi-tiered obligation framework: deployment of 3,000</w:t>
      </w:r>
      <w:r>
        <w:t xml:space="preserve"> </w:t>
      </w:r>
      <w:r>
        <w:t xml:space="preserve">sites within two years, ramping up to 8 000 by 2024 and 10 500 by 2025; prioritisation of</w:t>
      </w:r>
      <w:r>
        <w:t xml:space="preserve"> </w:t>
      </w:r>
      <w:r>
        <w:t xml:space="preserve">transport corridors; and mandatory upgrades of existing 4G sites to 5G. These obligations</w:t>
      </w:r>
      <w:r>
        <w:t xml:space="preserve"> </w:t>
      </w:r>
      <w:r>
        <w:t xml:space="preserve">were complemented by a rural network sharing requirement to reduce duplication and</w:t>
      </w:r>
      <w:r>
        <w:t xml:space="preserve"> </w:t>
      </w:r>
      <w:r>
        <w:t xml:space="preserve">improve cost efficiency. Similarly, Austria’s 2020 auction imposed binding obligations to</w:t>
      </w:r>
      <w:r>
        <w:t xml:space="preserve"> </w:t>
      </w:r>
      <w:r>
        <w:t xml:space="preserve">cover 349 locations monitored by RTR. Operators were required to submit enforceable</w:t>
      </w:r>
      <w:r>
        <w:t xml:space="preserve"> </w:t>
      </w:r>
      <w:r>
        <w:t xml:space="preserve">deployment plans. Germany also implemented hard obligations in both its 700 MHz and 3.6</w:t>
      </w:r>
      <w:r>
        <w:t xml:space="preserve"> </w:t>
      </w:r>
      <w:r>
        <w:t xml:space="preserve">GHz frequency bands. Each operator was required to achieve 98% population coverage by</w:t>
      </w:r>
      <w:r>
        <w:t xml:space="preserve"> </w:t>
      </w:r>
      <w:r>
        <w:t xml:space="preserve">2022, ensure continuous service along federal highways and key transport routes, and deliver</w:t>
      </w:r>
      <w:r>
        <w:t xml:space="preserve"> </w:t>
      </w:r>
      <w:r>
        <w:t xml:space="preserve">high-performance benchmarks (e.g. 100 Mbps per user). These requirements were backed by</w:t>
      </w:r>
      <w:r>
        <w:t xml:space="preserve"> </w:t>
      </w:r>
      <w:r>
        <w:t xml:space="preserve">strict enforcement clauses and regular reporting to the Bundesnetzagentur (BNetzA), ensuring</w:t>
      </w:r>
      <w:r>
        <w:t xml:space="preserve"> </w:t>
      </w:r>
      <w:r>
        <w:t xml:space="preserve">compliance. Several Member States also set obligations in relation to coverage of roads,</w:t>
      </w:r>
      <w:r>
        <w:t xml:space="preserve"> </w:t>
      </w:r>
      <w:r>
        <w:t xml:space="preserve">highways and railway lines, including defining coverage and quality of service targets by set</w:t>
      </w:r>
      <w:r>
        <w:t xml:space="preserve"> </w:t>
      </w:r>
      <w:r>
        <w:t xml:space="preserve">deadlines; for example, the incumbent rights holders in Belgium should cover within two</w:t>
      </w:r>
      <w:r>
        <w:t xml:space="preserve"> </w:t>
      </w:r>
      <w:r>
        <w:t xml:space="preserve">years, 98% of 15 major rail links with speeds of at least 10 Mbps.</w:t>
      </w:r>
      <w:r>
        <w:br/>
      </w:r>
      <w:r>
        <w:t xml:space="preserve">In contrast, “soft” or flexible obligations were adopted in some Member States thanks to</w:t>
      </w:r>
      <w:r>
        <w:t xml:space="preserve"> </w:t>
      </w:r>
      <w:r>
        <w:t xml:space="preserve">market maturity, or the desire to attract broader participation in auctions. These obligations</w:t>
      </w:r>
      <w:r>
        <w:t xml:space="preserve"> </w:t>
      </w:r>
      <w:r>
        <w:t xml:space="preserve">often consisted of non-binding coverage goals, flexible timelines, or best-effort principles</w:t>
      </w:r>
      <w:r>
        <w:t xml:space="preserve"> </w:t>
      </w:r>
      <w:r>
        <w:t xml:space="preserve">incorporated into broader national strategies but without enforceability through licence</w:t>
      </w:r>
      <w:r>
        <w:t xml:space="preserve"> </w:t>
      </w:r>
      <w:r>
        <w:t xml:space="preserve">conditions.</w:t>
      </w:r>
      <w:r>
        <w:t xml:space="preserve"> </w:t>
      </w:r>
      <w:r>
        <w:t xml:space="preserve">Italy’s 2018 auction illustrates this model. Despite raising EUR 6.5 billion and awarding</w:t>
      </w:r>
      <w:r>
        <w:t xml:space="preserve"> </w:t>
      </w:r>
      <w:r>
        <w:t xml:space="preserve">significant spectrum resources, including the 700 MHz and 26 GHz frequency bands, the</w:t>
      </w:r>
      <w:r>
        <w:t xml:space="preserve"> </w:t>
      </w:r>
      <w:r>
        <w:t xml:space="preserve">coverage requirements were limited. Deployment concentrated in dense urban areas, with</w:t>
      </w:r>
      <w:r>
        <w:t xml:space="preserve"> </w:t>
      </w:r>
      <w:r>
        <w:t xml:space="preserve">rural coverage progressing more slowly. Poland presents a similar case: while early spectrum</w:t>
      </w:r>
      <w:r>
        <w:t xml:space="preserve"> </w:t>
      </w:r>
      <w:r>
        <w:t xml:space="preserve">plans included 5G rollout obligations, these were softened or removed following legal and</w:t>
      </w:r>
      <w:r>
        <w:t xml:space="preserve"> </w:t>
      </w:r>
      <w:r>
        <w:t xml:space="preserve">political delays. When spectrum was finally awarded in mid-2023, the associated obligations</w:t>
      </w:r>
      <w:r>
        <w:t xml:space="preserve"> </w:t>
      </w:r>
      <w:r>
        <w:t xml:space="preserve">lacked the detailed geographic and performance conditions found in countries like Germany</w:t>
      </w:r>
      <w:r>
        <w:t xml:space="preserve"> </w:t>
      </w:r>
      <w:r>
        <w:t xml:space="preserve">or France.</w:t>
      </w:r>
      <w:r>
        <w:br/>
      </w:r>
      <w:r>
        <w:t xml:space="preserve">In general, obligations to cover the most difficult-to-reach areas represent an important means</w:t>
      </w:r>
      <w:r>
        <w:t xml:space="preserve"> </w:t>
      </w:r>
      <w:r>
        <w:t xml:space="preserve">to ensure investments, but also represent a significant additional cost associated with</w:t>
      </w:r>
      <w:r>
        <w:t xml:space="preserve"> </w:t>
      </w:r>
      <w:r>
        <w:t xml:space="preserve">acquiring the spectrum licence which needs to be considered in the spectrum design and</w:t>
      </w:r>
    </w:p>
    <w:p>
      <w:pPr>
        <w:pStyle w:val="BodyText"/>
      </w:pPr>
      <w:r>
        <w:t xml:space="preserve">178 ECD (2022). Developments in Spectrum Management for Communication Services: https://www.oecd-</w:t>
      </w:r>
      <w:r>
        <w:t xml:space="preserve"> </w:t>
      </w:r>
      <w:r>
        <w:t xml:space="preserve">ilibrary.org/docserver/175e7ce5-en.pdf.</w:t>
      </w:r>
    </w:p>
    <w:p>
      <w:pPr>
        <w:pStyle w:val="BodyText"/>
      </w:pPr>
      <w:r>
        <w:t xml:space="preserve">65</w:t>
      </w:r>
    </w:p>
    <w:p>
      <w:pPr>
        <w:pStyle w:val="BodyText"/>
      </w:pPr>
      <w:r>
        <w:t xml:space="preserve">pricing. Moreover, the existence of coverage and quality of service obligations in auction</w:t>
      </w:r>
      <w:r>
        <w:t xml:space="preserve"> </w:t>
      </w:r>
      <w:r>
        <w:t xml:space="preserve">conditions could limit the possibility for wholesale only operators, such as tower operators, to</w:t>
      </w:r>
      <w:r>
        <w:t xml:space="preserve"> </w:t>
      </w:r>
      <w:r>
        <w:t xml:space="preserve">bid for spectrum, unless the auction design considers this possibility. Investment</w:t>
      </w:r>
      <w:r>
        <w:t xml:space="preserve"> </w:t>
      </w:r>
      <w:r>
        <w:t xml:space="preserve">commitments instead of coverage obligations have been used only in limited cases (e.g. </w:t>
      </w:r>
      <w:r>
        <w:t xml:space="preserve"> </w:t>
      </w:r>
      <w:r>
        <w:t xml:space="preserve">Austria, France cf. infra under efficiency).</w:t>
      </w:r>
      <w:r>
        <w:t xml:space="preserve"> </w:t>
      </w:r>
      <w:r>
        <w:t xml:space="preserve">Other examples include a positive discrimination for new entrants allowing them more time to</w:t>
      </w:r>
      <w:r>
        <w:t xml:space="preserve"> </w:t>
      </w:r>
      <w:r>
        <w:t xml:space="preserve">reach a certain coverage target; e.g. in Belgium, the new entrant has 7 more years to reach the</w:t>
      </w:r>
      <w:r>
        <w:t xml:space="preserve"> </w:t>
      </w:r>
      <w:r>
        <w:t xml:space="preserve">railway coverage target.</w:t>
      </w:r>
      <w:r>
        <w:br/>
      </w:r>
      <w:r>
        <w:t xml:space="preserve">Furthermore, for mid-wave bands which used to deliver capacity services within reduced</w:t>
      </w:r>
      <w:r>
        <w:t xml:space="preserve"> </w:t>
      </w:r>
      <w:r>
        <w:t xml:space="preserve">coverage area, coverage obligations are not so extensive as in the frequency bands below 1</w:t>
      </w:r>
      <w:r>
        <w:t xml:space="preserve"> </w:t>
      </w:r>
      <w:r>
        <w:t xml:space="preserve">GHz; e.g. for 3.5 GHz, Member States generally required right holders to cover main</w:t>
      </w:r>
      <w:r>
        <w:t xml:space="preserve"> </w:t>
      </w:r>
      <w:r>
        <w:t xml:space="preserve">populated areas (Austria, Bulgaria, Slovenia) or to activate a minimum number of base</w:t>
      </w:r>
      <w:r>
        <w:t xml:space="preserve"> </w:t>
      </w:r>
      <w:r>
        <w:t xml:space="preserve">stations or sites (Czechia, Estonia, France, Latvia, Slovakia) by a set deadline or a</w:t>
      </w:r>
      <w:r>
        <w:t xml:space="preserve"> </w:t>
      </w:r>
      <w:r>
        <w:t xml:space="preserve">combination thereof (Greece). Finland and Hungary only requested that the 3.5 GHz</w:t>
      </w:r>
      <w:r>
        <w:t xml:space="preserve"> </w:t>
      </w:r>
      <w:r>
        <w:t xml:space="preserve">frequency band be used for the provision of services by a certain deadline (Hungary), and if</w:t>
      </w:r>
      <w:r>
        <w:t xml:space="preserve"> </w:t>
      </w:r>
      <w:r>
        <w:t xml:space="preserve">not so, to be available for lease (Finland). The mm-wave bands are used for local use cases</w:t>
      </w:r>
      <w:r>
        <w:t xml:space="preserve"> </w:t>
      </w:r>
      <w:r>
        <w:t xml:space="preserve">where a high capacity is needed. For example, for the 26 GHz frequency band, Member States</w:t>
      </w:r>
      <w:r>
        <w:t xml:space="preserve"> </w:t>
      </w:r>
      <w:r>
        <w:t xml:space="preserve">have not specified any coverage obligation (Finland, Estonia, Greece, Italy, Spain) or</w:t>
      </w:r>
      <w:r>
        <w:t xml:space="preserve"> </w:t>
      </w:r>
      <w:r>
        <w:t xml:space="preserve">requested only a minimum number of sites activation by defined deadline (Austria, Slovenia).</w:t>
      </w:r>
      <w:r>
        <w:br/>
      </w:r>
      <w:r>
        <w:t xml:space="preserve">Auction designs that align spectrum awards with long-term infrastructure goals have</w:t>
      </w:r>
      <w:r>
        <w:t xml:space="preserve"> </w:t>
      </w:r>
      <w:r>
        <w:t xml:space="preserve">proven more effective in promoting rapid deployment. Hybrid models, such as France’s 2020</w:t>
      </w:r>
      <w:r>
        <w:t xml:space="preserve"> </w:t>
      </w:r>
      <w:r>
        <w:t xml:space="preserve">auction, balanced moderate spectrum costs with binding rollout obligations, linking licenses</w:t>
      </w:r>
      <w:r>
        <w:t xml:space="preserve"> </w:t>
      </w:r>
      <w:r>
        <w:t xml:space="preserve">to transport corridor and municipal coverage targets, and achieving 5G availability in over</w:t>
      </w:r>
      <w:r>
        <w:t xml:space="preserve"> </w:t>
      </w:r>
      <w:r>
        <w:t xml:space="preserve">half of municipalities within two years. Other regulators, such as those in Austria and Ireland,</w:t>
      </w:r>
      <w:r>
        <w:t xml:space="preserve"> </w:t>
      </w:r>
      <w:r>
        <w:t xml:space="preserve">have explicitly set low reserve prices to avoid crowding out investment in network</w:t>
      </w:r>
      <w:r>
        <w:t xml:space="preserve"> </w:t>
      </w:r>
      <w:r>
        <w:t xml:space="preserve">deployment. Moreover, Austria, attached coverage targets for underserved areas to its auction</w:t>
      </w:r>
      <w:r>
        <w:t xml:space="preserve"> </w:t>
      </w:r>
      <w:r>
        <w:t xml:space="preserve">framework, demonstrating how tailored auction design can effectively channel investment</w:t>
      </w:r>
      <w:r>
        <w:t xml:space="preserve"> </w:t>
      </w:r>
      <w:r>
        <w:t xml:space="preserve">toward rural connectivity.</w:t>
      </w:r>
    </w:p>
    <w:p>
      <w:pPr>
        <w:pStyle w:val="BodyText"/>
      </w:pPr>
      <w:r>
        <w:t xml:space="preserve">Spectrum price</w:t>
      </w:r>
      <w:r>
        <w:t xml:space="preserve"> </w:t>
      </w:r>
      <w:r>
        <w:t xml:space="preserve">The EECC does not mandate a specific type of selection procedure in cases of limiting the</w:t>
      </w:r>
      <w:r>
        <w:t xml:space="preserve"> </w:t>
      </w:r>
      <w:r>
        <w:t xml:space="preserve">number of rights of use. However, it outlines limited set of objectives that a competent</w:t>
      </w:r>
      <w:r>
        <w:t xml:space="preserve"> </w:t>
      </w:r>
      <w:r>
        <w:t xml:space="preserve">authority may follow besides promoting competition when designing a selection procedure.</w:t>
      </w:r>
      <w:r>
        <w:t xml:space="preserve"> </w:t>
      </w:r>
      <w:r>
        <w:t xml:space="preserve">These objectives include promotion of coverage or of efficient use of spectrum (Article 55(2)</w:t>
      </w:r>
      <w:r>
        <w:t xml:space="preserve"> </w:t>
      </w:r>
      <w:r>
        <w:t xml:space="preserve">EECC) and common rules for setting spectrum fees, including reserved prices (Article 42</w:t>
      </w:r>
      <w:r>
        <w:t xml:space="preserve"> </w:t>
      </w:r>
      <w:r>
        <w:t xml:space="preserve">EECC).</w:t>
      </w:r>
      <w:r>
        <w:br/>
      </w:r>
      <w:r>
        <w:t xml:space="preserve">Prevalently, price auctions were used by Member States for assigning spectrum for wireless</w:t>
      </w:r>
      <w:r>
        <w:t xml:space="preserve"> </w:t>
      </w:r>
      <w:r>
        <w:t xml:space="preserve">broadband networks and services, including 5G; only recently more investment-oriented</w:t>
      </w:r>
      <w:r>
        <w:t xml:space="preserve"> </w:t>
      </w:r>
      <w:r>
        <w:t xml:space="preserve">auctions were used, combining price and coverage commitments (see example of Austria</w:t>
      </w:r>
      <w:r>
        <w:t xml:space="preserve"> </w:t>
      </w:r>
      <w:r>
        <w:t xml:space="preserve">above in the coverage obligations section). Prices have been relatively diversified as we can</w:t>
      </w:r>
      <w:r>
        <w:t xml:space="preserve"> </w:t>
      </w:r>
      <w:r>
        <w:t xml:space="preserve">deduct from data presented in the efficiency section below. In several cases, spectrum</w:t>
      </w:r>
      <w:r>
        <w:t xml:space="preserve"> </w:t>
      </w:r>
      <w:r>
        <w:t xml:space="preserve">segmentation and availability conditions artificially increased the resulting price of selections</w:t>
      </w:r>
      <w:r>
        <w:t xml:space="preserve"> </w:t>
      </w:r>
      <w:r>
        <w:t xml:space="preserve">thereby hampering operators’ investment capacity.</w:t>
      </w:r>
      <w:r>
        <w:br/>
      </w:r>
      <w:r>
        <w:t xml:space="preserve">Relatively high spectrum prices have been particularly problematic due to the context in</w:t>
      </w:r>
      <w:r>
        <w:t xml:space="preserve"> </w:t>
      </w:r>
      <w:r>
        <w:t xml:space="preserve">which mobile operators have been operating. The European mobile sector is currently facing</w:t>
      </w:r>
      <w:r>
        <w:t xml:space="preserve"> </w:t>
      </w:r>
      <w:r>
        <w:t xml:space="preserve">relatively low profitability compared to other economies, prompting the need for pro-</w:t>
      </w:r>
    </w:p>
    <w:p>
      <w:pPr>
        <w:pStyle w:val="BodyText"/>
      </w:pPr>
      <w:r>
        <w:t xml:space="preserve">66</w:t>
      </w:r>
    </w:p>
    <w:p>
      <w:pPr>
        <w:pStyle w:val="BodyText"/>
      </w:pPr>
      <w:r>
        <w:t xml:space="preserve">investment measures in spectrum. European operators have spent significant amounts in</w:t>
      </w:r>
      <w:r>
        <w:t xml:space="preserve"> </w:t>
      </w:r>
      <w:r>
        <w:t xml:space="preserve">spectrum, with approximately EUR 29 billion on 5G spectrum auctions, to be added to</w:t>
      </w:r>
      <w:r>
        <w:t xml:space="preserve"> </w:t>
      </w:r>
      <w:r>
        <w:t xml:space="preserve">spectrum for 4G (total EUR 40 billion) and 3G (total EUR 109.7 million179. Despite</w:t>
      </w:r>
      <w:r>
        <w:t xml:space="preserve"> </w:t>
      </w:r>
      <w:r>
        <w:t xml:space="preserve">downward trends in absolute spectrum cost, the costs as proportion of recurring revenues have</w:t>
      </w:r>
      <w:r>
        <w:t xml:space="preserve"> </w:t>
      </w:r>
      <w:r>
        <w:t xml:space="preserve">increased by more than 150% as a proportion of recurring revenue since 2014 (infra</w:t>
      </w:r>
      <w:r>
        <w:t xml:space="preserve"> </w:t>
      </w:r>
      <w:r>
        <w:t xml:space="preserve">efficiency section).</w:t>
      </w:r>
      <w:r>
        <w:br/>
      </w:r>
      <w:r>
        <w:t xml:space="preserve">Achieving the EU objectives with regards to high quality 5G deployment will require</w:t>
      </w:r>
      <w:r>
        <w:t xml:space="preserve"> </w:t>
      </w:r>
      <w:r>
        <w:t xml:space="preserve">substantial investment180, including in midband spectrum, estimated between EUR 25-30</w:t>
      </w:r>
      <w:r>
        <w:t xml:space="preserve"> </w:t>
      </w:r>
      <w:r>
        <w:t xml:space="preserve">billion, alongside expenditures on additional cell-sites and small cells181.</w:t>
      </w:r>
      <w:r>
        <w:br/>
      </w:r>
      <w:r>
        <w:t xml:space="preserve">5.4.5. Mobile profitability and financial attractiveness</w:t>
      </w:r>
      <w:r>
        <w:t xml:space="preserve"> </w:t>
      </w:r>
      <w:r>
        <w:t xml:space="preserve">Profitability metrics, particularly mobile ARPUs (Average Revenue Per User), present a bleak</w:t>
      </w:r>
      <w:r>
        <w:t xml:space="preserve"> </w:t>
      </w:r>
      <w:r>
        <w:t xml:space="preserve">picture for European operators: adjusted for purchasing power, they were among the lowest</w:t>
      </w:r>
      <w:r>
        <w:t xml:space="preserve"> </w:t>
      </w:r>
      <w:r>
        <w:t xml:space="preserve">compared to international counterparts, just under EUR 15 per month in 2023. This contrasts</w:t>
      </w:r>
      <w:r>
        <w:t xml:space="preserve"> </w:t>
      </w:r>
      <w:r>
        <w:t xml:space="preserve">significantly with regions like USA with ARPUs as high as EUR 41.70, allowing operators to</w:t>
      </w:r>
      <w:r>
        <w:t xml:space="preserve"> </w:t>
      </w:r>
      <w:r>
        <w:t xml:space="preserve">invest a lot more in 5G SA networks (24% coverage against 2% in the EU) in a logic of “more</w:t>
      </w:r>
      <w:r>
        <w:t xml:space="preserve"> </w:t>
      </w:r>
      <w:r>
        <w:t xml:space="preserve">for more” for users. For the GDP/capita adjusted figure, the US ARPU is still 67% higher at</w:t>
      </w:r>
      <w:r>
        <w:t xml:space="preserve"> </w:t>
      </w:r>
      <w:r>
        <w:t xml:space="preserve">24.9 EUR/month, and ARPUs in Japan, South Korea and China are all at least 33% higher</w:t>
      </w:r>
      <w:r>
        <w:t xml:space="preserve"> </w:t>
      </w:r>
      <w:r>
        <w:t xml:space="preserve">than in the EU. The mobile ARPU in Europe experienced a steep fall of some 6% between</w:t>
      </w:r>
      <w:r>
        <w:t xml:space="preserve"> </w:t>
      </w:r>
      <w:r>
        <w:t xml:space="preserve">2022 and 2023, unlike other regions182. Figures from Connect Europe show that ARPUs in</w:t>
      </w:r>
      <w:r>
        <w:t xml:space="preserve"> </w:t>
      </w:r>
      <w:r>
        <w:t xml:space="preserve">Europe are declining at a faster rate than in the other economies, having fallen 5.9% in 2022-</w:t>
      </w:r>
      <w:r>
        <w:t xml:space="preserve"> </w:t>
      </w:r>
      <w:r>
        <w:t xml:space="preserve">3, compared to a fall of 3.5% in the USA and a rise of 2.2% in China. This trend is also</w:t>
      </w:r>
      <w:r>
        <w:t xml:space="preserve"> </w:t>
      </w:r>
      <w:r>
        <w:t xml:space="preserve">evident in the analysis provided by Analysys Mason and other regulatory bodies, where</w:t>
      </w:r>
      <w:r>
        <w:t xml:space="preserve"> </w:t>
      </w:r>
      <w:r>
        <w:t xml:space="preserve">ARPU levels in Europe hovered around €11 throughout 2024, only marginally above China’s</w:t>
      </w:r>
      <w:r>
        <w:t xml:space="preserve"> </w:t>
      </w:r>
      <w:r>
        <w:t xml:space="preserve">figures.</w:t>
      </w:r>
    </w:p>
    <w:p>
      <w:pPr>
        <w:pStyle w:val="BodyText"/>
      </w:pPr>
      <w:r>
        <w:t xml:space="preserve">179 Connect Europe, State of Digital Communications 2025.</w:t>
      </w:r>
      <w:r>
        <w:t xml:space="preserve"> </w:t>
      </w:r>
      <w:r>
        <w:t xml:space="preserve">180 The mobile investment need for the provision of “full 5G services” has been estimated at EUR 33.5 billion</w:t>
      </w:r>
      <w:r>
        <w:t xml:space="preserve"> </w:t>
      </w:r>
      <w:r>
        <w:t xml:space="preserve">by a Commission study and between EUR 26 billion and EUR 79 billion for main transport corridor</w:t>
      </w:r>
      <w:r>
        <w:t xml:space="preserve"> </w:t>
      </w:r>
      <w:r>
        <w:t xml:space="preserve">connectivity to be covered mainly by private investments - WIK‑Consult. (2023). Investment and Funding</w:t>
      </w:r>
      <w:r>
        <w:t xml:space="preserve"> </w:t>
      </w:r>
      <w:r>
        <w:t xml:space="preserve">Needs for the Digital Decade Connectivity Targets. Study for the European Commission, https://digital-</w:t>
      </w:r>
      <w:r>
        <w:t xml:space="preserve"> </w:t>
      </w:r>
      <w:r>
        <w:t xml:space="preserve">strategy.ec.europa.eu/en/library/investment-and-funding-needs-digital-decade-connectivity-targets.</w:t>
      </w:r>
      <w:r>
        <w:t xml:space="preserve"> </w:t>
      </w:r>
      <w:r>
        <w:t xml:space="preserve">181 Connect Europe, State of digital communications, 2025, p. 87.</w:t>
      </w:r>
      <w:r>
        <w:br/>
      </w:r>
      <w:r>
        <w:t xml:space="preserve">182 State of Digital Communications 2025 and USO Finance and Financial Condition Study.</w:t>
      </w:r>
    </w:p>
    <w:p>
      <w:pPr>
        <w:pStyle w:val="BodyText"/>
      </w:pPr>
      <w:r>
        <w:t xml:space="preserve">67</w:t>
      </w:r>
    </w:p>
    <w:p>
      <w:pPr>
        <w:pStyle w:val="BodyText"/>
      </w:pPr>
      <w:r>
        <w:t xml:space="preserve">Figure 11: Mobile ARPU comparison and real-term changes across global regions (2022–2023)</w:t>
      </w:r>
    </w:p>
    <w:p>
      <w:pPr>
        <w:pStyle w:val="BodyText"/>
      </w:pPr>
      <w:r>
        <w:t xml:space="preserve">Source: Connect Europe, State of Digital Communications report 2025, p40</w:t>
      </w:r>
      <w:r>
        <w:t xml:space="preserve"> </w:t>
      </w:r>
      <w:r>
        <w:t xml:space="preserve">Limited revenue prospects and low or uncertain consumer willingness to pay for 5G reduce</w:t>
      </w:r>
      <w:r>
        <w:t xml:space="preserve"> </w:t>
      </w:r>
      <w:r>
        <w:t xml:space="preserve">mobile network operators’ (MNOs) incentives to deploy 5G Standalone (SA) using mid-band</w:t>
      </w:r>
      <w:r>
        <w:t xml:space="preserve"> </w:t>
      </w:r>
      <w:r>
        <w:t xml:space="preserve">spectrum. Financial investors have also pointed out the high costs and demand uncertainties</w:t>
      </w:r>
      <w:r>
        <w:t xml:space="preserve"> </w:t>
      </w:r>
      <w:r>
        <w:t xml:space="preserve">tied to 5G. In contrast, Fiber-to-the-Home (FTTH) has received a more favourable outlook,</w:t>
      </w:r>
      <w:r>
        <w:t xml:space="preserve"> </w:t>
      </w:r>
      <w:r>
        <w:t xml:space="preserve">attracting substantial investment from long-term infrastructure funds183. Capex trends reported</w:t>
      </w:r>
      <w:r>
        <w:t xml:space="preserve"> </w:t>
      </w:r>
      <w:r>
        <w:t xml:space="preserve">by Analysys Mason show that capex in 5G mobile plateaued at 20% of total European</w:t>
      </w:r>
      <w:r>
        <w:t xml:space="preserve"> </w:t>
      </w:r>
      <w:r>
        <w:t xml:space="preserve">telecom capex in 2023, with capex in FTTH networks more than double this value184.</w:t>
      </w:r>
      <w:r>
        <w:br/>
      </w:r>
      <w:r>
        <w:t xml:space="preserve">5.4.6. Market shaping measures</w:t>
      </w:r>
      <w:r>
        <w:t xml:space="preserve"> </w:t>
      </w:r>
      <w:r>
        <w:t xml:space="preserve">Article 52 EECC allows competent authorities to impose market shaping measures in</w:t>
      </w:r>
      <w:r>
        <w:t xml:space="preserve"> </w:t>
      </w:r>
      <w:r>
        <w:t xml:space="preserve">spectrum authorisations to support or incentivise effective competition in electronic</w:t>
      </w:r>
      <w:r>
        <w:t xml:space="preserve"> </w:t>
      </w:r>
      <w:r>
        <w:t xml:space="preserve">communications networks and services (ice). Market shaping measures have the potential to</w:t>
      </w:r>
      <w:r>
        <w:t xml:space="preserve"> </w:t>
      </w:r>
      <w:r>
        <w:t xml:space="preserve">serve a more strategic approach by regulators to align spectrum management with broader</w:t>
      </w:r>
      <w:r>
        <w:t xml:space="preserve"> </w:t>
      </w:r>
      <w:r>
        <w:t xml:space="preserve">connectivity, competition, and industrial policy objectives. However, as the EECC aimed at</w:t>
      </w:r>
      <w:r>
        <w:t xml:space="preserve"> </w:t>
      </w:r>
      <w:r>
        <w:t xml:space="preserve">enhancing legal certainty, transparency and predictability for investment, the use of such</w:t>
      </w:r>
      <w:r>
        <w:t xml:space="preserve"> </w:t>
      </w:r>
      <w:r>
        <w:t xml:space="preserve">measures is only allowed where necessary to maintain or achieve effective competition. The</w:t>
      </w:r>
      <w:r>
        <w:t xml:space="preserve"> </w:t>
      </w:r>
      <w:r>
        <w:t xml:space="preserve">EECC therefore introduced the obligation for competent authorities to carry out a forward-</w:t>
      </w:r>
      <w:r>
        <w:t xml:space="preserve"> </w:t>
      </w:r>
      <w:r>
        <w:t xml:space="preserve">looking assessment of market competitive conditions and likely effects on existing and future</w:t>
      </w:r>
      <w:r>
        <w:t xml:space="preserve"> </w:t>
      </w:r>
      <w:r>
        <w:t xml:space="preserve">investments before applying such measures. However, the assessments carried out under the</w:t>
      </w:r>
      <w:r>
        <w:t xml:space="preserve"> </w:t>
      </w:r>
      <w:r>
        <w:t xml:space="preserve">EECC have been of different quality and depth, there has been no control over their</w:t>
      </w:r>
      <w:r>
        <w:t xml:space="preserve"> </w:t>
      </w:r>
      <w:r>
        <w:t xml:space="preserve">consistency and quality and their alignment with the forward-looking requirements, and no</w:t>
      </w:r>
      <w:r>
        <w:t xml:space="preserve"> </w:t>
      </w:r>
      <w:r>
        <w:t xml:space="preserve">verification of the extent these met a certain burden of proof.</w:t>
      </w:r>
      <w:r>
        <w:t xml:space="preserve"> </w:t>
      </w:r>
      <w:r>
        <w:t xml:space="preserve">Nevertheless, Member States increasingly adopted market shaping measures to influence the</w:t>
      </w:r>
      <w:r>
        <w:t xml:space="preserve"> </w:t>
      </w:r>
      <w:r>
        <w:t xml:space="preserve">structure and dynamics of national mobile markets, by supporting market entry, and to</w:t>
      </w:r>
      <w:r>
        <w:t xml:space="preserve"> </w:t>
      </w:r>
      <w:r>
        <w:t xml:space="preserve">develop vertical use cases such as industrial automation, smart transport, and digital</w:t>
      </w:r>
      <w:r>
        <w:t xml:space="preserve"> </w:t>
      </w:r>
      <w:r>
        <w:t xml:space="preserve">healthcare. The most frequent measure under Article 52(2) EECC was spectrum caps and</w:t>
      </w:r>
      <w:r>
        <w:t xml:space="preserve"> </w:t>
      </w:r>
      <w:r>
        <w:t xml:space="preserve">floors. Spectrum caps are used to prevent a single operator from acquiring a disproportionate</w:t>
      </w:r>
      <w:r>
        <w:t xml:space="preserve"> </w:t>
      </w:r>
      <w:r>
        <w:t xml:space="preserve">share of spectrum in a frequency band or across frequency bands, helping to ensure a level</w:t>
      </w:r>
    </w:p>
    <w:p>
      <w:pPr>
        <w:pStyle w:val="BodyText"/>
      </w:pPr>
      <w:r>
        <w:t xml:space="preserve">183 WIK‑Consult. (2025). Financial Conditions, Demand and Investment Needs and Their Regulatory and</w:t>
      </w:r>
      <w:r>
        <w:t xml:space="preserve"> </w:t>
      </w:r>
      <w:r>
        <w:t xml:space="preserve">Policy Implications, Including the Review of the Universal Service (Study for the European Commission).</w:t>
      </w:r>
      <w:r>
        <w:t xml:space="preserve"> </w:t>
      </w:r>
      <w:r>
        <w:t xml:space="preserve">184 Study on Completing the Digital Single Market (DSM): Regulatory enablers for cross-border networks.</w:t>
      </w:r>
    </w:p>
    <w:p>
      <w:pPr>
        <w:pStyle w:val="BodyText"/>
      </w:pPr>
      <w:r>
        <w:t xml:space="preserve">68</w:t>
      </w:r>
    </w:p>
    <w:p>
      <w:pPr>
        <w:pStyle w:val="BodyText"/>
      </w:pPr>
      <w:r>
        <w:t xml:space="preserve">playing field. However, Member States also used them to establish adequately equal spectrum</w:t>
      </w:r>
      <w:r>
        <w:t xml:space="preserve"> </w:t>
      </w:r>
      <w:r>
        <w:t xml:space="preserve">holdings for all operators active on the national market, especially in the lower bands, or to</w:t>
      </w:r>
      <w:r>
        <w:t xml:space="preserve"> </w:t>
      </w:r>
      <w:r>
        <w:t xml:space="preserve">protect the structure of the market, e.g. to avoid the exit of a small operator. Usually, spectrum</w:t>
      </w:r>
      <w:r>
        <w:t xml:space="preserve"> </w:t>
      </w:r>
      <w:r>
        <w:t xml:space="preserve">caps were agnostic, but in some Member States tougher caps were applied to incumbent</w:t>
      </w:r>
      <w:r>
        <w:t xml:space="preserve"> </w:t>
      </w:r>
      <w:r>
        <w:t xml:space="preserve">operators, such as in Austria in 700 MHz or in Czechia for 3.4-3.8 GHz. A few auctions were</w:t>
      </w:r>
      <w:r>
        <w:t xml:space="preserve"> </w:t>
      </w:r>
      <w:r>
        <w:t xml:space="preserve">reserved to new entrants (in 2.1 GHz band in Cyprus). In a few Member States, certain bands</w:t>
      </w:r>
      <w:r>
        <w:t xml:space="preserve"> </w:t>
      </w:r>
      <w:r>
        <w:t xml:space="preserve">were granted on condition of providing wholesale access to MVNO (Croatia, Czechia, France,</w:t>
      </w:r>
      <w:r>
        <w:t xml:space="preserve"> </w:t>
      </w:r>
      <w:r>
        <w:t xml:space="preserve">Greece) or/and service providers (Croatia, Czechia, Germany – obligation to negotiate) or</w:t>
      </w:r>
      <w:r>
        <w:t xml:space="preserve"> </w:t>
      </w:r>
      <w:r>
        <w:t xml:space="preserve">national roaming (Czechia, Greece). Spectrum floors, though less common, are intended to</w:t>
      </w:r>
      <w:r>
        <w:t xml:space="preserve"> </w:t>
      </w:r>
      <w:r>
        <w:t xml:space="preserve">secure a minimum allocation for smaller or new operators185. In Sweden and Ireland, this</w:t>
      </w:r>
      <w:r>
        <w:t xml:space="preserve"> </w:t>
      </w:r>
      <w:r>
        <w:t xml:space="preserve">approach has improved the chances for smaller players to obtain spectrum and compete</w:t>
      </w:r>
      <w:r>
        <w:t xml:space="preserve"> </w:t>
      </w:r>
      <w:r>
        <w:t xml:space="preserve">effectively.</w:t>
      </w:r>
      <w:r>
        <w:t xml:space="preserve"> </w:t>
      </w:r>
      <w:r>
        <w:t xml:space="preserve">Set-asides is another market-shaping tool that consists in reserving specific frequency blocks</w:t>
      </w:r>
      <w:r>
        <w:t xml:space="preserve"> </w:t>
      </w:r>
      <w:r>
        <w:t xml:space="preserve">for entities outside the traditional mobile operator landscape, such as private industrial</w:t>
      </w:r>
      <w:r>
        <w:t xml:space="preserve"> </w:t>
      </w:r>
      <w:r>
        <w:t xml:space="preserve">networks. Germany’s 2019 decision to reserve 100 MHz in the 3.7–3.8 GHz frequency band</w:t>
      </w:r>
      <w:r>
        <w:t xml:space="preserve"> </w:t>
      </w:r>
      <w:r>
        <w:t xml:space="preserve">enabled companies like BASF and Lufthansa to deploy their own 5G networks. Similarly,</w:t>
      </w:r>
      <w:r>
        <w:t xml:space="preserve"> </w:t>
      </w:r>
      <w:r>
        <w:t xml:space="preserve">Poland and Netherlands earmarked parts of the 3.8–4.2 GHz frequency band for private use,</w:t>
      </w:r>
      <w:r>
        <w:t xml:space="preserve"> </w:t>
      </w:r>
      <w:r>
        <w:t xml:space="preserve">although actual commercial uptake has so far been limited, due in part to regulatory and</w:t>
      </w:r>
      <w:r>
        <w:t xml:space="preserve"> </w:t>
      </w:r>
      <w:r>
        <w:t xml:space="preserve">market readiness issues. Local spectrum allocation for verticals is another emerging trend</w:t>
      </w:r>
      <w:r>
        <w:t xml:space="preserve"> </w:t>
      </w:r>
      <w:r>
        <w:t xml:space="preserve">that reserves spectrum for non-public networks—often in the 3.8–4.2 GHz or 26 GHz</w:t>
      </w:r>
      <w:r>
        <w:t xml:space="preserve"> </w:t>
      </w:r>
      <w:r>
        <w:t xml:space="preserve">frequency bands—to support specific industrial use cases. While uptake has generally been</w:t>
      </w:r>
      <w:r>
        <w:t xml:space="preserve"> </w:t>
      </w:r>
      <w:r>
        <w:t xml:space="preserve">slow due to complex licensing procedures and a still-developing ecosystem, this model has</w:t>
      </w:r>
      <w:r>
        <w:t xml:space="preserve"> </w:t>
      </w:r>
      <w:r>
        <w:t xml:space="preserve">attracted interest in several EU countries, e.g. Poland and Latvia.</w:t>
      </w:r>
      <w:r>
        <w:t xml:space="preserve"> </w:t>
      </w:r>
      <w:r>
        <w:t xml:space="preserve">As to the assessment of the market shaping measures, GSMA study argues that private</w:t>
      </w:r>
      <w:r>
        <w:t xml:space="preserve"> </w:t>
      </w:r>
      <w:r>
        <w:t xml:space="preserve">networks are growing equally in countries without set-asides, as in countries which have</w:t>
      </w:r>
      <w:r>
        <w:t xml:space="preserve"> </w:t>
      </w:r>
      <w:r>
        <w:t xml:space="preserve">limited the availability of spectrum through a set-aside or sharing regime Conversely,</w:t>
      </w:r>
      <w:r>
        <w:t xml:space="preserve"> </w:t>
      </w:r>
      <w:r>
        <w:t xml:space="preserve">according to GSMA, limiting spectrum supply lowers quality of service and raises network</w:t>
      </w:r>
      <w:r>
        <w:t xml:space="preserve"> </w:t>
      </w:r>
      <w:r>
        <w:t xml:space="preserve">costs GSMA claims that the impact of 100 MHz set aside in 3.5 GHz is 24% lower download</w:t>
      </w:r>
      <w:r>
        <w:t xml:space="preserve"> </w:t>
      </w:r>
      <w:r>
        <w:t xml:space="preserve">speed. 186.</w:t>
      </w:r>
      <w:r>
        <w:t xml:space="preserve"> </w:t>
      </w:r>
      <w:r>
        <w:t xml:space="preserve">Additional mechanisms include service-based competition obligations and reserve price</w:t>
      </w:r>
      <w:r>
        <w:t xml:space="preserve"> </w:t>
      </w:r>
      <w:r>
        <w:t xml:space="preserve">structures. To encourage MVNO access and enhance retail competition, some Member</w:t>
      </w:r>
      <w:r>
        <w:t xml:space="preserve"> </w:t>
      </w:r>
      <w:r>
        <w:t xml:space="preserve">States included national roaming or wholesale access obligations in auction terms, e.g. in</w:t>
      </w:r>
      <w:r>
        <w:t xml:space="preserve"> </w:t>
      </w:r>
      <w:r>
        <w:t xml:space="preserve">Czechia in 2020. Also auction pricing strategies can significantly shape outcomes: Italy’s</w:t>
      </w:r>
      <w:r>
        <w:t xml:space="preserve"> </w:t>
      </w:r>
      <w:r>
        <w:t xml:space="preserve">2018 auction featured high reserve prices, driving revenues but possibly delaying investment.</w:t>
      </w:r>
      <w:r>
        <w:t xml:space="preserve"> </w:t>
      </w:r>
      <w:r>
        <w:t xml:space="preserve">In contrast, France adopted lower reserve prices and flexible payment schedules to allow</w:t>
      </w:r>
      <w:r>
        <w:t xml:space="preserve"> </w:t>
      </w:r>
      <w:r>
        <w:t xml:space="preserve">operators to invest more directly in network deployment. See below the table showing</w:t>
      </w:r>
      <w:r>
        <w:t xml:space="preserve"> </w:t>
      </w:r>
      <w:r>
        <w:t xml:space="preserve">examples of market shaping measures used, and their impact.</w:t>
      </w:r>
    </w:p>
    <w:p>
      <w:pPr>
        <w:pStyle w:val="BodyText"/>
      </w:pPr>
      <w:r>
        <w:t xml:space="preserve">185 BEREC (Body of European Regulators for Electronic Communications). (2023). Study on Wholesale</w:t>
      </w:r>
      <w:r>
        <w:t xml:space="preserve"> </w:t>
      </w:r>
      <w:r>
        <w:t xml:space="preserve">Mobile Connectivity: Trends and Issues for Emerging Mobile Technologies and Deployments (BoR (23) 41).</w:t>
      </w:r>
      <w:r>
        <w:br/>
      </w:r>
      <w:r>
        <w:t xml:space="preserve">186 Spectrum for Private and Local Networks, GSMA, 2025: https://www.gsma.com/connectivity-for-</w:t>
      </w:r>
      <w:r>
        <w:t xml:space="preserve"> </w:t>
      </w:r>
      <w:r>
        <w:t xml:space="preserve">good/spectrum/spectrum-forenterprise/.</w:t>
      </w:r>
    </w:p>
    <w:p>
      <w:pPr>
        <w:pStyle w:val="BodyText"/>
      </w:pPr>
      <w:r>
        <w:t xml:space="preserve">69</w:t>
      </w:r>
    </w:p>
    <w:p>
      <w:pPr>
        <w:pStyle w:val="BodyText"/>
      </w:pPr>
      <w:r>
        <w:t xml:space="preserve">Figure 12: Examples and observed impact of market shaping measures in EU auctions</w:t>
      </w:r>
      <w:r>
        <w:t xml:space="preserve"> </w:t>
      </w:r>
      <w:r>
        <w:t xml:space="preserve">Country</w:t>
      </w:r>
      <w:r>
        <w:t xml:space="preserve"> </w:t>
      </w:r>
      <w:r>
        <w:t xml:space="preserve">Year</w:t>
      </w:r>
      <w:r>
        <w:t xml:space="preserve"> </w:t>
      </w:r>
      <w:r>
        <w:t xml:space="preserve">Market shaping measures</w:t>
      </w:r>
      <w:r>
        <w:t xml:space="preserve"> </w:t>
      </w:r>
      <w:r>
        <w:t xml:space="preserve">Observed impact</w:t>
      </w:r>
      <w:r>
        <w:t xml:space="preserve"> </w:t>
      </w:r>
      <w:r>
        <w:t xml:space="preserve">Germany</w:t>
      </w:r>
      <w:r>
        <w:t xml:space="preserve"> </w:t>
      </w:r>
      <w:r>
        <w:t xml:space="preserve">2019</w:t>
      </w:r>
      <w:r>
        <w:t xml:space="preserve"> </w:t>
      </w:r>
      <w:r>
        <w:t xml:space="preserve">- Spectrum caps in key bands-</w:t>
      </w:r>
      <w:r>
        <w:t xml:space="preserve"> </w:t>
      </w:r>
      <w:r>
        <w:t xml:space="preserve">100</w:t>
      </w:r>
      <w:r>
        <w:t xml:space="preserve"> </w:t>
      </w:r>
      <w:r>
        <w:t xml:space="preserve">MHz</w:t>
      </w:r>
      <w:r>
        <w:t xml:space="preserve"> </w:t>
      </w:r>
      <w:r>
        <w:t xml:space="preserve">(3.7–3.8</w:t>
      </w:r>
      <w:r>
        <w:t xml:space="preserve"> </w:t>
      </w:r>
      <w:r>
        <w:t xml:space="preserve">GHz)</w:t>
      </w:r>
      <w:r>
        <w:t xml:space="preserve"> </w:t>
      </w:r>
      <w:r>
        <w:t xml:space="preserve">reserved for industrial networks-</w:t>
      </w:r>
      <w:r>
        <w:t xml:space="preserve"> </w:t>
      </w:r>
      <w:r>
        <w:t xml:space="preserve">MVNO access obligation</w:t>
      </w:r>
      <w:r>
        <w:t xml:space="preserve"> </w:t>
      </w:r>
      <w:r>
        <w:t xml:space="preserve">- Ambitious coverage target:</w:t>
      </w:r>
      <w:r>
        <w:t xml:space="preserve"> </w:t>
      </w:r>
      <w:r>
        <w:t xml:space="preserve">98%</w:t>
      </w:r>
      <w:r>
        <w:t xml:space="preserve"> </w:t>
      </w:r>
      <w:r>
        <w:t xml:space="preserve">of</w:t>
      </w:r>
      <w:r>
        <w:t xml:space="preserve"> </w:t>
      </w:r>
      <w:r>
        <w:t xml:space="preserve">households</w:t>
      </w:r>
      <w:r>
        <w:t xml:space="preserve"> </w:t>
      </w:r>
      <w:r>
        <w:t xml:space="preserve">and</w:t>
      </w:r>
      <w:r>
        <w:t xml:space="preserve"> </w:t>
      </w:r>
      <w:r>
        <w:t xml:space="preserve">transport routes by 2022</w:t>
      </w:r>
      <w:r>
        <w:t xml:space="preserve"> </w:t>
      </w:r>
      <w:r>
        <w:t xml:space="preserve">- €6.55 billion raised, among the highest in</w:t>
      </w:r>
      <w:r>
        <w:t xml:space="preserve"> </w:t>
      </w:r>
      <w:r>
        <w:t xml:space="preserve">EU- High prices criticised by operators- No</w:t>
      </w:r>
      <w:r>
        <w:t xml:space="preserve"> </w:t>
      </w:r>
      <w:r>
        <w:t xml:space="preserve">new entrants- Stimulated industrial 5G use,</w:t>
      </w:r>
      <w:r>
        <w:t xml:space="preserve"> </w:t>
      </w:r>
      <w:r>
        <w:t xml:space="preserve">but</w:t>
      </w:r>
      <w:r>
        <w:t xml:space="preserve"> </w:t>
      </w:r>
      <w:r>
        <w:t xml:space="preserve">led</w:t>
      </w:r>
      <w:r>
        <w:t xml:space="preserve"> </w:t>
      </w:r>
      <w:r>
        <w:t xml:space="preserve">to</w:t>
      </w:r>
      <w:r>
        <w:t xml:space="preserve"> </w:t>
      </w:r>
      <w:r>
        <w:t xml:space="preserve">concerns</w:t>
      </w:r>
      <w:r>
        <w:t xml:space="preserve"> </w:t>
      </w:r>
      <w:r>
        <w:t xml:space="preserve">about</w:t>
      </w:r>
      <w:r>
        <w:t xml:space="preserve"> </w:t>
      </w:r>
      <w:r>
        <w:t xml:space="preserve">delayed</w:t>
      </w:r>
      <w:r>
        <w:t xml:space="preserve"> </w:t>
      </w:r>
      <w:r>
        <w:t xml:space="preserve">investments</w:t>
      </w:r>
      <w:r>
        <w:t xml:space="preserve"> </w:t>
      </w:r>
      <w:r>
        <w:t xml:space="preserve">France</w:t>
      </w:r>
      <w:r>
        <w:t xml:space="preserve"> </w:t>
      </w:r>
      <w:r>
        <w:t xml:space="preserve">2020</w:t>
      </w:r>
      <w:r>
        <w:t xml:space="preserve"> </w:t>
      </w:r>
      <w:r>
        <w:t xml:space="preserve">- Staged deployment obligations</w:t>
      </w:r>
      <w:r>
        <w:t xml:space="preserve"> </w:t>
      </w:r>
      <w:r>
        <w:t xml:space="preserve">(e.g. 3 000 sites by 2022)</w:t>
      </w:r>
      <w:r>
        <w:t xml:space="preserve"> </w:t>
      </w:r>
      <w:r>
        <w:t xml:space="preserve">- Minimum quality of service</w:t>
      </w:r>
      <w:r>
        <w:t xml:space="preserve"> </w:t>
      </w:r>
      <w:r>
        <w:t xml:space="preserve">commitments</w:t>
      </w:r>
      <w:r>
        <w:t xml:space="preserve"> </w:t>
      </w:r>
      <w:r>
        <w:t xml:space="preserve">- Guaranteed spectrum blocks</w:t>
      </w:r>
      <w:r>
        <w:t xml:space="preserve"> </w:t>
      </w:r>
      <w:r>
        <w:t xml:space="preserve">for those accepting obligations-</w:t>
      </w:r>
      <w:r>
        <w:t xml:space="preserve"> </w:t>
      </w:r>
      <w:r>
        <w:t xml:space="preserve">Low reserve prices</w:t>
      </w:r>
      <w:r>
        <w:t xml:space="preserve"> </w:t>
      </w:r>
      <w:r>
        <w:t xml:space="preserve">- Moderate auction revenue- All four MNOs</w:t>
      </w:r>
      <w:r>
        <w:t xml:space="preserve"> </w:t>
      </w:r>
      <w:r>
        <w:t xml:space="preserve">retained- Rapid rural 5G rollout- Over 80%</w:t>
      </w:r>
      <w:r>
        <w:t xml:space="preserve"> </w:t>
      </w:r>
      <w:r>
        <w:t xml:space="preserve">population covered by mid-2023 (primarily</w:t>
      </w:r>
      <w:r>
        <w:t xml:space="preserve"> </w:t>
      </w:r>
      <w:r>
        <w:t xml:space="preserve">via 700 MHz)- Balanced market outcomes</w:t>
      </w:r>
      <w:r>
        <w:t xml:space="preserve"> </w:t>
      </w:r>
      <w:r>
        <w:t xml:space="preserve">with no exits</w:t>
      </w:r>
      <w:r>
        <w:t xml:space="preserve"> </w:t>
      </w:r>
      <w:r>
        <w:t xml:space="preserve">Italy</w:t>
      </w:r>
      <w:r>
        <w:t xml:space="preserve"> </w:t>
      </w:r>
      <w:r>
        <w:t xml:space="preserve">2018</w:t>
      </w:r>
      <w:r>
        <w:t xml:space="preserve"> </w:t>
      </w:r>
      <w:r>
        <w:t xml:space="preserve">- High reserve prices</w:t>
      </w:r>
      <w:r>
        <w:t xml:space="preserve"> </w:t>
      </w:r>
      <w:r>
        <w:t xml:space="preserve">- No spectrum caps- Minimal</w:t>
      </w:r>
      <w:r>
        <w:t xml:space="preserve"> </w:t>
      </w:r>
      <w:r>
        <w:t xml:space="preserve">rollout obligations</w:t>
      </w:r>
      <w:r>
        <w:t xml:space="preserve"> </w:t>
      </w:r>
      <w:r>
        <w:t xml:space="preserve">- €6.5 billion raised- Highest € per MHz/pop</w:t>
      </w:r>
      <w:r>
        <w:t xml:space="preserve"> </w:t>
      </w:r>
      <w:r>
        <w:t xml:space="preserve">in the EU- No new entrants- Market structure</w:t>
      </w:r>
      <w:r>
        <w:t xml:space="preserve"> </w:t>
      </w:r>
      <w:r>
        <w:t xml:space="preserve">unchanged- Investment delays reported</w:t>
      </w:r>
      <w:r>
        <w:t xml:space="preserve"> </w:t>
      </w:r>
      <w:r>
        <w:t xml:space="preserve">Poland</w:t>
      </w:r>
      <w:r>
        <w:t xml:space="preserve"> </w:t>
      </w:r>
      <w:r>
        <w:t xml:space="preserve">2020–</w:t>
      </w:r>
      <w:r>
        <w:t xml:space="preserve"> </w:t>
      </w:r>
      <w:r>
        <w:t xml:space="preserve">2023</w:t>
      </w:r>
      <w:r>
        <w:t xml:space="preserve"> </w:t>
      </w:r>
      <w:r>
        <w:t xml:space="preserve">- Initially strong coverage and</w:t>
      </w:r>
      <w:r>
        <w:t xml:space="preserve"> </w:t>
      </w:r>
      <w:r>
        <w:t xml:space="preserve">investment obligations-</w:t>
      </w:r>
      <w:r>
        <w:t xml:space="preserve"> </w:t>
      </w:r>
      <w:r>
        <w:t xml:space="preserve">Auction</w:t>
      </w:r>
      <w:r>
        <w:t xml:space="preserve"> </w:t>
      </w:r>
      <w:r>
        <w:t xml:space="preserve">delayed</w:t>
      </w:r>
      <w:r>
        <w:t xml:space="preserve"> </w:t>
      </w:r>
      <w:r>
        <w:t xml:space="preserve">due</w:t>
      </w:r>
      <w:r>
        <w:t xml:space="preserve"> </w:t>
      </w:r>
      <w:r>
        <w:t xml:space="preserve">to</w:t>
      </w:r>
      <w:r>
        <w:t xml:space="preserve"> </w:t>
      </w:r>
      <w:r>
        <w:t xml:space="preserve">COVID-19 and legal-political</w:t>
      </w:r>
      <w:r>
        <w:t xml:space="preserve"> </w:t>
      </w:r>
      <w:r>
        <w:t xml:space="preserve">hurdles</w:t>
      </w:r>
      <w:r>
        <w:t xml:space="preserve"> </w:t>
      </w:r>
      <w:r>
        <w:t xml:space="preserve">- Later included set-asides for</w:t>
      </w:r>
      <w:r>
        <w:t xml:space="preserve"> </w:t>
      </w:r>
      <w:r>
        <w:t xml:space="preserve">verticals (3.8–4.2 GHz)</w:t>
      </w:r>
      <w:r>
        <w:t xml:space="preserve"> </w:t>
      </w:r>
      <w:r>
        <w:t xml:space="preserve">- Spectrum awarded only in mid-2023-</w:t>
      </w:r>
      <w:r>
        <w:t xml:space="preserve"> </w:t>
      </w:r>
      <w:r>
        <w:t xml:space="preserve">Regulatory</w:t>
      </w:r>
      <w:r>
        <w:t xml:space="preserve"> </w:t>
      </w:r>
      <w:r>
        <w:t xml:space="preserve">uncertainty</w:t>
      </w:r>
      <w:r>
        <w:t xml:space="preserve"> </w:t>
      </w:r>
      <w:r>
        <w:t xml:space="preserve">delayed</w:t>
      </w:r>
      <w:r>
        <w:t xml:space="preserve"> </w:t>
      </w:r>
      <w:r>
        <w:t xml:space="preserve">5G</w:t>
      </w:r>
      <w:r>
        <w:t xml:space="preserve"> </w:t>
      </w:r>
      <w:r>
        <w:t xml:space="preserve">deployment-</w:t>
      </w:r>
      <w:r>
        <w:t xml:space="preserve"> </w:t>
      </w:r>
      <w:r>
        <w:t xml:space="preserve">Low</w:t>
      </w:r>
      <w:r>
        <w:t xml:space="preserve"> </w:t>
      </w:r>
      <w:r>
        <w:t xml:space="preserve">uptake</w:t>
      </w:r>
      <w:r>
        <w:t xml:space="preserve"> </w:t>
      </w:r>
      <w:r>
        <w:t xml:space="preserve">of</w:t>
      </w:r>
      <w:r>
        <w:t xml:space="preserve"> </w:t>
      </w:r>
      <w:r>
        <w:t xml:space="preserve">industrial</w:t>
      </w:r>
      <w:r>
        <w:t xml:space="preserve"> </w:t>
      </w:r>
      <w:r>
        <w:t xml:space="preserve">spectrum- Concerns raised over investor</w:t>
      </w:r>
      <w:r>
        <w:t xml:space="preserve"> </w:t>
      </w:r>
      <w:r>
        <w:t xml:space="preserve">confidence</w:t>
      </w:r>
      <w:r>
        <w:t xml:space="preserve"> </w:t>
      </w:r>
      <w:r>
        <w:t xml:space="preserve">Austria</w:t>
      </w:r>
      <w:r>
        <w:t xml:space="preserve"> </w:t>
      </w:r>
      <w:r>
        <w:t xml:space="preserve">2020</w:t>
      </w:r>
      <w:r>
        <w:t xml:space="preserve"> </w:t>
      </w:r>
      <w:r>
        <w:t xml:space="preserve">- Coverage obligations targeting</w:t>
      </w:r>
      <w:r>
        <w:t xml:space="preserve"> </w:t>
      </w:r>
      <w:r>
        <w:t xml:space="preserve">349 underserved communities</w:t>
      </w:r>
      <w:r>
        <w:t xml:space="preserve"> </w:t>
      </w:r>
      <w:r>
        <w:t xml:space="preserve">- Rollout planning requirements</w:t>
      </w:r>
      <w:r>
        <w:t xml:space="preserve"> </w:t>
      </w:r>
      <w:r>
        <w:t xml:space="preserve">- Wholesale access obligation</w:t>
      </w:r>
      <w:r>
        <w:t xml:space="preserve"> </w:t>
      </w:r>
      <w:r>
        <w:t xml:space="preserve">- Affordable auction outcome- Stimulated</w:t>
      </w:r>
      <w:r>
        <w:t xml:space="preserve"> </w:t>
      </w:r>
      <w:r>
        <w:t xml:space="preserve">rural investment- All three MNOs remained</w:t>
      </w:r>
      <w:r>
        <w:t xml:space="preserve"> </w:t>
      </w:r>
      <w:r>
        <w:t xml:space="preserve">active- Positively evaluated by regulators</w:t>
      </w:r>
      <w:r>
        <w:t xml:space="preserve"> </w:t>
      </w:r>
      <w:r>
        <w:t xml:space="preserve">Source: BEREC (2023). Study on Wholesale Mobile Connectivity: Trends and Issues for Emerging Mobile Technologies and</w:t>
      </w:r>
      <w:r>
        <w:t xml:space="preserve"> </w:t>
      </w:r>
      <w:r>
        <w:t xml:space="preserve">Deployments (BoR (23) 41).</w:t>
      </w:r>
      <w:r>
        <w:t xml:space="preserve"> </w:t>
      </w:r>
      <w:r>
        <w:t xml:space="preserve">Spectrum reservations have been correlated with high auction prices. In this context, some</w:t>
      </w:r>
      <w:r>
        <w:t xml:space="preserve"> </w:t>
      </w:r>
      <w:r>
        <w:t xml:space="preserve">operators expressed concerns187 that these measures may have been misused at times,</w:t>
      </w:r>
      <w:r>
        <w:t xml:space="preserve"> </w:t>
      </w:r>
      <w:r>
        <w:t xml:space="preserve">potentially creating artificial spectrum scarcity and increasing costs even in absence of</w:t>
      </w:r>
      <w:r>
        <w:t xml:space="preserve"> </w:t>
      </w:r>
      <w:r>
        <w:t xml:space="preserve">problems in the retail market, which could negatively impact deployment and hinder the</w:t>
      </w:r>
      <w:r>
        <w:t xml:space="preserve"> </w:t>
      </w:r>
      <w:r>
        <w:t xml:space="preserve">achievement of connectivity objectives.</w:t>
      </w:r>
      <w:r>
        <w:br/>
      </w:r>
      <w:r>
        <w:t xml:space="preserve">For example, some argue that the reservation of spectrum for verticals in the 2019 auction for</w:t>
      </w:r>
      <w:r>
        <w:t xml:space="preserve"> </w:t>
      </w:r>
      <w:r>
        <w:t xml:space="preserve">the 3.6 GHz frequency band in Germany led to a suboptimal outcome in terms of high prices.</w:t>
      </w:r>
      <w:r>
        <w:t xml:space="preserve"> </w:t>
      </w:r>
      <w:r>
        <w:t xml:space="preserve">There were 4 MNOs interested in nationwide 3.5 GHz licences, while the reservation of 25%</w:t>
      </w:r>
      <w:r>
        <w:t xml:space="preserve"> </w:t>
      </w:r>
      <w:r>
        <w:t xml:space="preserve">of the available spectrum for local licences, without any economic cost/ benefit analysis and</w:t>
      </w:r>
      <w:r>
        <w:t xml:space="preserve"> </w:t>
      </w:r>
      <w:r>
        <w:t xml:space="preserve">justification increased spectrum scarcity and drove prices up. The auction generated €6.55 bn,</w:t>
      </w:r>
      <w:r>
        <w:t xml:space="preserve"> </w:t>
      </w:r>
      <w:r>
        <w:t xml:space="preserve">as a combination of spectrum scarcity and aggressive bidding strategies inflated final prices.</w:t>
      </w:r>
      <w:r>
        <w:t xml:space="preserve"> </w:t>
      </w:r>
      <w:r>
        <w:t xml:space="preserve">According to operators, the set aside caused auction prices to increase by around EUR 50</w:t>
      </w:r>
      <w:r>
        <w:t xml:space="preserve"> </w:t>
      </w:r>
      <w:r>
        <w:t xml:space="preserve">million per block. This means that public network operators had to pay around EUR 2.2</w:t>
      </w:r>
      <w:r>
        <w:t xml:space="preserve"> </w:t>
      </w:r>
      <w:r>
        <w:t xml:space="preserve">billion more for the amount of spectrum available, with all bidders ending up with less than</w:t>
      </w:r>
    </w:p>
    <w:p>
      <w:pPr>
        <w:pStyle w:val="BodyText"/>
      </w:pPr>
      <w:r>
        <w:t xml:space="preserve">187 Responses to the Call for Evidence on the Digital Network Act.</w:t>
      </w:r>
    </w:p>
    <w:p>
      <w:pPr>
        <w:pStyle w:val="BodyText"/>
      </w:pPr>
      <w:r>
        <w:t xml:space="preserve">70</w:t>
      </w:r>
    </w:p>
    <w:p>
      <w:pPr>
        <w:pStyle w:val="BodyText"/>
      </w:pPr>
      <w:r>
        <w:t xml:space="preserve">what they considered an optimal amount of spectrum in the band, due to the effect of</w:t>
      </w:r>
      <w:r>
        <w:t xml:space="preserve"> </w:t>
      </w:r>
      <w:r>
        <w:t xml:space="preserve">spectrum-set aside. This increased cost is also likely to have a negative effect on network</w:t>
      </w:r>
      <w:r>
        <w:t xml:space="preserve"> </w:t>
      </w:r>
      <w:r>
        <w:t xml:space="preserve">investment. Based on a Arthur D Little, Compass Lexecon study for Vodafone188, the</w:t>
      </w:r>
      <w:r>
        <w:t xml:space="preserve"> </w:t>
      </w:r>
      <w:r>
        <w:t xml:space="preserve">estimated consumer welfare loss was of EUR 6.2-15.6 billion (to 2040) due to higher prices</w:t>
      </w:r>
      <w:r>
        <w:t xml:space="preserve"> </w:t>
      </w:r>
      <w:r>
        <w:t xml:space="preserve">and reduced network quality. Operators also regretted that in Italy only half of the 400 MHz</w:t>
      </w:r>
      <w:r>
        <w:t xml:space="preserve"> </w:t>
      </w:r>
      <w:r>
        <w:t xml:space="preserve">available in the 3.6 GHz frequency band was made available in the 5G auction and further</w:t>
      </w:r>
      <w:r>
        <w:t xml:space="preserve"> </w:t>
      </w:r>
      <w:r>
        <w:t xml:space="preserve">divided into four blocks (80/80/20/20), forcing two “winners” and two “losers”. Resulting</w:t>
      </w:r>
      <w:r>
        <w:t xml:space="preserve"> </w:t>
      </w:r>
      <w:r>
        <w:t xml:space="preserve">scarcity in the auction drove prices up to EUR 4.35 billion – 6x typical benchmark averages.</w:t>
      </w:r>
      <w:r>
        <w:t xml:space="preserve"> </w:t>
      </w:r>
      <w:r>
        <w:t xml:space="preserve">Moreover, 20 MHz is not technically sufficient to deploy quality 5G services as 80-100 MHz</w:t>
      </w:r>
      <w:r>
        <w:t xml:space="preserve"> </w:t>
      </w:r>
      <w:r>
        <w:t xml:space="preserve">is needed to provide Gigabit speeds. Italy’s 2018 auction remains one of the most expensive</w:t>
      </w:r>
      <w:r>
        <w:t xml:space="preserve"> </w:t>
      </w:r>
      <w:r>
        <w:t xml:space="preserve">examples, raising over EUR 6.5 billion, largely due to elevated reserve prices for 700 MHz</w:t>
      </w:r>
      <w:r>
        <w:t xml:space="preserve"> </w:t>
      </w:r>
      <w:r>
        <w:t xml:space="preserve">and 3.7 GHz189. Prices reached 0.35 EUR/MHz/pop—more than twice the EU average.</w:t>
      </w:r>
      <w:r>
        <w:br/>
      </w:r>
      <w:r>
        <w:t xml:space="preserve">As to market structure and competition, despite measures such as spectrum set-asides for</w:t>
      </w:r>
      <w:r>
        <w:t xml:space="preserve"> </w:t>
      </w:r>
      <w:r>
        <w:t xml:space="preserve">instance in Czechia, recent auctions have not led to sustainable entry of new mobile network</w:t>
      </w:r>
      <w:r>
        <w:t xml:space="preserve"> </w:t>
      </w:r>
      <w:r>
        <w:t xml:space="preserve">operators (MNOs). This is a sign of a broader structural challenge: the economics of mobile</w:t>
      </w:r>
      <w:r>
        <w:t xml:space="preserve"> </w:t>
      </w:r>
      <w:r>
        <w:t xml:space="preserve">networks increasingly favour a limited number of infrastructure players, as the cost of</w:t>
      </w:r>
      <w:r>
        <w:t xml:space="preserve"> </w:t>
      </w:r>
      <w:r>
        <w:t xml:space="preserve">deploying each new generation of mobile technology (e.g. 5G and soon 6G) rises. In this</w:t>
      </w:r>
      <w:r>
        <w:t xml:space="preserve"> </w:t>
      </w:r>
      <w:r>
        <w:t xml:space="preserve">context, it is likely that set-asides alone cannot compensate for the declining viability of</w:t>
      </w:r>
      <w:r>
        <w:t xml:space="preserve"> </w:t>
      </w:r>
      <w:r>
        <w:t xml:space="preserve">infrastructure-based competition. Economic theory emphasizes the crucial balance between</w:t>
      </w:r>
      <w:r>
        <w:t xml:space="preserve"> </w:t>
      </w:r>
      <w:r>
        <w:t xml:space="preserve">profitability, scale and investment.</w:t>
      </w:r>
      <w:r>
        <w:t xml:space="preserve"> </w:t>
      </w:r>
      <w:r>
        <w:t xml:space="preserve">5.4.7. Promoting advanced 5G</w:t>
      </w:r>
      <w:r>
        <w:t xml:space="preserve"> </w:t>
      </w:r>
      <w:r>
        <w:t xml:space="preserve">Though recognising the need to consider national specificities in conditions for spectrum</w:t>
      </w:r>
      <w:r>
        <w:t xml:space="preserve"> </w:t>
      </w:r>
      <w:r>
        <w:t xml:space="preserve">assignment across the EU, we can conclude from the data presented above that the EECC has</w:t>
      </w:r>
      <w:r>
        <w:t xml:space="preserve"> </w:t>
      </w:r>
      <w:r>
        <w:t xml:space="preserve">not been successful in establishing a pro-investment assignment framework and, partially as a</w:t>
      </w:r>
      <w:r>
        <w:t xml:space="preserve"> </w:t>
      </w:r>
      <w:r>
        <w:t xml:space="preserve">result, the EU is lagging in high quality 5G deployment. Spectrum assignment conditions</w:t>
      </w:r>
      <w:r>
        <w:t xml:space="preserve"> </w:t>
      </w:r>
      <w:r>
        <w:t xml:space="preserve">remained fragmented thus delaying the full realisation of benefits that might have been</w:t>
      </w:r>
      <w:r>
        <w:t xml:space="preserve"> </w:t>
      </w:r>
      <w:r>
        <w:t xml:space="preserve">achieved through a more harmonized approach to incentivize investments across the EU while</w:t>
      </w:r>
      <w:r>
        <w:t xml:space="preserve"> </w:t>
      </w:r>
      <w:r>
        <w:t xml:space="preserve">ensuring regulatory predictability. Assignments have not always used justified and well-</w:t>
      </w:r>
      <w:r>
        <w:t xml:space="preserve"> </w:t>
      </w:r>
      <w:r>
        <w:t xml:space="preserve">designed market shaping measures and coverage obligations. Cost of spectrum has been</w:t>
      </w:r>
      <w:r>
        <w:t xml:space="preserve"> </w:t>
      </w:r>
      <w:r>
        <w:t xml:space="preserve">excessive on account of high reserve prices and revenue-oriented auctions. Licence duration</w:t>
      </w:r>
      <w:r>
        <w:t xml:space="preserve"> </w:t>
      </w:r>
      <w:r>
        <w:t xml:space="preserve">has not been sufficiently long to encourage more ambitious deployment of networks and</w:t>
      </w:r>
      <w:r>
        <w:t xml:space="preserve"> </w:t>
      </w:r>
      <w:r>
        <w:t xml:space="preserve">advanced services offers, including cross border. Predictability has not increased sufficiently</w:t>
      </w:r>
      <w:r>
        <w:t xml:space="preserve"> </w:t>
      </w:r>
      <w:r>
        <w:t xml:space="preserve">to improve the weak financial attractiveness of operators, also linked to low profitability of</w:t>
      </w:r>
      <w:r>
        <w:t xml:space="preserve"> </w:t>
      </w:r>
      <w:r>
        <w:t xml:space="preserve">the mobile market in the EU.</w:t>
      </w:r>
      <w:r>
        <w:t xml:space="preserve"> </w:t>
      </w:r>
      <w:r>
        <w:t xml:space="preserve">5.5. EFFECTIVENESS IN PROMOTING DEVELOPMENT OF THE SINGLE MARKET</w:t>
      </w:r>
      <w:r>
        <w:t xml:space="preserve"> </w:t>
      </w:r>
      <w:r>
        <w:t xml:space="preserve">Effectiveness is analysed with respect to promoting the development of the Single Market</w:t>
      </w:r>
      <w:r>
        <w:t xml:space="preserve"> </w:t>
      </w:r>
      <w:r>
        <w:t xml:space="preserve">The sections below assess the effectiveness of the EU spectrum policy in contributing to the</w:t>
      </w:r>
      <w:r>
        <w:t xml:space="preserve"> </w:t>
      </w:r>
      <w:r>
        <w:t xml:space="preserve">development of the Single Market by facilitating convergent conditions and developing</w:t>
      </w:r>
    </w:p>
    <w:p>
      <w:pPr>
        <w:pStyle w:val="BodyText"/>
      </w:pPr>
      <w:r>
        <w:t xml:space="preserve">188 https://www.vodafone.com/content/dam/vodcom/files/public-policy/5g-report/an-industrial-5gspectrum-</w:t>
      </w:r>
      <w:r>
        <w:t xml:space="preserve"> </w:t>
      </w:r>
      <w:r>
        <w:t xml:space="preserve">policy-for-europe.pdf.</w:t>
      </w:r>
      <w:r>
        <w:t xml:space="preserve"> </w:t>
      </w:r>
      <w:r>
        <w:t xml:space="preserve">189 BEREC (Body of European Regulators for Electronic Communications). (2023). Study on Wholesale</w:t>
      </w:r>
      <w:r>
        <w:t xml:space="preserve"> </w:t>
      </w:r>
      <w:r>
        <w:t xml:space="preserve">Mobile Connectivity: Trends and Issues for Emerging Mobile Technologies and Deployments (BoR (23) 41).</w:t>
      </w:r>
      <w:r>
        <w:t xml:space="preserve"> </w:t>
      </w:r>
      <w:r>
        <w:t xml:space="preserve">Available at: https://www.berec.europa.eu/system/files/2023-</w:t>
      </w:r>
      <w:r>
        <w:t xml:space="preserve"> </w:t>
      </w:r>
      <w:r>
        <w:t xml:space="preserve">04/BoR%20%2823%29%2041%20Study%20on%20wholesale%20mobile%20connectivity%20trends%20a</w:t>
      </w:r>
      <w:r>
        <w:t xml:space="preserve"> </w:t>
      </w:r>
      <w:r>
        <w:t xml:space="preserve">nd%20issues%20for%20emerging%20mobile%20technologies%20and%20deployments_final_0.pdf.</w:t>
      </w:r>
    </w:p>
    <w:p>
      <w:pPr>
        <w:pStyle w:val="BodyText"/>
      </w:pPr>
      <w:r>
        <w:t xml:space="preserve">71</w:t>
      </w:r>
    </w:p>
    <w:p>
      <w:pPr>
        <w:pStyle w:val="BodyText"/>
      </w:pPr>
      <w:r>
        <w:t xml:space="preserve">predictable regulatory approaches and by favouring the effective, efficient and coordinated</w:t>
      </w:r>
      <w:r>
        <w:t xml:space="preserve"> </w:t>
      </w:r>
      <w:r>
        <w:t xml:space="preserve">use of radio spectrum (Art. 3, para (c)EECC - internal market objective). They look at</w:t>
      </w:r>
      <w:r>
        <w:t xml:space="preserve"> </w:t>
      </w:r>
      <w:r>
        <w:t xml:space="preserve">measures related to the peer review mechanism, spectrum coordination and cross border</w:t>
      </w:r>
      <w:r>
        <w:t xml:space="preserve"> </w:t>
      </w:r>
      <w:r>
        <w:t xml:space="preserve">interferences, measures aimed to incentivize spectrum sharing, transfer and leasing across the</w:t>
      </w:r>
      <w:r>
        <w:t xml:space="preserve"> </w:t>
      </w:r>
      <w:r>
        <w:t xml:space="preserve">single market, the authorisation of satellite services and the provision of pan-European</w:t>
      </w:r>
      <w:r>
        <w:t xml:space="preserve"> </w:t>
      </w:r>
      <w:r>
        <w:t xml:space="preserve">services.</w:t>
      </w:r>
      <w:r>
        <w:t xml:space="preserve"> </w:t>
      </w:r>
      <w:r>
        <w:t xml:space="preserve">5.5.1. Coordination/harmonisation of assignments - Peer review</w:t>
      </w:r>
      <w:r>
        <w:br/>
      </w:r>
      <w:r>
        <w:t xml:space="preserve">The EECC aimed at enhancing convergence of spectrum policies and assignment conditions</w:t>
      </w:r>
      <w:r>
        <w:t xml:space="preserve"> </w:t>
      </w:r>
      <w:r>
        <w:t xml:space="preserve">across the EU inter alia, through i) a voluntary peer review/learning mechanism and ii) a</w:t>
      </w:r>
      <w:r>
        <w:t xml:space="preserve"> </w:t>
      </w:r>
      <w:r>
        <w:t xml:space="preserve">possibility to organise a joint authorisation procedure.</w:t>
      </w:r>
      <w:r>
        <w:br/>
      </w:r>
      <w:r>
        <w:t xml:space="preserve">Voluntary peer review</w:t>
      </w:r>
      <w:r>
        <w:t xml:space="preserve"> </w:t>
      </w:r>
      <w:r>
        <w:t xml:space="preserve">Under Article 35 of the EECC, a competent authority may voluntarily ask other competent</w:t>
      </w:r>
      <w:r>
        <w:t xml:space="preserve"> </w:t>
      </w:r>
      <w:r>
        <w:t xml:space="preserve">authorities to review its draft measure for the selection of assignees for EU harmonised</w:t>
      </w:r>
      <w:r>
        <w:t xml:space="preserve"> </w:t>
      </w:r>
      <w:r>
        <w:t xml:space="preserve">spectrum, including through a Peer Review Forum with participation of BEREC experts</w:t>
      </w:r>
      <w:r>
        <w:t xml:space="preserve"> </w:t>
      </w:r>
      <w:r>
        <w:t xml:space="preserve">experienced in forward looking assessment of market competitive conditions. The intention</w:t>
      </w:r>
      <w:r>
        <w:t xml:space="preserve"> </w:t>
      </w:r>
      <w:r>
        <w:t xml:space="preserve">was not just to inform on future assignment procedures but mainly to achieve, through peer</w:t>
      </w:r>
      <w:r>
        <w:t xml:space="preserve"> </w:t>
      </w:r>
      <w:r>
        <w:t xml:space="preserve">learning and assessment, more effective efficient and consistent selection methods,</w:t>
      </w:r>
      <w:r>
        <w:t xml:space="preserve"> </w:t>
      </w:r>
      <w:r>
        <w:t xml:space="preserve">assignment conditions and market shaping measures.</w:t>
      </w:r>
      <w:r>
        <w:br/>
      </w:r>
      <w:r>
        <w:t xml:space="preserve">The Council of EU in conclusions on the White Paper190 recognised “that the current peer</w:t>
      </w:r>
      <w:r>
        <w:t xml:space="preserve"> </w:t>
      </w:r>
      <w:r>
        <w:t xml:space="preserve">review mechanism has proven to be valuable …” In its opinion to the White Paper191, the</w:t>
      </w:r>
      <w:r>
        <w:t xml:space="preserve"> </w:t>
      </w:r>
      <w:r>
        <w:t xml:space="preserve">RSPG stated that “the peer review has proven to be a valuable mechanism to share lessons</w:t>
      </w:r>
      <w:r>
        <w:t xml:space="preserve"> </w:t>
      </w:r>
      <w:r>
        <w:t xml:space="preserve">learned and to engage in discussion between the Member States’ experts on awards. It helps</w:t>
      </w:r>
      <w:r>
        <w:t xml:space="preserve"> </w:t>
      </w:r>
      <w:r>
        <w:t xml:space="preserve">understanding specific procedures based on national situations. This also serves as a tool for</w:t>
      </w:r>
      <w:r>
        <w:t xml:space="preserve"> </w:t>
      </w:r>
      <w:r>
        <w:t xml:space="preserve">methodological harmonisation and to increase transparency between peers.” At the same</w:t>
      </w:r>
      <w:r>
        <w:t xml:space="preserve"> </w:t>
      </w:r>
      <w:r>
        <w:t xml:space="preserve">time, the RSPG acknowledged that “there is room for enhancing the peer review mechanism</w:t>
      </w:r>
      <w:r>
        <w:t xml:space="preserve"> </w:t>
      </w:r>
      <w:r>
        <w:t xml:space="preserve">further”. The Council of EU recognised “that the current peer review mechanism has proven</w:t>
      </w:r>
      <w:r>
        <w:t xml:space="preserve"> </w:t>
      </w:r>
      <w:r>
        <w:t xml:space="preserve">to be valuable …”.</w:t>
      </w:r>
      <w:r>
        <w:br/>
      </w:r>
      <w:r>
        <w:t xml:space="preserve">However, it is hard to assess/quantify the real added value of the current peer review</w:t>
      </w:r>
      <w:r>
        <w:t xml:space="preserve"> </w:t>
      </w:r>
      <w:r>
        <w:t xml:space="preserve">mechanism. Firstly, it is a voluntary mechanism. Out of 30 draft measures notified to RSPG,</w:t>
      </w:r>
      <w:r>
        <w:t xml:space="preserve"> </w:t>
      </w:r>
      <w:r>
        <w:t xml:space="preserve">only 10 cases led to voluntary Peer Review Forums and the RSPG never used its right under</w:t>
      </w:r>
      <w:r>
        <w:t xml:space="preserve"> </w:t>
      </w:r>
      <w:r>
        <w:t xml:space="preserve">Article 35(2) to convene the Peer Review Forum on its own initiative. Furthermore, those</w:t>
      </w:r>
      <w:r>
        <w:t xml:space="preserve"> </w:t>
      </w:r>
      <w:r>
        <w:t xml:space="preserve">assignment procedures which did raise criticism by market players have not even been subject</w:t>
      </w:r>
      <w:r>
        <w:t xml:space="preserve"> </w:t>
      </w:r>
      <w:r>
        <w:t xml:space="preserve">to a peer review192. Secondly, there was no tangible follow up to the Peer Review Forums in</w:t>
      </w:r>
      <w:r>
        <w:t xml:space="preserve"> </w:t>
      </w:r>
      <w:r>
        <w:t xml:space="preserve">the form of an RSPG opinion on the draft measure pursuant to Article 35(9) EECC on a</w:t>
      </w:r>
      <w:r>
        <w:t xml:space="preserve"> </w:t>
      </w:r>
      <w:r>
        <w:t xml:space="preserve">notifying administration request or any other RSPG activity building on experience gained</w:t>
      </w:r>
      <w:r>
        <w:t xml:space="preserve"> </w:t>
      </w:r>
      <w:r>
        <w:t xml:space="preserve">during the authorisation process. Thirdly, there was not sufficient investment of resources in</w:t>
      </w:r>
      <w:r>
        <w:t xml:space="preserve"> </w:t>
      </w:r>
      <w:r>
        <w:t xml:space="preserve">the mechanism as not all Member States were represented or actively participated in the</w:t>
      </w:r>
      <w:r>
        <w:t xml:space="preserve"> </w:t>
      </w:r>
      <w:r>
        <w:t xml:space="preserve">Forums. Joint authorisation procedure</w:t>
      </w:r>
    </w:p>
    <w:p>
      <w:pPr>
        <w:pStyle w:val="BodyText"/>
      </w:pPr>
      <w:r>
        <w:t xml:space="preserve">190 Council Conclusions on the White paper on “How to master Europe’s digital infrastructure needs?”</w:t>
      </w:r>
      <w:r>
        <w:t xml:space="preserve"> </w:t>
      </w:r>
      <w:r>
        <w:t xml:space="preserve">(15861/24).</w:t>
      </w:r>
      <w:r>
        <w:t xml:space="preserve"> </w:t>
      </w:r>
      <w:r>
        <w:t xml:space="preserve">191 RSPG24-019 FINAL RSPG Opinion on “How to master Europe’s digital infrastructure needs?”.</w:t>
      </w:r>
      <w:r>
        <w:t xml:space="preserve"> </w:t>
      </w:r>
      <w:r>
        <w:t xml:space="preserve">192 Auctions which have raised reactions from stakeholders, such as the Czech or German auctions, were not</w:t>
      </w:r>
      <w:r>
        <w:t xml:space="preserve"> </w:t>
      </w:r>
      <w:r>
        <w:t xml:space="preserve">subject to the voluntary peer review under Article 35 EECC or not followed by a RSPG opinion or other</w:t>
      </w:r>
      <w:r>
        <w:t xml:space="preserve"> </w:t>
      </w:r>
      <w:r>
        <w:t xml:space="preserve">form of RSPG action.</w:t>
      </w:r>
    </w:p>
    <w:p>
      <w:pPr>
        <w:pStyle w:val="BodyText"/>
      </w:pPr>
      <w:r>
        <w:t xml:space="preserve">72</w:t>
      </w:r>
    </w:p>
    <w:p>
      <w:pPr>
        <w:pStyle w:val="BodyText"/>
      </w:pPr>
      <w:r>
        <w:t xml:space="preserve">The EECC also established a joint authorisation procedure under Article 37 to allow several</w:t>
      </w:r>
      <w:r>
        <w:t xml:space="preserve"> </w:t>
      </w:r>
      <w:r>
        <w:t xml:space="preserve">Member States to cooperate to grant spectrum usage rights through common conditions and</w:t>
      </w:r>
      <w:r>
        <w:t xml:space="preserve"> </w:t>
      </w:r>
      <w:r>
        <w:t xml:space="preserve">procedure; however, as this is dependent on the voluntary initiative of the Member States,</w:t>
      </w:r>
      <w:r>
        <w:t xml:space="preserve"> </w:t>
      </w:r>
      <w:r>
        <w:t xml:space="preserve">prospective users have not been able to require and rely on such coordination. To date, this</w:t>
      </w:r>
      <w:r>
        <w:t xml:space="preserve"> </w:t>
      </w:r>
      <w:r>
        <w:t xml:space="preserve">joint procedure has never been used.</w:t>
      </w:r>
      <w:r>
        <w:br/>
      </w:r>
      <w:r>
        <w:t xml:space="preserve">5.5.2. Harmful interference</w:t>
      </w:r>
      <w:r>
        <w:br/>
      </w:r>
      <w:r>
        <w:t xml:space="preserve">Article 28 EECC provides for spectrum coordination among Member States to ensure that no</w:t>
      </w:r>
      <w:r>
        <w:t xml:space="preserve"> </w:t>
      </w:r>
      <w:r>
        <w:t xml:space="preserve">Member State is prevented from using harmonised spectrum due to cross-border</w:t>
      </w:r>
      <w:r>
        <w:t xml:space="preserve"> </w:t>
      </w:r>
      <w:r>
        <w:t xml:space="preserve">interference in harmonised bands and that cross-border coordination issues or interferences</w:t>
      </w:r>
      <w:r>
        <w:t xml:space="preserve"> </w:t>
      </w:r>
      <w:r>
        <w:t xml:space="preserve">are solved between Member States and with third countries. Such interferences have a</w:t>
      </w:r>
      <w:r>
        <w:t xml:space="preserve"> </w:t>
      </w:r>
      <w:r>
        <w:t xml:space="preserve">negative economic, and in certain cases social/cultural impact. The Commission relies on the</w:t>
      </w:r>
      <w:r>
        <w:t xml:space="preserve"> </w:t>
      </w:r>
      <w:r>
        <w:t xml:space="preserve">RSPG, which may propose coordinated solutions upon request by an affected Member</w:t>
      </w:r>
      <w:r>
        <w:t xml:space="preserve"> </w:t>
      </w:r>
      <w:r>
        <w:t xml:space="preserve">State, which may also request the Commission to adopt a decision if interference persists in</w:t>
      </w:r>
      <w:r>
        <w:t xml:space="preserve"> </w:t>
      </w:r>
      <w:r>
        <w:t xml:space="preserve">harmonised bands. the RSPG good offices’ involvement in cross border-interferences issues</w:t>
      </w:r>
      <w:r>
        <w:t xml:space="preserve"> </w:t>
      </w:r>
      <w:r>
        <w:t xml:space="preserve">has brought</w:t>
      </w:r>
      <w:r>
        <w:t xml:space="preserve"> </w:t>
      </w:r>
      <w:r>
        <w:t xml:space="preserve">significant</w:t>
      </w:r>
      <w:r>
        <w:t xml:space="preserve"> </w:t>
      </w:r>
      <w:r>
        <w:t xml:space="preserve">added-value according</w:t>
      </w:r>
      <w:r>
        <w:t xml:space="preserve"> </w:t>
      </w:r>
      <w:r>
        <w:t xml:space="preserve">to</w:t>
      </w:r>
      <w:r>
        <w:t xml:space="preserve"> </w:t>
      </w:r>
      <w:r>
        <w:t xml:space="preserve">participants</w:t>
      </w:r>
      <w:r>
        <w:t xml:space="preserve"> </w:t>
      </w:r>
      <w:r>
        <w:t xml:space="preserve">(see section on</w:t>
      </w:r>
      <w:r>
        <w:t xml:space="preserve"> </w:t>
      </w:r>
      <w:r>
        <w:t xml:space="preserve">governance/RSPG).</w:t>
      </w:r>
      <w:r>
        <w:t xml:space="preserve"> </w:t>
      </w:r>
      <w:r>
        <w:t xml:space="preserve">The RSPG proactively engaged in solving cross-border issues in relation to use of the 700</w:t>
      </w:r>
      <w:r>
        <w:t xml:space="preserve"> </w:t>
      </w:r>
      <w:r>
        <w:t xml:space="preserve">MHz frequency band193. It also adopted an opinion194 with a coordinated solution for the 700</w:t>
      </w:r>
      <w:r>
        <w:t xml:space="preserve"> </w:t>
      </w:r>
      <w:r>
        <w:t xml:space="preserve">MHz frequency band on interference between Italy and Croatia. The RSPG mediation was</w:t>
      </w:r>
      <w:r>
        <w:t xml:space="preserve"> </w:t>
      </w:r>
      <w:r>
        <w:t xml:space="preserve">also sought in coordination issues between Italy and France, and within Cyprus. However, the</w:t>
      </w:r>
      <w:r>
        <w:t xml:space="preserve"> </w:t>
      </w:r>
      <w:r>
        <w:t xml:space="preserve">limitation of the scope of Article 28 to harmonised spectrum, thus excluding for instance FM</w:t>
      </w:r>
      <w:r>
        <w:t xml:space="preserve"> </w:t>
      </w:r>
      <w:r>
        <w:t xml:space="preserve">radio, prevents adoption of appropriate measures regarding non harmonised spectrum which</w:t>
      </w:r>
      <w:r>
        <w:t xml:space="preserve"> </w:t>
      </w:r>
      <w:r>
        <w:t xml:space="preserve">nevertheless has a high economic, cultural and social value and could solve issues such as</w:t>
      </w:r>
      <w:r>
        <w:t xml:space="preserve"> </w:t>
      </w:r>
      <w:r>
        <w:t xml:space="preserve">between Italy and Slovenia, Croatia and France.</w:t>
      </w:r>
      <w:r>
        <w:br/>
      </w:r>
      <w:r>
        <w:t xml:space="preserve">The RSPG good offices framework facilitated coordination negotiations between the Union</w:t>
      </w:r>
      <w:r>
        <w:t xml:space="preserve"> </w:t>
      </w:r>
      <w:r>
        <w:t xml:space="preserve">and third countries including with Tunisia, Libya, Albania, Montenegro, North Macedonia,</w:t>
      </w:r>
      <w:r>
        <w:t xml:space="preserve"> </w:t>
      </w:r>
      <w:r>
        <w:t xml:space="preserve">Moldova, Belarus, Russia and Ukraine195. However, on cross-border coordination issues with</w:t>
      </w:r>
      <w:r>
        <w:t xml:space="preserve"> </w:t>
      </w:r>
      <w:r>
        <w:t xml:space="preserve">third countries in general, the RSPG assistance has not been completely effective since the</w:t>
      </w:r>
      <w:r>
        <w:t xml:space="preserve"> </w:t>
      </w:r>
      <w:r>
        <w:t xml:space="preserve">RSPG lacks a legal basis to act in the same way as with intra-EU cross border coordination.</w:t>
      </w:r>
      <w:r>
        <w:t xml:space="preserve"> </w:t>
      </w:r>
      <w:r>
        <w:t xml:space="preserve">The support provided by the Union to Member States in case of interference caused by a third</w:t>
      </w:r>
      <w:r>
        <w:t xml:space="preserve"> </w:t>
      </w:r>
      <w:r>
        <w:t xml:space="preserve">country would gain in effectiveness if Member States, acting altogether or with a particular</w:t>
      </w:r>
      <w:r>
        <w:t xml:space="preserve"> </w:t>
      </w:r>
      <w:r>
        <w:t xml:space="preserve">push by EU action, could also intervene alongside the Commission.</w:t>
      </w:r>
    </w:p>
    <w:p>
      <w:pPr>
        <w:pStyle w:val="BodyText"/>
      </w:pPr>
      <w:r>
        <w:t xml:space="preserve">193 RSPG Report on the results of the RSPG</w:t>
      </w:r>
      <w:r>
        <w:t xml:space="preserve"> </w:t>
      </w:r>
      <w:r>
        <w:t xml:space="preserve">“Good offices”</w:t>
      </w:r>
      <w:r>
        <w:t xml:space="preserve"> </w:t>
      </w:r>
      <w:r>
        <w:t xml:space="preserve">for 700 MHz spectrum clearance and migration of</w:t>
      </w:r>
      <w:r>
        <w:t xml:space="preserve"> </w:t>
      </w:r>
      <w:r>
        <w:t xml:space="preserve">broadcasting service below 694 MHz (RSPG18-042 FINAL).</w:t>
      </w:r>
      <w:r>
        <w:t xml:space="preserve"> </w:t>
      </w:r>
      <w:r>
        <w:t xml:space="preserve">194 RSPG Opinion on the application of EECC Article 28(3) in relation to cross-border interference problems</w:t>
      </w:r>
      <w:r>
        <w:t xml:space="preserve"> </w:t>
      </w:r>
      <w:r>
        <w:t xml:space="preserve">between Italy and Croatia in the UHF band (RSPG21-029 FINAL).</w:t>
      </w:r>
      <w:r>
        <w:t xml:space="preserve"> </w:t>
      </w:r>
      <w:r>
        <w:t xml:space="preserve">195 See the RSPG Good Offices’ progress reports to each RSPG Plenary.</w:t>
      </w:r>
    </w:p>
    <w:p>
      <w:pPr>
        <w:pStyle w:val="BodyText"/>
      </w:pPr>
      <w:r>
        <w:t xml:space="preserve">73</w:t>
      </w:r>
    </w:p>
    <w:p>
      <w:pPr>
        <w:pStyle w:val="BodyText"/>
      </w:pPr>
      <w:r>
        <w:t xml:space="preserve">Figure 13: Geographic distribution of cross-border harmful spectrum interference in Europe</w:t>
      </w:r>
    </w:p>
    <w:p>
      <w:pPr>
        <w:pStyle w:val="BodyText"/>
      </w:pPr>
      <w:r>
        <w:t xml:space="preserve">Source: Own desk research based on information and notes from the European Commission</w:t>
      </w:r>
      <w:r>
        <w:t xml:space="preserve"> </w:t>
      </w:r>
      <w:r>
        <w:t xml:space="preserve">5.5.3. Spectrum sharing, transfer and leasing</w:t>
      </w:r>
      <w:r>
        <w:br/>
      </w:r>
      <w:r>
        <w:t xml:space="preserve">The demand for radio frequency spectrum has been rapidly increasing due to the evolution</w:t>
      </w:r>
      <w:r>
        <w:t xml:space="preserve"> </w:t>
      </w:r>
      <w:r>
        <w:t xml:space="preserve">from 4G to 5G, and eventually toward 6G. This trend is affecting all sectors—from telecom to</w:t>
      </w:r>
      <w:r>
        <w:t xml:space="preserve"> </w:t>
      </w:r>
      <w:r>
        <w:t xml:space="preserve">transportation, healthcare, manufacturing, and beyond. Comparing to 4G, 5G brought 10x</w:t>
      </w:r>
      <w:r>
        <w:t xml:space="preserve"> </w:t>
      </w:r>
      <w:r>
        <w:t xml:space="preserve">faster speeds, ultra-low latency and massive device connectivity, while 6G is expected to offer</w:t>
      </w:r>
      <w:r>
        <w:t xml:space="preserve"> </w:t>
      </w:r>
      <w:r>
        <w:t xml:space="preserve">terabit-per-second speeds and support real-time, AI-driven, immersive experiences (e.g.,</w:t>
      </w:r>
      <w:r>
        <w:t xml:space="preserve"> </w:t>
      </w:r>
      <w:r>
        <w:t xml:space="preserve">holograms, extended reality). Combined with an explosion of the number of devices</w:t>
      </w:r>
      <w:r>
        <w:t xml:space="preserve"> </w:t>
      </w:r>
      <w:r>
        <w:t xml:space="preserve">(smartphones, IoT, sensors, autonomous machines) and new applications emerging (Smart</w:t>
      </w:r>
      <w:r>
        <w:t xml:space="preserve"> </w:t>
      </w:r>
      <w:r>
        <w:t xml:space="preserve">cities, Industry 4.0, autonomous vehicles, remote surgery, AR/VR, and metaverse), we can</w:t>
      </w:r>
      <w:r>
        <w:t xml:space="preserve"> </w:t>
      </w:r>
      <w:r>
        <w:t xml:space="preserve">anticipate a massive increase in spectrum bandwidth needs beyond the electronic</w:t>
      </w:r>
      <w:r>
        <w:t xml:space="preserve"> </w:t>
      </w:r>
      <w:r>
        <w:t xml:space="preserve">communications sector196 and hence spectrum sharing continues to be important.</w:t>
      </w:r>
    </w:p>
    <w:p>
      <w:pPr>
        <w:pStyle w:val="BodyText"/>
      </w:pPr>
      <w:r>
        <w:t xml:space="preserve">196 According to GSMA European operators had to nearly double the average spectrum holdings assigned to</w:t>
      </w:r>
      <w:r>
        <w:t xml:space="preserve"> </w:t>
      </w:r>
      <w:r>
        <w:t xml:space="preserve">them by country to bring 4G and 5G to consumers and on the other side by the controversy and competing</w:t>
      </w:r>
      <w:r>
        <w:t xml:space="preserve"> </w:t>
      </w:r>
      <w:r>
        <w:t xml:space="preserve">demands for the sub-700 MHz band (by terrestrial broadcasting and mobile operators as well as by users of</w:t>
      </w:r>
      <w:r>
        <w:t xml:space="preserve"> </w:t>
      </w:r>
      <w:r>
        <w:t xml:space="preserve">wireless microphones) and for the upper 6 GHz band (by various stakeholders including from the satellite,</w:t>
      </w:r>
      <w:r>
        <w:t xml:space="preserve"> </w:t>
      </w:r>
      <w:r>
        <w:t xml:space="preserve">mobile and RLAN communities). Both frequency bands are considered as potentially last opportunities to</w:t>
      </w:r>
      <w:r>
        <w:t xml:space="preserve"> </w:t>
      </w:r>
      <w:r>
        <w:t xml:space="preserve">access valuable spectrum in the low-band and mid-band range, respectively.</w:t>
      </w:r>
    </w:p>
    <w:p>
      <w:pPr>
        <w:pStyle w:val="BodyText"/>
      </w:pPr>
      <w:r>
        <w:t xml:space="preserve">74</w:t>
      </w:r>
    </w:p>
    <w:p>
      <w:pPr>
        <w:pStyle w:val="BodyText"/>
      </w:pPr>
      <w:r>
        <w:t xml:space="preserve">Spectrum sharing and leasing are supported under Articles 45, 46, 48, and 51 of the EECC.</w:t>
      </w:r>
      <w:r>
        <w:t xml:space="preserve"> </w:t>
      </w:r>
      <w:r>
        <w:t xml:space="preserve">The EECC emphasizes that spectrum sharing, when complying with relevant competition law</w:t>
      </w:r>
      <w:r>
        <w:t xml:space="preserve"> </w:t>
      </w:r>
      <w:r>
        <w:t xml:space="preserve">rules, can increase effective and efficient use of spectrum and facilitate the rapid deployment</w:t>
      </w:r>
      <w:r>
        <w:t xml:space="preserve"> </w:t>
      </w:r>
      <w:r>
        <w:t xml:space="preserve">of mobile networks. However, these provisions are voluntarily applied and seldom used, and</w:t>
      </w:r>
      <w:r>
        <w:t xml:space="preserve"> </w:t>
      </w:r>
      <w:r>
        <w:t xml:space="preserve">the framework lacks clear support for shared or local access models. In several prominent</w:t>
      </w:r>
      <w:r>
        <w:t xml:space="preserve"> </w:t>
      </w:r>
      <w:r>
        <w:t xml:space="preserve">cases, agreements on spectrum sharing have been subject to competition law scrutiny.197</w:t>
      </w:r>
      <w:r>
        <w:br/>
      </w:r>
      <w:r>
        <w:t xml:space="preserve">In its 2021 Opinion on Spectrum Sharing – Pioneer Initiatives and Bands, the RSPG</w:t>
      </w:r>
      <w:r>
        <w:t xml:space="preserve"> </w:t>
      </w:r>
      <w:r>
        <w:t xml:space="preserve">highlighted that spectrum sharing in the Union has so far been implemented in a rather static</w:t>
      </w:r>
      <w:r>
        <w:t xml:space="preserve"> </w:t>
      </w:r>
      <w:r>
        <w:t xml:space="preserve">and conservative manner and called for further development — particularly to enhance the</w:t>
      </w:r>
      <w:r>
        <w:t xml:space="preserve"> </w:t>
      </w:r>
      <w:r>
        <w:t xml:space="preserve">efficient use of radio spectrum and to promote innovation. The examples of spectrum sharing</w:t>
      </w:r>
      <w:r>
        <w:t xml:space="preserve"> </w:t>
      </w:r>
      <w:r>
        <w:t xml:space="preserve">in the EU remain limited and fragmented. The RSPG recommended that the EC and Member</w:t>
      </w:r>
      <w:r>
        <w:t xml:space="preserve"> </w:t>
      </w:r>
      <w:r>
        <w:t xml:space="preserve">States identify use cases requiring spectrum sharing and develop a proof-of-concept</w:t>
      </w:r>
      <w:r>
        <w:t xml:space="preserve"> </w:t>
      </w:r>
      <w:r>
        <w:t xml:space="preserve">framework using ICT systems with innovative technologies, such as Artificial</w:t>
      </w:r>
      <w:r>
        <w:t xml:space="preserve"> </w:t>
      </w:r>
      <w:r>
        <w:t xml:space="preserve">Intelligence/Machine Learning. Several regulators and industry bodies—such as BNetzA,</w:t>
      </w:r>
      <w:r>
        <w:t xml:space="preserve"> </w:t>
      </w:r>
      <w:r>
        <w:t xml:space="preserve">ARCEP and GSMA— also emphasise the need for more dynamic spectrum management,</w:t>
      </w:r>
      <w:r>
        <w:t xml:space="preserve"> </w:t>
      </w:r>
      <w:r>
        <w:t xml:space="preserve">including spectrum-sharing mechanisms like Licensed Shared Access and flexible licensing</w:t>
      </w:r>
      <w:r>
        <w:t xml:space="preserve"> </w:t>
      </w:r>
      <w:r>
        <w:t xml:space="preserve">models for private or local networks. These tools are seen as essential to maximise efficiency,</w:t>
      </w:r>
      <w:r>
        <w:t xml:space="preserve"> </w:t>
      </w:r>
      <w:r>
        <w:t xml:space="preserve">particularly in higher frequency bands (e.g. mmWave and future terahertz) where exclusive</w:t>
      </w:r>
      <w:r>
        <w:t xml:space="preserve"> </w:t>
      </w:r>
      <w:r>
        <w:t xml:space="preserve">licences risk underuse.</w:t>
      </w:r>
      <w:r>
        <w:t xml:space="preserve"> </w:t>
      </w:r>
      <w:r>
        <w:t xml:space="preserve">The EECC allows spectrum licensees to transfer or lease their usage rights to third parties, to</w:t>
      </w:r>
      <w:r>
        <w:t xml:space="preserve"> </w:t>
      </w:r>
      <w:r>
        <w:t xml:space="preserve">promote more efficient spectrum use and market flexibility. Under Article 51, such transfers</w:t>
      </w:r>
      <w:r>
        <w:t xml:space="preserve"> </w:t>
      </w:r>
      <w:r>
        <w:t xml:space="preserve">or leases must be notified to NRAs, which may impose conditions or block transactions to</w:t>
      </w:r>
      <w:r>
        <w:t xml:space="preserve"> </w:t>
      </w:r>
      <w:r>
        <w:t xml:space="preserve">prevent market distortion or inefficiencies. The process must be transparent, with transfers</w:t>
      </w:r>
      <w:r>
        <w:t xml:space="preserve"> </w:t>
      </w:r>
      <w:r>
        <w:t xml:space="preserve">made public. Article 52 further enables regulators to attach conditions to spectrum rights that</w:t>
      </w:r>
      <w:r>
        <w:t xml:space="preserve"> </w:t>
      </w:r>
      <w:r>
        <w:t xml:space="preserve">encourage effective use while maintaining technological and service neutrality. However,</w:t>
      </w:r>
      <w:r>
        <w:t xml:space="preserve"> </w:t>
      </w:r>
      <w:r>
        <w:t xml:space="preserve">implementation is left to Member States, resulting in fragmented secondary market activity</w:t>
      </w:r>
      <w:r>
        <w:t xml:space="preserve"> </w:t>
      </w:r>
      <w:r>
        <w:t xml:space="preserve">across the EU. Mechanisms such as Licensed Shared Access (LSA) and spectrum</w:t>
      </w:r>
      <w:r>
        <w:t xml:space="preserve"> </w:t>
      </w:r>
      <w:r>
        <w:t xml:space="preserve">trading/leasing have seen limited uptake, often due to inconsistent national implementation</w:t>
      </w:r>
      <w:r>
        <w:t xml:space="preserve"> </w:t>
      </w:r>
      <w:r>
        <w:t xml:space="preserve">and lack of centralised guidance.198</w:t>
      </w:r>
      <w:r>
        <w:br/>
      </w:r>
      <w:r>
        <w:t xml:space="preserve">The EC study indicates that there have been very few spectrum trades in Europe in the highest</w:t>
      </w:r>
      <w:r>
        <w:t xml:space="preserve"> </w:t>
      </w:r>
      <w:r>
        <w:t xml:space="preserve">value sector (mobile). The study mentions two cases: a rearrangement of 1 800 MHz spectrum</w:t>
      </w:r>
      <w:r>
        <w:t xml:space="preserve"> </w:t>
      </w:r>
      <w:r>
        <w:t xml:space="preserve">held by four operators in Slovakia in 1 800 MHz in 2022199; and Proximus’ purchase of 3.6</w:t>
      </w:r>
      <w:r>
        <w:t xml:space="preserve"> </w:t>
      </w:r>
      <w:r>
        <w:t xml:space="preserve">GHz spectrum from an existing operator in 2024.200 This contrasts sharply with Australia,</w:t>
      </w:r>
      <w:r>
        <w:t xml:space="preserve"> </w:t>
      </w:r>
      <w:r>
        <w:t xml:space="preserve">where the Productivity Commission estimates the annual turnover of spectrum licences at 6%,</w:t>
      </w:r>
      <w:r>
        <w:t xml:space="preserve"> </w:t>
      </w:r>
      <w:r>
        <w:t xml:space="preserve">similar to the commercial property market. In the United States, deals worth hundreds of</w:t>
      </w:r>
      <w:r>
        <w:t xml:space="preserve"> </w:t>
      </w:r>
      <w:r>
        <w:t xml:space="preserve">millions of dollars are not unusual in the mobile market. For example, the biggest spectrum</w:t>
      </w:r>
      <w:r>
        <w:t xml:space="preserve"> </w:t>
      </w:r>
      <w:r>
        <w:t xml:space="preserve">trade was in 2014 T-Mobile announced a mutual deal with Verizon Wireless estimated to be</w:t>
      </w:r>
    </w:p>
    <w:p>
      <w:pPr>
        <w:pStyle w:val="BodyText"/>
      </w:pPr>
      <w:r>
        <w:t xml:space="preserve">197 See cerre_implementing_co-investment_and_network_sharing-26.05.2020.pdf .</w:t>
      </w:r>
      <w:r>
        <w:br/>
      </w:r>
      <w:r>
        <w:t xml:space="preserve">198 OECD (2022). Developments in Spectrum Management for Communication Services, pp. 20–22.</w:t>
      </w:r>
      <w:r>
        <w:t xml:space="preserve"> </w:t>
      </w:r>
      <w:r>
        <w:t xml:space="preserve">https://www.oecd-ilibrary.org/docserver/175e7ce5-en.pdf.</w:t>
      </w:r>
      <w:r>
        <w:t xml:space="preserve"> </w:t>
      </w:r>
      <w:r>
        <w:t xml:space="preserve">199 PolicyTracker (2022). Slovak operators agree 1800 MHz spectrum trade as regulator publishes 5G auction</w:t>
      </w:r>
      <w:r>
        <w:t xml:space="preserve"> </w:t>
      </w:r>
      <w:r>
        <w:t xml:space="preserve">terms: https://www.policytracker.com/slovak-operators-agree-on-1800-mhz-spectrum-trade-as-regulator-</w:t>
      </w:r>
      <w:r>
        <w:t xml:space="preserve"> </w:t>
      </w:r>
      <w:r>
        <w:t xml:space="preserve">publishes-5g-auction-terms/.</w:t>
      </w:r>
      <w:r>
        <w:br/>
      </w:r>
      <w:r>
        <w:t xml:space="preserve">200 PolicyTracker (2024). Belgian MNO to buy spectrum from IT firm in rare voluntary trade:</w:t>
      </w:r>
      <w:r>
        <w:t xml:space="preserve"> </w:t>
      </w:r>
      <w:r>
        <w:t xml:space="preserve">https://www.policytracker.com/proximus-to-buy-spectrum-from-it-firm-in-rare-voluntary-trade/.</w:t>
      </w:r>
    </w:p>
    <w:p>
      <w:pPr>
        <w:pStyle w:val="BodyText"/>
      </w:pPr>
      <w:r>
        <w:t xml:space="preserve">75</w:t>
      </w:r>
    </w:p>
    <w:p>
      <w:pPr>
        <w:pStyle w:val="BodyText"/>
      </w:pPr>
      <w:r>
        <w:t xml:space="preserve">worth USD 3.3 billion.201 These are not takeovers of one company by another, but voluntary</w:t>
      </w:r>
      <w:r>
        <w:t xml:space="preserve"> </w:t>
      </w:r>
      <w:r>
        <w:t xml:space="preserve">trades where only spectrum was sold or exchanged.</w:t>
      </w:r>
      <w:r>
        <w:br/>
      </w:r>
      <w:r>
        <w:t xml:space="preserve">In Finland, spectrum pooling has been implemented to improve coverage and efficiency in</w:t>
      </w:r>
      <w:r>
        <w:t xml:space="preserve"> </w:t>
      </w:r>
      <w:r>
        <w:t xml:space="preserve">sparsely populated areas, particularly through joint network deployments by mobile operators.</w:t>
      </w:r>
      <w:r>
        <w:t xml:space="preserve"> </w:t>
      </w:r>
      <w:r>
        <w:t xml:space="preserve">In Italy, AGCOM introduced the “club use” model for the 26 GHz frequency band whereby</w:t>
      </w:r>
      <w:r>
        <w:t xml:space="preserve"> </w:t>
      </w:r>
      <w:r>
        <w:t xml:space="preserve">five licensees each hold 200 MHz and may dynamically access up to 1 GHz of spectrum in</w:t>
      </w:r>
      <w:r>
        <w:t xml:space="preserve"> </w:t>
      </w:r>
      <w:r>
        <w:t xml:space="preserve">areas not used by others, based on commercial agreements. While countries like the</w:t>
      </w:r>
      <w:r>
        <w:t xml:space="preserve"> </w:t>
      </w:r>
      <w:r>
        <w:t xml:space="preserve">Netherlands and Finland have introduced flexible spectrum leasing models, others, such as</w:t>
      </w:r>
      <w:r>
        <w:t xml:space="preserve"> </w:t>
      </w:r>
      <w:r>
        <w:t xml:space="preserve">Poland, maintain rigid frameworks that prevent optimal reallocation. This fragmentation led</w:t>
      </w:r>
      <w:r>
        <w:t xml:space="preserve"> </w:t>
      </w:r>
      <w:r>
        <w:t xml:space="preserve">to inefficiencies, with an inexistent secondary spectrum trading market, with operators in</w:t>
      </w:r>
      <w:r>
        <w:t xml:space="preserve"> </w:t>
      </w:r>
      <w:r>
        <w:t xml:space="preserve">some markets unable to lease unused spectrum due to restrictive national policies or adjust</w:t>
      </w:r>
      <w:r>
        <w:t xml:space="preserve"> </w:t>
      </w:r>
      <w:r>
        <w:t xml:space="preserve">spectrum holdings to meet evolving demand.</w:t>
      </w:r>
      <w:r>
        <w:br/>
      </w:r>
      <w:r>
        <w:t xml:space="preserve">According to the study, the main driver for very active spectrum trading markets in the US</w:t>
      </w:r>
      <w:r>
        <w:t xml:space="preserve"> </w:t>
      </w:r>
      <w:r>
        <w:t xml:space="preserve">and elsewhere is the combination of national with local licences. While national mobile</w:t>
      </w:r>
      <w:r>
        <w:t xml:space="preserve"> </w:t>
      </w:r>
      <w:r>
        <w:t xml:space="preserve">licences have been the norm in the EU, the experience from other parts of the world shows</w:t>
      </w:r>
      <w:r>
        <w:t xml:space="preserve"> </w:t>
      </w:r>
      <w:r>
        <w:t xml:space="preserve">that trading is a viable policy option and could be more relevant in the future with the</w:t>
      </w:r>
      <w:r>
        <w:t xml:space="preserve"> </w:t>
      </w:r>
      <w:r>
        <w:t xml:space="preserve">authorisation of higher band spectrum (e.g mid-band and mmW band spectrum) in a</w:t>
      </w:r>
      <w:r>
        <w:t xml:space="preserve"> </w:t>
      </w:r>
      <w:r>
        <w:t xml:space="preserve">combination of national and regional/local way.</w:t>
      </w:r>
      <w:r>
        <w:br/>
      </w:r>
      <w:r>
        <w:t xml:space="preserve">EECC rules on spectrum sharing, transfer, and leasing have not been effective in promoting</w:t>
      </w:r>
      <w:r>
        <w:t xml:space="preserve"> </w:t>
      </w:r>
      <w:r>
        <w:t xml:space="preserve">efficient spectrum use, as evidenced by the inconsistent and limited utilisation of these models</w:t>
      </w:r>
      <w:r>
        <w:t xml:space="preserve"> </w:t>
      </w:r>
      <w:r>
        <w:t xml:space="preserve">across the EU. Although some Member States adopted flexible leasing and sharing models,</w:t>
      </w:r>
      <w:r>
        <w:t xml:space="preserve"> </w:t>
      </w:r>
      <w:r>
        <w:t xml:space="preserve">the lack of EU-wide coordination and support for shared or local access models caused</w:t>
      </w:r>
      <w:r>
        <w:t xml:space="preserve"> </w:t>
      </w:r>
      <w:r>
        <w:t xml:space="preserve">underutilisation of spectrum, which is a concern as demand for wireless broadband increases</w:t>
      </w:r>
      <w:r>
        <w:t xml:space="preserve"> </w:t>
      </w:r>
      <w:r>
        <w:t xml:space="preserve">with the arrival of 6G. The absence of a harmonized framework for secondary spectrum</w:t>
      </w:r>
      <w:r>
        <w:t xml:space="preserve"> </w:t>
      </w:r>
      <w:r>
        <w:t xml:space="preserve">trading has further led to inefficiencies, with restrictive national policies inhibiting optimal</w:t>
      </w:r>
      <w:r>
        <w:t xml:space="preserve"> </w:t>
      </w:r>
      <w:r>
        <w:t xml:space="preserve">spectrum reallocation. The divergences among Member States prevented the creation of a</w:t>
      </w:r>
      <w:r>
        <w:t xml:space="preserve"> </w:t>
      </w:r>
      <w:r>
        <w:t xml:space="preserve">single market, resulting in a fragmented secondary market and inconsistent spectrum</w:t>
      </w:r>
      <w:r>
        <w:t xml:space="preserve"> </w:t>
      </w:r>
      <w:r>
        <w:t xml:space="preserve">management in the EU.</w:t>
      </w:r>
      <w:r>
        <w:t xml:space="preserve"> </w:t>
      </w:r>
      <w:r>
        <w:t xml:space="preserve">The</w:t>
      </w:r>
      <w:r>
        <w:t xml:space="preserve"> </w:t>
      </w:r>
      <w:r>
        <w:t xml:space="preserve">“use-it-or-lose-it”</w:t>
      </w:r>
      <w:r>
        <w:t xml:space="preserve"> </w:t>
      </w:r>
      <w:r>
        <w:t xml:space="preserve">principle</w:t>
      </w:r>
      <w:r>
        <w:t xml:space="preserve"> </w:t>
      </w:r>
      <w:r>
        <w:t xml:space="preserve">The</w:t>
      </w:r>
      <w:r>
        <w:t xml:space="preserve"> </w:t>
      </w:r>
      <w:r>
        <w:t xml:space="preserve">“use-it-or-lose-it”</w:t>
      </w:r>
      <w:r>
        <w:t xml:space="preserve"> </w:t>
      </w:r>
      <w:r>
        <w:t xml:space="preserve">principle allows regulators to revoke or reassign spectrum if it remains</w:t>
      </w:r>
      <w:r>
        <w:t xml:space="preserve"> </w:t>
      </w:r>
      <w:r>
        <w:t xml:space="preserve">unused, helping to prevent hoarding and promote efficiency. While the EECC does not</w:t>
      </w:r>
      <w:r>
        <w:t xml:space="preserve"> </w:t>
      </w:r>
      <w:r>
        <w:t xml:space="preserve">mandate it, it allows national regulators to include such conditions as authorisation conditions.</w:t>
      </w:r>
      <w:r>
        <w:t xml:space="preserve"> </w:t>
      </w:r>
      <w:r>
        <w:t xml:space="preserve">Implementation at EU level is hence uneven, with some Member States having incorporated</w:t>
      </w:r>
      <w:r>
        <w:t xml:space="preserve"> </w:t>
      </w:r>
      <w:r>
        <w:t xml:space="preserve">such provisions into their regulatory frameworks, while others not.</w:t>
      </w:r>
      <w:r>
        <w:br/>
      </w:r>
      <w:r>
        <w:t xml:space="preserve">Germany’s Federal Network Agency (BNetzA) has included</w:t>
      </w:r>
      <w:r>
        <w:t xml:space="preserve"> </w:t>
      </w:r>
      <w:r>
        <w:t xml:space="preserve">“use-it-or-lose-it”</w:t>
      </w:r>
      <w:r>
        <w:t xml:space="preserve"> </w:t>
      </w:r>
      <w:r>
        <w:t xml:space="preserve">clauses in</w:t>
      </w:r>
      <w:r>
        <w:t xml:space="preserve"> </w:t>
      </w:r>
      <w:r>
        <w:t xml:space="preserve">certain spectrum licenses, requiring licensees to meet specific rollout obligations within</w:t>
      </w:r>
      <w:r>
        <w:t xml:space="preserve"> </w:t>
      </w:r>
      <w:r>
        <w:t xml:space="preserve">defined timeframes. Specifically, in the context of local broadband applications in the 3 700–</w:t>
      </w:r>
      <w:r>
        <w:t xml:space="preserve"> </w:t>
      </w:r>
      <w:r>
        <w:t xml:space="preserve">3 800 MHz and 26 GHz frequency bands, BNetzA stipulates that spectrum assignments can</w:t>
      </w:r>
      <w:r>
        <w:t xml:space="preserve"> </w:t>
      </w:r>
      <w:r>
        <w:t xml:space="preserve">be revoked if use of the spectrum has not commenced within one year of the assignment, or if</w:t>
      </w:r>
      <w:r>
        <w:t xml:space="preserve"> </w:t>
      </w:r>
      <w:r>
        <w:t xml:space="preserve">the spectrum has not been used for its intended purpose for more than one year.</w:t>
      </w:r>
      <w:r>
        <w:br/>
      </w:r>
      <w:r>
        <w:t xml:space="preserve">Outside the EU, the United Kingdom’s communications regulator, Ofcom, has enforced</w:t>
      </w:r>
      <w:r>
        <w:t xml:space="preserve"> </w:t>
      </w:r>
      <w:r>
        <w:t xml:space="preserve">adherence to spectrum license conditions on a</w:t>
      </w:r>
      <w:r>
        <w:t xml:space="preserve"> </w:t>
      </w:r>
      <w:r>
        <w:t xml:space="preserve">“use-it-or-lose-it”</w:t>
      </w:r>
      <w:r>
        <w:t xml:space="preserve"> </w:t>
      </w:r>
      <w:r>
        <w:t xml:space="preserve">basis, particularly in the</w:t>
      </w:r>
      <w:r>
        <w:t xml:space="preserve"> </w:t>
      </w:r>
      <w:r>
        <w:t xml:space="preserve">context of mobile spectrum licenses. Furthermore, Canada and Australia apply clearer</w:t>
      </w:r>
    </w:p>
    <w:p>
      <w:pPr>
        <w:pStyle w:val="BodyText"/>
      </w:pPr>
      <w:r>
        <w:t xml:space="preserve">201 See RTE (2014). T-Mobile to buy Verizon Wireless spectrum in $3.3 billion deal:</w:t>
      </w:r>
      <w:r>
        <w:t xml:space="preserve"> </w:t>
      </w:r>
      <w:r>
        <w:t xml:space="preserve">https://www.rte.ie/news/business/2014/0106/496244-t-mobile-sale.</w:t>
      </w:r>
    </w:p>
    <w:p>
      <w:pPr>
        <w:pStyle w:val="BodyText"/>
      </w:pPr>
      <w:r>
        <w:t xml:space="preserve">76</w:t>
      </w:r>
    </w:p>
    <w:p>
      <w:pPr>
        <w:pStyle w:val="BodyText"/>
      </w:pPr>
      <w:r>
        <w:t xml:space="preserve">policies: Canada’s 2024 reform enables reallocation in underserved areas, while Australia</w:t>
      </w:r>
      <w:r>
        <w:t xml:space="preserve"> </w:t>
      </w:r>
      <w:r>
        <w:t xml:space="preserve">links licences to rollout obligations with penalties for non-compliance.</w:t>
      </w:r>
      <w:r>
        <w:t xml:space="preserve"> </w:t>
      </w:r>
      <w:r>
        <w:t xml:space="preserve">These approaches encourage efficiency, though overly strict enforcement may deter</w:t>
      </w:r>
      <w:r>
        <w:t xml:space="preserve"> </w:t>
      </w:r>
      <w:r>
        <w:t xml:space="preserve">investment. A more harmonised EU application could improve spectrum use and accelerate</w:t>
      </w:r>
      <w:r>
        <w:t xml:space="preserve"> </w:t>
      </w:r>
      <w:r>
        <w:t xml:space="preserve">reallocation.</w:t>
      </w:r>
      <w:r>
        <w:t xml:space="preserve"> </w:t>
      </w:r>
      <w:r>
        <w:t xml:space="preserve">5.5.4. Supporting satellite EU-wide connectivity</w:t>
      </w:r>
      <w:r>
        <w:t xml:space="preserve"> </w:t>
      </w:r>
      <w:r>
        <w:t xml:space="preserve">While the EU used to be strong in space and satellite connectivity, the EECC approach to</w:t>
      </w:r>
      <w:r>
        <w:t xml:space="preserve"> </w:t>
      </w:r>
      <w:r>
        <w:t xml:space="preserve">satellite connectivity has not been successful to meet the evolving technology landscape and</w:t>
      </w:r>
      <w:r>
        <w:t xml:space="preserve"> </w:t>
      </w:r>
      <w:r>
        <w:t xml:space="preserve">the needs of the single market for EU-wide secure connectivity.</w:t>
      </w:r>
      <w:r>
        <w:t xml:space="preserve"> </w:t>
      </w:r>
      <w:r>
        <w:t xml:space="preserve">Despite their inherent cross border nature, authorisation of satellite networks and services in</w:t>
      </w:r>
      <w:r>
        <w:t xml:space="preserve"> </w:t>
      </w:r>
      <w:r>
        <w:t xml:space="preserve">the EECC is national. Although they may use the same network, with one or several satellites</w:t>
      </w:r>
      <w:r>
        <w:t xml:space="preserve"> </w:t>
      </w:r>
      <w:r>
        <w:t xml:space="preserve">to provide services to several Member States, operators are obliged to notify under general</w:t>
      </w:r>
      <w:r>
        <w:t xml:space="preserve"> </w:t>
      </w:r>
      <w:r>
        <w:t xml:space="preserve">authorisation to all Member States where they provide services and to respect nationally</w:t>
      </w:r>
      <w:r>
        <w:t xml:space="preserve"> </w:t>
      </w:r>
      <w:r>
        <w:t xml:space="preserve">defined authorisation conditions. To use spectrum, they should also either respect nationally</w:t>
      </w:r>
      <w:r>
        <w:t xml:space="preserve"> </w:t>
      </w:r>
      <w:r>
        <w:t xml:space="preserve">predefined conditions for unlicensed use of spectrum or request rights of use from every</w:t>
      </w:r>
      <w:r>
        <w:t xml:space="preserve"> </w:t>
      </w:r>
      <w:r>
        <w:t xml:space="preserve">Member State where they intend to provide service.</w:t>
      </w:r>
      <w:r>
        <w:br/>
      </w:r>
      <w:r>
        <w:t xml:space="preserve">Such fragmented regulatory framework does not facilitate scaling up through the EU wide</w:t>
      </w:r>
      <w:r>
        <w:t xml:space="preserve"> </w:t>
      </w:r>
      <w:r>
        <w:t xml:space="preserve">provision of satellite services. In 2008, a specific procedure was created for the selection at</w:t>
      </w:r>
      <w:r>
        <w:t xml:space="preserve"> </w:t>
      </w:r>
      <w:r>
        <w:t xml:space="preserve">EU level of operators using the 2 GHz Mobile Satellite Services (MSS) frequency band202, to</w:t>
      </w:r>
      <w:r>
        <w:t xml:space="preserve"> </w:t>
      </w:r>
      <w:r>
        <w:t xml:space="preserve">promote the provision of pan-EU satellite services in this band. After the EU selection in</w:t>
      </w:r>
      <w:r>
        <w:t xml:space="preserve"> </w:t>
      </w:r>
      <w:r>
        <w:t xml:space="preserve">2009, Member States issued authorisations to the two selected MSS operators for the use of</w:t>
      </w:r>
      <w:r>
        <w:t xml:space="preserve"> </w:t>
      </w:r>
      <w:r>
        <w:t xml:space="preserve">radio spectrum, both for the satellite component and for any complementary ground</w:t>
      </w:r>
      <w:r>
        <w:t xml:space="preserve"> </w:t>
      </w:r>
      <w:r>
        <w:t xml:space="preserve">components (CGC) mainly from 2011 onwards.</w:t>
      </w:r>
      <w:r>
        <w:br/>
      </w:r>
      <w:r>
        <w:t xml:space="preserve">However, the types and conditions of authorisations issued considerably varied between</w:t>
      </w:r>
      <w:r>
        <w:t xml:space="preserve"> </w:t>
      </w:r>
      <w:r>
        <w:t xml:space="preserve">Member States thereby partially undermining the harmonisation objective of the process. For</w:t>
      </w:r>
      <w:r>
        <w:t xml:space="preserve"> </w:t>
      </w:r>
      <w:r>
        <w:t xml:space="preserve">CGCs, 24 Member States issued individual authorisations whereas 2 Member States used</w:t>
      </w:r>
      <w:r>
        <w:t xml:space="preserve"> </w:t>
      </w:r>
      <w:r>
        <w:t xml:space="preserve">general authorisations. For the satellite spectrum, 20 Member States issued individual</w:t>
      </w:r>
      <w:r>
        <w:t xml:space="preserve"> </w:t>
      </w:r>
      <w:r>
        <w:t xml:space="preserve">authorisations, in 4 of which with an integration of the CGC and spectrum authorisations, 2</w:t>
      </w:r>
      <w:r>
        <w:t xml:space="preserve"> </w:t>
      </w:r>
      <w:r>
        <w:t xml:space="preserve">used general authorisations, and 2 followed a hybrid approach.</w:t>
      </w:r>
      <w:r>
        <w:br/>
      </w:r>
      <w:r>
        <w:t xml:space="preserve">While there are no specific provisions in the EECC on satellite spectrum assignment and</w:t>
      </w:r>
      <w:r>
        <w:t xml:space="preserve"> </w:t>
      </w:r>
      <w:r>
        <w:t xml:space="preserve">authorisation, satellite communication networks and services fall within the scope of</w:t>
      </w:r>
      <w:r>
        <w:t xml:space="preserve"> </w:t>
      </w:r>
      <w:r>
        <w:t xml:space="preserve">application of the EECC that is supposed to guarantee a degree of harmonisation. The</w:t>
      </w:r>
      <w:r>
        <w:t xml:space="preserve"> </w:t>
      </w:r>
      <w:r>
        <w:t xml:space="preserve">provisions of the EECC relevant to general authorisation (Article 12 and following) and the</w:t>
      </w:r>
      <w:r>
        <w:t xml:space="preserve"> </w:t>
      </w:r>
      <w:r>
        <w:t xml:space="preserve">provisions which concern the assignment of spectrum, under general authorisation</w:t>
      </w:r>
      <w:r>
        <w:t xml:space="preserve"> </w:t>
      </w:r>
      <w:r>
        <w:t xml:space="preserve">(Article 46) or individual rights of use (Article 48) fully apply for the provision of satellite</w:t>
      </w:r>
      <w:r>
        <w:t xml:space="preserve"> </w:t>
      </w:r>
      <w:r>
        <w:t xml:space="preserve">networks and the use of satellite spectrum. It is left to national authorities to decide how to</w:t>
      </w:r>
      <w:r>
        <w:t xml:space="preserve"> </w:t>
      </w:r>
      <w:r>
        <w:t xml:space="preserve">authorise the use of spectrum for satellite networks and services; this varies from individual</w:t>
      </w:r>
      <w:r>
        <w:t xml:space="preserve"> </w:t>
      </w:r>
      <w:r>
        <w:t xml:space="preserve">authorisation to the notification or registration of the provision of satellite services without</w:t>
      </w:r>
      <w:r>
        <w:t xml:space="preserve"> </w:t>
      </w:r>
      <w:r>
        <w:t xml:space="preserve">reference to the specific spectrum bands used. Moreover, conditions and requirements</w:t>
      </w:r>
      <w:r>
        <w:t xml:space="preserve"> </w:t>
      </w:r>
      <w:r>
        <w:t xml:space="preserve">attached to the provision of a satellite service differ between Member States: individual</w:t>
      </w:r>
      <w:r>
        <w:t xml:space="preserve"> </w:t>
      </w:r>
      <w:r>
        <w:t xml:space="preserve">authorisations vary from 5 to 20 years for the space segment and from 5 to 10 years for</w:t>
      </w:r>
      <w:r>
        <w:t xml:space="preserve"> </w:t>
      </w:r>
      <w:r>
        <w:t xml:space="preserve">ground stations. Moreover, it is often unclear whether general authorisations are associated</w:t>
      </w:r>
      <w:r>
        <w:t xml:space="preserve"> </w:t>
      </w:r>
      <w:r>
        <w:t xml:space="preserve">with the fulfilment of certain requirements, even basic ones such as the respect of ITU-R</w:t>
      </w:r>
    </w:p>
    <w:p>
      <w:pPr>
        <w:pStyle w:val="BodyText"/>
      </w:pPr>
      <w:r>
        <w:t xml:space="preserve">202 EP and Council Decision 626/2008/EC.</w:t>
      </w:r>
    </w:p>
    <w:p>
      <w:pPr>
        <w:pStyle w:val="BodyText"/>
      </w:pPr>
      <w:r>
        <w:t xml:space="preserve">77</w:t>
      </w:r>
    </w:p>
    <w:p>
      <w:pPr>
        <w:pStyle w:val="BodyText"/>
      </w:pPr>
      <w:r>
        <w:t xml:space="preserve">Radio Regulations203. A recent EC study indicates that in the case of MSS authorization</w:t>
      </w:r>
      <w:r>
        <w:t xml:space="preserve"> </w:t>
      </w:r>
      <w:r>
        <w:t xml:space="preserve">different licensing approaches created fragmentation, including wide variations in timescales</w:t>
      </w:r>
      <w:r>
        <w:t xml:space="preserve"> </w:t>
      </w:r>
      <w:r>
        <w:t xml:space="preserve">for issuing a licence, different approaches to national coordination with existing services,</w:t>
      </w:r>
      <w:r>
        <w:t xml:space="preserve"> </w:t>
      </w:r>
      <w:r>
        <w:t xml:space="preserve">different fees and different conditions attached to the licences; the list of country specific</w:t>
      </w:r>
      <w:r>
        <w:t xml:space="preserve"> </w:t>
      </w:r>
      <w:r>
        <w:t xml:space="preserve">conditions is substantive and does not in every instance appear to be justified by national</w:t>
      </w:r>
      <w:r>
        <w:t xml:space="preserve"> </w:t>
      </w:r>
      <w:r>
        <w:t xml:space="preserve">laws204.</w:t>
      </w:r>
      <w:r>
        <w:t xml:space="preserve"> </w:t>
      </w:r>
      <w:r>
        <w:t xml:space="preserve">Fragmented authorisation, lack of common requirements and of consistent authorisation</w:t>
      </w:r>
      <w:r>
        <w:t xml:space="preserve"> </w:t>
      </w:r>
      <w:r>
        <w:t xml:space="preserve">conditions and enforcement encourages disrespect of the authorisation rules, regulatory forum</w:t>
      </w:r>
      <w:r>
        <w:t xml:space="preserve"> </w:t>
      </w:r>
      <w:r>
        <w:t xml:space="preserve">shopping and weak enforcement mechanisms and allows large satellite constellations to defy</w:t>
      </w:r>
      <w:r>
        <w:t xml:space="preserve"> </w:t>
      </w:r>
      <w:r>
        <w:t xml:space="preserve">rules to protect interference and guarantee access to the EU market. In recent years, the</w:t>
      </w:r>
      <w:r>
        <w:t xml:space="preserve"> </w:t>
      </w:r>
      <w:r>
        <w:t xml:space="preserve">number of interference cases has increased. Some publicly available evidence of this can</w:t>
      </w:r>
      <w:r>
        <w:t xml:space="preserve"> </w:t>
      </w:r>
      <w:r>
        <w:t xml:space="preserve">found for example in the recent report of the Director of the ITU Bureau to the Radio</w:t>
      </w:r>
      <w:r>
        <w:t xml:space="preserve"> </w:t>
      </w:r>
      <w:r>
        <w:t xml:space="preserve">Regulation Board205 in July 2025 where many cases are listed (see Appendix II on Radio</w:t>
      </w:r>
      <w:r>
        <w:t xml:space="preserve"> </w:t>
      </w:r>
      <w:r>
        <w:t xml:space="preserve">Spectrum with information on cases of harmful interference concerning space services)</w:t>
      </w:r>
      <w:r>
        <w:t xml:space="preserve"> </w:t>
      </w:r>
      <w:r>
        <w:t xml:space="preserve">Data shows that the EU lacks sovereignty as regards satellite networks and services. Existing</w:t>
      </w:r>
      <w:r>
        <w:t xml:space="preserve"> </w:t>
      </w:r>
      <w:r>
        <w:t xml:space="preserve">and planned constellations of thousands of satellites from third countries are occupying and</w:t>
      </w:r>
      <w:r>
        <w:t xml:space="preserve"> </w:t>
      </w:r>
      <w:r>
        <w:t xml:space="preserve">will increasingly occupy orbit and spectrum resources, which are becoming more and more</w:t>
      </w:r>
      <w:r>
        <w:t xml:space="preserve"> </w:t>
      </w:r>
      <w:r>
        <w:t xml:space="preserve">scarce. Based on the current number of satellites in Low Earth Orbit (LEO) (just under 9 000</w:t>
      </w:r>
      <w:r>
        <w:t xml:space="preserve"> </w:t>
      </w:r>
      <w:r>
        <w:t xml:space="preserve">as of February 2025), a recent EC study indicates that this number is expected to increase by</w:t>
      </w:r>
      <w:r>
        <w:t xml:space="preserve"> </w:t>
      </w:r>
      <w:r>
        <w:t xml:space="preserve">at least a factor of six in the next decade. This will place increasing pressure on both shared</w:t>
      </w:r>
      <w:r>
        <w:t xml:space="preserve"> </w:t>
      </w:r>
      <w:r>
        <w:t xml:space="preserve">and exclusive spectrum which mostly works on a “first come, first served” approach. With</w:t>
      </w:r>
      <w:r>
        <w:t xml:space="preserve"> </w:t>
      </w:r>
      <w:r>
        <w:t xml:space="preserve">only 773 LEO satellites launched and 3.120 planned, the EU lags behind the USA (i.e. 7 633</w:t>
      </w:r>
      <w:r>
        <w:t xml:space="preserve"> </w:t>
      </w:r>
      <w:r>
        <w:t xml:space="preserve">launched, 33 397 planned) and China (i.e. 220 launched, 27 198 planned)206. In case of</w:t>
      </w:r>
      <w:r>
        <w:t xml:space="preserve"> </w:t>
      </w:r>
      <w:r>
        <w:t xml:space="preserve">spectrum scarcity, a procedure to select operators at EU level for clearly cross border services</w:t>
      </w:r>
      <w:r>
        <w:t xml:space="preserve"> </w:t>
      </w:r>
      <w:r>
        <w:t xml:space="preserve">will be necessary to ensure availability of spectrum across the EU. This shows the need for</w:t>
      </w:r>
      <w:r>
        <w:t xml:space="preserve"> </w:t>
      </w:r>
      <w:r>
        <w:t xml:space="preserve">more unified EU-level coordination to streamline processes and improve satellite connectivity</w:t>
      </w:r>
      <w:r>
        <w:t xml:space="preserve"> </w:t>
      </w:r>
      <w:r>
        <w:t xml:space="preserve">effectively.</w:t>
      </w:r>
      <w:r>
        <w:br/>
      </w:r>
      <w:r>
        <w:t xml:space="preserve">5.5.5. Lack of Single Market for Spectrum</w:t>
      </w:r>
      <w:r>
        <w:t xml:space="preserve"> </w:t>
      </w:r>
      <w:r>
        <w:t xml:space="preserve">The EECC has not been effective in creating a single market for spectrum. Differentiated</w:t>
      </w:r>
      <w:r>
        <w:t xml:space="preserve"> </w:t>
      </w:r>
      <w:r>
        <w:t xml:space="preserve">conditions across Member States persist and have led to limited predictability and</w:t>
      </w:r>
      <w:r>
        <w:t xml:space="preserve"> </w:t>
      </w:r>
      <w:r>
        <w:t xml:space="preserve">inconsistencies that prevent a uniform regulatory framework throughout the EU. Deployment</w:t>
      </w:r>
      <w:r>
        <w:t xml:space="preserve"> </w:t>
      </w:r>
      <w:r>
        <w:t xml:space="preserve">has been slow due to regulatory uncertainty. Problematic auctions have not been reviewed ex</w:t>
      </w:r>
      <w:r>
        <w:t xml:space="preserve"> </w:t>
      </w:r>
      <w:r>
        <w:t xml:space="preserve">ante. The voluntary joint authorisation procedure allowing several Member States to</w:t>
      </w:r>
      <w:r>
        <w:t xml:space="preserve"> </w:t>
      </w:r>
      <w:r>
        <w:t xml:space="preserve">cooperate to grant spectrum usage rights through common conditions and procedure has never</w:t>
      </w:r>
      <w:r>
        <w:t xml:space="preserve"> </w:t>
      </w:r>
      <w:r>
        <w:t xml:space="preserve">been used since prospective users do not have a right to it. Regarding cross-border harmful</w:t>
      </w:r>
      <w:r>
        <w:t xml:space="preserve"> </w:t>
      </w:r>
      <w:r>
        <w:t xml:space="preserve">interferences between Member States, the RSPG good offices’ involvement has not been fully</w:t>
      </w:r>
    </w:p>
    <w:p>
      <w:pPr>
        <w:pStyle w:val="BodyText"/>
      </w:pPr>
      <w:r>
        <w:t xml:space="preserve">203 RSPG Opinion on the EU-level policy approach to satellite Direct-to-Device connectivity and related Single</w:t>
      </w:r>
      <w:r>
        <w:t xml:space="preserve"> </w:t>
      </w:r>
      <w:r>
        <w:t xml:space="preserve">Market issues (RSPG25-020 FINAL)</w:t>
      </w:r>
      <w:r>
        <w:br/>
      </w:r>
      <w:r>
        <w:t xml:space="preserve">204 Study on Mobile satellite services (MSS) in the 2 GHz band in the EU - Implementation of the current</w:t>
      </w:r>
      <w:r>
        <w:t xml:space="preserve"> </w:t>
      </w:r>
      <w:r>
        <w:t xml:space="preserve">regulatory framework and an overview of the satellite connectivity market, July 2025, Detecon International</w:t>
      </w:r>
      <w:r>
        <w:t xml:space="preserve"> </w:t>
      </w:r>
      <w:r>
        <w:t xml:space="preserve">GmbH.</w:t>
      </w:r>
      <w:r>
        <w:t xml:space="preserve"> </w:t>
      </w:r>
      <w:r>
        <w:t xml:space="preserve">205 https://www.itu.int/dms_ties/itu-r/md/25/rrb25.2/c/R25-RRB25.2-C-0004!!PDF-E.pdf.</w:t>
      </w:r>
      <w:r>
        <w:t xml:space="preserve"> </w:t>
      </w:r>
      <w:r>
        <w:t xml:space="preserve">206 See Broadband Internet, D2D and IoT satellite constellations in terms of total number of launched and</w:t>
      </w:r>
      <w:r>
        <w:t xml:space="preserve"> </w:t>
      </w:r>
      <w:r>
        <w:t xml:space="preserve">planned in Detecon International GmbH, Study on Mobile satellite services (MSS) in the 2 GHz band in the</w:t>
      </w:r>
      <w:r>
        <w:t xml:space="preserve"> </w:t>
      </w:r>
      <w:r>
        <w:t xml:space="preserve">EU - Implementation of the current regulatory framework and an overview of the satellite connectivity</w:t>
      </w:r>
      <w:r>
        <w:t xml:space="preserve"> </w:t>
      </w:r>
      <w:r>
        <w:t xml:space="preserve">market.</w:t>
      </w:r>
    </w:p>
    <w:p>
      <w:pPr>
        <w:pStyle w:val="BodyText"/>
      </w:pPr>
      <w:r>
        <w:t xml:space="preserve">78</w:t>
      </w:r>
    </w:p>
    <w:p>
      <w:pPr>
        <w:pStyle w:val="BodyText"/>
      </w:pPr>
      <w:r>
        <w:t xml:space="preserve">efficient, as it does not apply to non-harmonised frequency bands and has also not been</w:t>
      </w:r>
      <w:r>
        <w:t xml:space="preserve"> </w:t>
      </w:r>
      <w:r>
        <w:t xml:space="preserve">completely effective on cross-border coordination issues with third countries where the EU</w:t>
      </w:r>
      <w:r>
        <w:t xml:space="preserve"> </w:t>
      </w:r>
      <w:r>
        <w:t xml:space="preserve">and the RSPG has no legal basis to act in the same way as for intra-EU cross border</w:t>
      </w:r>
      <w:r>
        <w:t xml:space="preserve"> </w:t>
      </w:r>
      <w:r>
        <w:t xml:space="preserve">coordination issues. Spectrum sharing is voluntary and has seldom been used and there has</w:t>
      </w:r>
      <w:r>
        <w:t xml:space="preserve"> </w:t>
      </w:r>
      <w:r>
        <w:t xml:space="preserve">only been a limited and fragmented secondary trading market. For satellite services that have</w:t>
      </w:r>
      <w:r>
        <w:t xml:space="preserve"> </w:t>
      </w:r>
      <w:r>
        <w:t xml:space="preserve">a clear cross-border potential, the authorisation framework is fragmented, as it relies on</w:t>
      </w:r>
      <w:r>
        <w:t xml:space="preserve"> </w:t>
      </w:r>
      <w:r>
        <w:t xml:space="preserve">national authorisation, there are no minimum common authorisation conditions or</w:t>
      </w:r>
      <w:r>
        <w:t xml:space="preserve"> </w:t>
      </w:r>
      <w:r>
        <w:t xml:space="preserve">requirements, and no common selection procedures except for the 2 GHz frequency band.</w:t>
      </w:r>
      <w:r>
        <w:t xml:space="preserve"> </w:t>
      </w:r>
      <w:r>
        <w:t xml:space="preserve">Such fragmentation is not favourable to scaling up for the EU-wide provision of satellite</w:t>
      </w:r>
      <w:r>
        <w:t xml:space="preserve"> </w:t>
      </w:r>
      <w:r>
        <w:t xml:space="preserve">services and may incentivise regulatory forum shopping.</w:t>
      </w:r>
      <w:r>
        <w:t xml:space="preserve"> </w:t>
      </w:r>
      <w:r>
        <w:t xml:space="preserve">5.6. Efficiency</w:t>
      </w:r>
      <w:r>
        <w:t xml:space="preserve"> </w:t>
      </w:r>
      <w:r>
        <w:t xml:space="preserve">5.6.1 Compliance, administrative cost</w:t>
      </w:r>
      <w:r>
        <w:br/>
      </w:r>
      <w:r>
        <w:t xml:space="preserve">Evaluating the EECC efficiency on compliance and administrative costs, the EC study207</w:t>
      </w:r>
      <w:r>
        <w:t xml:space="preserve"> </w:t>
      </w:r>
      <w:r>
        <w:t xml:space="preserve">concludes that the costs for following spectrum management rules in the EECC are generally</w:t>
      </w:r>
      <w:r>
        <w:t xml:space="preserve"> </w:t>
      </w:r>
      <w:r>
        <w:t xml:space="preserve">seen as fair and necessary by about 80% of stakeholders, aligning with the goals of efficient</w:t>
      </w:r>
      <w:r>
        <w:t xml:space="preserve"> </w:t>
      </w:r>
      <w:r>
        <w:t xml:space="preserve">spectrum use and market competition. No major unfair costs were found, as most believe the</w:t>
      </w:r>
      <w:r>
        <w:t xml:space="preserve"> </w:t>
      </w:r>
      <w:r>
        <w:t xml:space="preserve">expenses are justified by the goals of using spectrum efficiently, advancing technology, and</w:t>
      </w:r>
      <w:r>
        <w:t xml:space="preserve"> </w:t>
      </w:r>
      <w:r>
        <w:t xml:space="preserve">encouraging market competition. However, fragmented spectrum policies, besides direct</w:t>
      </w:r>
      <w:r>
        <w:t xml:space="preserve"> </w:t>
      </w:r>
      <w:r>
        <w:t xml:space="preserve">compliance costs, further add indirect costs, as operators must allocate extra resources to meet</w:t>
      </w:r>
      <w:r>
        <w:t xml:space="preserve"> </w:t>
      </w:r>
      <w:r>
        <w:t xml:space="preserve">differing obligations across countries208. Streamlining these processes to reflect opportunity</w:t>
      </w:r>
      <w:r>
        <w:t xml:space="preserve"> </w:t>
      </w:r>
      <w:r>
        <w:t xml:space="preserve">costs and economic impacts could enhance efficiency by reducing unnecessary burdens,</w:t>
      </w:r>
      <w:r>
        <w:t xml:space="preserve"> </w:t>
      </w:r>
      <w:r>
        <w:t xml:space="preserve">allowing resources to be better utilized in accordance with the EECC objectives of ensuring</w:t>
      </w:r>
      <w:r>
        <w:t xml:space="preserve"> </w:t>
      </w:r>
      <w:r>
        <w:t xml:space="preserve">adequate connectivity and fostering infrastructure competition.</w:t>
      </w:r>
      <w:r>
        <w:br/>
      </w:r>
      <w:r>
        <w:t xml:space="preserve">Current compliance costs associated with spectrum management under the EECC consist of a</w:t>
      </w:r>
      <w:r>
        <w:t xml:space="preserve"> </w:t>
      </w:r>
      <w:r>
        <w:t xml:space="preserve">mix of adjustment, administrative, and regulatory costs. NRAs and mobile operators incur</w:t>
      </w:r>
      <w:r>
        <w:t xml:space="preserve"> </w:t>
      </w:r>
      <w:r>
        <w:t xml:space="preserve">adjustment costs related to spectrum refarming and policy adaptation. Spectrum refarming,</w:t>
      </w:r>
      <w:r>
        <w:t xml:space="preserve"> </w:t>
      </w:r>
      <w:r>
        <w:t xml:space="preserve">though necessary to allow new technologies like 5G, involves significant planning and</w:t>
      </w:r>
      <w:r>
        <w:t xml:space="preserve"> </w:t>
      </w:r>
      <w:r>
        <w:t xml:space="preserve">technical reconfiguration209. Broader institutional adaptation, including updating domestic</w:t>
      </w:r>
      <w:r>
        <w:t xml:space="preserve"> </w:t>
      </w:r>
      <w:r>
        <w:t xml:space="preserve">legislation and enhancing administrative capacities, also add to costs, which vary substantially</w:t>
      </w:r>
      <w:r>
        <w:t xml:space="preserve"> </w:t>
      </w:r>
      <w:r>
        <w:t xml:space="preserve">across Member States.</w:t>
      </w:r>
      <w:r>
        <w:t xml:space="preserve"> </w:t>
      </w:r>
      <w:r>
        <w:t xml:space="preserve">As to administrative costs, NRAs report varying levels of annual expenditure210. While the</w:t>
      </w:r>
      <w:r>
        <w:t xml:space="preserve"> </w:t>
      </w:r>
      <w:r>
        <w:t xml:space="preserve">peer review process under Article 35 EECC involves some administrative effort—such as the</w:t>
      </w:r>
      <w:r>
        <w:t xml:space="preserve"> </w:t>
      </w:r>
      <w:r>
        <w:t xml:space="preserve">summarising and presentation of draft measures—the costs are widely considered</w:t>
      </w:r>
      <w:r>
        <w:t xml:space="preserve"> </w:t>
      </w:r>
      <w:r>
        <w:t xml:space="preserve">manageable. Basic notifications to the RSPG Secretariat entail minimal burden, though costs</w:t>
      </w:r>
    </w:p>
    <w:p>
      <w:pPr>
        <w:pStyle w:val="BodyText"/>
      </w:pPr>
      <w:r>
        <w:t xml:space="preserve">207 Study “Completing the Digital Single Market (DSM): Regulatory enablers for cross-border networks.</w:t>
      </w:r>
      <w:r>
        <w:t xml:space="preserve"> </w:t>
      </w:r>
      <w:r>
        <w:t xml:space="preserve">208 In France, Orange allocated extra resources to meet spectrum-sharing obligations, which are quite different</w:t>
      </w:r>
      <w:r>
        <w:t xml:space="preserve"> </w:t>
      </w:r>
      <w:r>
        <w:t xml:space="preserve">from those in Spain and Germany, requiring separate technical adjustments and legal assessments for each</w:t>
      </w:r>
      <w:r>
        <w:t xml:space="preserve"> </w:t>
      </w:r>
      <w:r>
        <w:t xml:space="preserve">market – see study “Completing the Digital Single Market (DSM): Regulatory enablers for cross-border</w:t>
      </w:r>
      <w:r>
        <w:t xml:space="preserve"> </w:t>
      </w:r>
      <w:r>
        <w:t xml:space="preserve">networks.</w:t>
      </w:r>
      <w:r>
        <w:t xml:space="preserve"> </w:t>
      </w:r>
      <w:r>
        <w:t xml:space="preserve">209 For example, Croatia reported one-off costs of approximately €200 000 directly linked to the EECC</w:t>
      </w:r>
      <w:r>
        <w:t xml:space="preserve"> </w:t>
      </w:r>
      <w:r>
        <w:t xml:space="preserve">obligation to assign 5G spectrum.</w:t>
      </w:r>
      <w:r>
        <w:t xml:space="preserve"> </w:t>
      </w:r>
      <w:r>
        <w:t xml:space="preserve">210 Sweden, for instance, allocates approximately SEK 150 million annually to spectrum management, which</w:t>
      </w:r>
      <w:r>
        <w:t xml:space="preserve"> </w:t>
      </w:r>
      <w:r>
        <w:t xml:space="preserve">includes administrative operations, monitoring, and licensing activities. By contrast, countries such as</w:t>
      </w:r>
      <w:r>
        <w:t xml:space="preserve"> </w:t>
      </w:r>
      <w:r>
        <w:t xml:space="preserve">Greece and Latvia report relatively low compliance costs due to streamlined administrative practices and</w:t>
      </w:r>
      <w:r>
        <w:t xml:space="preserve"> </w:t>
      </w:r>
      <w:r>
        <w:t xml:space="preserve">technology-neutral spectrum assignments.</w:t>
      </w:r>
    </w:p>
    <w:p>
      <w:pPr>
        <w:pStyle w:val="BodyText"/>
      </w:pPr>
      <w:r>
        <w:t xml:space="preserve">79</w:t>
      </w:r>
    </w:p>
    <w:p>
      <w:pPr>
        <w:pStyle w:val="BodyText"/>
      </w:pPr>
      <w:r>
        <w:t xml:space="preserve">increase when a Peer Review Forum is convened, requiring active participation by multiple</w:t>
      </w:r>
      <w:r>
        <w:t xml:space="preserve"> </w:t>
      </w:r>
      <w:r>
        <w:t xml:space="preserve">Member States. These regulatory activities are typically financed by charges imposed on the</w:t>
      </w:r>
      <w:r>
        <w:t xml:space="preserve"> </w:t>
      </w:r>
      <w:r>
        <w:t xml:space="preserve">industry, in line with Article 16 EECC. These charges fund administrative costs and are</w:t>
      </w:r>
      <w:r>
        <w:t xml:space="preserve"> </w:t>
      </w:r>
      <w:r>
        <w:t xml:space="preserve">generally seen as proportionate by stakeholders. While significant, they are widely regarded as</w:t>
      </w:r>
      <w:r>
        <w:t xml:space="preserve"> </w:t>
      </w:r>
      <w:r>
        <w:t xml:space="preserve">necessary for achieving the broader EECC objectives of efficient spectrum use, technological</w:t>
      </w:r>
      <w:r>
        <w:t xml:space="preserve"> </w:t>
      </w:r>
      <w:r>
        <w:t xml:space="preserve">advancement, and market competition.</w:t>
      </w:r>
      <w:r>
        <w:t xml:space="preserve"> </w:t>
      </w:r>
      <w:r>
        <w:t xml:space="preserve">Beyond direct compliance costs, indirect and transaction-related costs are also notable under</w:t>
      </w:r>
      <w:r>
        <w:t xml:space="preserve"> </w:t>
      </w:r>
      <w:r>
        <w:t xml:space="preserve">the current framework. Fragmentation in national licensing and spectrum-sharing regimes</w:t>
      </w:r>
      <w:r>
        <w:t xml:space="preserve"> </w:t>
      </w:r>
      <w:r>
        <w:t xml:space="preserve">imposes additional burdens on operators. For instance, Orange allegedly needs to allocate</w:t>
      </w:r>
      <w:r>
        <w:t xml:space="preserve"> </w:t>
      </w:r>
      <w:r>
        <w:t xml:space="preserve">separate legal and technical resources to comply with differing obligations in France, Spain,</w:t>
      </w:r>
      <w:r>
        <w:t xml:space="preserve"> </w:t>
      </w:r>
      <w:r>
        <w:t xml:space="preserve">and Germany that increase the cost and complexity of delivering cross-border services. These</w:t>
      </w:r>
      <w:r>
        <w:t xml:space="preserve"> </w:t>
      </w:r>
      <w:r>
        <w:t xml:space="preserve">inconsistencies prevent operators from fully benefiting from economies of scale and act as</w:t>
      </w:r>
      <w:r>
        <w:t xml:space="preserve"> </w:t>
      </w:r>
      <w:r>
        <w:t xml:space="preserve">barriers to innovation and investment.</w:t>
      </w:r>
      <w:r>
        <w:t xml:space="preserve"> </w:t>
      </w:r>
      <w:r>
        <w:t xml:space="preserve">5.6.2. Spectrum cost</w:t>
      </w:r>
      <w:r>
        <w:t xml:space="preserve"> </w:t>
      </w:r>
      <w:r>
        <w:t xml:space="preserve">The EECC requires in Article 42 that Member States ensure that fees for radio spectrum use</w:t>
      </w:r>
      <w:r>
        <w:t xml:space="preserve"> </w:t>
      </w:r>
      <w:r>
        <w:t xml:space="preserve">are set at a level which ensures efficient assignment and use of radio spectrum including by</w:t>
      </w:r>
      <w:r>
        <w:t xml:space="preserve"> </w:t>
      </w:r>
      <w:r>
        <w:t xml:space="preserve">setting reserve prices as minimum fees based also on the value of possible alternative uses,</w:t>
      </w:r>
      <w:r>
        <w:t xml:space="preserve"> </w:t>
      </w:r>
      <w:r>
        <w:t xml:space="preserve">taking into account costs linked to the conditions attached to the right of use and applying</w:t>
      </w:r>
      <w:r>
        <w:t xml:space="preserve"> </w:t>
      </w:r>
      <w:r>
        <w:t xml:space="preserve">payment arrangements linked to the availability of spectrum. There is therefore a trade-off</w:t>
      </w:r>
      <w:r>
        <w:t xml:space="preserve"> </w:t>
      </w:r>
      <w:r>
        <w:t xml:space="preserve">between spectrum cost and investment conditions: the higher the cost of spectrum, the lower</w:t>
      </w:r>
      <w:r>
        <w:t xml:space="preserve"> </w:t>
      </w:r>
      <w:r>
        <w:t xml:space="preserve">the investment incentives.</w:t>
      </w:r>
      <w:r>
        <w:br/>
      </w:r>
      <w:r>
        <w:t xml:space="preserve">High spectrum prices had a negative effect on deployment and investments GSMA</w:t>
      </w:r>
      <w:r>
        <w:t xml:space="preserve"> </w:t>
      </w:r>
      <w:r>
        <w:t xml:space="preserve">econometric estimates211 show that spectrum cost negatively impacts coverage, speeds and</w:t>
      </w:r>
      <w:r>
        <w:t xml:space="preserve"> </w:t>
      </w:r>
      <w:r>
        <w:t xml:space="preserve">services provided to end users: concretely a 10-percentage point (p.p.) higher spectrum cost to</w:t>
      </w:r>
      <w:r>
        <w:t xml:space="preserve"> </w:t>
      </w:r>
      <w:r>
        <w:t xml:space="preserve">recurring revenue ratio decreased 4G and 5G coverage by up to 6 p. p. and decreased average</w:t>
      </w:r>
      <w:r>
        <w:t xml:space="preserve"> </w:t>
      </w:r>
      <w:r>
        <w:t xml:space="preserve">speeds by up to 8%212. An Ericsson report also shows that spectrum costs account for some</w:t>
      </w:r>
      <w:r>
        <w:t xml:space="preserve"> </w:t>
      </w:r>
      <w:r>
        <w:t xml:space="preserve">7% of mobile service revenues across Europe. Since the total capital intensity of European</w:t>
      </w:r>
      <w:r>
        <w:t xml:space="preserve"> </w:t>
      </w:r>
      <w:r>
        <w:t xml:space="preserve">mobile Communication Service Providers (CSPs) is around 18%, spectrum costs represent</w:t>
      </w:r>
      <w:r>
        <w:t xml:space="preserve"> </w:t>
      </w:r>
      <w:r>
        <w:t xml:space="preserve">about 35-40% of their capital expenditures.213 A GSMA report on global spectrum pricing214</w:t>
      </w:r>
      <w:r>
        <w:t xml:space="preserve"> </w:t>
      </w:r>
      <w:r>
        <w:t xml:space="preserve">confirms that while spectrum needs have increased over the last decade, due to rapid growth</w:t>
      </w:r>
      <w:r>
        <w:t xml:space="preserve"> </w:t>
      </w:r>
      <w:r>
        <w:t xml:space="preserve">in demand for mobile data and new use cases, the average revenue per MHz in Europe</w:t>
      </w:r>
      <w:r>
        <w:t xml:space="preserve"> </w:t>
      </w:r>
      <w:r>
        <w:t xml:space="preserve">declined by 58% between 2014 and 2024. This reduction has not been fully reflected in</w:t>
      </w:r>
      <w:r>
        <w:t xml:space="preserve"> </w:t>
      </w:r>
      <w:r>
        <w:t xml:space="preserve">spectrum prices, that have declined overall but not at a similar pace. While spectrum prices</w:t>
      </w:r>
      <w:r>
        <w:t xml:space="preserve"> </w:t>
      </w:r>
      <w:r>
        <w:t xml:space="preserve">would normally respond to a decrease in its value in a market driven assignment process,</w:t>
      </w:r>
      <w:r>
        <w:t xml:space="preserve"> </w:t>
      </w:r>
      <w:r>
        <w:t xml:space="preserve">GSMA claims that spectrum licences are often influenced by non-market factors such as</w:t>
      </w:r>
      <w:r>
        <w:t xml:space="preserve"> </w:t>
      </w:r>
      <w:r>
        <w:t xml:space="preserve">regulatory intervention through high reserve prices or measures artificially increasing</w:t>
      </w:r>
      <w:r>
        <w:t xml:space="preserve"> </w:t>
      </w:r>
      <w:r>
        <w:t xml:space="preserve">spectrum scarcity.</w:t>
      </w:r>
    </w:p>
    <w:p>
      <w:pPr>
        <w:pStyle w:val="BodyText"/>
      </w:pPr>
      <w:r>
        <w:t xml:space="preserve">211 GSMA Global Spectrum Pricing 2025.</w:t>
      </w:r>
      <w:r>
        <w:t xml:space="preserve"> </w:t>
      </w:r>
      <w:r>
        <w:t xml:space="preserve">212 GSMA, “Global Spectrum Pricing report,” Global Spectrum Pricing, GSMA, London, 2025, p. 10.</w:t>
      </w:r>
      <w:r>
        <w:t xml:space="preserve"> </w:t>
      </w:r>
      <w:r>
        <w:t xml:space="preserve">213 Ingravallo, R., &amp; Solomon, G. (2022). Spectrum Licence Renewals and Europe’s Digital Future:</w:t>
      </w:r>
      <w:r>
        <w:t xml:space="preserve"> </w:t>
      </w:r>
      <w:r>
        <w:t xml:space="preserve">https://www.ericsson.com/en/blog/2022/12/spectrum-licence-renewals-europe.</w:t>
      </w:r>
      <w:r>
        <w:t xml:space="preserve"> </w:t>
      </w:r>
      <w:r>
        <w:t xml:space="preserve">214 GSMA Global Spectrum Pricing 2025.</w:t>
      </w:r>
    </w:p>
    <w:p>
      <w:pPr>
        <w:pStyle w:val="BodyText"/>
      </w:pPr>
      <w:r>
        <w:t xml:space="preserve">80</w:t>
      </w:r>
    </w:p>
    <w:p>
      <w:pPr>
        <w:pStyle w:val="BodyText"/>
      </w:pPr>
      <w:r>
        <w:t xml:space="preserve">Figure 14: Revenue per MHz per connection in Europe</w:t>
      </w:r>
    </w:p>
    <w:p>
      <w:pPr>
        <w:pStyle w:val="BodyText"/>
      </w:pPr>
      <w:r>
        <w:t xml:space="preserve">Source: GSMA</w:t>
      </w:r>
      <w:r>
        <w:t xml:space="preserve"> </w:t>
      </w:r>
      <w:r>
        <w:t xml:space="preserve">Moreover, data show a significant discrepancy in prices per MHz per population. The</w:t>
      </w:r>
      <w:r>
        <w:t xml:space="preserve"> </w:t>
      </w:r>
      <w:r>
        <w:t xml:space="preserve">table below shows the average spectrum prices (€/MHz/pop) for three 5G frequency bands—</w:t>
      </w:r>
      <w:r>
        <w:t xml:space="preserve"> </w:t>
      </w:r>
      <w:r>
        <w:t xml:space="preserve">700 MHz, 3.3–3.8 GHz, and 26 GHz—across Member States: for 700 MHz from as low as</w:t>
      </w:r>
      <w:r>
        <w:t xml:space="preserve"> </w:t>
      </w:r>
      <w:r>
        <w:t xml:space="preserve">€0.08 (Croatia, Estonia) to over €0.69 (France). For mid-band (3.3–3.8 GHz), prices vary</w:t>
      </w:r>
      <w:r>
        <w:t xml:space="preserve"> </w:t>
      </w:r>
      <w:r>
        <w:t xml:space="preserve">widely—from under €0.01 (Romania, Bulgaria) to €0.38 in Italy—highlighting differing</w:t>
      </w:r>
      <w:r>
        <w:t xml:space="preserve"> </w:t>
      </w:r>
      <w:r>
        <w:t xml:space="preserve">national auction strategies and demand levels. The 26 GHz frequency band shows the lowest</w:t>
      </w:r>
      <w:r>
        <w:t xml:space="preserve"> </w:t>
      </w:r>
      <w:r>
        <w:t xml:space="preserve">values overall, with prices typically below 0.002 EUR/MHz/pop due to limited range and</w:t>
      </w:r>
      <w:r>
        <w:t xml:space="preserve"> </w:t>
      </w:r>
      <w:r>
        <w:t xml:space="preserve">early market stage. Several entries are marked “incalculable” where license terms, population</w:t>
      </w:r>
      <w:r>
        <w:t xml:space="preserve"> </w:t>
      </w:r>
      <w:r>
        <w:t xml:space="preserve">coverage, or price data were insufficiently defined.</w:t>
      </w:r>
      <w:r>
        <w:br/>
      </w:r>
      <w:r>
        <w:t xml:space="preserve">Figure 15: Average band prices in each award (€/MHz/pop)</w:t>
      </w:r>
      <w:r>
        <w:t xml:space="preserve"> </w:t>
      </w:r>
      <w:r>
        <w:t xml:space="preserve">Country</w:t>
      </w:r>
      <w:r>
        <w:t xml:space="preserve"> </w:t>
      </w:r>
      <w:r>
        <w:t xml:space="preserve">700 MHz</w:t>
      </w:r>
      <w:r>
        <w:t xml:space="preserve"> </w:t>
      </w:r>
      <w:r>
        <w:t xml:space="preserve">3.3 - 3.8 GHz</w:t>
      </w:r>
      <w:r>
        <w:t xml:space="preserve"> </w:t>
      </w:r>
      <w:r>
        <w:t xml:space="preserve">26 GHz</w:t>
      </w:r>
      <w:r>
        <w:t xml:space="preserve"> </w:t>
      </w:r>
      <w:r>
        <w:t xml:space="preserve">Croatia</w:t>
      </w:r>
      <w:r>
        <w:t xml:space="preserve"> </w:t>
      </w:r>
      <w:r>
        <w:t xml:space="preserve">0.0824</w:t>
      </w:r>
      <w:r>
        <w:t xml:space="preserve"> </w:t>
      </w:r>
      <w:r>
        <w:t xml:space="preserve">0.0093</w:t>
      </w:r>
      <w:r>
        <w:t xml:space="preserve"> </w:t>
      </w:r>
      <w:r>
        <w:t xml:space="preserve">0.0012</w:t>
      </w:r>
      <w:r>
        <w:t xml:space="preserve"> </w:t>
      </w:r>
      <w:r>
        <w:t xml:space="preserve">Latvia</w:t>
      </w:r>
      <w:r>
        <w:t xml:space="preserve"> </w:t>
      </w:r>
      <w:r>
        <w:t xml:space="preserve">0.095152</w:t>
      </w:r>
      <w:r>
        <w:t xml:space="preserve"> </w:t>
      </w:r>
      <w:r>
        <w:t xml:space="preserve">0.0689</w:t>
      </w:r>
      <w:r>
        <w:t xml:space="preserve"> </w:t>
      </w:r>
      <w:r>
        <w:t xml:space="preserve">Not awarded</w:t>
      </w:r>
      <w:r>
        <w:t xml:space="preserve"> </w:t>
      </w:r>
      <w:r>
        <w:t xml:space="preserve">Portugal</w:t>
      </w:r>
      <w:r>
        <w:t xml:space="preserve"> </w:t>
      </w:r>
      <w:r>
        <w:t xml:space="preserve">0.1864</w:t>
      </w:r>
      <w:r>
        <w:t xml:space="preserve"> </w:t>
      </w:r>
      <w:r>
        <w:t xml:space="preserve">0.0763</w:t>
      </w:r>
      <w:r>
        <w:t xml:space="preserve"> </w:t>
      </w:r>
      <w:r>
        <w:t xml:space="preserve">Not awarded</w:t>
      </w:r>
      <w:r>
        <w:t xml:space="preserve"> </w:t>
      </w:r>
      <w:r>
        <w:t xml:space="preserve">Germany</w:t>
      </w:r>
      <w:r>
        <w:t xml:space="preserve"> </w:t>
      </w:r>
      <w:r>
        <w:t xml:space="preserve">0.2005</w:t>
      </w:r>
      <w:r>
        <w:t xml:space="preserve"> </w:t>
      </w:r>
      <w:r>
        <w:t xml:space="preserve">0.1691</w:t>
      </w:r>
      <w:r>
        <w:t xml:space="preserve"> </w:t>
      </w:r>
      <w:r>
        <w:t xml:space="preserve">Not awarded</w:t>
      </w:r>
      <w:r>
        <w:t xml:space="preserve"> </w:t>
      </w:r>
      <w:r>
        <w:t xml:space="preserve">Finland</w:t>
      </w:r>
      <w:r>
        <w:t xml:space="preserve"> </w:t>
      </w:r>
      <w:r>
        <w:t xml:space="preserve">0.2008</w:t>
      </w:r>
      <w:r>
        <w:t xml:space="preserve"> </w:t>
      </w:r>
      <w:r>
        <w:t xml:space="preserve">0.0363</w:t>
      </w:r>
      <w:r>
        <w:t xml:space="preserve"> </w:t>
      </w:r>
      <w:r>
        <w:t xml:space="preserve">0.0016</w:t>
      </w:r>
      <w:r>
        <w:t xml:space="preserve"> </w:t>
      </w:r>
      <w:r>
        <w:t xml:space="preserve">Greece</w:t>
      </w:r>
      <w:r>
        <w:t xml:space="preserve"> </w:t>
      </w:r>
      <w:r>
        <w:t xml:space="preserve">0.2367</w:t>
      </w:r>
      <w:r>
        <w:t xml:space="preserve"> </w:t>
      </w:r>
      <w:r>
        <w:t xml:space="preserve">0.0242</w:t>
      </w:r>
      <w:r>
        <w:t xml:space="preserve"> </w:t>
      </w:r>
      <w:r>
        <w:t xml:space="preserve">0.0015</w:t>
      </w:r>
      <w:r>
        <w:t xml:space="preserve"> </w:t>
      </w:r>
      <w:r>
        <w:t xml:space="preserve">Czech Republic</w:t>
      </w:r>
      <w:r>
        <w:t xml:space="preserve"> </w:t>
      </w:r>
      <w:r>
        <w:t xml:space="preserve">0.2423</w:t>
      </w:r>
      <w:r>
        <w:t xml:space="preserve"> </w:t>
      </w:r>
      <w:r>
        <w:t xml:space="preserve">0.0289</w:t>
      </w:r>
      <w:r>
        <w:t xml:space="preserve"> </w:t>
      </w:r>
      <w:r>
        <w:t xml:space="preserve">Not awarded</w:t>
      </w:r>
      <w:r>
        <w:t xml:space="preserve"> </w:t>
      </w:r>
      <w:r>
        <w:t xml:space="preserve">Slovakia</w:t>
      </w:r>
      <w:r>
        <w:t xml:space="preserve"> </w:t>
      </w:r>
      <w:r>
        <w:t xml:space="preserve">0.2984</w:t>
      </w:r>
      <w:r>
        <w:t xml:space="preserve"> </w:t>
      </w:r>
      <w:r>
        <w:t xml:space="preserve">0.03007</w:t>
      </w:r>
      <w:r>
        <w:t xml:space="preserve"> </w:t>
      </w:r>
      <w:r>
        <w:t xml:space="preserve">Not awarded</w:t>
      </w:r>
      <w:r>
        <w:t xml:space="preserve"> </w:t>
      </w:r>
      <w:r>
        <w:t xml:space="preserve">Spain</w:t>
      </w:r>
      <w:r>
        <w:t xml:space="preserve"> </w:t>
      </w:r>
      <w:r>
        <w:t xml:space="preserve">0.3552</w:t>
      </w:r>
      <w:r>
        <w:t xml:space="preserve"> </w:t>
      </w:r>
      <w:r>
        <w:t xml:space="preserve">0.0461</w:t>
      </w:r>
      <w:r>
        <w:t xml:space="preserve"> </w:t>
      </w:r>
      <w:r>
        <w:t xml:space="preserve">0.000431</w:t>
      </w:r>
      <w:r>
        <w:t xml:space="preserve"> </w:t>
      </w:r>
      <w:r>
        <w:t xml:space="preserve">Luxembourg</w:t>
      </w:r>
      <w:r>
        <w:t xml:space="preserve"> </w:t>
      </w:r>
      <w:r>
        <w:t xml:space="preserve">0.4432</w:t>
      </w:r>
      <w:r>
        <w:t xml:space="preserve"> </w:t>
      </w:r>
      <w:r>
        <w:t xml:space="preserve">0.0878</w:t>
      </w:r>
      <w:r>
        <w:t xml:space="preserve"> </w:t>
      </w:r>
      <w:r>
        <w:t xml:space="preserve">Not awarded</w:t>
      </w:r>
      <w:r>
        <w:t xml:space="preserve"> </w:t>
      </w:r>
      <w:r>
        <w:t xml:space="preserve">Italy</w:t>
      </w:r>
      <w:r>
        <w:t xml:space="preserve"> </w:t>
      </w:r>
      <w:r>
        <w:t xml:space="preserve">0.5737</w:t>
      </w:r>
      <w:r>
        <w:t xml:space="preserve"> </w:t>
      </w:r>
      <w:r>
        <w:t xml:space="preserve">0.3823</w:t>
      </w:r>
      <w:r>
        <w:t xml:space="preserve"> </w:t>
      </w:r>
      <w:r>
        <w:t xml:space="preserve">0.0028</w:t>
      </w:r>
      <w:r>
        <w:t xml:space="preserve"> </w:t>
      </w:r>
      <w:r>
        <w:t xml:space="preserve">Sweden</w:t>
      </w:r>
      <w:r>
        <w:t xml:space="preserve"> </w:t>
      </w:r>
      <w:r>
        <w:t xml:space="preserve">0.6629</w:t>
      </w:r>
      <w:r>
        <w:t xml:space="preserve"> </w:t>
      </w:r>
      <w:r>
        <w:t xml:space="preserve">0.0567</w:t>
      </w:r>
      <w:r>
        <w:t xml:space="preserve"> </w:t>
      </w:r>
      <w:r>
        <w:t xml:space="preserve">Not awarded</w:t>
      </w:r>
      <w:r>
        <w:t xml:space="preserve"> </w:t>
      </w:r>
      <w:r>
        <w:t xml:space="preserve">France</w:t>
      </w:r>
      <w:r>
        <w:t xml:space="preserve"> </w:t>
      </w:r>
      <w:r>
        <w:t xml:space="preserve">0.6918</w:t>
      </w:r>
      <w:r>
        <w:t xml:space="preserve"> </w:t>
      </w:r>
      <w:r>
        <w:t xml:space="preserve">0.1328</w:t>
      </w:r>
      <w:r>
        <w:t xml:space="preserve"> </w:t>
      </w:r>
      <w:r>
        <w:t xml:space="preserve">Not awarded</w:t>
      </w:r>
      <w:r>
        <w:t xml:space="preserve"> </w:t>
      </w:r>
      <w:r>
        <w:t xml:space="preserve">Malta</w:t>
      </w:r>
      <w:r>
        <w:t xml:space="preserve"> </w:t>
      </w:r>
      <w:r>
        <w:t xml:space="preserve">Not awarded</w:t>
      </w:r>
      <w:r>
        <w:t xml:space="preserve"> </w:t>
      </w:r>
      <w:r>
        <w:t xml:space="preserve">0</w:t>
      </w:r>
      <w:r>
        <w:t xml:space="preserve"> </w:t>
      </w:r>
      <w:r>
        <w:t xml:space="preserve">Not awarded</w:t>
      </w:r>
      <w:r>
        <w:t xml:space="preserve"> </w:t>
      </w:r>
      <w:r>
        <w:t xml:space="preserve">Romania</w:t>
      </w:r>
      <w:r>
        <w:t xml:space="preserve"> </w:t>
      </w:r>
      <w:r>
        <w:t xml:space="preserve">Uncalculable</w:t>
      </w:r>
      <w:r>
        <w:t xml:space="preserve"> </w:t>
      </w:r>
      <w:r>
        <w:t xml:space="preserve">0.0073</w:t>
      </w:r>
      <w:r>
        <w:t xml:space="preserve"> </w:t>
      </w:r>
      <w:r>
        <w:t xml:space="preserve">Uncalculable</w:t>
      </w:r>
      <w:r>
        <w:t xml:space="preserve"> </w:t>
      </w:r>
      <w:r>
        <w:t xml:space="preserve">Bulgaria</w:t>
      </w:r>
      <w:r>
        <w:t xml:space="preserve"> </w:t>
      </w:r>
      <w:r>
        <w:t xml:space="preserve">Uncalculable</w:t>
      </w:r>
      <w:r>
        <w:t xml:space="preserve"> </w:t>
      </w:r>
      <w:r>
        <w:t xml:space="preserve">0.0075</w:t>
      </w:r>
      <w:r>
        <w:t xml:space="preserve"> </w:t>
      </w:r>
      <w:r>
        <w:t xml:space="preserve">Not awarded</w:t>
      </w:r>
      <w:r>
        <w:t xml:space="preserve"> </w:t>
      </w:r>
      <w:r>
        <w:t xml:space="preserve">Ireland</w:t>
      </w:r>
      <w:r>
        <w:t xml:space="preserve"> </w:t>
      </w:r>
      <w:r>
        <w:t xml:space="preserve">Uncalculable</w:t>
      </w:r>
      <w:r>
        <w:t xml:space="preserve"> </w:t>
      </w:r>
      <w:r>
        <w:t xml:space="preserve">0.0424</w:t>
      </w:r>
      <w:r>
        <w:t xml:space="preserve"> </w:t>
      </w:r>
      <w:r>
        <w:t xml:space="preserve">Not awarded</w:t>
      </w:r>
      <w:r>
        <w:t xml:space="preserve"> </w:t>
      </w:r>
      <w:r>
        <w:t xml:space="preserve">Netherlands</w:t>
      </w:r>
      <w:r>
        <w:t xml:space="preserve"> </w:t>
      </w:r>
      <w:r>
        <w:t xml:space="preserve">Uncalculable</w:t>
      </w:r>
      <w:r>
        <w:t xml:space="preserve"> </w:t>
      </w:r>
      <w:r>
        <w:t xml:space="preserve">0.03433</w:t>
      </w:r>
      <w:r>
        <w:t xml:space="preserve"> </w:t>
      </w:r>
      <w:r>
        <w:t xml:space="preserve">Not awarded</w:t>
      </w:r>
      <w:r>
        <w:t xml:space="preserve"> </w:t>
      </w:r>
      <w:r>
        <w:t xml:space="preserve">Austria</w:t>
      </w:r>
      <w:r>
        <w:t xml:space="preserve"> </w:t>
      </w:r>
      <w:r>
        <w:t xml:space="preserve">Uncalculable</w:t>
      </w:r>
      <w:r>
        <w:t xml:space="preserve"> </w:t>
      </w:r>
      <w:r>
        <w:t xml:space="preserve">0.034839</w:t>
      </w:r>
      <w:r>
        <w:t xml:space="preserve"> </w:t>
      </w:r>
      <w:r>
        <w:t xml:space="preserve">0.001344</w:t>
      </w:r>
      <w:r>
        <w:t xml:space="preserve"> </w:t>
      </w:r>
      <w:r>
        <w:t xml:space="preserve">Denmark</w:t>
      </w:r>
      <w:r>
        <w:t xml:space="preserve"> </w:t>
      </w:r>
      <w:r>
        <w:t xml:space="preserve">Uncalculable</w:t>
      </w:r>
      <w:r>
        <w:t xml:space="preserve"> </w:t>
      </w:r>
      <w:r>
        <w:t xml:space="preserve">Uncalculable</w:t>
      </w:r>
      <w:r>
        <w:t xml:space="preserve"> </w:t>
      </w:r>
      <w:r>
        <w:t xml:space="preserve">Uncalculable</w:t>
      </w:r>
      <w:r>
        <w:t xml:space="preserve"> </w:t>
      </w:r>
      <w:r>
        <w:t xml:space="preserve">Hungary</w:t>
      </w:r>
      <w:r>
        <w:t xml:space="preserve"> </w:t>
      </w:r>
      <w:r>
        <w:t xml:space="preserve">Uncalculable</w:t>
      </w:r>
      <w:r>
        <w:t xml:space="preserve"> </w:t>
      </w:r>
      <w:r>
        <w:t xml:space="preserve">Uncalculable</w:t>
      </w:r>
      <w:r>
        <w:t xml:space="preserve"> </w:t>
      </w:r>
      <w:r>
        <w:t xml:space="preserve">Not awarded</w:t>
      </w:r>
      <w:r>
        <w:t xml:space="preserve"> </w:t>
      </w:r>
      <w:r>
        <w:t xml:space="preserve">Cyprus</w:t>
      </w:r>
      <w:r>
        <w:t xml:space="preserve"> </w:t>
      </w:r>
      <w:r>
        <w:t xml:space="preserve">Uncalculable</w:t>
      </w:r>
      <w:r>
        <w:t xml:space="preserve"> </w:t>
      </w:r>
      <w:r>
        <w:t xml:space="preserve">Uncalculable</w:t>
      </w:r>
      <w:r>
        <w:t xml:space="preserve"> </w:t>
      </w:r>
      <w:r>
        <w:t xml:space="preserve">Not awarded</w:t>
      </w:r>
      <w:r>
        <w:t xml:space="preserve"> </w:t>
      </w:r>
      <w:r>
        <w:t xml:space="preserve">Slovenia</w:t>
      </w:r>
      <w:r>
        <w:t xml:space="preserve"> </w:t>
      </w:r>
      <w:r>
        <w:t xml:space="preserve">Uncalculable</w:t>
      </w:r>
      <w:r>
        <w:t xml:space="preserve"> </w:t>
      </w:r>
      <w:r>
        <w:t xml:space="preserve">Uncalculable</w:t>
      </w:r>
      <w:r>
        <w:t xml:space="preserve"> </w:t>
      </w:r>
      <w:r>
        <w:t xml:space="preserve">Uncalculable</w:t>
      </w:r>
      <w:r>
        <w:t xml:space="preserve"> </w:t>
      </w:r>
      <w:r>
        <w:t xml:space="preserve">Belgium</w:t>
      </w:r>
      <w:r>
        <w:t xml:space="preserve"> </w:t>
      </w:r>
      <w:r>
        <w:t xml:space="preserve">0.42294</w:t>
      </w:r>
      <w:r>
        <w:t xml:space="preserve"> </w:t>
      </w:r>
      <w:r>
        <w:t xml:space="preserve">0.050035</w:t>
      </w:r>
      <w:r>
        <w:t xml:space="preserve"> </w:t>
      </w:r>
      <w:r>
        <w:t xml:space="preserve">Not awarded</w:t>
      </w:r>
      <w:r>
        <w:t xml:space="preserve"> </w:t>
      </w:r>
      <w:r>
        <w:t xml:space="preserve">Estonia</w:t>
      </w:r>
      <w:r>
        <w:t xml:space="preserve"> </w:t>
      </w:r>
      <w:r>
        <w:t xml:space="preserve">0.077783</w:t>
      </w:r>
      <w:r>
        <w:t xml:space="preserve"> </w:t>
      </w:r>
      <w:r>
        <w:t xml:space="preserve">0.033805</w:t>
      </w:r>
      <w:r>
        <w:t xml:space="preserve"> </w:t>
      </w:r>
      <w:r>
        <w:t xml:space="preserve">0.001533</w:t>
      </w:r>
    </w:p>
    <w:p>
      <w:pPr>
        <w:pStyle w:val="BodyText"/>
      </w:pPr>
      <w:r>
        <w:t xml:space="preserve">81</w:t>
      </w:r>
    </w:p>
    <w:p>
      <w:pPr>
        <w:pStyle w:val="BodyText"/>
      </w:pPr>
      <w:r>
        <w:t xml:space="preserve">Country</w:t>
      </w:r>
      <w:r>
        <w:t xml:space="preserve"> </w:t>
      </w:r>
      <w:r>
        <w:t xml:space="preserve">700 MHz</w:t>
      </w:r>
      <w:r>
        <w:t xml:space="preserve"> </w:t>
      </w:r>
      <w:r>
        <w:t xml:space="preserve">3.3 - 3.8 GHz</w:t>
      </w:r>
      <w:r>
        <w:t xml:space="preserve"> </w:t>
      </w:r>
      <w:r>
        <w:t xml:space="preserve">26 GHz</w:t>
      </w:r>
      <w:r>
        <w:t xml:space="preserve"> </w:t>
      </w:r>
      <w:r>
        <w:t xml:space="preserve">Lithuania</w:t>
      </w:r>
      <w:r>
        <w:t xml:space="preserve"> </w:t>
      </w:r>
      <w:r>
        <w:t xml:space="preserve">0.256855</w:t>
      </w:r>
      <w:r>
        <w:t xml:space="preserve"> </w:t>
      </w:r>
      <w:r>
        <w:t xml:space="preserve">0.01489</w:t>
      </w:r>
      <w:r>
        <w:t xml:space="preserve"> </w:t>
      </w:r>
      <w:r>
        <w:t xml:space="preserve">Not awarded</w:t>
      </w:r>
      <w:r>
        <w:t xml:space="preserve"> </w:t>
      </w:r>
      <w:r>
        <w:t xml:space="preserve">Poland</w:t>
      </w:r>
      <w:r>
        <w:t xml:space="preserve"> </w:t>
      </w:r>
      <w:r>
        <w:t xml:space="preserve">0.22566</w:t>
      </w:r>
      <w:r>
        <w:t xml:space="preserve"> </w:t>
      </w:r>
      <w:r>
        <w:t xml:space="preserve">Not awarded</w:t>
      </w:r>
      <w:r>
        <w:t xml:space="preserve"> </w:t>
      </w:r>
      <w:r>
        <w:t xml:space="preserve">Not awarded</w:t>
      </w:r>
    </w:p>
    <w:p>
      <w:pPr>
        <w:pStyle w:val="BodyText"/>
      </w:pPr>
      <w:r>
        <w:t xml:space="preserve">The Commission study215 indicates that “high spectrum auction costs continue to be a major</w:t>
      </w:r>
      <w:r>
        <w:t xml:space="preserve"> </w:t>
      </w:r>
      <w:r>
        <w:t xml:space="preserve">concern. High spectrum auction fees and divergent national pricing policies contribute to</w:t>
      </w:r>
      <w:r>
        <w:t xml:space="preserve"> </w:t>
      </w:r>
      <w:r>
        <w:t xml:space="preserve">substantial opportunity costs. Despite some alignment in auction outcomes across the EU,</w:t>
      </w:r>
      <w:r>
        <w:t xml:space="preserve"> </w:t>
      </w:r>
      <w:r>
        <w:t xml:space="preserve">Member States like Italy and Greece have recorded fees exceeding 20% of operator revenues.</w:t>
      </w:r>
      <w:r>
        <w:t xml:space="preserve"> </w:t>
      </w:r>
      <w:r>
        <w:t xml:space="preserve">According to EC study, mid-band spectrum costs in Europe an average 14.5% of operator</w:t>
      </w:r>
      <w:r>
        <w:t xml:space="preserve"> </w:t>
      </w:r>
      <w:r>
        <w:t xml:space="preserve">revenues—almost triple that of North America216. Such pricing structures can reduce</w:t>
      </w:r>
      <w:r>
        <w:t xml:space="preserve"> </w:t>
      </w:r>
      <w:r>
        <w:t xml:space="preserve">investment headroom for infrastructure deployment and delay network rollout. Industry</w:t>
      </w:r>
      <w:r>
        <w:t xml:space="preserve"> </w:t>
      </w:r>
      <w:r>
        <w:t xml:space="preserve">stakeholders also argue that cumulative financial pressures could become even more</w:t>
      </w:r>
      <w:r>
        <w:t xml:space="preserve"> </w:t>
      </w:r>
      <w:r>
        <w:t xml:space="preserve">pronounced during future rollouts of advanced technologies like 6G. If the EU market is</w:t>
      </w:r>
      <w:r>
        <w:t xml:space="preserve"> </w:t>
      </w:r>
      <w:r>
        <w:t xml:space="preserve">functioning properly, the decline in revenues (see data on faster decline in EU mobile ARPU</w:t>
      </w:r>
      <w:r>
        <w:t xml:space="preserve"> </w:t>
      </w:r>
      <w:r>
        <w:t xml:space="preserve">then in other economies) should mean that MNOs have less money to spend so they will pay</w:t>
      </w:r>
      <w:r>
        <w:t xml:space="preserve"> </w:t>
      </w:r>
      <w:r>
        <w:t xml:space="preserve">less in spectrum auctions. The price of administrative assignments should also come down if</w:t>
      </w:r>
      <w:r>
        <w:t xml:space="preserve"> </w:t>
      </w:r>
      <w:r>
        <w:t xml:space="preserve">administrations follow the changing financial fortunes of operators. 5G pioneer bands also</w:t>
      </w:r>
      <w:r>
        <w:t xml:space="preserve"> </w:t>
      </w:r>
      <w:r>
        <w:t xml:space="preserve">show declining prices. The graph below analyses pricing in 700 MHz and 3.6 GHz that have</w:t>
      </w:r>
      <w:r>
        <w:t xml:space="preserve"> </w:t>
      </w:r>
      <w:r>
        <w:t xml:space="preserve">been awarded in nearly all Member States, unlike 26 GHz.</w:t>
      </w:r>
      <w:r>
        <w:t xml:space="preserve"> </w:t>
      </w:r>
      <w:r>
        <w:t xml:space="preserve">Figure 16: Inflation adjusted price trends in EU awards of 700 MHz and 3.6 GHz 2015-2025</w:t>
      </w:r>
    </w:p>
    <w:p>
      <w:pPr>
        <w:pStyle w:val="BodyText"/>
      </w:pPr>
      <w:r>
        <w:t xml:space="preserve">Source: PolicyTracker Spectrum Database 2025; figures adjusted for inflation with 2015 as the baseline using HICP figures</w:t>
      </w:r>
      <w:r>
        <w:t xml:space="preserve"> </w:t>
      </w:r>
      <w:r>
        <w:t xml:space="preserve">from Eurostat https://ec.europa.eu/eurostat/web/hicp/database</w:t>
      </w:r>
    </w:p>
    <w:p>
      <w:pPr>
        <w:pStyle w:val="BodyText"/>
      </w:pPr>
      <w:r>
        <w:t xml:space="preserve">215 See section Completing the Digital Single Market (DSM): Regulatory enablers for cross-border networks”.</w:t>
      </w:r>
      <w:r>
        <w:t xml:space="preserve"> </w:t>
      </w:r>
      <w:r>
        <w:t xml:space="preserve">216 Completing the Digital Single Market (DSM): Regulatory enablers for cross-border networks” reporting</w:t>
      </w:r>
      <w:r>
        <w:t xml:space="preserve"> </w:t>
      </w:r>
      <w:r>
        <w:t xml:space="preserve">GSMA data.</w:t>
      </w:r>
    </w:p>
    <w:p>
      <w:pPr>
        <w:pStyle w:val="BodyText"/>
      </w:pPr>
      <w:r>
        <w:t xml:space="preserve">82</w:t>
      </w:r>
    </w:p>
    <w:p>
      <w:pPr>
        <w:pStyle w:val="BodyText"/>
      </w:pPr>
      <w:r>
        <w:t xml:space="preserve">On the other side GSMA is currently working on a spectrum pricing report and the</w:t>
      </w:r>
      <w:r>
        <w:t xml:space="preserve"> </w:t>
      </w:r>
      <w:r>
        <w:t xml:space="preserve">preliminary analysis for Europe shows that spectrum costs have increased by more than 150%</w:t>
      </w:r>
      <w:r>
        <w:t xml:space="preserve"> </w:t>
      </w:r>
      <w:r>
        <w:t xml:space="preserve">as a proportion of recurring revenue since 2014, when one excludes outlier 2.1 GHz prices for</w:t>
      </w:r>
      <w:r>
        <w:t xml:space="preserve"> </w:t>
      </w:r>
      <w:r>
        <w:t xml:space="preserve">Germany and the UK:</w:t>
      </w:r>
    </w:p>
    <w:p>
      <w:pPr>
        <w:pStyle w:val="BodyText"/>
      </w:pPr>
      <w:r>
        <w:t xml:space="preserve">Source: GSMA Intelligence. Analysis only includes operator for which spectrum cost data is available or has been provided</w:t>
      </w:r>
      <w:r>
        <w:t xml:space="preserve"> </w:t>
      </w:r>
      <w:r>
        <w:t xml:space="preserve">GSMA</w:t>
      </w:r>
      <w:r>
        <w:br/>
      </w:r>
      <w:r>
        <w:t xml:space="preserve">In a recent report, the GSMA217 argues that the decline in spectrum prices has not sufficiently</w:t>
      </w:r>
      <w:r>
        <w:t xml:space="preserve"> </w:t>
      </w:r>
      <w:r>
        <w:t xml:space="preserve">reflected MNOs falling revenues. The Global Spectrum Pricing report says aggregate spectrum</w:t>
      </w:r>
      <w:r>
        <w:t xml:space="preserve"> </w:t>
      </w:r>
      <w:r>
        <w:t xml:space="preserve">costs now account for 7% of operator revenues, representing a 63% increase over the past</w:t>
      </w:r>
      <w:r>
        <w:t xml:space="preserve"> </w:t>
      </w:r>
      <w:r>
        <w:t xml:space="preserve">decade. While admitting that spectrum prices have declined in the past 10 years, it stresses</w:t>
      </w:r>
      <w:r>
        <w:t xml:space="preserve"> </w:t>
      </w:r>
      <w:r>
        <w:t xml:space="preserve">that these “were not sufficient to offset the build-up in the total cost of spectrum, largely</w:t>
      </w:r>
      <w:r>
        <w:t xml:space="preserve"> </w:t>
      </w:r>
      <w:r>
        <w:t xml:space="preserve">driven by acquisition of the additional spectrum needed to deliver greater mobile data traffic</w:t>
      </w:r>
      <w:r>
        <w:t xml:space="preserve"> </w:t>
      </w:r>
      <w:r>
        <w:t xml:space="preserve">and the launches of 4G and 5G networks”.218 The report considers this issue globally rather</w:t>
      </w:r>
      <w:r>
        <w:t xml:space="preserve"> </w:t>
      </w:r>
      <w:r>
        <w:t xml:space="preserve">than on an EU basis, pointing that, when measured in a different way219, spectrum prices may</w:t>
      </w:r>
      <w:r>
        <w:t xml:space="preserve"> </w:t>
      </w:r>
      <w:r>
        <w:t xml:space="preserve">be insufficiently responsive to changing market conditions.</w:t>
      </w:r>
      <w:r>
        <w:br/>
      </w:r>
      <w:r>
        <w:t xml:space="preserve">GSMA supports some spectrum auction model examples, like for example the Austrian</w:t>
      </w:r>
      <w:r>
        <w:t xml:space="preserve"> </w:t>
      </w:r>
      <w:r>
        <w:t xml:space="preserve">model220 where operators did not pay cash for licences but committed to infrastructure</w:t>
      </w:r>
      <w:r>
        <w:t xml:space="preserve"> </w:t>
      </w:r>
      <w:r>
        <w:t xml:space="preserve">investments and coverage obligations. This “cashless” or “negative” auction approach aimed</w:t>
      </w:r>
      <w:r>
        <w:t xml:space="preserve"> </w:t>
      </w:r>
      <w:r>
        <w:t xml:space="preserve">to accelerate mobile network expansion, especially in underserved rural areas. While this</w:t>
      </w:r>
      <w:r>
        <w:t xml:space="preserve"> </w:t>
      </w:r>
      <w:r>
        <w:t xml:space="preserve">approach presents social and economic benefits it also brings challenges in monitoring and</w:t>
      </w:r>
      <w:r>
        <w:t xml:space="preserve"> </w:t>
      </w:r>
      <w:r>
        <w:t xml:space="preserve">enforcing the investment commitments. With proper safeguards in place to ensure</w:t>
      </w:r>
      <w:r>
        <w:t xml:space="preserve"> </w:t>
      </w:r>
      <w:r>
        <w:t xml:space="preserve">enforcement, Austria is now seen as a potential blueprint in seeking to balance digital</w:t>
      </w:r>
      <w:r>
        <w:t xml:space="preserve"> </w:t>
      </w:r>
      <w:r>
        <w:t xml:space="preserve">inclusion goals with sustainable telecom investments.</w:t>
      </w:r>
    </w:p>
    <w:p>
      <w:pPr>
        <w:pStyle w:val="BodyText"/>
      </w:pPr>
      <w:r>
        <w:t xml:space="preserve">217 GSMA Global Spectrum Pricing(2025) https://www.gsma.com/connectivity-for-good/spectrum/wp-</w:t>
      </w:r>
      <w:r>
        <w:t xml:space="preserve"> </w:t>
      </w:r>
      <w:r>
        <w:t xml:space="preserve">content/uploads/2025/05/Global-Spectrum-Pricing-v2.pdf.</w:t>
      </w:r>
      <w:r>
        <w:t xml:space="preserve"> </w:t>
      </w:r>
      <w:r>
        <w:t xml:space="preserve">218 Ibid p8.</w:t>
      </w:r>
      <w:r>
        <w:t xml:space="preserve"> </w:t>
      </w:r>
      <w:r>
        <w:t xml:space="preserve">219 The GSMA report also takes into account annual fees as well as award fees. See p27.</w:t>
      </w:r>
      <w:r>
        <w:t xml:space="preserve"> </w:t>
      </w:r>
      <w:r>
        <w:t xml:space="preserve">220 See Austria-Spectrum-Licensing-Best-Practice https://www.gsma.com/connectivity-for-good/spectrum/wp-</w:t>
      </w:r>
      <w:r>
        <w:t xml:space="preserve"> </w:t>
      </w:r>
      <w:r>
        <w:t xml:space="preserve">content/uploads/2025/02/Austria-Spectrum-Licensing-Best-Practice.pdf.</w:t>
      </w:r>
    </w:p>
    <w:p>
      <w:pPr>
        <w:pStyle w:val="BodyText"/>
      </w:pPr>
      <w:r>
        <w:t xml:space="preserve">83</w:t>
      </w:r>
    </w:p>
    <w:p>
      <w:pPr>
        <w:pStyle w:val="BodyText"/>
      </w:pPr>
      <w:r>
        <w:t xml:space="preserve">5.6.3. Reserve prices for the 5G auctions</w:t>
      </w:r>
      <w:r>
        <w:t xml:space="preserve"> </w:t>
      </w:r>
      <w:r>
        <w:t xml:space="preserve">A 2017 study221 showed that reserve prices are a key factor in determining the final price paid</w:t>
      </w:r>
      <w:r>
        <w:t xml:space="preserve"> </w:t>
      </w:r>
      <w:r>
        <w:t xml:space="preserve">in spectrum auctions. Although many factors can influence auction prices, from wider</w:t>
      </w:r>
      <w:r>
        <w:t xml:space="preserve"> </w:t>
      </w:r>
      <w:r>
        <w:t xml:space="preserve">economic trends to the strength of competition, high reserve prices can lead to nothing other</w:t>
      </w:r>
      <w:r>
        <w:t xml:space="preserve"> </w:t>
      </w:r>
      <w:r>
        <w:t xml:space="preserve">than high final prices or unsold spectrum, while low reserve prices allow the auction to</w:t>
      </w:r>
      <w:r>
        <w:t xml:space="preserve"> </w:t>
      </w:r>
      <w:r>
        <w:t xml:space="preserve">determine a market price. High reserve prices can therefore lead to final auction prices which</w:t>
      </w:r>
      <w:r>
        <w:t xml:space="preserve"> </w:t>
      </w:r>
      <w:r>
        <w:t xml:space="preserve">exceed the economically sustainable market level and hinder investment in networks.</w:t>
      </w:r>
      <w:r>
        <w:t xml:space="preserve"> </w:t>
      </w:r>
      <w:r>
        <w:t xml:space="preserve">Art. 42 EECC is not specific about how administrations should determine reserve prices,</w:t>
      </w:r>
      <w:r>
        <w:t xml:space="preserve"> </w:t>
      </w:r>
      <w:r>
        <w:t xml:space="preserve">requiring merely that spectrum fees should be “objectively justified, transparent, non-</w:t>
      </w:r>
      <w:r>
        <w:t xml:space="preserve"> </w:t>
      </w:r>
      <w:r>
        <w:t xml:space="preserve">discriminatory and proportionate” and that setting reserve prices should have “regard to the</w:t>
      </w:r>
      <w:r>
        <w:t xml:space="preserve"> </w:t>
      </w:r>
      <w:r>
        <w:t xml:space="preserve">value of those rights in their possible alternative uses.” The tendency of reserve prices</w:t>
      </w:r>
      <w:r>
        <w:t xml:space="preserve"> </w:t>
      </w:r>
      <w:r>
        <w:t xml:space="preserve">becoming the final price may be a sign that procedures need to be tightened. One way of</w:t>
      </w:r>
      <w:r>
        <w:t xml:space="preserve"> </w:t>
      </w:r>
      <w:r>
        <w:t xml:space="preserve">assessing whether auction prices have been set too high is to establish whether the auction</w:t>
      </w:r>
      <w:r>
        <w:t xml:space="preserve"> </w:t>
      </w:r>
      <w:r>
        <w:t xml:space="preserve">closed without any competitive bidding i.e. the final auction price was the same as the reserve</w:t>
      </w:r>
      <w:r>
        <w:t xml:space="preserve"> </w:t>
      </w:r>
      <w:r>
        <w:t xml:space="preserve">price. While this rough method does not capture all cases where the reserve price has been set</w:t>
      </w:r>
      <w:r>
        <w:t xml:space="preserve"> </w:t>
      </w:r>
      <w:r>
        <w:t xml:space="preserve">too high, the table below of 5G auctions shows that 16% (6/37) closed at the reserve price.</w:t>
      </w:r>
      <w:r>
        <w:br/>
      </w:r>
      <w:r>
        <w:t xml:space="preserve">Another way of assessing whether a reserve price is too high is to compare it to the average</w:t>
      </w:r>
      <w:r>
        <w:t xml:space="preserve"> </w:t>
      </w:r>
      <w:r>
        <w:t xml:space="preserve">price for that band in the EU over the past 10 years. These are shown in the table below. The</w:t>
      </w:r>
      <w:r>
        <w:t xml:space="preserve"> </w:t>
      </w:r>
      <w:r>
        <w:t xml:space="preserve">final column shows the reserve prices as a percentage of the EU average final price for that</w:t>
      </w:r>
      <w:r>
        <w:t xml:space="preserve"> </w:t>
      </w:r>
      <w:r>
        <w:t xml:space="preserve">award. Taking the relative price into account suggests that the auctions in the last three rows</w:t>
      </w:r>
      <w:r>
        <w:t xml:space="preserve"> </w:t>
      </w:r>
      <w:r>
        <w:t xml:space="preserve">in Spain Portugal and Romania in 2021 may have been reasonable, even though they closed at</w:t>
      </w:r>
      <w:r>
        <w:t xml:space="preserve"> </w:t>
      </w:r>
      <w:r>
        <w:t xml:space="preserve">the reserve price. This is because the reserve prices were all below the average price for the</w:t>
      </w:r>
      <w:r>
        <w:t xml:space="preserve"> </w:t>
      </w:r>
      <w:r>
        <w:t xml:space="preserve">respective bands. See Appendix II B for an analysis on How final auction prices differed from</w:t>
      </w:r>
      <w:r>
        <w:t xml:space="preserve"> </w:t>
      </w:r>
      <w:r>
        <w:t xml:space="preserve">the reserve price in EU 5G auctions.</w:t>
      </w:r>
      <w:r>
        <w:t xml:space="preserve"> </w:t>
      </w:r>
      <w:r>
        <w:t xml:space="preserve">However, the Italian 700 MHz auction in 2018 raises concerns because the reserve was more</w:t>
      </w:r>
      <w:r>
        <w:t xml:space="preserve"> </w:t>
      </w:r>
      <w:r>
        <w:t xml:space="preserve">than double the average price for that band and there was no competitive bidding. This</w:t>
      </w:r>
      <w:r>
        <w:t xml:space="preserve"> </w:t>
      </w:r>
      <w:r>
        <w:t xml:space="preserve">suggests MNOs may have been forced to pay more than the market rate. The same is true of</w:t>
      </w:r>
      <w:r>
        <w:t xml:space="preserve"> </w:t>
      </w:r>
      <w:r>
        <w:t xml:space="preserve">the Luxembourg 700 MHz award in 2020, although the reserve was a little less in relative</w:t>
      </w:r>
      <w:r>
        <w:t xml:space="preserve"> </w:t>
      </w:r>
      <w:r>
        <w:t xml:space="preserve">terms. Similar concerns can be raised about the French 700 MHz in 2015 where the reserve</w:t>
      </w:r>
      <w:r>
        <w:t xml:space="preserve"> </w:t>
      </w:r>
      <w:r>
        <w:t xml:space="preserve">was more than twice the band average price. There was a small amount of competitive</w:t>
      </w:r>
      <w:r>
        <w:t xml:space="preserve"> </w:t>
      </w:r>
      <w:r>
        <w:t xml:space="preserve">bidding but the price level at which this occurred was likely inflated by the high reserve price.</w:t>
      </w:r>
      <w:r>
        <w:t xml:space="preserve"> </w:t>
      </w:r>
      <w:r>
        <w:t xml:space="preserve">In conclusion, most auctions seem to work well, demonstrating competitive bidding and a</w:t>
      </w:r>
      <w:r>
        <w:t xml:space="preserve"> </w:t>
      </w:r>
      <w:r>
        <w:t xml:space="preserve">reasonable reserve price, but the design and pricing of a number of awards seems flawed. Two</w:t>
      </w:r>
      <w:r>
        <w:t xml:space="preserve"> </w:t>
      </w:r>
      <w:r>
        <w:t xml:space="preserve">of these happened before the implementation of the EECC in 2020 – in France in 2015 and</w:t>
      </w:r>
      <w:r>
        <w:t xml:space="preserve"> </w:t>
      </w:r>
      <w:r>
        <w:t xml:space="preserve">Italy in 2018 – but the Luxembourg auction occurred in the same year. We also note that the</w:t>
      </w:r>
      <w:r>
        <w:t xml:space="preserve"> </w:t>
      </w:r>
      <w:r>
        <w:t xml:space="preserve">level of reserve prices seems to be moderating. From 2022 onwards no reserve price has been</w:t>
      </w:r>
      <w:r>
        <w:t xml:space="preserve"> </w:t>
      </w:r>
      <w:r>
        <w:t xml:space="preserve">above the EU average final band price.</w:t>
      </w:r>
      <w:r>
        <w:t xml:space="preserve"> </w:t>
      </w:r>
      <w:r>
        <w:t xml:space="preserve">Table 2: Average final prices in EU spectrum awards 2015-2025</w:t>
      </w:r>
      <w:r>
        <w:t xml:space="preserve"> </w:t>
      </w:r>
      <w:r>
        <w:t xml:space="preserve">Average final price for</w:t>
      </w:r>
      <w:r>
        <w:t xml:space="preserve"> </w:t>
      </w:r>
      <w:r>
        <w:t xml:space="preserve">band (€/MHz/pop)</w:t>
      </w:r>
      <w:r>
        <w:t xml:space="preserve"> </w:t>
      </w:r>
      <w:r>
        <w:t xml:space="preserve">700 MHz</w:t>
      </w:r>
      <w:r>
        <w:t xml:space="preserve"> </w:t>
      </w:r>
      <w:r>
        <w:t xml:space="preserve">€0.2667</w:t>
      </w:r>
      <w:r>
        <w:t xml:space="preserve"> </w:t>
      </w:r>
      <w:r>
        <w:t xml:space="preserve">3.6 GHz</w:t>
      </w:r>
      <w:r>
        <w:t xml:space="preserve"> </w:t>
      </w:r>
      <w:r>
        <w:t xml:space="preserve">€0.0682</w:t>
      </w:r>
      <w:r>
        <w:t xml:space="preserve"> </w:t>
      </w:r>
      <w:r>
        <w:t xml:space="preserve">26 GHz</w:t>
      </w:r>
      <w:r>
        <w:t xml:space="preserve"> </w:t>
      </w:r>
      <w:r>
        <w:t xml:space="preserve">€0.0014</w:t>
      </w:r>
    </w:p>
    <w:p>
      <w:pPr>
        <w:pStyle w:val="BodyText"/>
      </w:pPr>
      <w:r>
        <w:t xml:space="preserve">221 Study</w:t>
      </w:r>
      <w:r>
        <w:t xml:space="preserve"> </w:t>
      </w:r>
      <w:r>
        <w:t xml:space="preserve">on</w:t>
      </w:r>
      <w:r>
        <w:t xml:space="preserve"> </w:t>
      </w:r>
      <w:r>
        <w:t xml:space="preserve">Spectrum Assignment</w:t>
      </w:r>
      <w:r>
        <w:t xml:space="preserve"> </w:t>
      </w:r>
      <w:r>
        <w:t xml:space="preserve">in EU</w:t>
      </w:r>
      <w:r>
        <w:t xml:space="preserve"> </w:t>
      </w:r>
      <w:r>
        <w:t xml:space="preserve">(2017) p97</w:t>
      </w:r>
      <w:r>
        <w:t xml:space="preserve"> </w:t>
      </w:r>
      <w:r>
        <w:t xml:space="preserve">https://op.europa.eu/en/publication-detail/-</w:t>
      </w:r>
      <w:r>
        <w:t xml:space="preserve"> </w:t>
      </w:r>
      <w:r>
        <w:t xml:space="preserve">/publication/2388b227-a978-11e7-837e-01aa75ed71a1/language-en.</w:t>
      </w:r>
    </w:p>
    <w:p>
      <w:pPr>
        <w:pStyle w:val="BodyText"/>
      </w:pPr>
      <w:r>
        <w:t xml:space="preserve">84</w:t>
      </w:r>
    </w:p>
    <w:p>
      <w:pPr>
        <w:pStyle w:val="BodyText"/>
      </w:pPr>
      <w:r>
        <w:t xml:space="preserve">Telecom operators warn that high prices deviate funds from infrastructure investment, thus</w:t>
      </w:r>
      <w:r>
        <w:t xml:space="preserve"> </w:t>
      </w:r>
      <w:r>
        <w:t xml:space="preserve">delaying network rollout. Several providers call for reforms, suggesting that spectrum fees</w:t>
      </w:r>
      <w:r>
        <w:t xml:space="preserve"> </w:t>
      </w:r>
      <w:r>
        <w:t xml:space="preserve">should reflect opportunity costs and economic impact instead of focusing on revenue</w:t>
      </w:r>
      <w:r>
        <w:t xml:space="preserve"> </w:t>
      </w:r>
      <w:r>
        <w:t xml:space="preserve">generation. On the other side they also caution that an EU-wide auction model might benefit</w:t>
      </w:r>
      <w:r>
        <w:t xml:space="preserve"> </w:t>
      </w:r>
      <w:r>
        <w:t xml:space="preserve">large operators, hurting competition.</w:t>
      </w:r>
      <w:r>
        <w:br/>
      </w:r>
      <w:r>
        <w:t xml:space="preserve">5.6.4. Cost of Peer review</w:t>
      </w:r>
      <w:r>
        <w:t xml:space="preserve"> </w:t>
      </w:r>
      <w:r>
        <w:t xml:space="preserve">It is difficult to estimate the costs related to a peer review. The current mandatory notification</w:t>
      </w:r>
      <w:r>
        <w:t xml:space="preserve"> </w:t>
      </w:r>
      <w:r>
        <w:t xml:space="preserve">of the measure should not cause any excessive administrative costs, at least comparing to the</w:t>
      </w:r>
      <w:r>
        <w:t xml:space="preserve"> </w:t>
      </w:r>
      <w:r>
        <w:t xml:space="preserve">organisation of the authorisation process, as it obliges the competent authority just to</w:t>
      </w:r>
      <w:r>
        <w:t xml:space="preserve"> </w:t>
      </w:r>
      <w:r>
        <w:t xml:space="preserve">officially inform the RSPG Secretariat about a measure. If the notifying competent authority</w:t>
      </w:r>
      <w:r>
        <w:t xml:space="preserve"> </w:t>
      </w:r>
      <w:r>
        <w:t xml:space="preserve">asks the Peer Review forum is convened, then it needs to contribute some time and efforts to</w:t>
      </w:r>
      <w:r>
        <w:t xml:space="preserve"> </w:t>
      </w:r>
      <w:r>
        <w:t xml:space="preserve">prepare materials for the Peer Review forum, but it should not be more that what it already</w:t>
      </w:r>
      <w:r>
        <w:t xml:space="preserve"> </w:t>
      </w:r>
      <w:r>
        <w:t xml:space="preserve">prepares for meetings to explain the process to the stakeholders or participants.</w:t>
      </w:r>
      <w:r>
        <w:t xml:space="preserve"> </w:t>
      </w:r>
      <w:r>
        <w:t xml:space="preserve">Over the course of 2021-2025, 12 Peer Review Forums were held. Seven National Competent</w:t>
      </w:r>
      <w:r>
        <w:t xml:space="preserve"> </w:t>
      </w:r>
      <w:r>
        <w:t xml:space="preserve">Authorities (NCAs) indicated that they attended all meetings during this time, usually with 1-</w:t>
      </w:r>
      <w:r>
        <w:t xml:space="preserve"> </w:t>
      </w:r>
      <w:r>
        <w:t xml:space="preserve">2 representatives (the number of representatives could not be linked to the size of the NCA).</w:t>
      </w:r>
      <w:r>
        <w:t xml:space="preserve"> </w:t>
      </w:r>
      <w:r>
        <w:t xml:space="preserve">Only one mid-size NCA indicated that they attended with five persons on average. The</w:t>
      </w:r>
      <w:r>
        <w:t xml:space="preserve"> </w:t>
      </w:r>
      <w:r>
        <w:t xml:space="preserve">average effort of participating in Peer Review Forum meetings depends on the number of</w:t>
      </w:r>
      <w:r>
        <w:t xml:space="preserve"> </w:t>
      </w:r>
      <w:r>
        <w:t xml:space="preserve">NCA representatives attending, with an average of 30 hours per year per NRA. The effort is</w:t>
      </w:r>
      <w:r>
        <w:t xml:space="preserve"> </w:t>
      </w:r>
      <w:r>
        <w:t xml:space="preserve">considerably higher if the NCA asked for a peer review of an auction, but due to the limited</w:t>
      </w:r>
      <w:r>
        <w:t xml:space="preserve"> </w:t>
      </w:r>
      <w:r>
        <w:t xml:space="preserve">quantitative data obtained, it is impossible to calculate the extent of the additional effort in</w:t>
      </w:r>
      <w:r>
        <w:t xml:space="preserve"> </w:t>
      </w:r>
      <w:r>
        <w:t xml:space="preserve">this case. The perceived added value by RSPG members is still relatively high, although the</w:t>
      </w:r>
      <w:r>
        <w:t xml:space="preserve"> </w:t>
      </w:r>
      <w:r>
        <w:t xml:space="preserve">views show higher divergence than for other work strands 222. However, certain assignment</w:t>
      </w:r>
      <w:r>
        <w:t xml:space="preserve"> </w:t>
      </w:r>
      <w:r>
        <w:t xml:space="preserve">procedures, which has raised criticism by market players, have not even been subject to a peer</w:t>
      </w:r>
      <w:r>
        <w:t xml:space="preserve"> </w:t>
      </w:r>
      <w:r>
        <w:t xml:space="preserve">review.</w:t>
      </w:r>
      <w:r>
        <w:t xml:space="preserve"> </w:t>
      </w:r>
      <w:r>
        <w:t xml:space="preserve">Moreover, there is no legal obligation for the Commission the RSPG and the Competent</w:t>
      </w:r>
      <w:r>
        <w:t xml:space="preserve"> </w:t>
      </w:r>
      <w:r>
        <w:t xml:space="preserve">authorities to devote resources in analysing the spectrum auctions measures, assess the</w:t>
      </w:r>
      <w:r>
        <w:t xml:space="preserve"> </w:t>
      </w:r>
      <w:r>
        <w:t xml:space="preserve">evidence provided and develop an opinion. The process requires only limited information</w:t>
      </w:r>
      <w:r>
        <w:t xml:space="preserve"> </w:t>
      </w:r>
      <w:r>
        <w:t xml:space="preserve">provided for the Peer Reviews Forums, with no possibility to request additional information,</w:t>
      </w:r>
      <w:r>
        <w:t xml:space="preserve"> </w:t>
      </w:r>
      <w:r>
        <w:t xml:space="preserve">which de facto does not allow to undertake throughout analysis of the measure. It depends on</w:t>
      </w:r>
      <w:r>
        <w:t xml:space="preserve"> </w:t>
      </w:r>
      <w:r>
        <w:t xml:space="preserve">the good will of the participants, and for this reason it has remained of limited utility in the</w:t>
      </w:r>
      <w:r>
        <w:t xml:space="preserve"> </w:t>
      </w:r>
      <w:r>
        <w:t xml:space="preserve">most difficult cases. There is therefore a limited cost but also a very limited impact.</w:t>
      </w:r>
      <w:r>
        <w:br/>
      </w:r>
      <w:r>
        <w:t xml:space="preserve">5.7. Coherence</w:t>
      </w:r>
      <w:r>
        <w:t xml:space="preserve"> </w:t>
      </w:r>
      <w:r>
        <w:t xml:space="preserve">The spectrum regulatory framework is made up of several legislative acts that pursue</w:t>
      </w:r>
      <w:r>
        <w:t xml:space="preserve"> </w:t>
      </w:r>
      <w:r>
        <w:t xml:space="preserve">common objectives: the EECC works in combination with the provisions of the RSPP, the</w:t>
      </w:r>
      <w:r>
        <w:t xml:space="preserve"> </w:t>
      </w:r>
      <w:r>
        <w:t xml:space="preserve">2002 Radio Spectrum Decision223, the RSPG Commission Decision of 2019224 and the EU</w:t>
      </w:r>
      <w:r>
        <w:t xml:space="preserve"> </w:t>
      </w:r>
      <w:r>
        <w:t xml:space="preserve">legal framework225 for MSS and the UHF Decision. The Commission harmonisation process</w:t>
      </w:r>
    </w:p>
    <w:p>
      <w:pPr>
        <w:pStyle w:val="BodyText"/>
      </w:pPr>
      <w:r>
        <w:t xml:space="preserve">222 See study: Completing the Digital Single Market (DSM): Regulatory enablers for cross-border networks”.</w:t>
      </w:r>
      <w:r>
        <w:t xml:space="preserve"> </w:t>
      </w:r>
      <w:r>
        <w:t xml:space="preserve">223 Decision No 676/2002/EC of the European Parliament and of the Council of 7 March 2002 on a regulatory</w:t>
      </w:r>
      <w:r>
        <w:t xml:space="preserve"> </w:t>
      </w:r>
      <w:r>
        <w:t xml:space="preserve">framework for radio spectrum policy in the European Community.</w:t>
      </w:r>
      <w:r>
        <w:t xml:space="preserve"> </w:t>
      </w:r>
      <w:r>
        <w:t xml:space="preserve">224 COMMISSION DECISION of 11 June 2019 setting up the Radio Spectrum Policy Group and repealing</w:t>
      </w:r>
      <w:r>
        <w:t xml:space="preserve"> </w:t>
      </w:r>
      <w:r>
        <w:t xml:space="preserve">Decision 2002/622/EC.</w:t>
      </w:r>
      <w:r>
        <w:t xml:space="preserve"> </w:t>
      </w:r>
      <w:r>
        <w:t xml:space="preserve">225 Commission Decision 2007/98/EC of 14 February 2007 on the harmonised use of radio spectrum in the 2</w:t>
      </w:r>
      <w:r>
        <w:t xml:space="preserve"> </w:t>
      </w:r>
      <w:r>
        <w:t xml:space="preserve">GHz frequency bands for the implementation of systems providing mobile satellite services (MSS).</w:t>
      </w:r>
    </w:p>
    <w:p>
      <w:pPr>
        <w:pStyle w:val="BodyText"/>
      </w:pPr>
      <w:r>
        <w:t xml:space="preserve">85</w:t>
      </w:r>
    </w:p>
    <w:p>
      <w:pPr>
        <w:pStyle w:val="BodyText"/>
      </w:pPr>
      <w:r>
        <w:t xml:space="preserve">is supported by the CEPT and by the Radio Spectrum Committee, while the MSS process is</w:t>
      </w:r>
      <w:r>
        <w:t xml:space="preserve"> </w:t>
      </w:r>
      <w:r>
        <w:t xml:space="preserve">supported by the Communication Committee (COCOM) and its specific MSS sub-group. The</w:t>
      </w:r>
      <w:r>
        <w:t xml:space="preserve"> </w:t>
      </w:r>
      <w:r>
        <w:t xml:space="preserve">framework is also flanked by a large number of Commission Implementing Decisions on the</w:t>
      </w:r>
      <w:r>
        <w:t xml:space="preserve"> </w:t>
      </w:r>
      <w:r>
        <w:t xml:space="preserve">EU-wide designation of various frequency bands under harmonised technical conditions as</w:t>
      </w:r>
      <w:r>
        <w:t xml:space="preserve"> </w:t>
      </w:r>
      <w:r>
        <w:t xml:space="preserve">well as a Commission Implementing Regulation on a permit-free regime for small cells.</w:t>
      </w:r>
      <w:r>
        <w:br/>
      </w:r>
      <w:r>
        <w:t xml:space="preserve">EECC spectrum measures versus RSPP: To a certain extent, the EECC duplicates the</w:t>
      </w:r>
      <w:r>
        <w:t xml:space="preserve"> </w:t>
      </w:r>
      <w:r>
        <w:t xml:space="preserve">RSPP which under other aspects has now become obsolete and needs an overhaul in the light</w:t>
      </w:r>
      <w:r>
        <w:t xml:space="preserve"> </w:t>
      </w:r>
      <w:r>
        <w:t xml:space="preserve">of technological, economic and policy developments226. The Radio Spectrum Policy Group</w:t>
      </w:r>
      <w:r>
        <w:t xml:space="preserve"> </w:t>
      </w:r>
      <w:r>
        <w:t xml:space="preserve">(RSPG) also proposed a range of measures to update the RSPP and ensure it fosters the goals</w:t>
      </w:r>
      <w:r>
        <w:t xml:space="preserve"> </w:t>
      </w:r>
      <w:r>
        <w:t xml:space="preserve">of the EU’s Digital Decade and supports that objectives of the EECC.227 Stakeholders see the</w:t>
      </w:r>
      <w:r>
        <w:t xml:space="preserve"> </w:t>
      </w:r>
      <w:r>
        <w:t xml:space="preserve">EECC as establishing clear legal rules for spectrum management, while the RSPP serves as a</w:t>
      </w:r>
      <w:r>
        <w:t xml:space="preserve"> </w:t>
      </w:r>
      <w:r>
        <w:t xml:space="preserve">strategic planning tool, complementing the EECC by defining long-term spectrum policy</w:t>
      </w:r>
      <w:r>
        <w:t xml:space="preserve"> </w:t>
      </w:r>
      <w:r>
        <w:t xml:space="preserve">goals. However, there is a strong view that the RSPP, which dates back to 2012, is outdated</w:t>
      </w:r>
      <w:r>
        <w:t xml:space="preserve"> </w:t>
      </w:r>
      <w:r>
        <w:t xml:space="preserve">and should be revised to reflect technological advancements, particularly regarding 6G</w:t>
      </w:r>
      <w:r>
        <w:t xml:space="preserve"> </w:t>
      </w:r>
      <w:r>
        <w:t xml:space="preserve">spectrum planning and the evolving digital landscape. Appendix II A to this Report presents</w:t>
      </w:r>
      <w:r>
        <w:t xml:space="preserve"> </w:t>
      </w:r>
      <w:r>
        <w:t xml:space="preserve">the State of play of the implementation of the RSPP and of the proposed incorporation of</w:t>
      </w:r>
      <w:r>
        <w:t xml:space="preserve"> </w:t>
      </w:r>
      <w:r>
        <w:t xml:space="preserve">relevant parts in the Digital Network Act.</w:t>
      </w:r>
      <w:r>
        <w:t xml:space="preserve"> </w:t>
      </w:r>
      <w:r>
        <w:t xml:space="preserve">EECC spectrum measures versus RSPG Decision: The work of the RSPG is central for the</w:t>
      </w:r>
      <w:r>
        <w:t xml:space="preserve"> </w:t>
      </w:r>
      <w:r>
        <w:t xml:space="preserve">radio spectrum policy development in the EU and for any review of the regulatory framework.</w:t>
      </w:r>
      <w:r>
        <w:t xml:space="preserve"> </w:t>
      </w:r>
      <w:r>
        <w:t xml:space="preserve">Established in 2002, the RSPG has been granted with new tasks by the EECC since 2019,</w:t>
      </w:r>
      <w:r>
        <w:t xml:space="preserve"> </w:t>
      </w:r>
      <w:r>
        <w:t xml:space="preserve">such as related to the peer review. The RSPG Decision228 reflects a new RSPG status, i.e. it</w:t>
      </w:r>
      <w:r>
        <w:t xml:space="preserve"> </w:t>
      </w:r>
      <w:r>
        <w:t xml:space="preserve">advises not only to the EC but also to European Parliament, the Council and Member States</w:t>
      </w:r>
      <w:r>
        <w:t xml:space="preserve"> </w:t>
      </w:r>
      <w:r>
        <w:t xml:space="preserve">on issues related to spectrum policy, and new tasks related especially with the peer review, the</w:t>
      </w:r>
      <w:r>
        <w:t xml:space="preserve"> </w:t>
      </w:r>
      <w:r>
        <w:t xml:space="preserve">cross-border coordination and preparation to World Radiocommunications Conferences.</w:t>
      </w:r>
      <w:r>
        <w:br/>
      </w:r>
      <w:r>
        <w:t xml:space="preserve">The RSPG continues to issue reports and opinions on all crucial elements of EU spectrum</w:t>
      </w:r>
      <w:r>
        <w:t xml:space="preserve"> </w:t>
      </w:r>
      <w:r>
        <w:t xml:space="preserve">policy, as for example recently the Opinion on satellite Direct-to-Device (D2D) connectivity</w:t>
      </w:r>
      <w:r>
        <w:t xml:space="preserve"> </w:t>
      </w:r>
      <w:r>
        <w:t xml:space="preserve">and related Single Market issues and the report on the 6G Strategic Vision229, which are in</w:t>
      </w:r>
    </w:p>
    <w:p>
      <w:pPr>
        <w:pStyle w:val="BodyText"/>
      </w:pPr>
      <w:r>
        <w:t xml:space="preserve">Decision No 626/2008/EC of the European Parliament and of the Council of 30 June 2008 on the selection</w:t>
      </w:r>
      <w:r>
        <w:t xml:space="preserve"> </w:t>
      </w:r>
      <w:r>
        <w:t xml:space="preserve">and authorisation of systems providing mobile satellite services (MSS).</w:t>
      </w:r>
      <w:r>
        <w:t xml:space="preserve"> </w:t>
      </w:r>
      <w:r>
        <w:t xml:space="preserve">Commission Decision 2009/449/EC of 13 May 2009 on the selection of operators of pan-European systems</w:t>
      </w:r>
      <w:r>
        <w:t xml:space="preserve"> </w:t>
      </w:r>
      <w:r>
        <w:t xml:space="preserve">providing mobile satellite services (MSS).</w:t>
      </w:r>
      <w:r>
        <w:t xml:space="preserve"> </w:t>
      </w:r>
      <w:r>
        <w:t xml:space="preserve">Commission Decision 2011/667/EC of 10 October 2011 on modalities for coordinated application of the</w:t>
      </w:r>
      <w:r>
        <w:t xml:space="preserve"> </w:t>
      </w:r>
      <w:r>
        <w:t xml:space="preserve">rules on enforcement with regard to mobile satellite services (MSS) pursuant to Article 9(3) of Decision No</w:t>
      </w:r>
      <w:r>
        <w:t xml:space="preserve"> </w:t>
      </w:r>
      <w:r>
        <w:t xml:space="preserve">626/2008/EC of the European Parliament and of the Council (notified under document C(2011) 7001) (Text</w:t>
      </w:r>
      <w:r>
        <w:t xml:space="preserve"> </w:t>
      </w:r>
      <w:r>
        <w:t xml:space="preserve">with EEA relevance) (2011/667/EU).</w:t>
      </w:r>
      <w:r>
        <w:t xml:space="preserve"> </w:t>
      </w:r>
      <w:r>
        <w:t xml:space="preserve">226 For details see VVA, PolicyTracker and LS Telcom (2024). Study on Radio Spectrum Policy Programme:</w:t>
      </w:r>
      <w:r>
        <w:t xml:space="preserve"> </w:t>
      </w:r>
      <w:r>
        <w:t xml:space="preserve">taking stock and discussing future scenarios, study for DG CNECT: https://digital-</w:t>
      </w:r>
      <w:r>
        <w:t xml:space="preserve"> </w:t>
      </w:r>
      <w:r>
        <w:t xml:space="preserve">strategy.ec.europa.eu/en/library/study-radio-spectrum-policy-programme-taking-stock-and-discussing-</w:t>
      </w:r>
      <w:r>
        <w:t xml:space="preserve"> </w:t>
      </w:r>
      <w:r>
        <w:t xml:space="preserve">future-scenarios.</w:t>
      </w:r>
      <w:r>
        <w:t xml:space="preserve"> </w:t>
      </w:r>
      <w:r>
        <w:t xml:space="preserve">227 RSPG (2021). Opinion on a Radio Spectrum Policy Programme (RSPP), RSPG21-033 FINAL: https://radio-</w:t>
      </w:r>
      <w:r>
        <w:t xml:space="preserve"> </w:t>
      </w:r>
      <w:r>
        <w:t xml:space="preserve">spectrum-policy-group.ec.europa.eu/document/download/00cfd520-efa9-48a1-bfec-</w:t>
      </w:r>
      <w:r>
        <w:t xml:space="preserve"> </w:t>
      </w:r>
      <w:r>
        <w:t xml:space="preserve">d2980f511c3c_en?filename=RSPG21-033final-RSPG_Opinion_on_RSPP.pdf.</w:t>
      </w:r>
      <w:r>
        <w:br/>
      </w:r>
      <w:r>
        <w:t xml:space="preserve">228 Commission Decision of 11 June 2019 setting up the Radio Spectrum Policy Group and repealing Decision</w:t>
      </w:r>
      <w:r>
        <w:t xml:space="preserve"> </w:t>
      </w:r>
      <w:r>
        <w:t xml:space="preserve">2002/622/EC (C/2019/4147).</w:t>
      </w:r>
      <w:r>
        <w:t xml:space="preserve"> </w:t>
      </w:r>
      <w:r>
        <w:t xml:space="preserve">229 RSPG (2025). 6G Strategic vision - RSPG Report, RSPG25-006 FINAL: https://radio-spectrum-policy-</w:t>
      </w:r>
      <w:r>
        <w:t xml:space="preserve"> </w:t>
      </w:r>
      <w:r>
        <w:t xml:space="preserve">group.ec.europa.eu/document/download/89457260-ab6b-495a-9a10-437711cbe831_en?filename=RSPG25-</w:t>
      </w:r>
      <w:r>
        <w:t xml:space="preserve"> </w:t>
      </w:r>
      <w:r>
        <w:t xml:space="preserve">006final-RSPG_Report_on_6G_strategic_vision.pdf. RSPG discussed the previously identified issues for</w:t>
      </w:r>
      <w:r>
        <w:t xml:space="preserve"> </w:t>
      </w:r>
      <w:r>
        <w:t xml:space="preserve">timely 6G deployment in the EU, and set a particular focus on inter-service spectrum sharing as an</w:t>
      </w:r>
      <w:r>
        <w:t xml:space="preserve"> </w:t>
      </w:r>
      <w:r>
        <w:t xml:space="preserve">indispensable mechanism to support innovation and efficient spectrum use. That Report studied the six usage</w:t>
      </w:r>
    </w:p>
    <w:p>
      <w:pPr>
        <w:pStyle w:val="BodyText"/>
      </w:pPr>
      <w:r>
        <w:t xml:space="preserve">86</w:t>
      </w:r>
    </w:p>
    <w:p>
      <w:pPr>
        <w:pStyle w:val="BodyText"/>
      </w:pPr>
      <w:r>
        <w:t xml:space="preserve">general welcomed by stakeholders and the assessment of the added value of RSPG work is</w:t>
      </w:r>
      <w:r>
        <w:t xml:space="preserve"> </w:t>
      </w:r>
      <w:r>
        <w:t xml:space="preserve">high between the participating MS representatives230. For the RSPG deliverables to pursue</w:t>
      </w:r>
      <w:r>
        <w:t xml:space="preserve"> </w:t>
      </w:r>
      <w:r>
        <w:t xml:space="preserve">broader EU benefit, it would be beneficial that the RSPG Secretariat, which is currently</w:t>
      </w:r>
      <w:r>
        <w:t xml:space="preserve"> </w:t>
      </w:r>
      <w:r>
        <w:t xml:space="preserve">provided by the Commission, would evolve from offering only administrative and</w:t>
      </w:r>
      <w:r>
        <w:t xml:space="preserve"> </w:t>
      </w:r>
      <w:r>
        <w:t xml:space="preserve">organisational support, to support the work of the group also on substance.</w:t>
      </w:r>
      <w:r>
        <w:br/>
      </w:r>
      <w:r>
        <w:t xml:space="preserve">EECC versus spectrum measures in the EU framework for MSS: the MSS Decision sets</w:t>
      </w:r>
      <w:r>
        <w:t xml:space="preserve"> </w:t>
      </w:r>
      <w:r>
        <w:t xml:space="preserve">specific provisions for the coordinated selection and assignment of spectrum for mobile</w:t>
      </w:r>
      <w:r>
        <w:t xml:space="preserve"> </w:t>
      </w:r>
      <w:r>
        <w:t xml:space="preserve">satellite services in only one band, the 2 GHz band and acts as a ‘lex specialis’, with the</w:t>
      </w:r>
      <w:r>
        <w:t xml:space="preserve"> </w:t>
      </w:r>
      <w:r>
        <w:t xml:space="preserve">EECC acting as ‘lex generalis’, i.e. regulating the issues which are not specified in the MSS</w:t>
      </w:r>
      <w:r>
        <w:t xml:space="preserve"> </w:t>
      </w:r>
      <w:r>
        <w:t xml:space="preserve">Decision.</w:t>
      </w:r>
      <w:r>
        <w:t xml:space="preserve"> </w:t>
      </w:r>
      <w:r>
        <w:t xml:space="preserve">EECC spectrum measures versus ITU Regulations and international spectrum rules:</w:t>
      </w:r>
      <w:r>
        <w:t xml:space="preserve"> </w:t>
      </w:r>
      <w:r>
        <w:t xml:space="preserve">The ITU-R Radio Regulations (RR) are an international treaty between the 194 ITU Member</w:t>
      </w:r>
      <w:r>
        <w:t xml:space="preserve"> </w:t>
      </w:r>
      <w:r>
        <w:t xml:space="preserve">States on the use of the radio spectrum and coordination rules to provide access to it. The</w:t>
      </w:r>
      <w:r>
        <w:t xml:space="preserve"> </w:t>
      </w:r>
      <w:r>
        <w:t xml:space="preserve">ITU-R RR deal with the allocation of spectrum bands to one or more radiocommunication</w:t>
      </w:r>
      <w:r>
        <w:t xml:space="preserve"> </w:t>
      </w:r>
      <w:r>
        <w:t xml:space="preserve">services (e.g. broadcasting, mobile, fixed and various space services) and establishing</w:t>
      </w:r>
      <w:r>
        <w:t xml:space="preserve"> </w:t>
      </w:r>
      <w:r>
        <w:t xml:space="preserve">regulatory, organisational and technical conditions to avoid cross-border or cross-service</w:t>
      </w:r>
      <w:r>
        <w:t xml:space="preserve"> </w:t>
      </w:r>
      <w:r>
        <w:t xml:space="preserve">harmful interference. They do not mandate the actual implementation and spectrum use by a</w:t>
      </w:r>
      <w:r>
        <w:t xml:space="preserve"> </w:t>
      </w:r>
      <w:r>
        <w:t xml:space="preserve">system or application. That is why an ITU Member State or a group of them (such as the EU)</w:t>
      </w:r>
      <w:r>
        <w:t xml:space="preserve"> </w:t>
      </w:r>
      <w:r>
        <w:t xml:space="preserve">could decide to use different services or different conditions in a given spectrum band,</w:t>
      </w:r>
      <w:r>
        <w:t xml:space="preserve"> </w:t>
      </w:r>
      <w:r>
        <w:t xml:space="preserve">however, taking into account sharing conditions and cross-border coordination requirements</w:t>
      </w:r>
      <w:r>
        <w:t xml:space="preserve"> </w:t>
      </w:r>
      <w:r>
        <w:t xml:space="preserve">defined in the RR in order to protect the use of frequencies in other countries. Selected subset</w:t>
      </w:r>
      <w:r>
        <w:t xml:space="preserve"> </w:t>
      </w:r>
      <w:r>
        <w:t xml:space="preserve">of the ITU-R RR is reviewed and, if necessary, revised every three to four years in the context</w:t>
      </w:r>
      <w:r>
        <w:t xml:space="preserve"> </w:t>
      </w:r>
      <w:r>
        <w:t xml:space="preserve">of World Radiocommunications Conferences (WRC). At each WRC, there are certain agenda</w:t>
      </w:r>
      <w:r>
        <w:t xml:space="preserve"> </w:t>
      </w:r>
      <w:r>
        <w:t xml:space="preserve">items with the EU relevance, i.e. they could affect EU law, policies or programmes, which</w:t>
      </w:r>
      <w:r>
        <w:t xml:space="preserve"> </w:t>
      </w:r>
      <w:r>
        <w:t xml:space="preserve">could result in adopting or amending the technical harmonisation measures adopted under the</w:t>
      </w:r>
      <w:r>
        <w:t xml:space="preserve"> </w:t>
      </w:r>
      <w:r>
        <w:t xml:space="preserve">Radio Spectrum Decision. An EU position for each WRC is set by the Council Decision</w:t>
      </w:r>
      <w:r>
        <w:t xml:space="preserve"> </w:t>
      </w:r>
      <w:r>
        <w:t xml:space="preserve">pursuant to Article 218(9) TFEU.</w:t>
      </w:r>
      <w:r>
        <w:t xml:space="preserve"> </w:t>
      </w:r>
      <w:r>
        <w:t xml:space="preserve">As regards satellites, ITU-R RR introduce a multistage coordination and notification</w:t>
      </w:r>
      <w:r>
        <w:t xml:space="preserve"> </w:t>
      </w:r>
      <w:r>
        <w:t xml:space="preserve">procedure—ranging from advanced publication to bringing satellite systems into use and</w:t>
      </w:r>
      <w:r>
        <w:t xml:space="preserve"> </w:t>
      </w:r>
      <w:r>
        <w:t xml:space="preserve">recording them in the Master Register. ITU filings and coordination obligations fall solely on</w:t>
      </w:r>
      <w:r>
        <w:t xml:space="preserve"> </w:t>
      </w:r>
      <w:r>
        <w:t xml:space="preserve">Member States, not the EU or other transnational bodies, limiting the feasibility of shared</w:t>
      </w:r>
      <w:r>
        <w:t xml:space="preserve"> </w:t>
      </w:r>
      <w:r>
        <w:t xml:space="preserve">spectrum management models such as Licence Shared Access at the international level.</w:t>
      </w:r>
      <w:r>
        <w:t xml:space="preserve"> </w:t>
      </w:r>
      <w:r>
        <w:t xml:space="preserve">ITU-R RR by defining rules for avoidance of harmful interference are linked to one of the</w:t>
      </w:r>
      <w:r>
        <w:t xml:space="preserve"> </w:t>
      </w:r>
      <w:r>
        <w:t xml:space="preserve">main principles of spectrum management under Article 45 EECC, which requires Member</w:t>
      </w:r>
      <w:r>
        <w:t xml:space="preserve"> </w:t>
      </w:r>
      <w:r>
        <w:t xml:space="preserve">States, when applying the EECC, to comply with international law. ITU-R RR could be also</w:t>
      </w:r>
      <w:r>
        <w:t xml:space="preserve"> </w:t>
      </w:r>
      <w:r>
        <w:t xml:space="preserve">linked to the authorisations as the EECC expressly allows Member States to attach to the</w:t>
      </w:r>
      <w:r>
        <w:t xml:space="preserve"> </w:t>
      </w:r>
      <w:r>
        <w:t xml:space="preserve">spectrum rights of use technical and operational conditions necessary for avoidance of</w:t>
      </w:r>
      <w:r>
        <w:t xml:space="preserve"> </w:t>
      </w:r>
      <w:r>
        <w:t xml:space="preserve">harmful interference.</w:t>
      </w:r>
      <w:r>
        <w:t xml:space="preserve"> </w:t>
      </w:r>
      <w:r>
        <w:t xml:space="preserve">The interplay between ITU obligations and national satellite licensing frameworks continues</w:t>
      </w:r>
      <w:r>
        <w:t xml:space="preserve"> </w:t>
      </w:r>
      <w:r>
        <w:t xml:space="preserve">to require careful coordination within the EU, particularly where multiple operators seek</w:t>
      </w:r>
    </w:p>
    <w:p>
      <w:pPr>
        <w:pStyle w:val="BodyText"/>
      </w:pPr>
      <w:r>
        <w:t xml:space="preserve">scenarios defined by the ITU-R and indicated possible frequency bands for 6G in the EU that will be further</w:t>
      </w:r>
      <w:r>
        <w:t xml:space="preserve"> </w:t>
      </w:r>
      <w:r>
        <w:t xml:space="preserve">investigated in the preparation of a 6G spectrum roadmap. The 6G spectrum roadmap will be developed by</w:t>
      </w:r>
      <w:r>
        <w:t xml:space="preserve"> </w:t>
      </w:r>
      <w:r>
        <w:t xml:space="preserve">the RSPG and address pioneer 6G bands, bands for the commercial launch and bands for vertical market.</w:t>
      </w:r>
      <w:r>
        <w:br/>
      </w:r>
      <w:r>
        <w:t xml:space="preserve">230 See survey results presented in study: Completing the Digital Single Market (DSM): Regulatory enablers for</w:t>
      </w:r>
      <w:r>
        <w:t xml:space="preserve"> </w:t>
      </w:r>
      <w:r>
        <w:t xml:space="preserve">cross-border networks”.</w:t>
      </w:r>
    </w:p>
    <w:p>
      <w:pPr>
        <w:pStyle w:val="BodyText"/>
      </w:pPr>
      <w:r>
        <w:t xml:space="preserve">87</w:t>
      </w:r>
    </w:p>
    <w:p>
      <w:pPr>
        <w:pStyle w:val="BodyText"/>
      </w:pPr>
      <w:r>
        <w:t xml:space="preserve">access to the same bands, such as the 2 GHz MSS band, and where pan-European solutions</w:t>
      </w:r>
      <w:r>
        <w:t xml:space="preserve"> </w:t>
      </w:r>
      <w:r>
        <w:t xml:space="preserve">must still rely on filings by individual Member States.</w:t>
      </w:r>
      <w:r>
        <w:t xml:space="preserve"> </w:t>
      </w:r>
      <w:r>
        <w:t xml:space="preserve">EECC spectrum measures versus Space Act proposal – The adoption of the Space Act</w:t>
      </w:r>
      <w:r>
        <w:t xml:space="preserve"> </w:t>
      </w:r>
      <w:r>
        <w:t xml:space="preserve">should not interfere with, but would, regarding satellite communications, be complementary</w:t>
      </w:r>
      <w:r>
        <w:t xml:space="preserve"> </w:t>
      </w:r>
      <w:r>
        <w:t xml:space="preserve">to the regulation of radio spectrum under the EECC as the scope and objectives of these two</w:t>
      </w:r>
      <w:r>
        <w:t xml:space="preserve"> </w:t>
      </w:r>
      <w:r>
        <w:t xml:space="preserve">acts are different. The Space Act is meant to regulate the safety, resilience and sustainability</w:t>
      </w:r>
      <w:r>
        <w:t xml:space="preserve"> </w:t>
      </w:r>
      <w:r>
        <w:t xml:space="preserve">of space activities in the Union in the framework of Member States responsibilities under the</w:t>
      </w:r>
      <w:r>
        <w:t xml:space="preserve"> </w:t>
      </w:r>
      <w:r>
        <w:t xml:space="preserve">Outer Space Treaty and related treaties, while the authorisation, use and management of radio</w:t>
      </w:r>
      <w:r>
        <w:t xml:space="preserve"> </w:t>
      </w:r>
      <w:r>
        <w:t xml:space="preserve">spectrum are governed by the EECC and the Radio Spectrum Decision 676/2002/EC in the</w:t>
      </w:r>
      <w:r>
        <w:t xml:space="preserve"> </w:t>
      </w:r>
      <w:r>
        <w:t xml:space="preserve">context of rules adopted in the context of the International Telecommunications Union rules.</w:t>
      </w:r>
      <w:r>
        <w:t xml:space="preserve"> </w:t>
      </w:r>
      <w:r>
        <w:t xml:space="preserve">5.8. Relevance</w:t>
      </w:r>
      <w:r>
        <w:t xml:space="preserve"> </w:t>
      </w:r>
      <w:r>
        <w:t xml:space="preserve">The EECC is seen by most stakeholders as a relevant and effective framework for EU</w:t>
      </w:r>
      <w:r>
        <w:t xml:space="preserve"> </w:t>
      </w:r>
      <w:r>
        <w:t xml:space="preserve">spectrum policy, particularly for terrestrial services. However, several stakeholders</w:t>
      </w:r>
      <w:r>
        <w:t xml:space="preserve"> </w:t>
      </w:r>
      <w:r>
        <w:t xml:space="preserve">highlighted shortcomings in addressing services with cross-border or pan-European scope,</w:t>
      </w:r>
      <w:r>
        <w:t xml:space="preserve"> </w:t>
      </w:r>
      <w:r>
        <w:t xml:space="preserve">such as satellite communications. Several novelties were introduced by the EECC in the</w:t>
      </w:r>
      <w:r>
        <w:t xml:space="preserve"> </w:t>
      </w:r>
      <w:r>
        <w:t xml:space="preserve">regulatory framework in relation to spectrum policy to strengthen its single market dimension.</w:t>
      </w:r>
      <w:r>
        <w:t xml:space="preserve"> </w:t>
      </w:r>
      <w:r>
        <w:t xml:space="preserve">These include the establishment of a peer review process to promote consistency of the</w:t>
      </w:r>
      <w:r>
        <w:t xml:space="preserve"> </w:t>
      </w:r>
      <w:r>
        <w:t xml:space="preserve">conditions attached to the selection and granting of spectrum usage rights, a spectrum</w:t>
      </w:r>
      <w:r>
        <w:t xml:space="preserve"> </w:t>
      </w:r>
      <w:r>
        <w:t xml:space="preserve">coordination mechanism to avoid cross-border interference between Member States, longer</w:t>
      </w:r>
      <w:r>
        <w:t xml:space="preserve"> </w:t>
      </w:r>
      <w:r>
        <w:t xml:space="preserve">duration of spectrum usage rights for the crucial bands to increase predictability, more</w:t>
      </w:r>
      <w:r>
        <w:t xml:space="preserve"> </w:t>
      </w:r>
      <w:r>
        <w:t xml:space="preserve">coordination of spectrum assignments, facilitation of the access to radio local area networks</w:t>
      </w:r>
      <w:r>
        <w:t xml:space="preserve"> </w:t>
      </w:r>
      <w:r>
        <w:t xml:space="preserve">all over the EU, and common EU criteria for the deployment and operation of small-area</w:t>
      </w:r>
      <w:r>
        <w:t xml:space="preserve"> </w:t>
      </w:r>
      <w:r>
        <w:t xml:space="preserve">wireless access points. The regulatory improvements in spectrum policy introduced by the</w:t>
      </w:r>
      <w:r>
        <w:t xml:space="preserve"> </w:t>
      </w:r>
      <w:r>
        <w:t xml:space="preserve">EECC 231 went to the right direction, aimed at addressing persistent problems, however the</w:t>
      </w:r>
      <w:r>
        <w:t xml:space="preserve"> </w:t>
      </w:r>
      <w:r>
        <w:t xml:space="preserve">agreed measures were not sufficient to fully exploit single market benefits, nor to sufficiently</w:t>
      </w:r>
      <w:r>
        <w:t xml:space="preserve"> </w:t>
      </w:r>
      <w:r>
        <w:t xml:space="preserve">incentivise investments.</w:t>
      </w:r>
      <w:r>
        <w:br/>
      </w:r>
      <w:r>
        <w:t xml:space="preserve">In the meantime, a new need emerged to address the quickly evolving satellite market and to</w:t>
      </w:r>
      <w:r>
        <w:t xml:space="preserve"> </w:t>
      </w:r>
      <w:r>
        <w:t xml:space="preserve">better integrate the specific EU legal framework for MSS in the general framework. While the</w:t>
      </w:r>
      <w:r>
        <w:t xml:space="preserve"> </w:t>
      </w:r>
      <w:r>
        <w:t xml:space="preserve">EECC focused on establishing harmonised rules for authorisation of spectrum mainly for</w:t>
      </w:r>
      <w:r>
        <w:t xml:space="preserve"> </w:t>
      </w:r>
      <w:r>
        <w:t xml:space="preserve">terrestrial broadband network and services, including 5G, it has left the authorisation of</w:t>
      </w:r>
      <w:r>
        <w:t xml:space="preserve"> </w:t>
      </w:r>
      <w:r>
        <w:t xml:space="preserve">satellite spectrum to national processes, despite of its inherent cross-border potential. This</w:t>
      </w:r>
      <w:r>
        <w:t xml:space="preserve"> </w:t>
      </w:r>
      <w:r>
        <w:t xml:space="preserve">resulted in a very fragmented rules and conditions between Member States that do not allow</w:t>
      </w:r>
      <w:r>
        <w:t xml:space="preserve"> </w:t>
      </w:r>
      <w:r>
        <w:t xml:space="preserve">the EU satellite operators to easily attain scale and offer cross-border services, especially</w:t>
      </w:r>
      <w:r>
        <w:t xml:space="preserve"> </w:t>
      </w:r>
      <w:r>
        <w:t xml:space="preserve">satellite connectivity services, which have become crucial for providing connection to</w:t>
      </w:r>
      <w:r>
        <w:t xml:space="preserve"> </w:t>
      </w:r>
      <w:r>
        <w:t xml:space="preserve">underserved and remote areas, enhancing resilience and enabling new technologies.232</w:t>
      </w:r>
      <w:r>
        <w:t xml:space="preserve"> </w:t>
      </w:r>
      <w:r>
        <w:t xml:space="preserve">Spectrum for satellite use is harmonised and managed primarily at the international (ITU)</w:t>
      </w:r>
    </w:p>
    <w:p>
      <w:pPr>
        <w:pStyle w:val="BodyText"/>
      </w:pPr>
      <w:r>
        <w:t xml:space="preserve">231 Among novelties introduced in 2018 to the regulatory framework in relation to spectrum policy. the creation</w:t>
      </w:r>
      <w:r>
        <w:t xml:space="preserve"> </w:t>
      </w:r>
      <w:r>
        <w:t xml:space="preserve">of a peer review process to ensure more convergence of the conditions attached to the selection and granting</w:t>
      </w:r>
      <w:r>
        <w:t xml:space="preserve"> </w:t>
      </w:r>
      <w:r>
        <w:t xml:space="preserve">of spectrum usage rights, a spectrum coordination mechanism to avoid cross-border interference between</w:t>
      </w:r>
      <w:r>
        <w:t xml:space="preserve"> </w:t>
      </w:r>
      <w:r>
        <w:t xml:space="preserve">Member States, the incorporation of international law on spectrum into EU law obligations, the</w:t>
      </w:r>
      <w:r>
        <w:t xml:space="preserve"> </w:t>
      </w:r>
      <w:r>
        <w:t xml:space="preserve">harmonisation of the duration of spectrum usage rights as well as of the conditions for renewal of such</w:t>
      </w:r>
      <w:r>
        <w:t xml:space="preserve"> </w:t>
      </w:r>
      <w:r>
        <w:t xml:space="preserve">rights, the coordination of spectrum assignments, the facilitation of the access to radio local area networks,</w:t>
      </w:r>
      <w:r>
        <w:t xml:space="preserve"> </w:t>
      </w:r>
      <w:r>
        <w:t xml:space="preserve">and of the deployment and operation of small-area wireless access points and the reference to certain electro-</w:t>
      </w:r>
      <w:r>
        <w:t xml:space="preserve"> </w:t>
      </w:r>
      <w:r>
        <w:t xml:space="preserve">magnetic limits in view to the protection of human health.</w:t>
      </w:r>
      <w:r>
        <w:t xml:space="preserve"> </w:t>
      </w:r>
      <w:r>
        <w:t xml:space="preserve">232 European Commission (2024). White Paper - How to master Europe’s digital infrastructure needs?,</w:t>
      </w:r>
      <w:r>
        <w:t xml:space="preserve"> </w:t>
      </w:r>
      <w:r>
        <w:t xml:space="preserve">COM(2024) 81: https://eur-lex.europa.eu/legal-content/EN/TXT/?uri=celex:52024DC0081.</w:t>
      </w:r>
    </w:p>
    <w:p>
      <w:pPr>
        <w:pStyle w:val="BodyText"/>
      </w:pPr>
      <w:r>
        <w:t xml:space="preserve">88</w:t>
      </w:r>
    </w:p>
    <w:p>
      <w:pPr>
        <w:pStyle w:val="BodyText"/>
      </w:pPr>
      <w:r>
        <w:t xml:space="preserve">level while the Member States authorise it in different ways for the provision of satellite</w:t>
      </w:r>
      <w:r>
        <w:t xml:space="preserve"> </w:t>
      </w:r>
      <w:r>
        <w:t xml:space="preserve">services. Therefore, a common approach to satellite authorisation is necessary to improve and</w:t>
      </w:r>
      <w:r>
        <w:t xml:space="preserve"> </w:t>
      </w:r>
      <w:r>
        <w:t xml:space="preserve">level the conditions for satellite operators to use radio spectrum across the EU. The RSPG</w:t>
      </w:r>
      <w:r>
        <w:t xml:space="preserve"> </w:t>
      </w:r>
      <w:r>
        <w:t xml:space="preserve">adopted an Opinion on satellite Direct-to-Device (D2D) connectivity and related Single</w:t>
      </w:r>
      <w:r>
        <w:t xml:space="preserve"> </w:t>
      </w:r>
      <w:r>
        <w:t xml:space="preserve">Market issues, in which it recognises the need to frame access to EU satellite market by</w:t>
      </w:r>
      <w:r>
        <w:t xml:space="preserve"> </w:t>
      </w:r>
      <w:r>
        <w:t xml:space="preserve">setting common authorisation requirements and by establishing an appropriate coordinated</w:t>
      </w:r>
      <w:r>
        <w:t xml:space="preserve"> </w:t>
      </w:r>
      <w:r>
        <w:t xml:space="preserve">enforcement mechanism, the ongoing work aims also at levelling the playing field with</w:t>
      </w:r>
      <w:r>
        <w:t xml:space="preserve"> </w:t>
      </w:r>
      <w:r>
        <w:t xml:space="preserve">constellations from outside the EU.</w:t>
      </w:r>
      <w:r>
        <w:t xml:space="preserve"> </w:t>
      </w:r>
      <w:r>
        <w:t xml:space="preserve">5.9. EU added value</w:t>
      </w:r>
      <w:r>
        <w:t xml:space="preserve"> </w:t>
      </w:r>
      <w:r>
        <w:t xml:space="preserve">The EU spectrum framework has brought added value setting a vision for 5G deployment,</w:t>
      </w:r>
      <w:r>
        <w:t xml:space="preserve"> </w:t>
      </w:r>
      <w:r>
        <w:t xml:space="preserve">encouraged early national preparations and supported harmonised spectrum planning. The</w:t>
      </w:r>
      <w:r>
        <w:t xml:space="preserve"> </w:t>
      </w:r>
      <w:r>
        <w:t xml:space="preserve">early identification by the RSPG of the need for low (coverage in 700 MHz), mid (capacity in</w:t>
      </w:r>
      <w:r>
        <w:t xml:space="preserve"> </w:t>
      </w:r>
      <w:r>
        <w:t xml:space="preserve">3.5 GHz) and high (pioneering and innovation in 26 GHz) frequency bands for 5G proved to</w:t>
      </w:r>
      <w:r>
        <w:t xml:space="preserve"> </w:t>
      </w:r>
      <w:r>
        <w:t xml:space="preserve">be the right recipe. The EU framework has laid the foundation for common technical</w:t>
      </w:r>
      <w:r>
        <w:t xml:space="preserve"> </w:t>
      </w:r>
      <w:r>
        <w:t xml:space="preserve">conditions and harmonised band planning, supporting equipment interoperability and cost</w:t>
      </w:r>
      <w:r>
        <w:t xml:space="preserve"> </w:t>
      </w:r>
      <w:r>
        <w:t xml:space="preserve">reduction. Thus the 700 MHz and 3.5 GHz frequency bands have been established as the core</w:t>
      </w:r>
      <w:r>
        <w:t xml:space="preserve"> </w:t>
      </w:r>
      <w:r>
        <w:t xml:space="preserve">bands for 5G. Some Member States have also awarded, or by other means made the 26 GHz</w:t>
      </w:r>
      <w:r>
        <w:t xml:space="preserve"> </w:t>
      </w:r>
      <w:r>
        <w:t xml:space="preserve">frequency band available. However, 5G rollout in the 26 GHz frequency band is not</w:t>
      </w:r>
      <w:r>
        <w:t xml:space="preserve"> </w:t>
      </w:r>
      <w:r>
        <w:t xml:space="preserve">developing as anticipated in the EECC.</w:t>
      </w:r>
      <w:r>
        <w:br/>
      </w:r>
      <w:r>
        <w:t xml:space="preserve">In the EU, spectrum is harmonised based on a successful European governance model that is</w:t>
      </w:r>
      <w:r>
        <w:t xml:space="preserve"> </w:t>
      </w:r>
      <w:r>
        <w:t xml:space="preserve">unique in the world. The European model aims to coordinate contributions to international</w:t>
      </w:r>
      <w:r>
        <w:t xml:space="preserve"> </w:t>
      </w:r>
      <w:r>
        <w:t xml:space="preserve">and European harmonisation initiatives and to leverage and act as a multiplier of EU positions</w:t>
      </w:r>
      <w:r>
        <w:t xml:space="preserve"> </w:t>
      </w:r>
      <w:r>
        <w:t xml:space="preserve">for World Radiocommunication Conferences. In some instances, the model has been quite</w:t>
      </w:r>
      <w:r>
        <w:t xml:space="preserve"> </w:t>
      </w:r>
      <w:r>
        <w:t xml:space="preserve">effective. The RSPG process leading to the EU position on WRC helped increasing the</w:t>
      </w:r>
      <w:r>
        <w:t xml:space="preserve"> </w:t>
      </w:r>
      <w:r>
        <w:t xml:space="preserve">awareness among Member States at an early stage about the EU interest related with</w:t>
      </w:r>
      <w:r>
        <w:t xml:space="preserve"> </w:t>
      </w:r>
      <w:r>
        <w:t xml:space="preserve">particular WRC agenda items and building trust and consensus about direction of related EU</w:t>
      </w:r>
      <w:r>
        <w:t xml:space="preserve"> </w:t>
      </w:r>
      <w:r>
        <w:t xml:space="preserve">position. This contributed to the swift adoption of a Council Decision on WRC. Moreover,</w:t>
      </w:r>
      <w:r>
        <w:t xml:space="preserve"> </w:t>
      </w:r>
      <w:r>
        <w:t xml:space="preserve">Member States were able to insert elements of EU position in the CEPT preparatory work, so</w:t>
      </w:r>
      <w:r>
        <w:t xml:space="preserve"> </w:t>
      </w:r>
      <w:r>
        <w:t xml:space="preserve">that European Common Proposals when adopted by CEPT were supporting the EU position.</w:t>
      </w:r>
      <w:r>
        <w:br/>
      </w:r>
      <w:r>
        <w:t xml:space="preserve">In areas such as regulatory predictability, cross-border coordination, market integration and</w:t>
      </w:r>
      <w:r>
        <w:t xml:space="preserve"> </w:t>
      </w:r>
      <w:r>
        <w:t xml:space="preserve">investment outcomes however, the progress has been insufficient comparing to its objectives,</w:t>
      </w:r>
      <w:r>
        <w:t xml:space="preserve"> </w:t>
      </w:r>
      <w:r>
        <w:t xml:space="preserve">initial ambition and EU needs. There remains huge untapped potential in providing</w:t>
      </w:r>
      <w:r>
        <w:t xml:space="preserve"> </w:t>
      </w:r>
      <w:r>
        <w:t xml:space="preserve">investment predictability by coordinating authorisation procedures, as regards valuable</w:t>
      </w:r>
      <w:r>
        <w:t xml:space="preserve"> </w:t>
      </w:r>
      <w:r>
        <w:t xml:space="preserve">spectrum for wireless broadband and satellite. Moreover, spectrum sharing and flexible</w:t>
      </w:r>
      <w:r>
        <w:t xml:space="preserve"> </w:t>
      </w:r>
      <w:r>
        <w:t xml:space="preserve">licensing models, as enabled under Articles 45, 48, and 51 of the EECC underused in</w:t>
      </w:r>
      <w:r>
        <w:t xml:space="preserve"> </w:t>
      </w:r>
      <w:r>
        <w:t xml:space="preserve">practice233. Mechanisms like Licensed Shared Access (LSA) and spectrum trading have seen</w:t>
      </w:r>
      <w:r>
        <w:t xml:space="preserve"> </w:t>
      </w:r>
      <w:r>
        <w:t xml:space="preserve">limited uptake, largely due to inconsistent national implementation and a lack of centralised</w:t>
      </w:r>
      <w:r>
        <w:t xml:space="preserve"> </w:t>
      </w:r>
      <w:r>
        <w:t xml:space="preserve">guidance.</w:t>
      </w:r>
      <w:r>
        <w:br/>
      </w:r>
      <w:r>
        <w:t xml:space="preserve">An example of missed opportunity in terms of improved predictability is the low regulatory</w:t>
      </w:r>
      <w:r>
        <w:t xml:space="preserve"> </w:t>
      </w:r>
      <w:r>
        <w:t xml:space="preserve">predictability stemming from the non-adoption of long licence durations. Most of the Member</w:t>
      </w:r>
      <w:r>
        <w:t xml:space="preserve"> </w:t>
      </w:r>
      <w:r>
        <w:t xml:space="preserve">States opted for the minimum allowed in the EECC and only half (46%) of the 5G auctions</w:t>
      </w:r>
      <w:r>
        <w:t xml:space="preserve"> </w:t>
      </w:r>
      <w:r>
        <w:t xml:space="preserve">opted for assigning spectrum for 20 years or beyond. This has not had the effect of enhancing</w:t>
      </w:r>
    </w:p>
    <w:p>
      <w:pPr>
        <w:pStyle w:val="BodyText"/>
      </w:pPr>
      <w:r>
        <w:t xml:space="preserve">233 GSMA (2021). Effective Spectrum Licensing, p. 5. https://www.gsma.com/spectrum/wp-</w:t>
      </w:r>
      <w:r>
        <w:t xml:space="preserve"> </w:t>
      </w:r>
      <w:r>
        <w:t xml:space="preserve">content/uploads/2021/07/GSMA-Effective-Spectrum-Licensing.pdf European Electronic Communications</w:t>
      </w:r>
      <w:r>
        <w:t xml:space="preserve"> </w:t>
      </w:r>
      <w:r>
        <w:t xml:space="preserve">Code (Directive (EU) 2018/1972), Articles 45, 48, and 51.</w:t>
      </w:r>
    </w:p>
    <w:p>
      <w:pPr>
        <w:pStyle w:val="BodyText"/>
      </w:pPr>
      <w:r>
        <w:t xml:space="preserve">89</w:t>
      </w:r>
    </w:p>
    <w:p>
      <w:pPr>
        <w:pStyle w:val="BodyText"/>
      </w:pPr>
      <w:r>
        <w:t xml:space="preserve">investment certainty for operators and left EU markets far behind the US and Asia, where</w:t>
      </w:r>
      <w:r>
        <w:t xml:space="preserve"> </w:t>
      </w:r>
      <w:r>
        <w:t xml:space="preserve">long licence terms and quasi automatic renewals are standard. This has significantly reduced</w:t>
      </w:r>
      <w:r>
        <w:t xml:space="preserve"> </w:t>
      </w:r>
      <w:r>
        <w:t xml:space="preserve">the attractiveness of the EU mobile sector to financial investors and deprived operators from</w:t>
      </w:r>
      <w:r>
        <w:t xml:space="preserve"> </w:t>
      </w:r>
      <w:r>
        <w:t xml:space="preserve">access to capital, thus delaying deployment.</w:t>
      </w:r>
      <w:r>
        <w:t xml:space="preserve"> </w:t>
      </w:r>
      <w:r>
        <w:t xml:space="preserve">Another example is the RSPG peer review mechanism which has been reduced to a peer</w:t>
      </w:r>
      <w:r>
        <w:t xml:space="preserve"> </w:t>
      </w:r>
      <w:r>
        <w:t xml:space="preserve">learning process, without tangible impact. Participation has been limited, and Member States’</w:t>
      </w:r>
      <w:r>
        <w:t xml:space="preserve"> </w:t>
      </w:r>
      <w:r>
        <w:t xml:space="preserve">engagement has been uneven. Strengthening participation in the peer review process could</w:t>
      </w:r>
      <w:r>
        <w:t xml:space="preserve"> </w:t>
      </w:r>
      <w:r>
        <w:t xml:space="preserve">contribute to greater consistency across the EU. Moreover, cross-border coordination</w:t>
      </w:r>
      <w:r>
        <w:t xml:space="preserve"> </w:t>
      </w:r>
      <w:r>
        <w:t xml:space="preserve">challenges—particularly with third countries—can undermine the coordinated timing of</w:t>
      </w:r>
      <w:r>
        <w:t xml:space="preserve"> </w:t>
      </w:r>
      <w:r>
        <w:t xml:space="preserve">spectrum authorisation as envisaged under Article 53 of the EECC. Addressing these</w:t>
      </w:r>
      <w:r>
        <w:t xml:space="preserve"> </w:t>
      </w:r>
      <w:r>
        <w:t xml:space="preserve">challenges requires the strategic use of existing tools, notably the RSPG “good offices”</w:t>
      </w:r>
      <w:r>
        <w:t xml:space="preserve"> </w:t>
      </w:r>
      <w:r>
        <w:t xml:space="preserve">mechanism, which is however currently effective only for interference between Member</w:t>
      </w:r>
      <w:r>
        <w:t xml:space="preserve"> </w:t>
      </w:r>
      <w:r>
        <w:t xml:space="preserve">States in harmonised bands. Despite these mechanisms, persistent interference from non-EU</w:t>
      </w:r>
      <w:r>
        <w:t xml:space="preserve"> </w:t>
      </w:r>
      <w:r>
        <w:t xml:space="preserve">neighbours—particularly along the EU’s eastern borders—continues to affect 5G deployment.</w:t>
      </w:r>
      <w:r>
        <w:t xml:space="preserve"> </w:t>
      </w:r>
      <w:r>
        <w:t xml:space="preserve">While some cases have been resolved through coordination efforts, many remain unresolved,</w:t>
      </w:r>
      <w:r>
        <w:t xml:space="preserve"> </w:t>
      </w:r>
      <w:r>
        <w:t xml:space="preserve">particularly in areas close to conflict zones or with high frequency congestion, it is a missed</w:t>
      </w:r>
      <w:r>
        <w:t xml:space="preserve"> </w:t>
      </w:r>
      <w:r>
        <w:t xml:space="preserve">opportunity that the EU could not benefit from increased solidarity and a more systematic</w:t>
      </w:r>
      <w:r>
        <w:t xml:space="preserve"> </w:t>
      </w:r>
      <w:r>
        <w:t xml:space="preserve">intervention of the RSPG also to tackle interferences from third countries.</w:t>
      </w:r>
      <w:r>
        <w:br/>
      </w:r>
      <w:r>
        <w:t xml:space="preserve">Furthermore, there is at present no harmonised EU licensing framework simplifying cross-</w:t>
      </w:r>
      <w:r>
        <w:t xml:space="preserve"> </w:t>
      </w:r>
      <w:r>
        <w:t xml:space="preserve">border spectrum use by establishing common procedures for authorisation, renewal, and</w:t>
      </w:r>
      <w:r>
        <w:t xml:space="preserve"> </w:t>
      </w:r>
      <w:r>
        <w:t xml:space="preserve">compliance. There is therefore untapped Single Market potential to reduce administrative</w:t>
      </w:r>
      <w:r>
        <w:t xml:space="preserve"> </w:t>
      </w:r>
      <w:r>
        <w:t xml:space="preserve">burden for operators needing licences in multiple Member States and to improve regulatory</w:t>
      </w:r>
      <w:r>
        <w:t xml:space="preserve"> </w:t>
      </w:r>
      <w:r>
        <w:t xml:space="preserve">predictability—through uniform pro-investment licencing conditions, making the EU more</w:t>
      </w:r>
      <w:r>
        <w:t xml:space="preserve"> </w:t>
      </w:r>
      <w:r>
        <w:t xml:space="preserve">attractive for investment.</w:t>
      </w:r>
      <w:r>
        <w:br/>
      </w:r>
      <w:r>
        <w:t xml:space="preserve">As regards satellite, currently, most large satellite constellations are registered in the United</w:t>
      </w:r>
      <w:r>
        <w:t xml:space="preserve"> </w:t>
      </w:r>
      <w:r>
        <w:t xml:space="preserve">States, where operators benefit from a single licensing process and clearer timelines. They</w:t>
      </w:r>
      <w:r>
        <w:t xml:space="preserve"> </w:t>
      </w:r>
      <w:r>
        <w:t xml:space="preserve">then provide services in the EU, benefiting from the open skies framework and the general</w:t>
      </w:r>
      <w:r>
        <w:t xml:space="preserve"> </w:t>
      </w:r>
      <w:r>
        <w:t xml:space="preserve">authorisation regime, even in some cases from the absence of any specific rule at national</w:t>
      </w:r>
      <w:r>
        <w:t xml:space="preserve"> </w:t>
      </w:r>
      <w:r>
        <w:t xml:space="preserve">level (cf. RSPG D2D Report). The lack of an EU harmonised model with streamlined access</w:t>
      </w:r>
      <w:r>
        <w:t xml:space="preserve"> </w:t>
      </w:r>
      <w:r>
        <w:t xml:space="preserve">to spectrum, especially for satellite services but also for future 6G networks, represents a</w:t>
      </w:r>
      <w:r>
        <w:t xml:space="preserve"> </w:t>
      </w:r>
      <w:r>
        <w:t xml:space="preserve">barrier to the development of a strong EU satellite sector, the EU wide development of</w:t>
      </w:r>
      <w:r>
        <w:t xml:space="preserve"> </w:t>
      </w:r>
      <w:r>
        <w:t xml:space="preserve">services and to related potential of enhancing EU resilience and security.</w:t>
      </w:r>
      <w:r>
        <w:br/>
      </w:r>
      <w:r>
        <w:t xml:space="preserve">6. GENERAL AUTHORISATION</w:t>
      </w:r>
      <w:r>
        <w:t xml:space="preserve"> </w:t>
      </w:r>
      <w:r>
        <w:t xml:space="preserve">Under the EECC general authorisation, Member States may set ex-ante conditions for the</w:t>
      </w:r>
      <w:r>
        <w:t xml:space="preserve"> </w:t>
      </w:r>
      <w:r>
        <w:t xml:space="preserve">provision of networks or services and for the use of spectrum or numbers and that there is</w:t>
      </w:r>
      <w:r>
        <w:t xml:space="preserve"> </w:t>
      </w:r>
      <w:r>
        <w:t xml:space="preserve">currently some harmonisation, as there is a maximum list of those conditions (albeit very</w:t>
      </w:r>
      <w:r>
        <w:t xml:space="preserve"> </w:t>
      </w:r>
      <w:r>
        <w:t xml:space="preserve">open) set by the sector-specific EU law i.e. EECC. Any provider that complies with these</w:t>
      </w:r>
      <w:r>
        <w:t xml:space="preserve"> </w:t>
      </w:r>
      <w:r>
        <w:t xml:space="preserve">conditions may provide electronic communications networks or services and any control can</w:t>
      </w:r>
      <w:r>
        <w:t xml:space="preserve"> </w:t>
      </w:r>
      <w:r>
        <w:t xml:space="preserve">take place only ex-post.</w:t>
      </w:r>
      <w:r>
        <w:br/>
      </w:r>
      <w:r>
        <w:t xml:space="preserve">Pursuant to Article 122 (3) EECC, BEREC shall adopt, by 21 December 2021 and every three</w:t>
      </w:r>
      <w:r>
        <w:t xml:space="preserve"> </w:t>
      </w:r>
      <w:r>
        <w:t xml:space="preserve">years thereafter, an Opinion on the national implementation and functioning of the General</w:t>
      </w:r>
      <w:r>
        <w:t xml:space="preserve"> </w:t>
      </w:r>
      <w:r>
        <w:t xml:space="preserve">Authorisation (hereinafter: GA), and on their impact on the functioning of the internal market.</w:t>
      </w:r>
      <w:r>
        <w:t xml:space="preserve"> </w:t>
      </w:r>
      <w:r>
        <w:t xml:space="preserve">The EECC was adopted in 2020 and since then, BEREC delivered two Opinions - in</w:t>
      </w:r>
      <w:r>
        <w:t xml:space="preserve"> </w:t>
      </w:r>
      <w:r>
        <w:t xml:space="preserve">December 2021234 and in December 2024235.</w:t>
      </w:r>
    </w:p>
    <w:p>
      <w:pPr>
        <w:pStyle w:val="BodyText"/>
      </w:pPr>
      <w:r>
        <w:t xml:space="preserve">234 BoR (21) 178, BEREC Opinion on the national implementation and functioning of the general authorisation,</w:t>
      </w:r>
    </w:p>
    <w:p>
      <w:pPr>
        <w:pStyle w:val="BodyText"/>
      </w:pPr>
      <w:r>
        <w:t xml:space="preserve">90</w:t>
      </w:r>
    </w:p>
    <w:p>
      <w:pPr>
        <w:pStyle w:val="BodyText"/>
      </w:pPr>
      <w:r>
        <w:t xml:space="preserve">According to the 2024 BEREC Opinion (see footnote 179), the EECC transposition shows</w:t>
      </w:r>
      <w:r>
        <w:t xml:space="preserve"> </w:t>
      </w:r>
      <w:r>
        <w:t xml:space="preserve">that most of the Member States have a general authorisation system in place (except for</w:t>
      </w:r>
      <w:r>
        <w:t xml:space="preserve"> </w:t>
      </w:r>
      <w:r>
        <w:t xml:space="preserve">Denmark not implementing a general authorisation regime) and France which has the system</w:t>
      </w:r>
      <w:r>
        <w:t xml:space="preserve"> </w:t>
      </w:r>
      <w:r>
        <w:t xml:space="preserve">in place but does not require a notification), with the NRA being entrusted to manage the</w:t>
      </w:r>
      <w:r>
        <w:t xml:space="preserve"> </w:t>
      </w:r>
      <w:r>
        <w:t xml:space="preserve">whole general authorisation (GA) scheme.</w:t>
      </w:r>
      <w:r>
        <w:br/>
      </w:r>
      <w:r>
        <w:t xml:space="preserve">Article 12 EECC provides for the maximum amount of information that can be requested</w:t>
      </w:r>
      <w:r>
        <w:t xml:space="preserve"> </w:t>
      </w:r>
      <w:r>
        <w:t xml:space="preserve">from notifying providers under general authorisation of electronic communications networks</w:t>
      </w:r>
      <w:r>
        <w:t xml:space="preserve"> </w:t>
      </w:r>
      <w:r>
        <w:t xml:space="preserve">and services. Article 13 EECC on the related conditions that may be attached to the GA turns</w:t>
      </w:r>
      <w:r>
        <w:t xml:space="preserve"> </w:t>
      </w:r>
      <w:r>
        <w:t xml:space="preserve">the list of the possibly applicable GA conditions in Annex I EECC into an exhaustive,</w:t>
      </w:r>
      <w:r>
        <w:t xml:space="preserve"> </w:t>
      </w:r>
      <w:r>
        <w:t xml:space="preserve">maximum one and thus limiting the range of data that national authorities can ask notifying</w:t>
      </w:r>
      <w:r>
        <w:t xml:space="preserve"> </w:t>
      </w:r>
      <w:r>
        <w:t xml:space="preserve">operators to provide. The maximum requirement that can be imposed on providers to enter the</w:t>
      </w:r>
      <w:r>
        <w:t xml:space="preserve"> </w:t>
      </w:r>
      <w:r>
        <w:t xml:space="preserve">market is to submit a notification to the national competent authority (Germany and Sweden</w:t>
      </w:r>
      <w:r>
        <w:t xml:space="preserve"> </w:t>
      </w:r>
      <w:r>
        <w:t xml:space="preserve">require only notifications).</w:t>
      </w:r>
      <w:r>
        <w:br/>
      </w:r>
      <w:r>
        <w:t xml:space="preserve">In fulfilment of Art. 12 (4) EECC requirements about the minimal information required from</w:t>
      </w:r>
      <w:r>
        <w:t xml:space="preserve"> </w:t>
      </w:r>
      <w:r>
        <w:t xml:space="preserve">providers for operating on the market, BEREC published guidelines for the notification</w:t>
      </w:r>
      <w:r>
        <w:t xml:space="preserve"> </w:t>
      </w:r>
      <w:r>
        <w:t xml:space="preserve">template and established a GA database, a Union database of the notifications transmitted to</w:t>
      </w:r>
      <w:r>
        <w:t xml:space="preserve"> </w:t>
      </w:r>
      <w:r>
        <w:t xml:space="preserve">the competent authorities by providers falling under the GA regime and subject to the</w:t>
      </w:r>
      <w:r>
        <w:t xml:space="preserve"> </w:t>
      </w:r>
      <w:r>
        <w:t xml:space="preserve">notification requirement (EU register for authorised undertakings).</w:t>
      </w:r>
      <w:r>
        <w:t xml:space="preserve"> </w:t>
      </w:r>
      <w:r>
        <w:t xml:space="preserve">The majority of EU NRAs are responsible for implementing the relevant provisions related to</w:t>
      </w:r>
      <w:r>
        <w:t xml:space="preserve"> </w:t>
      </w:r>
      <w:r>
        <w:t xml:space="preserve">the notifications and the rest of the tasks under Title 2, Chapter 2 EECC except for IT where a</w:t>
      </w:r>
      <w:r>
        <w:t xml:space="preserve"> </w:t>
      </w:r>
      <w:r>
        <w:t xml:space="preserve">ministry is designated as a competent authority while the regulator (AGCOM) forwards the</w:t>
      </w:r>
      <w:r>
        <w:t xml:space="preserve"> </w:t>
      </w:r>
      <w:r>
        <w:t xml:space="preserve">national notifications to BEREC. The BEREC database is maintained by the BEREC Office.</w:t>
      </w:r>
      <w:r>
        <w:t xml:space="preserve"> </w:t>
      </w:r>
      <w:r>
        <w:t xml:space="preserve">Although the harmonised BEREC notifications’ template is used by more than half of the</w:t>
      </w:r>
      <w:r>
        <w:t xml:space="preserve"> </w:t>
      </w:r>
      <w:r>
        <w:t xml:space="preserve">NRAs, being non mandatory, and according to BEREC’s Opinion on the national</w:t>
      </w:r>
      <w:r>
        <w:t xml:space="preserve"> </w:t>
      </w:r>
      <w:r>
        <w:t xml:space="preserve">implementation and functioning of the general authorisation236, and on their impact on the</w:t>
      </w:r>
      <w:r>
        <w:t xml:space="preserve"> </w:t>
      </w:r>
      <w:r>
        <w:t xml:space="preserve">functioning of the internal market, pursuant to Article 122, paragraph 3 EECC, it seems that</w:t>
      </w:r>
      <w:r>
        <w:t xml:space="preserve"> </w:t>
      </w:r>
      <w:r>
        <w:t xml:space="preserve">national adaptations are still possible, and especially, by the authorities which decided not to</w:t>
      </w:r>
      <w:r>
        <w:t xml:space="preserve"> </w:t>
      </w:r>
      <w:r>
        <w:t xml:space="preserve">adapt their national notification form. Some regulators also opted for further simplifying</w:t>
      </w:r>
      <w:r>
        <w:t xml:space="preserve"> </w:t>
      </w:r>
      <w:r>
        <w:t xml:space="preserve">BEREC notification requirements by setting aside certain fields (e.g., no distinction between a</w:t>
      </w:r>
      <w:r>
        <w:t xml:space="preserve"> </w:t>
      </w:r>
      <w:r>
        <w:t xml:space="preserve">wholesale and retail level providers). This approach questions the EU added value of the</w:t>
      </w:r>
      <w:r>
        <w:t xml:space="preserve"> </w:t>
      </w:r>
      <w:r>
        <w:t xml:space="preserve">measure and may have a dissuasive effect on cross-border operations.</w:t>
      </w:r>
      <w:r>
        <w:t xml:space="preserve"> </w:t>
      </w:r>
      <w:r>
        <w:t xml:space="preserve">The BEREC database was set up and running by December 2020. As of 18.11.2025, 25 171</w:t>
      </w:r>
      <w:r>
        <w:t xml:space="preserve"> </w:t>
      </w:r>
      <w:r>
        <w:t xml:space="preserve">country providers’ notifications were submitted to the BEREC database. 23 299 notifications</w:t>
      </w:r>
      <w:r>
        <w:t xml:space="preserve"> </w:t>
      </w:r>
      <w:r>
        <w:t xml:space="preserve">are for networks and 51 723 for services. Most NRAs upload the database monthly but there</w:t>
      </w:r>
    </w:p>
    <w:p>
      <w:pPr>
        <w:pStyle w:val="BodyText"/>
      </w:pPr>
      <w:r>
        <w:t xml:space="preserve">and on their impact on the functioning of the internal market, pursuant to Article 122, paragraph 3 EECC,</w:t>
      </w:r>
      <w:r>
        <w:t xml:space="preserve"> </w:t>
      </w:r>
      <w:r>
        <w:t xml:space="preserve">9.12.2021, see: https://www.berec.europa.eu/en/document-categories/berec/opinions/berec-opinion-on-the-</w:t>
      </w:r>
      <w:r>
        <w:t xml:space="preserve"> </w:t>
      </w:r>
      <w:r>
        <w:t xml:space="preserve">nationalimplementation-and-functioning-of-the-general-authorisation-and-on-their-impact-on-the-</w:t>
      </w:r>
      <w:r>
        <w:t xml:space="preserve"> </w:t>
      </w:r>
      <w:r>
        <w:t xml:space="preserve">functioning-of-theinternal-market-pursuant-to-article-122-paragraph-3-eecc</w:t>
      </w:r>
      <w:r>
        <w:t xml:space="preserve"> </w:t>
      </w:r>
      <w:r>
        <w:t xml:space="preserve">235 BoR (21) 178, BEREC Opinion on the national implementation and functioning of the general authorisation,</w:t>
      </w:r>
      <w:r>
        <w:t xml:space="preserve"> </w:t>
      </w:r>
      <w:r>
        <w:t xml:space="preserve">and on their impact on the functioning of the internal market, pursuant to Article 122, paragraph 3 EECC,</w:t>
      </w:r>
      <w:r>
        <w:t xml:space="preserve"> </w:t>
      </w:r>
      <w:r>
        <w:t xml:space="preserve">9.12.2021, see: https://www.berec.europa.eu/en/document-categories/berec/opinions/berec-opinion-on-the-</w:t>
      </w:r>
      <w:r>
        <w:t xml:space="preserve"> </w:t>
      </w:r>
      <w:r>
        <w:t xml:space="preserve">nationalimplementation-and-functioning-of-the-general-authorisation-and-on-their-impact-on-the-</w:t>
      </w:r>
      <w:r>
        <w:t xml:space="preserve"> </w:t>
      </w:r>
      <w:r>
        <w:t xml:space="preserve">functioning-of-theinternal-market-pursuant-to-article-122-paragraph-3-eecc.</w:t>
      </w:r>
    </w:p>
    <w:p>
      <w:pPr>
        <w:pStyle w:val="BodyText"/>
      </w:pPr>
      <w:r>
        <w:t xml:space="preserve">236 https://www.berec.europa.eu/system/files/2024-</w:t>
      </w:r>
      <w:r>
        <w:t xml:space="preserve"> </w:t>
      </w:r>
      <w:r>
        <w:t xml:space="preserve">12/BoR%20%2824%29%20190_BEREC%20Opinion%20on%20GA%20pursuant%20to%20Art%20122.pd</w:t>
      </w:r>
      <w:r>
        <w:t xml:space="preserve"> </w:t>
      </w:r>
      <w:r>
        <w:t xml:space="preserve">f. </w:t>
      </w:r>
    </w:p>
    <w:p>
      <w:pPr>
        <w:pStyle w:val="BodyText"/>
      </w:pPr>
      <w:r>
        <w:t xml:space="preserve">91</w:t>
      </w:r>
    </w:p>
    <w:p>
      <w:pPr>
        <w:pStyle w:val="BodyText"/>
      </w:pPr>
      <w:r>
        <w:t xml:space="preserve">are also regulators that do it less regularly (e.g., every 3-4 months, once a year etc.). In</w:t>
      </w:r>
      <w:r>
        <w:t xml:space="preserve"> </w:t>
      </w:r>
      <w:r>
        <w:t xml:space="preserve">addition, the course of the analysis of the functioning of the GA and its effects on the single</w:t>
      </w:r>
      <w:r>
        <w:t xml:space="preserve"> </w:t>
      </w:r>
      <w:r>
        <w:t xml:space="preserve">market a 2024 BEREC Opinion (see footnote 179) draws the attention to the fact that</w:t>
      </w:r>
      <w:r>
        <w:t xml:space="preserve"> </w:t>
      </w:r>
      <w:r>
        <w:t xml:space="preserve">authorised ECN/ECS providers have signalled divergencies in national notification</w:t>
      </w:r>
      <w:r>
        <w:t xml:space="preserve"> </w:t>
      </w:r>
      <w:r>
        <w:t xml:space="preserve">experiences outside the EECC requirements which stem from either EU or national legislation</w:t>
      </w:r>
      <w:r>
        <w:t xml:space="preserve"> </w:t>
      </w:r>
      <w:r>
        <w:t xml:space="preserve">and concern security, data protection, data retention requirements, the duty to notify the</w:t>
      </w:r>
      <w:r>
        <w:t xml:space="preserve"> </w:t>
      </w:r>
      <w:r>
        <w:t xml:space="preserve">beginning of the activity in national language, the duty to have a national digital identity to</w:t>
      </w:r>
      <w:r>
        <w:t xml:space="preserve"> </w:t>
      </w:r>
      <w:r>
        <w:t xml:space="preserve">run the online notification process, the duty to have national representatives to interact with</w:t>
      </w:r>
      <w:r>
        <w:t xml:space="preserve"> </w:t>
      </w:r>
      <w:r>
        <w:t xml:space="preserve">national authorities etc. Despite falling outside its remit, BEREC in its 2024 Opinion (see</w:t>
      </w:r>
      <w:r>
        <w:t xml:space="preserve"> </w:t>
      </w:r>
      <w:r>
        <w:t xml:space="preserve">footnote 179) also admits that all these requirements sometimes are very burdensome and</w:t>
      </w:r>
      <w:r>
        <w:t xml:space="preserve"> </w:t>
      </w:r>
      <w:r>
        <w:t xml:space="preserve">constitute obstacles for completing the single market and enabling cross-border operations</w:t>
      </w:r>
      <w:r>
        <w:t xml:space="preserve"> </w:t>
      </w:r>
      <w:r>
        <w:t xml:space="preserve">and activities.</w:t>
      </w:r>
      <w:r>
        <w:t xml:space="preserve"> </w:t>
      </w:r>
      <w:r>
        <w:t xml:space="preserve">6.1. Effectiveness</w:t>
      </w:r>
      <w:r>
        <w:t xml:space="preserve"> </w:t>
      </w:r>
      <w:r>
        <w:t xml:space="preserve">In its Opinion, BEREC confirms that the harmonised maximum requirements for the</w:t>
      </w:r>
      <w:r>
        <w:t xml:space="preserve"> </w:t>
      </w:r>
      <w:r>
        <w:t xml:space="preserve">notifications under the GA have contributed to lowering obstacles to market entry, promoting</w:t>
      </w:r>
      <w:r>
        <w:t xml:space="preserve"> </w:t>
      </w:r>
      <w:r>
        <w:t xml:space="preserve">market transparency and/or consistency in notification-related requirements across Europe. In</w:t>
      </w:r>
      <w:r>
        <w:t xml:space="preserve"> </w:t>
      </w:r>
      <w:r>
        <w:t xml:space="preserve">general, the general authorisation regime has contributed to achieving the EECC objectives.</w:t>
      </w:r>
      <w:r>
        <w:t xml:space="preserve"> </w:t>
      </w:r>
      <w:r>
        <w:t xml:space="preserve">Industry stakeholders’ assessment of the effectiveness of EECC provisions related to general</w:t>
      </w:r>
      <w:r>
        <w:t xml:space="preserve"> </w:t>
      </w:r>
      <w:r>
        <w:t xml:space="preserve">authorisation is more nuanced. Industry stakeholders mostly agree that the EECC has been</w:t>
      </w:r>
      <w:r>
        <w:t xml:space="preserve"> </w:t>
      </w:r>
      <w:r>
        <w:t xml:space="preserve">effective, even – in the words of one stakeholder – “world-wide best practice” in terms of</w:t>
      </w:r>
      <w:r>
        <w:t xml:space="preserve"> </w:t>
      </w:r>
      <w:r>
        <w:t xml:space="preserve">direct one-off costs (if any) for the notification. Several industry stakeholders also point out</w:t>
      </w:r>
      <w:r>
        <w:t xml:space="preserve"> </w:t>
      </w:r>
      <w:r>
        <w:t xml:space="preserve">that the effectiveness varies across Member States due to specifics of national implementation</w:t>
      </w:r>
      <w:r>
        <w:t xml:space="preserve"> </w:t>
      </w:r>
      <w:r>
        <w:t xml:space="preserve">and application.237</w:t>
      </w:r>
      <w:r>
        <w:t xml:space="preserve"> </w:t>
      </w:r>
      <w:r>
        <w:t xml:space="preserve">Article 12 (1) EECC explicitly exempts NI-ICS from the general authorisation regime, but the</w:t>
      </w:r>
      <w:r>
        <w:t xml:space="preserve"> </w:t>
      </w:r>
      <w:r>
        <w:t xml:space="preserve">flexibility provided by the Directive reveals different approaches regarding the types of</w:t>
      </w:r>
      <w:r>
        <w:t xml:space="preserve"> </w:t>
      </w:r>
      <w:r>
        <w:t xml:space="preserve">networks or services to which the general authorisation applies. For example, submarine cable</w:t>
      </w:r>
      <w:r>
        <w:t xml:space="preserve"> </w:t>
      </w:r>
      <w:r>
        <w:t xml:space="preserve">systems owned by CAPs are considered as non-public ECNs and Member States may decide</w:t>
      </w:r>
      <w:r>
        <w:t xml:space="preserve"> </w:t>
      </w:r>
      <w:r>
        <w:t xml:space="preserve">at national level to subject such networks and non-public ECS to the general authorisation</w:t>
      </w:r>
      <w:r>
        <w:t xml:space="preserve"> </w:t>
      </w:r>
      <w:r>
        <w:t xml:space="preserve">regime238. Regarding non-public ECNs and non-public ECS only 4 Member States require</w:t>
      </w:r>
      <w:r>
        <w:t xml:space="preserve"> </w:t>
      </w:r>
      <w:r>
        <w:t xml:space="preserve">prior notification239. Conveyance of signal services such as transmission services used for</w:t>
      </w:r>
      <w:r>
        <w:t xml:space="preserve"> </w:t>
      </w:r>
      <w:r>
        <w:t xml:space="preserve">M2M services are not always subject to general authorisation. Sometimes, this depends on</w:t>
      </w:r>
      <w:r>
        <w:t xml:space="preserve"> </w:t>
      </w:r>
      <w:r>
        <w:t xml:space="preserve">whether there are contractual relationships with local businesses, or the connectivity</w:t>
      </w:r>
      <w:r>
        <w:t xml:space="preserve"> </w:t>
      </w:r>
      <w:r>
        <w:t xml:space="preserve">component is not intrinsically linked with the IoT/Machine-to-machine service or product. A</w:t>
      </w:r>
      <w:r>
        <w:t xml:space="preserve"> </w:t>
      </w:r>
      <w:r>
        <w:t xml:space="preserve">notification for such services is also not always required240.</w:t>
      </w:r>
      <w:r>
        <w:t xml:space="preserve"> </w:t>
      </w:r>
      <w:r>
        <w:t xml:space="preserve">The BEREC notification template was adopted fully by the majority of NRAs, which adds to</w:t>
      </w:r>
      <w:r>
        <w:t xml:space="preserve"> </w:t>
      </w:r>
      <w:r>
        <w:t xml:space="preserve">effectiveness by “promoting market transparency and/or consistency in notification-related</w:t>
      </w:r>
      <w:r>
        <w:t xml:space="preserve"> </w:t>
      </w:r>
      <w:r>
        <w:t xml:space="preserve">requirements” across the EU. The functioning of the current database revealed some issues</w:t>
      </w:r>
    </w:p>
    <w:p>
      <w:pPr>
        <w:pStyle w:val="BodyText"/>
      </w:pPr>
      <w:r>
        <w:t xml:space="preserve">237 See Section 4.3.2 of the Final 1st Interim Report on Completing the DSM.</w:t>
      </w:r>
      <w:r>
        <w:t xml:space="preserve"> </w:t>
      </w:r>
      <w:r>
        <w:t xml:space="preserve">238 Reference to Page 22, 2024 BEREC Report on the general authorisation and related frameworks for</w:t>
      </w:r>
      <w:r>
        <w:t xml:space="preserve"> </w:t>
      </w:r>
      <w:r>
        <w:t xml:space="preserve">international submarine connectivity: ”Non-public ECN and non-public ECS are subject to prior</w:t>
      </w:r>
      <w:r>
        <w:t xml:space="preserve"> </w:t>
      </w:r>
      <w:r>
        <w:t xml:space="preserve">notification/registration under the general authorisation regime only in 4 MS”.</w:t>
      </w:r>
      <w:r>
        <w:t xml:space="preserve"> </w:t>
      </w:r>
      <w:r>
        <w:t xml:space="preserve">239 Draft BEREC Report on the general authorisation and related frameworks for international submarine</w:t>
      </w:r>
      <w:r>
        <w:t xml:space="preserve"> </w:t>
      </w:r>
      <w:r>
        <w:t xml:space="preserve">connectivity.</w:t>
      </w:r>
      <w:r>
        <w:t xml:space="preserve"> </w:t>
      </w:r>
      <w:r>
        <w:t xml:space="preserve">240 Cullen Report on IoT/M2M roaming connectivity and local SIM profiles in European countries, dated 10</w:t>
      </w:r>
      <w:r>
        <w:t xml:space="preserve"> </w:t>
      </w:r>
      <w:r>
        <w:t xml:space="preserve">October 2024.</w:t>
      </w:r>
    </w:p>
    <w:p>
      <w:pPr>
        <w:pStyle w:val="BodyText"/>
      </w:pPr>
      <w:r>
        <w:t xml:space="preserve">92</w:t>
      </w:r>
    </w:p>
    <w:p>
      <w:pPr>
        <w:pStyle w:val="BodyText"/>
      </w:pPr>
      <w:r>
        <w:t xml:space="preserve">related to the identification of providers and treatment of duplicates, as the same undertaking</w:t>
      </w:r>
      <w:r>
        <w:t xml:space="preserve"> </w:t>
      </w:r>
      <w:r>
        <w:t xml:space="preserve">is not unified when providing networks and services in more than one country. To avoid</w:t>
      </w:r>
      <w:r>
        <w:t xml:space="preserve"> </w:t>
      </w:r>
      <w:r>
        <w:t xml:space="preserve">duplications and inconsistencies, further improvements are needed for cross-border providers</w:t>
      </w:r>
      <w:r>
        <w:t xml:space="preserve"> </w:t>
      </w:r>
      <w:r>
        <w:t xml:space="preserve">of networks and services to ensure they notify only once according to a harmonised template.</w:t>
      </w:r>
      <w:r>
        <w:t xml:space="preserve"> </w:t>
      </w:r>
      <w:r>
        <w:t xml:space="preserve">Concerning updates of the database, BEREC recommends maximum update intervals of 2</w:t>
      </w:r>
      <w:r>
        <w:t xml:space="preserve"> </w:t>
      </w:r>
      <w:r>
        <w:t xml:space="preserve">months to increase the reliability of the database.</w:t>
      </w:r>
      <w:r>
        <w:t xml:space="preserve"> </w:t>
      </w:r>
      <w:r>
        <w:t xml:space="preserve">The maximum list of harmonised conditions introduced by the general authorisation system</w:t>
      </w:r>
      <w:r>
        <w:t xml:space="preserve"> </w:t>
      </w:r>
      <w:r>
        <w:t xml:space="preserve">and the harmonisation powers provided to BEREC as regards the notifications and the</w:t>
      </w:r>
      <w:r>
        <w:t xml:space="preserve"> </w:t>
      </w:r>
      <w:r>
        <w:t xml:space="preserve">database, in general, functioned well because they limited to a certain extent the possibility</w:t>
      </w:r>
      <w:r>
        <w:t xml:space="preserve"> </w:t>
      </w:r>
      <w:r>
        <w:t xml:space="preserve">for the Member States to impose additional conditions. However, the transposition revealed</w:t>
      </w:r>
      <w:r>
        <w:t xml:space="preserve"> </w:t>
      </w:r>
      <w:r>
        <w:t xml:space="preserve">certain divergencies among Member States and allowed for NRAs to further develop the</w:t>
      </w:r>
      <w:r>
        <w:t xml:space="preserve"> </w:t>
      </w:r>
      <w:r>
        <w:t xml:space="preserve">general authorisation conditions in secondary legislation or other administrative/regulatory</w:t>
      </w:r>
      <w:r>
        <w:t xml:space="preserve"> </w:t>
      </w:r>
      <w:r>
        <w:t xml:space="preserve">decisions. The lack of a uniform approach led to incoherent application and revealed some</w:t>
      </w:r>
      <w:r>
        <w:t xml:space="preserve"> </w:t>
      </w:r>
      <w:r>
        <w:t xml:space="preserve">limitations either for cross-border or smaller, national providers. Furthermore, there is no</w:t>
      </w:r>
      <w:r>
        <w:t xml:space="preserve"> </w:t>
      </w:r>
      <w:r>
        <w:t xml:space="preserve">harmonised approach to all other applicable national rules and conditions relevant for the</w:t>
      </w:r>
      <w:r>
        <w:t xml:space="preserve"> </w:t>
      </w:r>
      <w:r>
        <w:t xml:space="preserve">authorised ECN/ECS providers which do not stem from the EECC but are also part of other</w:t>
      </w:r>
      <w:r>
        <w:t xml:space="preserve"> </w:t>
      </w:r>
      <w:r>
        <w:t xml:space="preserve">EU legislation. In this regard, some stakeholders share that divergent national rules on lawful</w:t>
      </w:r>
      <w:r>
        <w:t xml:space="preserve"> </w:t>
      </w:r>
      <w:r>
        <w:t xml:space="preserve">interception present a market barrier for telecom operators causing legal uncertainty and</w:t>
      </w:r>
      <w:r>
        <w:t xml:space="preserve"> </w:t>
      </w:r>
      <w:r>
        <w:t xml:space="preserve">possibly delaying the commencement of their activities or the launch of new services. This</w:t>
      </w:r>
      <w:r>
        <w:t xml:space="preserve"> </w:t>
      </w:r>
      <w:r>
        <w:t xml:space="preserve">may undermine the objective of further harmonising general authorisation rules within the</w:t>
      </w:r>
      <w:r>
        <w:t xml:space="preserve"> </w:t>
      </w:r>
      <w:r>
        <w:t xml:space="preserve">EU. Several industry associations (incumbents and mobile operators) stated that</w:t>
      </w:r>
      <w:r>
        <w:t xml:space="preserve"> </w:t>
      </w:r>
      <w:r>
        <w:t xml:space="preserve">administrative charges for general authorisation/notification have never impeded entry into</w:t>
      </w:r>
      <w:r>
        <w:t xml:space="preserve"> </w:t>
      </w:r>
      <w:r>
        <w:t xml:space="preserve">the EU electronic communications market241.</w:t>
      </w:r>
      <w:r>
        <w:t xml:space="preserve"> </w:t>
      </w:r>
      <w:r>
        <w:t xml:space="preserve">6.2. Efficiency</w:t>
      </w:r>
      <w:r>
        <w:t xml:space="preserve"> </w:t>
      </w:r>
      <w:r>
        <w:t xml:space="preserve">All governments consider the cost for operators of compliance with Articles 12 and 16 EECC</w:t>
      </w:r>
      <w:r>
        <w:t xml:space="preserve"> </w:t>
      </w:r>
      <w:r>
        <w:t xml:space="preserve">as necessary and proportionate to their objectives242.</w:t>
      </w:r>
      <w:r>
        <w:t xml:space="preserve"> </w:t>
      </w:r>
      <w:r>
        <w:t xml:space="preserve">At the same time, a great majority of NRAs do not assess their own cost of compliance.</w:t>
      </w:r>
      <w:r>
        <w:br/>
      </w:r>
      <w:r>
        <w:t xml:space="preserve">Several NRAs state that their administrative fees are very low and have included the</w:t>
      </w:r>
      <w:r>
        <w:t xml:space="preserve"> </w:t>
      </w:r>
      <w:r>
        <w:t xml:space="preserve">possibility to exempt smaller operators from them or otherwise adjust the fees (e.g. in one</w:t>
      </w:r>
      <w:r>
        <w:t xml:space="preserve"> </w:t>
      </w:r>
      <w:r>
        <w:t xml:space="preserve">example, 0.2% of turnover243 and a minimum turnover threshold needs to be achieved for the</w:t>
      </w:r>
      <w:r>
        <w:t xml:space="preserve"> </w:t>
      </w:r>
      <w:r>
        <w:t xml:space="preserve">fee to become due). A few NRAs mention that they neither levy any administrative charges</w:t>
      </w:r>
      <w:r>
        <w:t xml:space="preserve"> </w:t>
      </w:r>
      <w:r>
        <w:t xml:space="preserve">nor change them for several years, having sufficient budget to cover their needs. This signifies</w:t>
      </w:r>
      <w:r>
        <w:t xml:space="preserve"> </w:t>
      </w:r>
      <w:r>
        <w:t xml:space="preserve">that for some NRAs the costs of compliance are low, and consequently Articles 12 and 16</w:t>
      </w:r>
      <w:r>
        <w:t xml:space="preserve"> </w:t>
      </w:r>
      <w:r>
        <w:t xml:space="preserve">EECC can be considered efficient.</w:t>
      </w:r>
      <w:r>
        <w:t xml:space="preserve"> </w:t>
      </w:r>
      <w:r>
        <w:t xml:space="preserve">Many industry stakeholders find the cost of compliance with Articles 12 and 16 EECC</w:t>
      </w:r>
      <w:r>
        <w:t xml:space="preserve"> </w:t>
      </w:r>
      <w:r>
        <w:t xml:space="preserve">reasonable and not significant but note differences in implementation between Member States</w:t>
      </w:r>
      <w:r>
        <w:t xml:space="preserve"> </w:t>
      </w:r>
      <w:r>
        <w:t xml:space="preserve">that constitute an additional administrative burden. The procedural conditions of general</w:t>
      </w:r>
      <w:r>
        <w:t xml:space="preserve"> </w:t>
      </w:r>
      <w:r>
        <w:t xml:space="preserve">authorisation also vary. Some countries require companies to have an address and</w:t>
      </w:r>
      <w:r>
        <w:t xml:space="preserve"> </w:t>
      </w:r>
      <w:r>
        <w:t xml:space="preserve">establishment within their jurisdiction; others require digital identities244. In contrast to the</w:t>
      </w:r>
      <w:r>
        <w:t xml:space="preserve"> </w:t>
      </w:r>
      <w:r>
        <w:t xml:space="preserve">governments, the consulted industry stakeholders found that some changes to the Annex I</w:t>
      </w:r>
    </w:p>
    <w:p>
      <w:pPr>
        <w:pStyle w:val="BodyText"/>
      </w:pPr>
      <w:r>
        <w:t xml:space="preserve">241 Reference in Section 4.3.2 of the Final 1st Interim Report on Completing the DSM.</w:t>
      </w:r>
      <w:r>
        <w:t xml:space="preserve"> </w:t>
      </w:r>
      <w:r>
        <w:t xml:space="preserve">242 Reference to Section 4.3.3.1 Final 1st Interim Study Completing the DSM.</w:t>
      </w:r>
      <w:r>
        <w:t xml:space="preserve"> </w:t>
      </w:r>
      <w:r>
        <w:t xml:space="preserve">243 The fee of 0.2% turnover is applied in Bulgaria, Ireland and Latvia.</w:t>
      </w:r>
      <w:r>
        <w:br/>
      </w:r>
      <w:r>
        <w:t xml:space="preserve">244 Reference in Section 4.3.3.1 of the Final 1st Interim Report on Completing the DSM</w:t>
      </w:r>
    </w:p>
    <w:p>
      <w:pPr>
        <w:pStyle w:val="BodyText"/>
      </w:pPr>
      <w:r>
        <w:t xml:space="preserve">93</w:t>
      </w:r>
    </w:p>
    <w:p>
      <w:pPr>
        <w:pStyle w:val="BodyText"/>
      </w:pPr>
      <w:r>
        <w:t xml:space="preserve">conditions are warranted to further simplify the authorisation process. Also, despite the</w:t>
      </w:r>
      <w:r>
        <w:t xml:space="preserve"> </w:t>
      </w:r>
      <w:r>
        <w:t xml:space="preserve">BEREC Notification Template, the conditions required are very different in practice across</w:t>
      </w:r>
      <w:r>
        <w:t xml:space="preserve"> </w:t>
      </w:r>
      <w:r>
        <w:t xml:space="preserve">different countries245.</w:t>
      </w:r>
      <w:r>
        <w:br/>
      </w:r>
      <w:r>
        <w:t xml:space="preserve">Overall, many industry stakeholders find their reporting obligations under Arts. 20 and 21</w:t>
      </w:r>
      <w:r>
        <w:t xml:space="preserve"> </w:t>
      </w:r>
      <w:r>
        <w:t xml:space="preserve">EECC cumbersome and complex and ask for more harmonisation in this regard246.</w:t>
      </w:r>
      <w:r>
        <w:t xml:space="preserve"> </w:t>
      </w:r>
      <w:r>
        <w:t xml:space="preserve">This concerns following issues: duplication of requests for information (e.g. same or similar</w:t>
      </w:r>
      <w:r>
        <w:t xml:space="preserve"> </w:t>
      </w:r>
      <w:r>
        <w:t xml:space="preserve">data is requested for statistical reporting and later for market analysis), different data and</w:t>
      </w:r>
      <w:r>
        <w:t xml:space="preserve"> </w:t>
      </w:r>
      <w:r>
        <w:t xml:space="preserve">information requests by different NRAs for the same purposes without apparent reasons or</w:t>
      </w:r>
      <w:r>
        <w:t xml:space="preserve"> </w:t>
      </w:r>
      <w:r>
        <w:t xml:space="preserve">justifications, different frequency of information requests, no difference in reporting</w:t>
      </w:r>
      <w:r>
        <w:t xml:space="preserve"> </w:t>
      </w:r>
      <w:r>
        <w:t xml:space="preserve">obligations for smaller operators, which is more burdensome for them. However, the</w:t>
      </w:r>
      <w:r>
        <w:t xml:space="preserve"> </w:t>
      </w:r>
      <w:r>
        <w:t xml:space="preserve">responding stakeholders have not quantified the additional administrative burden caused by</w:t>
      </w:r>
      <w:r>
        <w:t xml:space="preserve"> </w:t>
      </w:r>
      <w:r>
        <w:t xml:space="preserve">these inefficiencies.</w:t>
      </w:r>
      <w:r>
        <w:t xml:space="preserve"> </w:t>
      </w:r>
      <w:r>
        <w:t xml:space="preserve">Overall, many industry stakeholders find their reporting obligations under Arts. 20 and 21</w:t>
      </w:r>
      <w:r>
        <w:t xml:space="preserve"> </w:t>
      </w:r>
      <w:r>
        <w:t xml:space="preserve">EECC cumbersome and complex and ask for more harmonisation in this regard.</w:t>
      </w:r>
      <w:r>
        <w:t xml:space="preserve"> </w:t>
      </w:r>
      <w:r>
        <w:t xml:space="preserve">6.3. Coherence</w:t>
      </w:r>
      <w:r>
        <w:t xml:space="preserve"> </w:t>
      </w:r>
      <w:r>
        <w:t xml:space="preserve">The national implementation of the EECC provisions on general authorisation is internally</w:t>
      </w:r>
      <w:r>
        <w:t xml:space="preserve"> </w:t>
      </w:r>
      <w:r>
        <w:t xml:space="preserve">coherent but – according to industry stakeholders (incumbents and mobile operators) – lacks</w:t>
      </w:r>
      <w:r>
        <w:t xml:space="preserve"> </w:t>
      </w:r>
      <w:r>
        <w:t xml:space="preserve">external coherence with national rules on cybersecurity, lawful interception, data retention and</w:t>
      </w:r>
      <w:r>
        <w:t xml:space="preserve"> </w:t>
      </w:r>
      <w:r>
        <w:t xml:space="preserve">e-privacy, which often result from relevant EU legislations. This lack of coherence is noted</w:t>
      </w:r>
      <w:r>
        <w:t xml:space="preserve"> </w:t>
      </w:r>
      <w:r>
        <w:t xml:space="preserve">specifically in relation to the conditions that may be attached to the general authorisation,</w:t>
      </w:r>
      <w:r>
        <w:t xml:space="preserve"> </w:t>
      </w:r>
      <w:r>
        <w:t xml:space="preserve">according to Annex I EECC247.</w:t>
      </w:r>
      <w:r>
        <w:br/>
      </w:r>
      <w:r>
        <w:t xml:space="preserve">In the area of cybersecurity, the diverging national rules seem to result from the differences in</w:t>
      </w:r>
      <w:r>
        <w:t xml:space="preserve"> </w:t>
      </w:r>
      <w:r>
        <w:t xml:space="preserve">the transposition of the NIS 2 Directive. The said industry stakeholders suggest that further</w:t>
      </w:r>
      <w:r>
        <w:t xml:space="preserve"> </w:t>
      </w:r>
      <w:r>
        <w:t xml:space="preserve">harmonisation and closer cooperation between Member States are necessary, for example, to</w:t>
      </w:r>
      <w:r>
        <w:t xml:space="preserve"> </w:t>
      </w:r>
      <w:r>
        <w:t xml:space="preserve">define common security conditions for telecom operators. Some industry stakeholders</w:t>
      </w:r>
      <w:r>
        <w:t xml:space="preserve"> </w:t>
      </w:r>
      <w:r>
        <w:t xml:space="preserve">consider that the lack of coherence between the general authorisation conditions related to</w:t>
      </w:r>
      <w:r>
        <w:t xml:space="preserve"> </w:t>
      </w:r>
      <w:r>
        <w:t xml:space="preserve">cybersecurity, lawful interception, data retention and e-privacy leads to fragmentation and</w:t>
      </w:r>
      <w:r>
        <w:t xml:space="preserve"> </w:t>
      </w:r>
      <w:r>
        <w:t xml:space="preserve">may prevent the achievement of the single market in electronic communications248.</w:t>
      </w:r>
      <w:r>
        <w:t xml:space="preserve"> </w:t>
      </w:r>
      <w:r>
        <w:t xml:space="preserve">6.4. Relevance</w:t>
      </w:r>
      <w:r>
        <w:t xml:space="preserve"> </w:t>
      </w:r>
      <w:r>
        <w:t xml:space="preserve">While all stakeholders agree that the current general authorisation regime under the EECC</w:t>
      </w:r>
      <w:r>
        <w:t xml:space="preserve"> </w:t>
      </w:r>
      <w:r>
        <w:t xml:space="preserve">remains relevant, their views on what changes might be necessary are divided. Governments</w:t>
      </w:r>
      <w:r>
        <w:t xml:space="preserve"> </w:t>
      </w:r>
      <w:r>
        <w:t xml:space="preserve">have not identified any further areas requiring harmonisation in the context of the general</w:t>
      </w:r>
      <w:r>
        <w:t xml:space="preserve"> </w:t>
      </w:r>
      <w:r>
        <w:t xml:space="preserve">authorisation. By contrast, some governments warned against “over-harmonisation” that</w:t>
      </w:r>
      <w:r>
        <w:t xml:space="preserve"> </w:t>
      </w:r>
      <w:r>
        <w:t xml:space="preserve">would limit the discretion of NRAs to adjust to the national circumstances.</w:t>
      </w:r>
      <w:r>
        <w:br/>
      </w:r>
      <w:r>
        <w:t xml:space="preserve">Several industry stakeholders consider that the scope of application of the general</w:t>
      </w:r>
      <w:r>
        <w:t xml:space="preserve"> </w:t>
      </w:r>
      <w:r>
        <w:t xml:space="preserve">authorisation regime must be expanded to include NI-ICS providers to level the playing field</w:t>
      </w:r>
      <w:r>
        <w:t xml:space="preserve"> </w:t>
      </w:r>
      <w:r>
        <w:t xml:space="preserve">with providers of electronic communications services249. Currently, NI-ICS are required to</w:t>
      </w:r>
    </w:p>
    <w:p>
      <w:pPr>
        <w:pStyle w:val="BodyText"/>
      </w:pPr>
      <w:r>
        <w:t xml:space="preserve">245 Reference in Section 4.3.3.2 in the Final 1st Interim Report on Completing the DSM.</w:t>
      </w:r>
      <w:r>
        <w:t xml:space="preserve"> </w:t>
      </w:r>
      <w:r>
        <w:t xml:space="preserve">246 Reference in Section 4.3.3.3 of the Final 1st Interim Report on Completing the DSM.</w:t>
      </w:r>
      <w:r>
        <w:t xml:space="preserve"> </w:t>
      </w:r>
      <w:r>
        <w:t xml:space="preserve">247 Reference in Section 4.3.4 of the Final 1st Interim Report on Completing the Single Market.</w:t>
      </w:r>
      <w:r>
        <w:t xml:space="preserve"> </w:t>
      </w:r>
      <w:r>
        <w:t xml:space="preserve">248 Reference in Section 4.3.4 of the Final 1st Interim Report on Completing the Single Market.</w:t>
      </w:r>
      <w:r>
        <w:t xml:space="preserve"> </w:t>
      </w:r>
      <w:r>
        <w:t xml:space="preserve">249 Reference in Section 4.3.5 of the Final 1st Interim Report on Completing the DSM.</w:t>
      </w:r>
    </w:p>
    <w:p>
      <w:pPr>
        <w:pStyle w:val="BodyText"/>
      </w:pPr>
      <w:r>
        <w:t xml:space="preserve">94</w:t>
      </w:r>
    </w:p>
    <w:p>
      <w:pPr>
        <w:pStyle w:val="BodyText"/>
      </w:pPr>
      <w:r>
        <w:t xml:space="preserve">notify only in several countries250 and this may pose challenges for instance, in the emergency</w:t>
      </w:r>
      <w:r>
        <w:t xml:space="preserve"> </w:t>
      </w:r>
      <w:r>
        <w:t xml:space="preserve">communications and especially, for people with disabilities or in terms of VoIP services and</w:t>
      </w:r>
      <w:r>
        <w:t xml:space="preserve"> </w:t>
      </w:r>
      <w:r>
        <w:t xml:space="preserve">the ability to address related issues (fraud, interconnection) in a harmonised way.</w:t>
      </w:r>
      <w:r>
        <w:t xml:space="preserve"> </w:t>
      </w:r>
      <w:r>
        <w:t xml:space="preserve">In its 2024 Opinion (see footnote 179), BEREC also signals the need for reflections around</w:t>
      </w:r>
      <w:r>
        <w:t xml:space="preserve"> </w:t>
      </w:r>
      <w:r>
        <w:t xml:space="preserve">the suitability of expanding the scope of the GA framework to NI-ICS providers, other digital</w:t>
      </w:r>
      <w:r>
        <w:t xml:space="preserve"> </w:t>
      </w:r>
      <w:r>
        <w:t xml:space="preserve">players, virtualised communications services or activities, also in the light of the EECC</w:t>
      </w:r>
      <w:r>
        <w:t xml:space="preserve"> </w:t>
      </w:r>
      <w:r>
        <w:t xml:space="preserve">review (see reference in footnote 179). BEREC draws the attention to the need for reflection</w:t>
      </w:r>
      <w:r>
        <w:t xml:space="preserve"> </w:t>
      </w:r>
      <w:r>
        <w:t xml:space="preserve">for expanding the scope to other players with a view to ensuring the same regulatory</w:t>
      </w:r>
      <w:r>
        <w:t xml:space="preserve"> </w:t>
      </w:r>
      <w:r>
        <w:t xml:space="preserve">treatment in relation to the provision of the same services and relevant end-user protection</w:t>
      </w:r>
      <w:r>
        <w:t xml:space="preserve"> </w:t>
      </w:r>
      <w:r>
        <w:t xml:space="preserve">guarantees in the usage of both NB-ICS and NI-ICS.</w:t>
      </w:r>
      <w:r>
        <w:t xml:space="preserve"> </w:t>
      </w:r>
      <w:r>
        <w:t xml:space="preserve">6.5. EU added value</w:t>
      </w:r>
      <w:r>
        <w:t xml:space="preserve"> </w:t>
      </w:r>
      <w:r>
        <w:t xml:space="preserve">Almost all governments and most industry stakeholders agree that the general authorisation</w:t>
      </w:r>
      <w:r>
        <w:t xml:space="preserve"> </w:t>
      </w:r>
      <w:r>
        <w:t xml:space="preserve">regime under the EECC has brought added value beyond the TFEU guarantees of freedom of</w:t>
      </w:r>
      <w:r>
        <w:t xml:space="preserve"> </w:t>
      </w:r>
      <w:r>
        <w:t xml:space="preserve">establishment and services provision. However, the extent of this added value has been</w:t>
      </w:r>
      <w:r>
        <w:t xml:space="preserve"> </w:t>
      </w:r>
      <w:r>
        <w:t xml:space="preserve">differently assessed by stakeholders.</w:t>
      </w:r>
      <w:r>
        <w:br/>
      </w:r>
      <w:r>
        <w:t xml:space="preserve">A few governments point out that the specific EECC contribution is marginal or non-existent</w:t>
      </w:r>
      <w:r>
        <w:t xml:space="preserve"> </w:t>
      </w:r>
      <w:r>
        <w:t xml:space="preserve">because the general authorisation regime was introduced decades earlier.</w:t>
      </w:r>
      <w:r>
        <w:t xml:space="preserve"> </w:t>
      </w:r>
      <w:r>
        <w:t xml:space="preserve">Some stakeholders point out that the exemptions from administrative changes for small</w:t>
      </w:r>
      <w:r>
        <w:t xml:space="preserve"> </w:t>
      </w:r>
      <w:r>
        <w:t xml:space="preserve">operators are not guaranteed, and they may experience disproportionate administrative</w:t>
      </w:r>
      <w:r>
        <w:t xml:space="preserve"> </w:t>
      </w:r>
      <w:r>
        <w:t xml:space="preserve">burdens. Only a few NRAs mention the problem with operators not having an establishment</w:t>
      </w:r>
      <w:r>
        <w:t xml:space="preserve"> </w:t>
      </w:r>
      <w:r>
        <w:t xml:space="preserve">in the country where they provide electronic communications services.</w:t>
      </w:r>
      <w:r>
        <w:br/>
      </w:r>
      <w:r>
        <w:t xml:space="preserve">At the same time, the value added of the EECC general authorisation regime is not only in</w:t>
      </w:r>
      <w:r>
        <w:t xml:space="preserve"> </w:t>
      </w:r>
      <w:r>
        <w:t xml:space="preserve">simplifying domestic and cross-border market entry, but also in providing the NRAs with</w:t>
      </w:r>
      <w:r>
        <w:t xml:space="preserve"> </w:t>
      </w:r>
      <w:r>
        <w:t xml:space="preserve">sufficient information for carrying out monitoring compliance and supervision of operators</w:t>
      </w:r>
      <w:r>
        <w:t xml:space="preserve"> </w:t>
      </w:r>
      <w:r>
        <w:t xml:space="preserve">under their jurisdictions, conducting enforcement activities and market reviews. Art. 12 EECC</w:t>
      </w:r>
      <w:r>
        <w:t xml:space="preserve"> </w:t>
      </w:r>
      <w:r>
        <w:t xml:space="preserve">and the BEREC Notification Template specifically contribute to this added value.251</w:t>
      </w:r>
      <w:r>
        <w:t xml:space="preserve"> </w:t>
      </w:r>
      <w:r>
        <w:t xml:space="preserve">The evaluation findings point out to the need for further harmonisation, update and</w:t>
      </w:r>
      <w:r>
        <w:t xml:space="preserve"> </w:t>
      </w:r>
      <w:r>
        <w:t xml:space="preserve">simplification of the general authorisation regime and paving the way for facilitating the</w:t>
      </w:r>
      <w:r>
        <w:t xml:space="preserve"> </w:t>
      </w:r>
      <w:r>
        <w:t xml:space="preserve">deployment of more virtualised and centrally managed electronic communications networks</w:t>
      </w:r>
      <w:r>
        <w:t xml:space="preserve"> </w:t>
      </w:r>
      <w:r>
        <w:t xml:space="preserve">and software (cloud)-based electronic communications services in the EU.</w:t>
      </w:r>
      <w:r>
        <w:t xml:space="preserve"> </w:t>
      </w:r>
      <w:r>
        <w:t xml:space="preserve">7. UNIVERSAL SERVICE OBLIGATIONS</w:t>
      </w:r>
      <w:r>
        <w:t xml:space="preserve"> </w:t>
      </w:r>
      <w:r>
        <w:t xml:space="preserve">All Member States have transposed the EECC universal service provisions (Articles 84 to 92)</w:t>
      </w:r>
      <w:r>
        <w:t xml:space="preserve"> </w:t>
      </w:r>
      <w:r>
        <w:t xml:space="preserve">that require and allow Member States to put in place obligations serving as a safety net and</w:t>
      </w:r>
      <w:r>
        <w:t xml:space="preserve"> </w:t>
      </w:r>
      <w:r>
        <w:t xml:space="preserve">ensuring that all consumers have access at an affordable price to adequate internet access and</w:t>
      </w:r>
      <w:r>
        <w:t xml:space="preserve"> </w:t>
      </w:r>
      <w:r>
        <w:t xml:space="preserve">voice communications services, including the most vulnerable in society as well as persons</w:t>
      </w:r>
      <w:r>
        <w:t xml:space="preserve"> </w:t>
      </w:r>
      <w:r>
        <w:t xml:space="preserve">with disabilities and those in remote areas.</w:t>
      </w:r>
      <w:r>
        <w:br/>
      </w:r>
      <w:r>
        <w:t xml:space="preserve">The universal service rules should be assessed in the context of the overall availability and</w:t>
      </w:r>
      <w:r>
        <w:t xml:space="preserve"> </w:t>
      </w:r>
      <w:r>
        <w:t xml:space="preserve">affordability of adequate broadband and voice communications in the EU. In 2024, over 94%</w:t>
      </w:r>
      <w:r>
        <w:t xml:space="preserve"> </w:t>
      </w:r>
      <w:r>
        <w:t xml:space="preserve">of EU households had internet access252, although the availability of an internet connection at</w:t>
      </w:r>
    </w:p>
    <w:p>
      <w:pPr>
        <w:pStyle w:val="BodyText"/>
      </w:pPr>
      <w:r>
        <w:t xml:space="preserve">250 Reference to 2.3.2.1 of the 2nd Interim Report on Completing the DSM.</w:t>
      </w:r>
      <w:r>
        <w:t xml:space="preserve"> </w:t>
      </w:r>
      <w:r>
        <w:t xml:space="preserve">251 Reference in Section 4.3.6 of the Final 1st Interim Report on Completing DSM.</w:t>
      </w:r>
      <w:r>
        <w:t xml:space="preserve"> </w:t>
      </w:r>
      <w:r>
        <w:t xml:space="preserve">252 https://ec.europa.eu/eurostat/databrowser/view/isoc_ci_in_h/default/table?lang=en.</w:t>
      </w:r>
    </w:p>
    <w:p>
      <w:pPr>
        <w:pStyle w:val="BodyText"/>
      </w:pPr>
      <w:r>
        <w:t xml:space="preserve">95</w:t>
      </w:r>
    </w:p>
    <w:p>
      <w:pPr>
        <w:pStyle w:val="BodyText"/>
      </w:pPr>
      <w:r>
        <w:t xml:space="preserve">home is significantly lower among persons with disabilities as opposed to those without</w:t>
      </w:r>
      <w:r>
        <w:t xml:space="preserve"> </w:t>
      </w:r>
      <w:r>
        <w:t xml:space="preserve">disabilities253. Fixed broadband coverage (for download speed of minimum 30 Mbps) achieves</w:t>
      </w:r>
      <w:r>
        <w:t xml:space="preserve"> </w:t>
      </w:r>
      <w:r>
        <w:t xml:space="preserve">90% of households in almost all EU countries254. In nearly all Member States LTE-mobile</w:t>
      </w:r>
      <w:r>
        <w:t xml:space="preserve"> </w:t>
      </w:r>
      <w:r>
        <w:t xml:space="preserve">coverage is close to 100%. Satellite coverage of households in almost all EU Member States</w:t>
      </w:r>
      <w:r>
        <w:t xml:space="preserve"> </w:t>
      </w:r>
      <w:r>
        <w:t xml:space="preserve">is 100%. As regards affordability, according to ITU (2025255): “The Europe region leads in</w:t>
      </w:r>
      <w:r>
        <w:t xml:space="preserve"> </w:t>
      </w:r>
      <w:r>
        <w:t xml:space="preserve">broadband affordability, making connectivity accessible to all. In terms of affordability,</w:t>
      </w:r>
      <w:r>
        <w:t xml:space="preserve"> </w:t>
      </w:r>
      <w:r>
        <w:t xml:space="preserve">Europe stands out as the region with the most affordable broadband services globally. Entry-</w:t>
      </w:r>
      <w:r>
        <w:t xml:space="preserve"> </w:t>
      </w:r>
      <w:r>
        <w:t xml:space="preserve">level mobile-broadband services account for just 0.3 per cent of gross national income (GNI)</w:t>
      </w:r>
      <w:r>
        <w:t xml:space="preserve"> </w:t>
      </w:r>
      <w:r>
        <w:t xml:space="preserve">per capita, compared to a global average of 1.1 per cent.“ The share of people in the EU that</w:t>
      </w:r>
      <w:r>
        <w:t xml:space="preserve"> </w:t>
      </w:r>
      <w:r>
        <w:t xml:space="preserve">could not afford to have an internet connection has significantly declined over the last decade</w:t>
      </w:r>
      <w:r>
        <w:t xml:space="preserve"> </w:t>
      </w:r>
      <w:r>
        <w:t xml:space="preserve">and was around 2.1% in 2024256. For those identified as being at risk of poverty, the share was</w:t>
      </w:r>
      <w:r>
        <w:t xml:space="preserve"> </w:t>
      </w:r>
      <w:r>
        <w:t xml:space="preserve">higher, reaching over seven per cent (of people at risk of poverty) in 2022257.</w:t>
      </w:r>
      <w:r>
        <w:br/>
      </w:r>
      <w:r>
        <w:t xml:space="preserve">Adequate broadband has been defined (Article 84) by 21 Member States, while six Member</w:t>
      </w:r>
      <w:r>
        <w:t xml:space="preserve"> </w:t>
      </w:r>
      <w:r>
        <w:t xml:space="preserve">States have not yet done so or do not intend to258. Most countries have set a minimum</w:t>
      </w:r>
      <w:r>
        <w:t xml:space="preserve"> </w:t>
      </w:r>
      <w:r>
        <w:t xml:space="preserve">download speed of 10 Mbps and few have set 30 Mbps. One Member State has defined 100</w:t>
      </w:r>
      <w:r>
        <w:t xml:space="preserve"> </w:t>
      </w:r>
      <w:r>
        <w:t xml:space="preserve">Mbps (Romania) maximum download speed259 which is the maximum so far. Where upload</w:t>
      </w:r>
      <w:r>
        <w:t xml:space="preserve"> </w:t>
      </w:r>
      <w:r>
        <w:t xml:space="preserve">requirements are set, they range from one to five Mbps260. Sixteen Member States have</w:t>
      </w:r>
      <w:r>
        <w:t xml:space="preserve"> </w:t>
      </w:r>
      <w:r>
        <w:t xml:space="preserve">requirements also for voice communications services261. BEREC’s latest report262 on best</w:t>
      </w:r>
      <w:r>
        <w:t xml:space="preserve"> </w:t>
      </w:r>
      <w:r>
        <w:t xml:space="preserve">practices to support the defining of the adequate broadband access by Member States was</w:t>
      </w:r>
      <w:r>
        <w:t xml:space="preserve"> </w:t>
      </w:r>
      <w:r>
        <w:t xml:space="preserve">published in March 2024.</w:t>
      </w:r>
      <w:r>
        <w:br/>
      </w:r>
      <w:r>
        <w:t xml:space="preserve">Affordability measures (Article 85) can be imposed for consumers with a low income or</w:t>
      </w:r>
      <w:r>
        <w:t xml:space="preserve"> </w:t>
      </w:r>
      <w:r>
        <w:t xml:space="preserve">special social needs. Member States take different approaches in determining the price of an</w:t>
      </w:r>
      <w:r>
        <w:t xml:space="preserve"> </w:t>
      </w:r>
      <w:r>
        <w:t xml:space="preserve">affordable universal service (nationwide average, based on thresholds etc.)263. Due to the</w:t>
      </w:r>
      <w:r>
        <w:t xml:space="preserve"> </w:t>
      </w:r>
      <w:r>
        <w:t xml:space="preserve">variety of measures, some of which are outside the universal service regime, the supporting</w:t>
      </w:r>
      <w:r>
        <w:t xml:space="preserve"> </w:t>
      </w:r>
      <w:r>
        <w:t xml:space="preserve">study264 provides various figures on the affordability measures in Member States. There are</w:t>
      </w:r>
    </w:p>
    <w:p>
      <w:pPr>
        <w:pStyle w:val="BodyText"/>
      </w:pPr>
      <w:r>
        <w:t xml:space="preserve">253 According to the Union of Equality, Strategy for the Rights of Persons with Disabilities 2021-2030 (2021),</w:t>
      </w:r>
      <w:r>
        <w:t xml:space="preserve"> </w:t>
      </w:r>
      <w:r>
        <w:t xml:space="preserve">only 64.3% of persons with disabilities aged 16+ had an internet connection at home, compared to 87.9% of</w:t>
      </w:r>
      <w:r>
        <w:t xml:space="preserve"> </w:t>
      </w:r>
      <w:r>
        <w:t xml:space="preserve">persons without disabilities.</w:t>
      </w:r>
      <w:r>
        <w:t xml:space="preserve"> </w:t>
      </w:r>
      <w:r>
        <w:t xml:space="preserve">254 Universal service supporting study. Forthcoming study “Financial conditions, demand and investment needs</w:t>
      </w:r>
      <w:r>
        <w:t xml:space="preserve"> </w:t>
      </w:r>
      <w:r>
        <w:t xml:space="preserve">and their regulatory and policy implications including the review of the universal service”. The study</w:t>
      </w:r>
      <w:r>
        <w:t xml:space="preserve"> </w:t>
      </w:r>
      <w:r>
        <w:t xml:space="preserve">collected data from 24 Member States.</w:t>
      </w:r>
      <w:r>
        <w:t xml:space="preserve"> </w:t>
      </w:r>
      <w:r>
        <w:t xml:space="preserve">255 ITU (2025): Measuring digital development State of digital development and trends in the Europe region:</w:t>
      </w:r>
      <w:r>
        <w:t xml:space="preserve"> </w:t>
      </w:r>
      <w:r>
        <w:t xml:space="preserve">Challenges and opportunities, February 2025, page 1.</w:t>
      </w:r>
      <w:r>
        <w:t xml:space="preserve"> </w:t>
      </w:r>
      <w:r>
        <w:t xml:space="preserve">256 Eurostat, ilc_mddu07a,</w:t>
      </w:r>
      <w:r>
        <w:br/>
      </w:r>
      <w:r>
        <w:t xml:space="preserve">257 https://ec.europa.eu/eurostat/web/products-eurostat-news/w/edn-20230801-1.</w:t>
      </w:r>
      <w:r>
        <w:t xml:space="preserve"> </w:t>
      </w:r>
      <w:r>
        <w:t xml:space="preserve">258 Data based on the universal service supporting study data gathering of 24 Member States, forthcoming</w:t>
      </w:r>
      <w:r>
        <w:br/>
      </w:r>
      <w:r>
        <w:t xml:space="preserve">259 BEREC Report on Member States’ best practices to support the defining of adequate broadband internet</w:t>
      </w:r>
      <w:r>
        <w:t xml:space="preserve"> </w:t>
      </w:r>
      <w:r>
        <w:t xml:space="preserve">access service, 7 March, 2024, BoR (24) 40.</w:t>
      </w:r>
      <w:r>
        <w:t xml:space="preserve"> </w:t>
      </w:r>
      <w:r>
        <w:t xml:space="preserve">260 Universal Service supporting study.</w:t>
      </w:r>
      <w:r>
        <w:br/>
      </w:r>
      <w:r>
        <w:t xml:space="preserve">261 Universal Service supporting study.</w:t>
      </w:r>
      <w:r>
        <w:t xml:space="preserve"> </w:t>
      </w:r>
      <w:r>
        <w:t xml:space="preserve">262 BEREC Report on Member States’ best practices to support the defining of adequate broadband internet</w:t>
      </w:r>
      <w:r>
        <w:t xml:space="preserve"> </w:t>
      </w:r>
      <w:r>
        <w:t xml:space="preserve">access</w:t>
      </w:r>
      <w:r>
        <w:t xml:space="preserve"> </w:t>
      </w:r>
      <w:r>
        <w:t xml:space="preserve">service,</w:t>
      </w:r>
      <w:r>
        <w:t xml:space="preserve"> </w:t>
      </w:r>
      <w:r>
        <w:t xml:space="preserve">7</w:t>
      </w:r>
      <w:r>
        <w:t xml:space="preserve"> </w:t>
      </w:r>
      <w:r>
        <w:t xml:space="preserve">March,</w:t>
      </w:r>
      <w:r>
        <w:t xml:space="preserve"> </w:t>
      </w:r>
      <w:r>
        <w:t xml:space="preserve">2024,</w:t>
      </w:r>
      <w:r>
        <w:t xml:space="preserve"> </w:t>
      </w:r>
      <w:r>
        <w:t xml:space="preserve">BoR</w:t>
      </w:r>
      <w:r>
        <w:t xml:space="preserve"> </w:t>
      </w:r>
      <w:r>
        <w:t xml:space="preserve">(24)</w:t>
      </w:r>
      <w:r>
        <w:t xml:space="preserve"> </w:t>
      </w:r>
      <w:r>
        <w:t xml:space="preserve">40.</w:t>
      </w:r>
      <w:r>
        <w:t xml:space="preserve"> </w:t>
      </w:r>
      <w:r>
        <w:t xml:space="preserve">https://www.berec.europa.eu/en/document-</w:t>
      </w:r>
      <w:r>
        <w:t xml:space="preserve"> </w:t>
      </w:r>
      <w:r>
        <w:t xml:space="preserve">categories/berec/reports/berec-report-on-member-states-best-practices-to-support-the-defining-of-adequate-</w:t>
      </w:r>
      <w:r>
        <w:t xml:space="preserve"> </w:t>
      </w:r>
      <w:r>
        <w:t xml:space="preserve">broadband-internet-access-service-0.</w:t>
      </w:r>
      <w:r>
        <w:t xml:space="preserve"> </w:t>
      </w:r>
      <w:r>
        <w:t xml:space="preserve">263 Universal Service supporting study.</w:t>
      </w:r>
      <w:r>
        <w:t xml:space="preserve"> </w:t>
      </w:r>
      <w:r>
        <w:t xml:space="preserve">264 Universal Service supporting study.</w:t>
      </w:r>
    </w:p>
    <w:p>
      <w:pPr>
        <w:pStyle w:val="BodyText"/>
      </w:pPr>
      <w:r>
        <w:t xml:space="preserve">96</w:t>
      </w:r>
    </w:p>
    <w:p>
      <w:pPr>
        <w:pStyle w:val="BodyText"/>
      </w:pPr>
      <w:r>
        <w:t xml:space="preserve">legislative measures for consumers with low income for broadband/voice communications in</w:t>
      </w:r>
      <w:r>
        <w:t xml:space="preserve"> </w:t>
      </w:r>
      <w:r>
        <w:t xml:space="preserve">around 15 Member States. Legislative measures for consumers with disabilities for</w:t>
      </w:r>
      <w:r>
        <w:t xml:space="preserve"> </w:t>
      </w:r>
      <w:r>
        <w:t xml:space="preserve">broadband/voice communications and specific equipment and services exist in 15 Member</w:t>
      </w:r>
      <w:r>
        <w:t xml:space="preserve"> </w:t>
      </w:r>
      <w:r>
        <w:t xml:space="preserve">States. Providers make voluntary offers for social tariffs in six Member States. Voluntary</w:t>
      </w:r>
      <w:r>
        <w:t xml:space="preserve"> </w:t>
      </w:r>
      <w:r>
        <w:t xml:space="preserve">offers for consumers with disabilities exist in seven Member States.</w:t>
      </w:r>
      <w:r>
        <w:br/>
      </w:r>
      <w:r>
        <w:t xml:space="preserve">Public funding is envisaged for financing the universal service unfair financial burden</w:t>
      </w:r>
      <w:r>
        <w:t xml:space="preserve"> </w:t>
      </w:r>
      <w:r>
        <w:t xml:space="preserve">(Article 90) in nine Member States265. Seventeen Member States266 envisage to use an industry</w:t>
      </w:r>
      <w:r>
        <w:t xml:space="preserve"> </w:t>
      </w:r>
      <w:r>
        <w:t xml:space="preserve">fund, of which five Member States267 intend to use both industry and public funding. Austria’s</w:t>
      </w:r>
      <w:r>
        <w:t xml:space="preserve"> </w:t>
      </w:r>
      <w:r>
        <w:t xml:space="preserve">industry funding model allows for contributions from non-traditional and independent</w:t>
      </w:r>
      <w:r>
        <w:t xml:space="preserve"> </w:t>
      </w:r>
      <w:r>
        <w:t xml:space="preserve">communications service providers (NI-ICS). Eight Member States have defined how to assess</w:t>
      </w:r>
      <w:r>
        <w:t xml:space="preserve"> </w:t>
      </w:r>
      <w:r>
        <w:t xml:space="preserve">an unfair burden. Only two of the Member States have reported actually paid compensation</w:t>
      </w:r>
      <w:r>
        <w:t xml:space="preserve"> </w:t>
      </w:r>
      <w:r>
        <w:t xml:space="preserve">since 2021268.</w:t>
      </w:r>
      <w:r>
        <w:t xml:space="preserve"> </w:t>
      </w:r>
      <w:r>
        <w:t xml:space="preserve">Recent comprehensive figures of the cost of universal service obligations (USO) in Member</w:t>
      </w:r>
      <w:r>
        <w:t xml:space="preserve"> </w:t>
      </w:r>
      <w:r>
        <w:t xml:space="preserve">States are not available. According to Cullen International data269, Member States’ annual net</w:t>
      </w:r>
      <w:r>
        <w:t xml:space="preserve"> </w:t>
      </w:r>
      <w:r>
        <w:t xml:space="preserve">cost calculations, where available, range between under 1 million euro to around 8,6 million</w:t>
      </w:r>
      <w:r>
        <w:t xml:space="preserve"> </w:t>
      </w:r>
      <w:r>
        <w:t xml:space="preserve">euro.</w:t>
      </w:r>
      <w:r>
        <w:br/>
      </w:r>
      <w:r>
        <w:t xml:space="preserve">A designation of a universal service provider (Article 86) has been imposed in nine Member</w:t>
      </w:r>
      <w:r>
        <w:t xml:space="preserve"> </w:t>
      </w:r>
      <w:r>
        <w:t xml:space="preserve">States. Designation in certain service areas/regions only and case-by-case designation for</w:t>
      </w:r>
      <w:r>
        <w:t xml:space="preserve"> </w:t>
      </w:r>
      <w:r>
        <w:t xml:space="preserve">individual request are also possible in three countries270. In Sweden, no service provider is</w:t>
      </w:r>
      <w:r>
        <w:t xml:space="preserve"> </w:t>
      </w:r>
      <w:r>
        <w:t xml:space="preserve">obliged to provide universal service, but there is a state aid measure administered by PTS (the</w:t>
      </w:r>
      <w:r>
        <w:t xml:space="preserve"> </w:t>
      </w:r>
      <w:r>
        <w:t xml:space="preserve">Swedish Post and Telecom Authority)271.</w:t>
      </w:r>
      <w:r>
        <w:t xml:space="preserve"> </w:t>
      </w:r>
      <w:r>
        <w:t xml:space="preserve">Several Member States have made use of the options to extend the scope of universal service</w:t>
      </w:r>
      <w:r>
        <w:t xml:space="preserve"> </w:t>
      </w:r>
      <w:r>
        <w:t xml:space="preserve">rules to other groups. For requesting an adequate broadband internet access, microenterprises</w:t>
      </w:r>
      <w:r>
        <w:t xml:space="preserve"> </w:t>
      </w:r>
      <w:r>
        <w:t xml:space="preserve">are eligible in 14 Member States (MS), small enterprises are eligible in 13 MS, medium</w:t>
      </w:r>
      <w:r>
        <w:t xml:space="preserve"> </w:t>
      </w:r>
      <w:r>
        <w:t xml:space="preserve">enterprises are eligible in 10 MS, not-for-profit organisations are eligible in 12 MS272.</w:t>
      </w:r>
      <w:r>
        <w:t xml:space="preserve"> </w:t>
      </w:r>
      <w:r>
        <w:t xml:space="preserve">Affordability applies also to microenterprises, SMEs and not-for-profit organisations in three</w:t>
      </w:r>
      <w:r>
        <w:t xml:space="preserve"> </w:t>
      </w:r>
      <w:r>
        <w:t xml:space="preserve">Member States273.</w:t>
      </w:r>
      <w:r>
        <w:br/>
      </w:r>
      <w:r>
        <w:t xml:space="preserve">7.1. Effectiveness</w:t>
      </w:r>
      <w:r>
        <w:t xml:space="preserve"> </w:t>
      </w:r>
      <w:r>
        <w:t xml:space="preserve">The EECC objectives (Art 3(2)) include “high and common level of protection for end-users”.</w:t>
      </w:r>
      <w:r>
        <w:t xml:space="preserve"> </w:t>
      </w:r>
      <w:r>
        <w:t xml:space="preserve">This includes addressing the needs, such as affordable prices, of specific social groups, in</w:t>
      </w:r>
      <w:r>
        <w:t xml:space="preserve"> </w:t>
      </w:r>
      <w:r>
        <w:t xml:space="preserve">particular end-users with disabilities, elderly end-users and end-users with special social</w:t>
      </w:r>
    </w:p>
    <w:p>
      <w:pPr>
        <w:pStyle w:val="BodyText"/>
      </w:pPr>
      <w:r>
        <w:t xml:space="preserve">265 Czech Rep., Finland, Hungary, Latvia, Malta, Portugal, Romania, Slovenia, Sweden. Universal Service</w:t>
      </w:r>
      <w:r>
        <w:t xml:space="preserve"> </w:t>
      </w:r>
      <w:r>
        <w:t xml:space="preserve">supporting study</w:t>
      </w:r>
      <w:r>
        <w:br/>
      </w:r>
      <w:r>
        <w:t xml:space="preserve">266 Austria, Belgium, Bulgaria, Croatia, Cyprus, Denmark, France, Germany, Greece, Lithuania, Malta, Poland,</w:t>
      </w:r>
      <w:r>
        <w:t xml:space="preserve"> </w:t>
      </w:r>
      <w:r>
        <w:t xml:space="preserve">Portugal, Romania, Slovakia, Slovenia and Spain. Universal Service supporting study.</w:t>
      </w:r>
      <w:r>
        <w:br/>
      </w:r>
      <w:r>
        <w:t xml:space="preserve">267 Malta, Portugal, Romania, Slovakia and Slovenia.</w:t>
      </w:r>
      <w:r>
        <w:t xml:space="preserve"> </w:t>
      </w:r>
      <w:r>
        <w:t xml:space="preserve">268 Universal Service supporting study.</w:t>
      </w:r>
      <w:r>
        <w:t xml:space="preserve"> </w:t>
      </w:r>
      <w:r>
        <w:t xml:space="preserve">269 Universal service obligation: designated providers and net cost. Cullen International data 3 March 2025.</w:t>
      </w:r>
      <w:r>
        <w:t xml:space="preserve"> </w:t>
      </w:r>
      <w:r>
        <w:t xml:space="preserve">270 Universal Service supporting study.</w:t>
      </w:r>
      <w:r>
        <w:t xml:space="preserve"> </w:t>
      </w:r>
      <w:r>
        <w:t xml:space="preserve">271 BEREC Report BoR (24)40.</w:t>
      </w:r>
      <w:r>
        <w:t xml:space="preserve"> </w:t>
      </w:r>
      <w:r>
        <w:t xml:space="preserve">272 Universal Service supporting study</w:t>
      </w:r>
      <w:r>
        <w:br/>
      </w:r>
      <w:r>
        <w:t xml:space="preserve">273 BEREC Report on Member States’ best practices to support the defining of adequate broadband internet</w:t>
      </w:r>
      <w:r>
        <w:t xml:space="preserve"> </w:t>
      </w:r>
      <w:r>
        <w:t xml:space="preserve">access service. BoR(24)40, p. 27.</w:t>
      </w:r>
    </w:p>
    <w:p>
      <w:pPr>
        <w:pStyle w:val="BodyText"/>
      </w:pPr>
      <w:r>
        <w:t xml:space="preserve">97</w:t>
      </w:r>
    </w:p>
    <w:p>
      <w:pPr>
        <w:pStyle w:val="BodyText"/>
      </w:pPr>
      <w:r>
        <w:t xml:space="preserve">needs, and choice and equivalent access for end-users with disabilities. The three</w:t>
      </w:r>
      <w:r>
        <w:t xml:space="preserve"> </w:t>
      </w:r>
      <w:r>
        <w:t xml:space="preserve">characteristics of the current universal service concept address affordability, accessibility (in</w:t>
      </w:r>
      <w:r>
        <w:t xml:space="preserve"> </w:t>
      </w:r>
      <w:r>
        <w:t xml:space="preserve">universal service rules this includes also support to consumers with disabilities for terminal</w:t>
      </w:r>
      <w:r>
        <w:t xml:space="preserve"> </w:t>
      </w:r>
      <w:r>
        <w:t xml:space="preserve">equipment, and specific equipment and specific services) and a possibility for Member States</w:t>
      </w:r>
      <w:r>
        <w:t xml:space="preserve"> </w:t>
      </w:r>
      <w:r>
        <w:t xml:space="preserve">to address availability. A challenge to harmonisation is posed by the significant variation in</w:t>
      </w:r>
      <w:r>
        <w:t xml:space="preserve"> </w:t>
      </w:r>
      <w:r>
        <w:t xml:space="preserve">implementation of the rules in Member States.</w:t>
      </w:r>
      <w:r>
        <w:br/>
      </w:r>
      <w:r>
        <w:t xml:space="preserve">As regards the stakeholders’ feedback on the assessment of universal services rules, the</w:t>
      </w:r>
      <w:r>
        <w:t xml:space="preserve"> </w:t>
      </w:r>
      <w:r>
        <w:t xml:space="preserve">responses to the exploratory consultation (2023)274 were diverse and not conclusive on</w:t>
      </w:r>
      <w:r>
        <w:t xml:space="preserve"> </w:t>
      </w:r>
      <w:r>
        <w:t xml:space="preserve">universal service. An equal number of respondents considered USO significantly or “not at</w:t>
      </w:r>
      <w:r>
        <w:t xml:space="preserve"> </w:t>
      </w:r>
      <w:r>
        <w:t xml:space="preserve">all” useful to grant connectivity access to low-income consumers. Many respondents did not</w:t>
      </w:r>
      <w:r>
        <w:t xml:space="preserve"> </w:t>
      </w:r>
      <w:r>
        <w:t xml:space="preserve">reply to the questions on universal service funding. Among those who replied, close to half of</w:t>
      </w:r>
      <w:r>
        <w:t xml:space="preserve"> </w:t>
      </w:r>
      <w:r>
        <w:t xml:space="preserve">them indicated that the USO should continue to be funded by the public general budget, while</w:t>
      </w:r>
      <w:r>
        <w:t xml:space="preserve"> </w:t>
      </w:r>
      <w:r>
        <w:t xml:space="preserve">the others considered that the USO should be funded by ECN providers. Companies (mainly</w:t>
      </w:r>
      <w:r>
        <w:t xml:space="preserve"> </w:t>
      </w:r>
      <w:r>
        <w:t xml:space="preserve">ECN providers and broadcasters), business associations and almost all the responding public</w:t>
      </w:r>
      <w:r>
        <w:t xml:space="preserve"> </w:t>
      </w:r>
      <w:r>
        <w:t xml:space="preserve">authorities expressed their support for maintaining the current financing model.</w:t>
      </w:r>
      <w:r>
        <w:t xml:space="preserve"> </w:t>
      </w:r>
      <w:r>
        <w:t xml:space="preserve">The feedback to the Commission’s 2024 White Paper “How to master Europe’s digital</w:t>
      </w:r>
      <w:r>
        <w:t xml:space="preserve"> </w:t>
      </w:r>
      <w:r>
        <w:t xml:space="preserve">infrastructure needs?” (although there was no specific scenario proposed for the USO)</w:t>
      </w:r>
      <w:r>
        <w:t xml:space="preserve"> </w:t>
      </w:r>
      <w:r>
        <w:t xml:space="preserve">highlighted that proper enforcement of current rules was missing; and therefore, focus should</w:t>
      </w:r>
      <w:r>
        <w:t xml:space="preserve"> </w:t>
      </w:r>
      <w:r>
        <w:t xml:space="preserve">be on implementation and compliance of current rules. According to the feedback, some</w:t>
      </w:r>
      <w:r>
        <w:t xml:space="preserve"> </w:t>
      </w:r>
      <w:r>
        <w:t xml:space="preserve">Member States have not created many internet connections under the universal service</w:t>
      </w:r>
      <w:r>
        <w:t xml:space="preserve"> </w:t>
      </w:r>
      <w:r>
        <w:t xml:space="preserve">regime. The EECC already provides a framework for incentivising telcos to prioritise</w:t>
      </w:r>
      <w:r>
        <w:t xml:space="preserve"> </w:t>
      </w:r>
      <w:r>
        <w:t xml:space="preserve">accessible connectivity and deployment of broadband to consumers in more remote regions.</w:t>
      </w:r>
      <w:r>
        <w:t xml:space="preserve"> </w:t>
      </w:r>
      <w:r>
        <w:t xml:space="preserve">BEREC underlined in its answer that before introducing changes and imposing new universal</w:t>
      </w:r>
      <w:r>
        <w:t xml:space="preserve"> </w:t>
      </w:r>
      <w:r>
        <w:t xml:space="preserve">service obligations it would be necessary to assess the economic impact on all actors, and that</w:t>
      </w:r>
      <w:r>
        <w:t xml:space="preserve"> </w:t>
      </w:r>
      <w:r>
        <w:t xml:space="preserve">the current rules are future-proof. European Consumer Organisation BEUC highlighted that it</w:t>
      </w:r>
      <w:r>
        <w:t xml:space="preserve"> </w:t>
      </w:r>
      <w:r>
        <w:t xml:space="preserve">is too early to conclude if changes to universal service financing model are needed275.</w:t>
      </w:r>
      <w:r>
        <w:br/>
      </w:r>
      <w:r>
        <w:t xml:space="preserve">The Commission’s 2025 Call for evidence on the Digital Networks Act highlighted universal</w:t>
      </w:r>
      <w:r>
        <w:t xml:space="preserve"> </w:t>
      </w:r>
      <w:r>
        <w:t xml:space="preserve">service for protecting vulnerable end-users and re-focusing universal service obligation on</w:t>
      </w:r>
      <w:r>
        <w:t xml:space="preserve"> </w:t>
      </w:r>
      <w:r>
        <w:t xml:space="preserve">affordability. In their feedback, most stakeholders acknowledged the need for the USO</w:t>
      </w:r>
      <w:r>
        <w:t xml:space="preserve"> </w:t>
      </w:r>
      <w:r>
        <w:t xml:space="preserve">framework to flexibly accommodate varying regional needs and market conditions across</w:t>
      </w:r>
      <w:r>
        <w:t xml:space="preserve"> </w:t>
      </w:r>
      <w:r>
        <w:t xml:space="preserve">Member States. Member States, NRAs and consumer organisations advocated for an inclusive</w:t>
      </w:r>
      <w:r>
        <w:t xml:space="preserve"> </w:t>
      </w:r>
      <w:r>
        <w:t xml:space="preserve">and future-proof USO framework that supports digital inclusion, ensuring all citizens,</w:t>
      </w:r>
      <w:r>
        <w:t xml:space="preserve"> </w:t>
      </w:r>
      <w:r>
        <w:t xml:space="preserve">particularly those in rural or underserved areas, have access to high-quality internet services.</w:t>
      </w:r>
      <w:r>
        <w:t xml:space="preserve"> </w:t>
      </w:r>
      <w:r>
        <w:t xml:space="preserve">The majority of telecom operators argued that the market now provides a wide variety of</w:t>
      </w:r>
      <w:r>
        <w:t xml:space="preserve"> </w:t>
      </w:r>
      <w:r>
        <w:t xml:space="preserve">offers to meet the needs of consumers and suggested that USO could be phased out. Public</w:t>
      </w:r>
      <w:r>
        <w:t xml:space="preserve"> </w:t>
      </w:r>
      <w:r>
        <w:t xml:space="preserve">intervention, for example through voucher schemes, would be more efficient. The</w:t>
      </w:r>
      <w:r>
        <w:t xml:space="preserve"> </w:t>
      </w:r>
      <w:r>
        <w:t xml:space="preserve">technologically neutral approach was emphasised.</w:t>
      </w:r>
      <w:r>
        <w:t xml:space="preserve"> </w:t>
      </w:r>
      <w:r>
        <w:t xml:space="preserve">Data on availability of adequate broadband on the different fixed, mobile (4G LTE and 5G)</w:t>
      </w:r>
      <w:r>
        <w:t xml:space="preserve"> </w:t>
      </w:r>
      <w:r>
        <w:t xml:space="preserve">and satellite technologies show that the availability (Article 86) of adequate broadband &lt;30</w:t>
      </w:r>
      <w:r>
        <w:t xml:space="preserve"> </w:t>
      </w:r>
      <w:r>
        <w:t xml:space="preserve">Mbps is already largely ensured in the Member States and not a significant issue in terms of</w:t>
      </w:r>
      <w:r>
        <w:t xml:space="preserve"> </w:t>
      </w:r>
      <w:r>
        <w:t xml:space="preserve">coverage.276 The EECC underlines technological neutrality on provision of universal service.</w:t>
      </w:r>
    </w:p>
    <w:p>
      <w:pPr>
        <w:pStyle w:val="BodyText"/>
      </w:pPr>
      <w:r>
        <w:t xml:space="preserve">274 https://digital-strategy.ec.europa.eu/en/library/results-exploratory-consultation-future-electronic-</w:t>
      </w:r>
      <w:r>
        <w:t xml:space="preserve"> </w:t>
      </w:r>
      <w:r>
        <w:t xml:space="preserve">communications-sector-and-its-infrastructure.</w:t>
      </w:r>
      <w:r>
        <w:t xml:space="preserve"> </w:t>
      </w:r>
      <w:r>
        <w:t xml:space="preserve">275 https://www.beuc.eu/sites/default/files/publications/BEUC-X-2024-</w:t>
      </w:r>
      <w:r>
        <w:t xml:space="preserve"> </w:t>
      </w:r>
      <w:r>
        <w:t xml:space="preserve">057_Mind_the_connectivity_gap_making_digital_infrastructure_work_for_consumers.pdf</w:t>
      </w:r>
      <w:r>
        <w:t xml:space="preserve"> </w:t>
      </w:r>
      <w:r>
        <w:t xml:space="preserve">276 Universal service supporting study</w:t>
      </w:r>
    </w:p>
    <w:p>
      <w:pPr>
        <w:pStyle w:val="BodyText"/>
      </w:pPr>
      <w:r>
        <w:t xml:space="preserve">98</w:t>
      </w:r>
    </w:p>
    <w:p>
      <w:pPr>
        <w:pStyle w:val="BodyText"/>
      </w:pPr>
      <w:r>
        <w:t xml:space="preserve">A technology or technical solution is not favoured over another for fulfilling the availability</w:t>
      </w:r>
      <w:r>
        <w:t xml:space="preserve"> </w:t>
      </w:r>
      <w:r>
        <w:t xml:space="preserve">of adequate broadband requirement. The most efficient and effective technology is chosen,</w:t>
      </w:r>
      <w:r>
        <w:t xml:space="preserve"> </w:t>
      </w:r>
      <w:r>
        <w:t xml:space="preserve">which makes the approach future-proof.</w:t>
      </w:r>
      <w:r>
        <w:br/>
      </w:r>
      <w:r>
        <w:t xml:space="preserve">Given the widespread commercial roll-out of fixed and mobile networks capable of providing</w:t>
      </w:r>
      <w:r>
        <w:t xml:space="preserve"> </w:t>
      </w:r>
      <w:r>
        <w:t xml:space="preserve">adequate broadband, availability does not seem to be a concern based on the quantitative</w:t>
      </w:r>
      <w:r>
        <w:t xml:space="preserve"> </w:t>
      </w:r>
      <w:r>
        <w:t xml:space="preserve">figures. The availability of adequate broadband internet access service (as defined by the</w:t>
      </w:r>
      <w:r>
        <w:t xml:space="preserve"> </w:t>
      </w:r>
      <w:r>
        <w:t xml:space="preserve">Member States) in almost all Member States277 is fulfilled by offers based on either</w:t>
      </w:r>
      <w:r>
        <w:t xml:space="preserve"> </w:t>
      </w:r>
      <w:r>
        <w:t xml:space="preserve">commercial or publicly278 funded networks. Availability is also addressed through alternative</w:t>
      </w:r>
      <w:r>
        <w:t xml:space="preserve"> </w:t>
      </w:r>
      <w:r>
        <w:t xml:space="preserve">public policy tools such as State Aid measures or financial instruments. Even where universal</w:t>
      </w:r>
      <w:r>
        <w:t xml:space="preserve"> </w:t>
      </w:r>
      <w:r>
        <w:t xml:space="preserve">service providers were designated the actual number of imposed obligations was relatively</w:t>
      </w:r>
      <w:r>
        <w:t xml:space="preserve"> </w:t>
      </w:r>
      <w:r>
        <w:t xml:space="preserve">low. Therefore, the supporting study argues that the benefits of the universal service regime as</w:t>
      </w:r>
      <w:r>
        <w:t xml:space="preserve"> </w:t>
      </w:r>
      <w:r>
        <w:t xml:space="preserve">regards availability in the past (2021 to 2024) have been limited, however, the low number of</w:t>
      </w:r>
      <w:r>
        <w:t xml:space="preserve"> </w:t>
      </w:r>
      <w:r>
        <w:t xml:space="preserve">requests does not necessarily indicate ineffectiveness of the availability rules that can be</w:t>
      </w:r>
      <w:r>
        <w:t xml:space="preserve"> </w:t>
      </w:r>
      <w:r>
        <w:t xml:space="preserve">considered to be neutral in terms of effectiveness.</w:t>
      </w:r>
      <w:r>
        <w:t xml:space="preserve"> </w:t>
      </w:r>
      <w:r>
        <w:t xml:space="preserve">Measures to ensure affordability (Article 85) for consumers with low-income and special</w:t>
      </w:r>
      <w:r>
        <w:t xml:space="preserve"> </w:t>
      </w:r>
      <w:r>
        <w:t xml:space="preserve">social needs differ significantly across Member States. The measures include various forms of</w:t>
      </w:r>
      <w:r>
        <w:t xml:space="preserve"> </w:t>
      </w:r>
      <w:r>
        <w:t xml:space="preserve">support, such as vouchers, social tariffs and discounts. According to the universal service</w:t>
      </w:r>
      <w:r>
        <w:t xml:space="preserve"> </w:t>
      </w:r>
      <w:r>
        <w:t xml:space="preserve">supporting study, ten Member States apply affordable broadband prices to all consumers,</w:t>
      </w:r>
      <w:r>
        <w:t xml:space="preserve"> </w:t>
      </w:r>
      <w:r>
        <w:t xml:space="preserve">while 11 Member States limit measures to specific groups, notably users with low income or</w:t>
      </w:r>
      <w:r>
        <w:t xml:space="preserve"> </w:t>
      </w:r>
      <w:r>
        <w:t xml:space="preserve">those with special social needs. Four Member States address affordability through the social</w:t>
      </w:r>
      <w:r>
        <w:t xml:space="preserve"> </w:t>
      </w:r>
      <w:r>
        <w:t xml:space="preserve">welfare system. Eligibility definitions differ: some countries restrict affordability schemes to</w:t>
      </w:r>
      <w:r>
        <w:t xml:space="preserve"> </w:t>
      </w:r>
      <w:r>
        <w:t xml:space="preserve">consumers, while in three countries eligibility is extended to microenterprises, SMEs and not-</w:t>
      </w:r>
      <w:r>
        <w:t xml:space="preserve"> </w:t>
      </w:r>
      <w:r>
        <w:t xml:space="preserve">for-profit organisations.279</w:t>
      </w:r>
      <w:r>
        <w:br/>
      </w:r>
      <w:r>
        <w:t xml:space="preserve">Member States have defined an affordable price for adequate broadband services, typically</w:t>
      </w:r>
      <w:r>
        <w:t xml:space="preserve"> </w:t>
      </w:r>
      <w:r>
        <w:t xml:space="preserve">applying a uniform rate nationwide. The methodologies for determining what constitutes an</w:t>
      </w:r>
      <w:r>
        <w:t xml:space="preserve"> </w:t>
      </w:r>
      <w:r>
        <w:t xml:space="preserve">affordable price vary and include, for example, affordability based on national market prices</w:t>
      </w:r>
      <w:r>
        <w:t xml:space="preserve"> </w:t>
      </w:r>
      <w:r>
        <w:t xml:space="preserve">for products that meet only the minimum technical USO requirements, or use of income or</w:t>
      </w:r>
      <w:r>
        <w:t xml:space="preserve"> </w:t>
      </w:r>
      <w:r>
        <w:t xml:space="preserve">expenditure-based benchmarks. In some Member States operators also provide voluntary</w:t>
      </w:r>
      <w:r>
        <w:t xml:space="preserve"> </w:t>
      </w:r>
      <w:r>
        <w:t xml:space="preserve">offers for users with special social needs or low income280. Voluntary offers are available in</w:t>
      </w:r>
      <w:r>
        <w:t xml:space="preserve"> </w:t>
      </w:r>
      <w:r>
        <w:t xml:space="preserve">some countries but lack regulatory oversight, leading to inconsistency. Lack of transparency</w:t>
      </w:r>
      <w:r>
        <w:t xml:space="preserve"> </w:t>
      </w:r>
      <w:r>
        <w:t xml:space="preserve">and the complexity of procedures can be important barriers. While measures are in place, their</w:t>
      </w:r>
      <w:r>
        <w:t xml:space="preserve"> </w:t>
      </w:r>
      <w:r>
        <w:t xml:space="preserve">practical impact seems limited due to low take-up, administrative burden, and lack of</w:t>
      </w:r>
      <w:r>
        <w:t xml:space="preserve"> </w:t>
      </w:r>
      <w:r>
        <w:t xml:space="preserve">visibility or lack of proactive consumer service.</w:t>
      </w:r>
      <w:r>
        <w:br/>
      </w:r>
      <w:r>
        <w:t xml:space="preserve">Member States have additional measures to support consumers with disabilities through the</w:t>
      </w:r>
      <w:r>
        <w:t xml:space="preserve"> </w:t>
      </w:r>
      <w:r>
        <w:t xml:space="preserve">universal services regime (Article 85(4)). These include, for example, higher quality of</w:t>
      </w:r>
      <w:r>
        <w:t xml:space="preserve"> </w:t>
      </w:r>
      <w:r>
        <w:t xml:space="preserve">service, free service and equipment support and measures outside universal service281.</w:t>
      </w:r>
      <w:r>
        <w:br/>
      </w:r>
      <w:r>
        <w:t xml:space="preserve">Stakeholders highlight the important role of competition in continuing to ensure affordable</w:t>
      </w:r>
      <w:r>
        <w:t xml:space="preserve"> </w:t>
      </w:r>
      <w:r>
        <w:t xml:space="preserve">prices to consumers in the EU. Affordability remains a problem in rural areas or areas with</w:t>
      </w:r>
      <w:r>
        <w:t xml:space="preserve"> </w:t>
      </w:r>
      <w:r>
        <w:t xml:space="preserve">limited competition, where prices can be high, especially in fibre-only areas. Some Member</w:t>
      </w:r>
    </w:p>
    <w:p>
      <w:pPr>
        <w:pStyle w:val="BodyText"/>
      </w:pPr>
      <w:r>
        <w:t xml:space="preserve">277 Universal service supporting study</w:t>
      </w:r>
      <w:r>
        <w:t xml:space="preserve"> </w:t>
      </w:r>
      <w:r>
        <w:t xml:space="preserve">278 OMDIA (2024): Broadband Coverage in Europe 2023 - Mapping progress towards the coverage objectives</w:t>
      </w:r>
      <w:r>
        <w:t xml:space="preserve"> </w:t>
      </w:r>
      <w:r>
        <w:t xml:space="preserve">of the Digital Decade, Final Report.</w:t>
      </w:r>
      <w:r>
        <w:t xml:space="preserve"> </w:t>
      </w:r>
      <w:r>
        <w:t xml:space="preserve">279 Universal service supporting study</w:t>
      </w:r>
      <w:r>
        <w:t xml:space="preserve"> </w:t>
      </w:r>
      <w:r>
        <w:t xml:space="preserve">280 Universal service supporting study</w:t>
      </w:r>
      <w:r>
        <w:t xml:space="preserve"> </w:t>
      </w:r>
      <w:r>
        <w:t xml:space="preserve">281 Universal service supporting study</w:t>
      </w:r>
    </w:p>
    <w:p>
      <w:pPr>
        <w:pStyle w:val="BodyText"/>
      </w:pPr>
      <w:r>
        <w:t xml:space="preserve">99</w:t>
      </w:r>
    </w:p>
    <w:p>
      <w:pPr>
        <w:pStyle w:val="BodyText"/>
      </w:pPr>
      <w:r>
        <w:t xml:space="preserve">States have addressed these gaps through targeted public subsidies, such as the “conecta35.es”</w:t>
      </w:r>
      <w:r>
        <w:t xml:space="preserve"> </w:t>
      </w:r>
      <w:r>
        <w:t xml:space="preserve">programme in Spain.</w:t>
      </w:r>
      <w:r>
        <w:br/>
      </w:r>
      <w:r>
        <w:t xml:space="preserve">While market competition has generally kept broadband prices low across the EU,</w:t>
      </w:r>
      <w:r>
        <w:t xml:space="preserve"> </w:t>
      </w:r>
      <w:r>
        <w:t xml:space="preserve">affordability issues persist in certain areas, making USO-based measures an important but</w:t>
      </w:r>
      <w:r>
        <w:t xml:space="preserve"> </w:t>
      </w:r>
      <w:r>
        <w:t xml:space="preserve">limited safety net. The universal service supporting study also points out that the variable</w:t>
      </w:r>
      <w:r>
        <w:t xml:space="preserve"> </w:t>
      </w:r>
      <w:r>
        <w:t xml:space="preserve">application of the provision may mean that not all consumers with difficulties have been</w:t>
      </w:r>
      <w:r>
        <w:t xml:space="preserve"> </w:t>
      </w:r>
      <w:r>
        <w:t xml:space="preserve">addressed in all Member States.</w:t>
      </w:r>
      <w:r>
        <w:br/>
      </w:r>
      <w:r>
        <w:t xml:space="preserve">Overall, the effectiveness of affordability measures for consumers with low income and</w:t>
      </w:r>
      <w:r>
        <w:t xml:space="preserve"> </w:t>
      </w:r>
      <w:r>
        <w:t xml:space="preserve">special social needs seems to be low to neutral282, while further data is needed to fully</w:t>
      </w:r>
      <w:r>
        <w:t xml:space="preserve"> </w:t>
      </w:r>
      <w:r>
        <w:t xml:space="preserve">understand the implications of the affordability measures for consumers with disabilities.</w:t>
      </w:r>
      <w:r>
        <w:t xml:space="preserve"> </w:t>
      </w:r>
      <w:r>
        <w:t xml:space="preserve">Article 90 EECC allows Member States to finance universal service obligations through</w:t>
      </w:r>
      <w:r>
        <w:t xml:space="preserve"> </w:t>
      </w:r>
      <w:r>
        <w:t xml:space="preserve">public funding, industry contributions, or both, following principles such as transparency and</w:t>
      </w:r>
      <w:r>
        <w:t xml:space="preserve"> </w:t>
      </w:r>
      <w:r>
        <w:t xml:space="preserve">proportionality. However, it seems challenging to activate the funding in practice and</w:t>
      </w:r>
      <w:r>
        <w:t xml:space="preserve"> </w:t>
      </w:r>
      <w:r>
        <w:t xml:space="preserve">according to the universal service supporting study, there is no conclusive evidence of net cost</w:t>
      </w:r>
      <w:r>
        <w:t xml:space="preserve"> </w:t>
      </w:r>
      <w:r>
        <w:t xml:space="preserve">calculations to universal service providers of providing adequate broadband for internet</w:t>
      </w:r>
      <w:r>
        <w:t xml:space="preserve"> </w:t>
      </w:r>
      <w:r>
        <w:t xml:space="preserve">access service. Relatively few Member States have designated universal service providers</w:t>
      </w:r>
      <w:r>
        <w:t xml:space="preserve"> </w:t>
      </w:r>
      <w:r>
        <w:t xml:space="preserve">and even fewer have assessed an unfair burden. It is therefore not possible to assess the</w:t>
      </w:r>
      <w:r>
        <w:t xml:space="preserve"> </w:t>
      </w:r>
      <w:r>
        <w:t xml:space="preserve">effectiveness of the measure as updated in the EECC. Also based on past experience, funding</w:t>
      </w:r>
      <w:r>
        <w:t xml:space="preserve"> </w:t>
      </w:r>
      <w:r>
        <w:t xml:space="preserve">processes are seen as bureaucratic and costly, with risks of litigation particularly with industry</w:t>
      </w:r>
      <w:r>
        <w:t xml:space="preserve"> </w:t>
      </w:r>
      <w:r>
        <w:t xml:space="preserve">funds. NRAs generally view the mechanisms as appropriate, but operators argue that</w:t>
      </w:r>
      <w:r>
        <w:t xml:space="preserve"> </w:t>
      </w:r>
      <w:r>
        <w:t xml:space="preserve">universal service, as a public policy tool, should be state-funded.283 The practical use and</w:t>
      </w:r>
      <w:r>
        <w:t xml:space="preserve"> </w:t>
      </w:r>
      <w:r>
        <w:t xml:space="preserve">demonstrated effectiveness of the costing and funding mechanism remain limited.</w:t>
      </w:r>
      <w:r>
        <w:t xml:space="preserve"> </w:t>
      </w:r>
      <w:r>
        <w:t xml:space="preserve">7.2. Efficiency</w:t>
      </w:r>
      <w:r>
        <w:t xml:space="preserve"> </w:t>
      </w:r>
      <w:r>
        <w:t xml:space="preserve">The number of end-users benefitting from the provision by a designated universal service</w:t>
      </w:r>
      <w:r>
        <w:t xml:space="preserve"> </w:t>
      </w:r>
      <w:r>
        <w:t xml:space="preserve">provider seems to be relatively low compared to the resources it requires. There is limited</w:t>
      </w:r>
      <w:r>
        <w:t xml:space="preserve"> </w:t>
      </w:r>
      <w:r>
        <w:t xml:space="preserve">data available, but considerable administrative costs can be incurred by public authorities,</w:t>
      </w:r>
      <w:r>
        <w:t xml:space="preserve"> </w:t>
      </w:r>
      <w:r>
        <w:t xml:space="preserve">particularly where broadband access is provided on a case-by-case basis.284 The average</w:t>
      </w:r>
      <w:r>
        <w:t xml:space="preserve"> </w:t>
      </w:r>
      <w:r>
        <w:t xml:space="preserve">annual administrative costs vary in Member States, however, the scope covered by the</w:t>
      </w:r>
      <w:r>
        <w:t xml:space="preserve"> </w:t>
      </w:r>
      <w:r>
        <w:t xml:space="preserve">universal service schemes of the Member States differ, with some Member States treating</w:t>
      </w:r>
      <w:r>
        <w:t xml:space="preserve"> </w:t>
      </w:r>
      <w:r>
        <w:t xml:space="preserve">social aspects separately from the universal service and the figures are thus not comparable.</w:t>
      </w:r>
      <w:r>
        <w:t xml:space="preserve"> </w:t>
      </w:r>
      <w:r>
        <w:t xml:space="preserve">The costs stem from technical reviews required to assess the actual unavailability of</w:t>
      </w:r>
      <w:r>
        <w:t xml:space="preserve"> </w:t>
      </w:r>
      <w:r>
        <w:t xml:space="preserve">broadband, coordination with operators, and the process of selecting and designating universal</w:t>
      </w:r>
      <w:r>
        <w:t xml:space="preserve"> </w:t>
      </w:r>
      <w:r>
        <w:t xml:space="preserve">service providers. The efficiency of the mechanism for securing availability could thus be</w:t>
      </w:r>
      <w:r>
        <w:t xml:space="preserve"> </w:t>
      </w:r>
      <w:r>
        <w:t xml:space="preserve">questioned due to the resources required for relatively limited outcomes in terms of new</w:t>
      </w:r>
      <w:r>
        <w:t xml:space="preserve"> </w:t>
      </w:r>
      <w:r>
        <w:t xml:space="preserve">coverage or consumer uptake. Several industry stakeholders emphasize the high</w:t>
      </w:r>
      <w:r>
        <w:t xml:space="preserve"> </w:t>
      </w:r>
      <w:r>
        <w:t xml:space="preserve">administrative cost of the regime, and the procedures can be very lengthy for consumers.</w:t>
      </w:r>
      <w:r>
        <w:br/>
      </w:r>
      <w:r>
        <w:t xml:space="preserve">Most Member States have not set an affordable price and/or not all consumers are eligible285.</w:t>
      </w:r>
      <w:r>
        <w:t xml:space="preserve"> </w:t>
      </w:r>
      <w:r>
        <w:t xml:space="preserve">The administrative costs linked to affordability provisions are generally low, as NRAs and</w:t>
      </w:r>
      <w:r>
        <w:t xml:space="preserve"> </w:t>
      </w:r>
      <w:r>
        <w:t xml:space="preserve">ministries are not extensively engaged in designing or monitoring such schemes. The limited</w:t>
      </w:r>
      <w:r>
        <w:t xml:space="preserve"> </w:t>
      </w:r>
      <w:r>
        <w:t xml:space="preserve">implementation also means that the benefits in terms of promoting internet take-up among</w:t>
      </w:r>
    </w:p>
    <w:p>
      <w:pPr>
        <w:pStyle w:val="BodyText"/>
      </w:pPr>
      <w:r>
        <w:t xml:space="preserve">282 Universal service supporting study</w:t>
      </w:r>
      <w:r>
        <w:t xml:space="preserve"> </w:t>
      </w:r>
      <w:r>
        <w:t xml:space="preserve">283 Universal service supporting study..</w:t>
      </w:r>
      <w:r>
        <w:t xml:space="preserve"> </w:t>
      </w:r>
      <w:r>
        <w:t xml:space="preserve">284 Universal service supporting study</w:t>
      </w:r>
      <w:r>
        <w:t xml:space="preserve"> </w:t>
      </w:r>
      <w:r>
        <w:t xml:space="preserve">285 Universal service supporting study</w:t>
      </w:r>
    </w:p>
    <w:p>
      <w:pPr>
        <w:pStyle w:val="BodyText"/>
      </w:pPr>
      <w:r>
        <w:t xml:space="preserve">100</w:t>
      </w:r>
    </w:p>
    <w:p>
      <w:pPr>
        <w:pStyle w:val="BodyText"/>
      </w:pPr>
      <w:r>
        <w:t xml:space="preserve">consumers with low income and special social needs are still minimal. The proportion of</w:t>
      </w:r>
      <w:r>
        <w:t xml:space="preserve"> </w:t>
      </w:r>
      <w:r>
        <w:t xml:space="preserve">beneficiaries remains very small in most countries—ranging from negligible levels to a</w:t>
      </w:r>
      <w:r>
        <w:t xml:space="preserve"> </w:t>
      </w:r>
      <w:r>
        <w:t xml:space="preserve">maximum of around 2.8% of the population.286 These figures do not allow for conclusions to</w:t>
      </w:r>
      <w:r>
        <w:t xml:space="preserve"> </w:t>
      </w:r>
      <w:r>
        <w:t xml:space="preserve">be reached about the efficiency of the affordability provisions, as costs could outweigh</w:t>
      </w:r>
      <w:r>
        <w:t xml:space="preserve"> </w:t>
      </w:r>
      <w:r>
        <w:t xml:space="preserve">benefits both in cases where there are objectively few concerns around affordability, as well</w:t>
      </w:r>
      <w:r>
        <w:t xml:space="preserve"> </w:t>
      </w:r>
      <w:r>
        <w:t xml:space="preserve">as in cases where consumers with genuine needs have not been reached. These figures do not</w:t>
      </w:r>
      <w:r>
        <w:t xml:space="preserve"> </w:t>
      </w:r>
      <w:r>
        <w:t xml:space="preserve">fully align with the broader population segments that report affordability as a barrier to</w:t>
      </w:r>
      <w:r>
        <w:t xml:space="preserve"> </w:t>
      </w:r>
      <w:r>
        <w:t xml:space="preserve">internet adoption,287 suggesting a possible mismatch between policy objectives and</w:t>
      </w:r>
      <w:r>
        <w:t xml:space="preserve"> </w:t>
      </w:r>
      <w:r>
        <w:t xml:space="preserve">implementation.</w:t>
      </w:r>
      <w:r>
        <w:t xml:space="preserve"> </w:t>
      </w:r>
      <w:r>
        <w:t xml:space="preserve">While most Member States have envisaged a specific financing regime to be applied, there</w:t>
      </w:r>
      <w:r>
        <w:t xml:space="preserve"> </w:t>
      </w:r>
      <w:r>
        <w:t xml:space="preserve">has been limited actual use of the financing mechanism. As mentioned above, according to</w:t>
      </w:r>
      <w:r>
        <w:t xml:space="preserve"> </w:t>
      </w:r>
      <w:r>
        <w:t xml:space="preserve">the universal service supporting study, since 2021 and until 2025, only two Member States</w:t>
      </w:r>
      <w:r>
        <w:t xml:space="preserve"> </w:t>
      </w:r>
      <w:r>
        <w:t xml:space="preserve">reported that they have paid compensation in practice. This does not provide sufficient</w:t>
      </w:r>
      <w:r>
        <w:t xml:space="preserve"> </w:t>
      </w:r>
      <w:r>
        <w:t xml:space="preserve">information to assess its efficiency. However, due to the design of the universal service</w:t>
      </w:r>
      <w:r>
        <w:t xml:space="preserve"> </w:t>
      </w:r>
      <w:r>
        <w:t xml:space="preserve">costing and financing system (and from previous experience), it is reasonable to expect that</w:t>
      </w:r>
      <w:r>
        <w:t xml:space="preserve"> </w:t>
      </w:r>
      <w:r>
        <w:t xml:space="preserve">there will be significant administrative costs if it becomes operational. The costs could be</w:t>
      </w:r>
      <w:r>
        <w:t xml:space="preserve"> </w:t>
      </w:r>
      <w:r>
        <w:t xml:space="preserve">outweighed by the benefits in terms of beneficiaries of the regime288.</w:t>
      </w:r>
      <w:r>
        <w:t xml:space="preserve"> </w:t>
      </w:r>
      <w:r>
        <w:t xml:space="preserve">7.3. Relevance</w:t>
      </w:r>
      <w:r>
        <w:t xml:space="preserve"> </w:t>
      </w:r>
      <w:r>
        <w:t xml:space="preserve">The ubiquitous availability of basic broadband access in Europe is calling into question the</w:t>
      </w:r>
      <w:r>
        <w:t xml:space="preserve"> </w:t>
      </w:r>
      <w:r>
        <w:t xml:space="preserve">relevance of the availability component of the universal service regime. The data shows that</w:t>
      </w:r>
      <w:r>
        <w:t xml:space="preserve"> </w:t>
      </w:r>
      <w:r>
        <w:t xml:space="preserve">increasingly, at least at the level of safety net, technologies like mobile and satellite may</w:t>
      </w:r>
      <w:r>
        <w:t xml:space="preserve"> </w:t>
      </w:r>
      <w:r>
        <w:t xml:space="preserve">provide a widespread solution. While there may be limited gaps regarding mobile coverage,</w:t>
      </w:r>
      <w:r>
        <w:t xml:space="preserve"> </w:t>
      </w:r>
      <w:r>
        <w:t xml:space="preserve">satellite offers 100% coverage in most of the Member States. Over a longer time horizon,</w:t>
      </w:r>
      <w:r>
        <w:t xml:space="preserve"> </w:t>
      </w:r>
      <w:r>
        <w:t xml:space="preserve">measures taken by Member States under the Digital Decade Policy Programme289 to achieve</w:t>
      </w:r>
      <w:r>
        <w:t xml:space="preserve"> </w:t>
      </w:r>
      <w:r>
        <w:t xml:space="preserve">availability of Gigabit fixed connectivity and 5G to all households may raise the level of</w:t>
      </w:r>
      <w:r>
        <w:t xml:space="preserve"> </w:t>
      </w:r>
      <w:r>
        <w:t xml:space="preserve">availability significantly above the quality thresholds that have currently been set for</w:t>
      </w:r>
      <w:r>
        <w:t xml:space="preserve"> </w:t>
      </w:r>
      <w:r>
        <w:t xml:space="preserve">universal service internet access. This raises a question about the relevance of the availability</w:t>
      </w:r>
      <w:r>
        <w:t xml:space="preserve"> </w:t>
      </w:r>
      <w:r>
        <w:t xml:space="preserve">rules in the universal service regime290.</w:t>
      </w:r>
      <w:r>
        <w:br/>
      </w:r>
      <w:r>
        <w:t xml:space="preserve">There is a low number of requests for availability under the EECC provisions. However, the</w:t>
      </w:r>
      <w:r>
        <w:t xml:space="preserve"> </w:t>
      </w:r>
      <w:r>
        <w:t xml:space="preserve">universal service regime principle as a safety net ensuring that all consumers are included in a</w:t>
      </w:r>
      <w:r>
        <w:t xml:space="preserve"> </w:t>
      </w:r>
      <w:r>
        <w:t xml:space="preserve">fully developed digital society continues to be relevant and related to the Digital Decade</w:t>
      </w:r>
      <w:r>
        <w:t xml:space="preserve"> </w:t>
      </w:r>
      <w:r>
        <w:t xml:space="preserve">targets. It should be noted that universal service may also appear less relevant where</w:t>
      </w:r>
      <w:r>
        <w:t xml:space="preserve"> </w:t>
      </w:r>
      <w:r>
        <w:t xml:space="preserve">affordability of essential services, including connectivity, is addressed through the social</w:t>
      </w:r>
      <w:r>
        <w:t xml:space="preserve"> </w:t>
      </w:r>
      <w:r>
        <w:t xml:space="preserve">welfare system and not within the sector specific universal service regime.</w:t>
      </w:r>
      <w:r>
        <w:br/>
      </w:r>
      <w:r>
        <w:t xml:space="preserve">The objective of ensuring that adequate internet access is affordable and that consumers with</w:t>
      </w:r>
      <w:r>
        <w:t xml:space="preserve"> </w:t>
      </w:r>
      <w:r>
        <w:t xml:space="preserve">a low income or special social needs can participate in the digital society remains relevant.</w:t>
      </w:r>
      <w:r>
        <w:t xml:space="preserve"> </w:t>
      </w:r>
      <w:r>
        <w:t xml:space="preserve">However, as noted by the supporting study, this objective can also be addressed through other</w:t>
      </w:r>
      <w:r>
        <w:t xml:space="preserve"> </w:t>
      </w:r>
      <w:r>
        <w:t xml:space="preserve">means.</w:t>
      </w:r>
    </w:p>
    <w:p>
      <w:pPr>
        <w:pStyle w:val="BodyText"/>
      </w:pPr>
      <w:r>
        <w:t xml:space="preserve">286 Universal service supporting study</w:t>
      </w:r>
      <w:r>
        <w:t xml:space="preserve"> </w:t>
      </w:r>
      <w:r>
        <w:t xml:space="preserve">287 Universal service supporting study</w:t>
      </w:r>
      <w:r>
        <w:t xml:space="preserve"> </w:t>
      </w:r>
      <w:r>
        <w:t xml:space="preserve">288 Universal service supporting study.</w:t>
      </w:r>
      <w:r>
        <w:t xml:space="preserve"> </w:t>
      </w:r>
      <w:r>
        <w:t xml:space="preserve">289 Decision (EU) 2022/2481 of the European Parliament and of the Council of 14 December 2022 establishing</w:t>
      </w:r>
      <w:r>
        <w:t xml:space="preserve"> </w:t>
      </w:r>
      <w:r>
        <w:t xml:space="preserve">the Digital Decade Policy Programme 2030.</w:t>
      </w:r>
      <w:r>
        <w:br/>
      </w:r>
      <w:r>
        <w:t xml:space="preserve">290 Universal service supporting study.</w:t>
      </w:r>
    </w:p>
    <w:p>
      <w:pPr>
        <w:pStyle w:val="BodyText"/>
      </w:pPr>
      <w:r>
        <w:t xml:space="preserve">101</w:t>
      </w:r>
    </w:p>
    <w:p>
      <w:pPr>
        <w:pStyle w:val="BodyText"/>
      </w:pPr>
      <w:r>
        <w:t xml:space="preserve">• First, affordability is often a competition issue and can be addressed through</w:t>
      </w:r>
      <w:r>
        <w:t xml:space="preserve"> </w:t>
      </w:r>
      <w:r>
        <w:t xml:space="preserve">market regulation. Prices for broadband in the EU are some of the lowest globally</w:t>
      </w:r>
      <w:r>
        <w:t xml:space="preserve"> </w:t>
      </w:r>
      <w:r>
        <w:t xml:space="preserve">due to consistently high levels of retail competition over the last decade.</w:t>
      </w:r>
      <w:r>
        <w:t xml:space="preserve"> </w:t>
      </w:r>
      <w:r>
        <w:t xml:space="preserve">Operators report that the electronic communications sector has consequently</w:t>
      </w:r>
      <w:r>
        <w:t xml:space="preserve"> </w:t>
      </w:r>
      <w:r>
        <w:t xml:space="preserve">become an outlier in terms of overall inflation in the last three years, showing a</w:t>
      </w:r>
      <w:r>
        <w:t xml:space="preserve"> </w:t>
      </w:r>
      <w:r>
        <w:t xml:space="preserve">price deflationary trend in contrast to other sectors.291</w:t>
      </w:r>
      <w:r>
        <w:br/>
      </w:r>
      <w:r>
        <w:t xml:space="preserve">• Second, affordability for consumers with low incomes or special social needs is</w:t>
      </w:r>
      <w:r>
        <w:t xml:space="preserve"> </w:t>
      </w:r>
      <w:r>
        <w:t xml:space="preserve">part of the social legislation and the social welfare system. For this reason, not all</w:t>
      </w:r>
      <w:r>
        <w:t xml:space="preserve"> </w:t>
      </w:r>
      <w:r>
        <w:t xml:space="preserve">Member States apply sector specific universal service measures for these</w:t>
      </w:r>
      <w:r>
        <w:t xml:space="preserve"> </w:t>
      </w:r>
      <w:r>
        <w:t xml:space="preserve">consumers. Nevertheless, in the event that these other measures are not sufficient</w:t>
      </w:r>
      <w:r>
        <w:t xml:space="preserve"> </w:t>
      </w:r>
      <w:r>
        <w:t xml:space="preserve">to meet specific needs (in particular for those with low income, special social</w:t>
      </w:r>
      <w:r>
        <w:t xml:space="preserve"> </w:t>
      </w:r>
      <w:r>
        <w:t xml:space="preserve">needs and consumers with disabilities), given the importance of digital inclusion</w:t>
      </w:r>
      <w:r>
        <w:t xml:space="preserve"> </w:t>
      </w:r>
      <w:r>
        <w:t xml:space="preserve">to society, affordability provisions in the context of an updated EECC could be</w:t>
      </w:r>
      <w:r>
        <w:t xml:space="preserve"> </w:t>
      </w:r>
      <w:r>
        <w:t xml:space="preserve">relevant going forwards292.</w:t>
      </w:r>
      <w:r>
        <w:t xml:space="preserve"> </w:t>
      </w:r>
      <w:r>
        <w:t xml:space="preserve">The share of people in the EU that could not afford to have an internet connection has</w:t>
      </w:r>
      <w:r>
        <w:t xml:space="preserve"> </w:t>
      </w:r>
      <w:r>
        <w:t xml:space="preserve">significantly declined over the last decade and was around 2.1% in 2024293. Data also shows</w:t>
      </w:r>
      <w:r>
        <w:t xml:space="preserve"> </w:t>
      </w:r>
      <w:r>
        <w:t xml:space="preserve">that affordability for consumers with low income or special social needs remain a relevant</w:t>
      </w:r>
      <w:r>
        <w:t xml:space="preserve"> </w:t>
      </w:r>
      <w:r>
        <w:t xml:space="preserve">problem in several Member States, especially in rural areas where only expensive</w:t>
      </w:r>
      <w:r>
        <w:t xml:space="preserve"> </w:t>
      </w:r>
      <w:r>
        <w:t xml:space="preserve">technologies (e.g. satellite) may be available. The share of people in the EU that could not</w:t>
      </w:r>
      <w:r>
        <w:t xml:space="preserve"> </w:t>
      </w:r>
      <w:r>
        <w:t xml:space="preserve">afford to have an internet connection is higher among people who are at risk of poverty (2024</w:t>
      </w:r>
      <w:r>
        <w:t xml:space="preserve"> </w:t>
      </w:r>
      <w:r>
        <w:t xml:space="preserve">Commission report on access to essential services294). It is also relevant to note that</w:t>
      </w:r>
      <w:r>
        <w:t xml:space="preserve"> </w:t>
      </w:r>
      <w:r>
        <w:t xml:space="preserve">affordability (costs) is not necessarily the main reason why consumers without internet do not</w:t>
      </w:r>
      <w:r>
        <w:t xml:space="preserve"> </w:t>
      </w:r>
      <w:r>
        <w:t xml:space="preserve">subscribe. Recent data is not available, but based on data from 2019, most common reasons</w:t>
      </w:r>
      <w:r>
        <w:t xml:space="preserve"> </w:t>
      </w:r>
      <w:r>
        <w:t xml:space="preserve">were “not needed” and lack of skills, while the cost was the third most common reason why</w:t>
      </w:r>
      <w:r>
        <w:t xml:space="preserve"> </w:t>
      </w:r>
      <w:r>
        <w:t xml:space="preserve">consumers without internet did not subscribe295.</w:t>
      </w:r>
      <w:r>
        <w:br/>
      </w:r>
      <w:r>
        <w:t xml:space="preserve">The relatively small relevance of the universal service availability possibility can also be</w:t>
      </w:r>
      <w:r>
        <w:t xml:space="preserve"> </w:t>
      </w:r>
      <w:r>
        <w:t xml:space="preserve">assessed in relation to the EU broadband state aid spending outside the universal service</w:t>
      </w:r>
      <w:r>
        <w:t xml:space="preserve"> </w:t>
      </w:r>
      <w:r>
        <w:t xml:space="preserve">regime. Many Member States which do have a rural coverage gap have allocated state aid for</w:t>
      </w:r>
      <w:r>
        <w:t xml:space="preserve"> </w:t>
      </w:r>
      <w:r>
        <w:t xml:space="preserve">the deployment of Gigabit-capable broadband. According to European Commission data,</w:t>
      </w:r>
      <w:r>
        <w:t xml:space="preserve"> </w:t>
      </w:r>
      <w:r>
        <w:t xml:space="preserve">Member States spent €5.26bn on broadband state aid in 2023, representing a 69% increase</w:t>
      </w:r>
      <w:r>
        <w:t xml:space="preserve"> </w:t>
      </w:r>
      <w:r>
        <w:t xml:space="preserve">compared to 2022296.</w:t>
      </w:r>
    </w:p>
    <w:p>
      <w:pPr>
        <w:pStyle w:val="BodyText"/>
      </w:pPr>
      <w:r>
        <w:t xml:space="preserve">291 Universal service supporting study.</w:t>
      </w:r>
      <w:r>
        <w:t xml:space="preserve"> </w:t>
      </w:r>
      <w:r>
        <w:t xml:space="preserve">292 Universal service supporting study.</w:t>
      </w:r>
      <w:r>
        <w:t xml:space="preserve"> </w:t>
      </w:r>
      <w:r>
        <w:t xml:space="preserve">293 Eurostat - ilc_mddu07a.</w:t>
      </w:r>
      <w:r>
        <w:t xml:space="preserve"> </w:t>
      </w:r>
      <w:r>
        <w:t xml:space="preserve">294 https://op.europa.eu/en/publication-detail/-/publication/404ea31d-c715-11ee-95d9-01aa75ed71a1/language-</w:t>
      </w:r>
      <w:r>
        <w:t xml:space="preserve"> </w:t>
      </w:r>
      <w:r>
        <w:t xml:space="preserve">en. On risk of poverty, see Eurostat In which EU regions are people at risk of poverty? - News articles -</w:t>
      </w:r>
      <w:r>
        <w:t xml:space="preserve"> </w:t>
      </w:r>
      <w:r>
        <w:t xml:space="preserve">Eurostat</w:t>
      </w:r>
      <w:r>
        <w:t xml:space="preserve"> </w:t>
      </w:r>
      <w:r>
        <w:t xml:space="preserve">295 Source: Eurostat, Households - reasons for not having internet access at home (2005-2019),</w:t>
      </w:r>
      <w:r>
        <w:t xml:space="preserve"> </w:t>
      </w:r>
      <w:r>
        <w:t xml:space="preserve">https://ec.europa.eu/eurostat/databrowser/view/isoc_pibi_rni__custom_16270621/default/table?lang=en (last</w:t>
      </w:r>
      <w:r>
        <w:t xml:space="preserve"> </w:t>
      </w:r>
      <w:r>
        <w:t xml:space="preserve">call: 15.04.2025).</w:t>
      </w:r>
      <w:r>
        <w:t xml:space="preserve"> </w:t>
      </w:r>
      <w:r>
        <w:t xml:space="preserve">296 European Commission. State aid Scoreboard 2024.</w:t>
      </w:r>
      <w:r>
        <w:t xml:space="preserve"> </w:t>
      </w:r>
      <w:r>
        <w:t xml:space="preserve">https://competition-policy.ec.europa.eu/document/download/68225c70-5570-4e10-b983-</w:t>
      </w:r>
      <w:r>
        <w:t xml:space="preserve"> </w:t>
      </w:r>
      <w:r>
        <w:t xml:space="preserve">53efde939d7f_en?filename=state_aid_scoreboard_note_2024.pdf.</w:t>
      </w:r>
    </w:p>
    <w:p>
      <w:pPr>
        <w:pStyle w:val="BodyText"/>
      </w:pPr>
      <w:r>
        <w:t xml:space="preserve">102</w:t>
      </w:r>
    </w:p>
    <w:p>
      <w:pPr>
        <w:pStyle w:val="BodyText"/>
      </w:pPr>
      <w:r>
        <w:t xml:space="preserve">7.4. Coherence</w:t>
      </w:r>
      <w:r>
        <w:t xml:space="preserve"> </w:t>
      </w:r>
      <w:r>
        <w:t xml:space="preserve">The services provided in Member States under the universal service regime constitute a</w:t>
      </w:r>
      <w:r>
        <w:t xml:space="preserve"> </w:t>
      </w:r>
      <w:r>
        <w:t xml:space="preserve">Service of General Economic Interest (SGEI) within the meaning of Article 106(2) TFEU.</w:t>
      </w:r>
      <w:r>
        <w:t xml:space="preserve"> </w:t>
      </w:r>
      <w:r>
        <w:t xml:space="preserve">Compensation may fall outside Article 107(1) TFEU if the Altmark criteria are fulfilled;</w:t>
      </w:r>
      <w:r>
        <w:t xml:space="preserve"> </w:t>
      </w:r>
      <w:r>
        <w:t xml:space="preserve">otherwise, it constitutes State aid but can be declared compatible for example under the SGEI</w:t>
      </w:r>
      <w:r>
        <w:t xml:space="preserve"> </w:t>
      </w:r>
      <w:r>
        <w:t xml:space="preserve">Decision or the SGEI Framework. This ensures full coherence between the universal service</w:t>
      </w:r>
      <w:r>
        <w:t xml:space="preserve"> </w:t>
      </w:r>
      <w:r>
        <w:t xml:space="preserve">regime and the State aid framework.</w:t>
      </w:r>
      <w:r>
        <w:t xml:space="preserve"> </w:t>
      </w:r>
      <w:r>
        <w:t xml:space="preserve">Universal service is designed to encompass limited basic services. NRAs, when addressing</w:t>
      </w:r>
      <w:r>
        <w:t xml:space="preserve"> </w:t>
      </w:r>
      <w:r>
        <w:t xml:space="preserve">availability of adequate broadband internet access services, take into account, inter alia,</w:t>
      </w:r>
      <w:r>
        <w:t xml:space="preserve"> </w:t>
      </w:r>
      <w:r>
        <w:t xml:space="preserve">ongoing and planned commercial roll-outs, as well as pending roll-outs based on State aid</w:t>
      </w:r>
      <w:r>
        <w:t xml:space="preserve"> </w:t>
      </w:r>
      <w:r>
        <w:t xml:space="preserve">measures or EU funding. Therefore, there should be no incoherence between State aid rules</w:t>
      </w:r>
      <w:r>
        <w:t xml:space="preserve"> </w:t>
      </w:r>
      <w:r>
        <w:t xml:space="preserve">and universal service provisions, which do not target the same level of quality of service and</w:t>
      </w:r>
      <w:r>
        <w:t xml:space="preserve"> </w:t>
      </w:r>
      <w:r>
        <w:t xml:space="preserve">complement other EU policies on investments in network roll-out. Most stakeholders agree</w:t>
      </w:r>
      <w:r>
        <w:t xml:space="preserve"> </w:t>
      </w:r>
      <w:r>
        <w:t xml:space="preserve">that universal service is not an instrument for network roll-out of the “highest” quality in the</w:t>
      </w:r>
      <w:r>
        <w:t xml:space="preserve"> </w:t>
      </w:r>
      <w:r>
        <w:t xml:space="preserve">market.297 It is also important to distinguish clearly between the universal service regime,</w:t>
      </w:r>
      <w:r>
        <w:t xml:space="preserve"> </w:t>
      </w:r>
      <w:r>
        <w:t xml:space="preserve">under which Member States define a limited SGEI aimed at guaranteeing essential</w:t>
      </w:r>
      <w:r>
        <w:t xml:space="preserve"> </w:t>
      </w:r>
      <w:r>
        <w:t xml:space="preserve">connectivity, and broadband State aid measures, which support the deployment of very high-</w:t>
      </w:r>
      <w:r>
        <w:t xml:space="preserve"> </w:t>
      </w:r>
      <w:r>
        <w:t xml:space="preserve">capacity networks. These mechanisms serve different policy objectives and therefore do not</w:t>
      </w:r>
      <w:r>
        <w:t xml:space="preserve"> </w:t>
      </w:r>
      <w:r>
        <w:t xml:space="preserve">lead to overlaps or inconsistencies under the State aid framework.</w:t>
      </w:r>
      <w:r>
        <w:t xml:space="preserve"> </w:t>
      </w:r>
      <w:r>
        <w:t xml:space="preserve">Affordability can also be covered by the social welfare system of the Member States. Several</w:t>
      </w:r>
      <w:r>
        <w:t xml:space="preserve"> </w:t>
      </w:r>
      <w:r>
        <w:t xml:space="preserve">Member States report that affordability measures for consumers with low income and special</w:t>
      </w:r>
      <w:r>
        <w:t xml:space="preserve"> </w:t>
      </w:r>
      <w:r>
        <w:t xml:space="preserve">social needs are covered by their social welfare system. In such cases, the flexibility of the</w:t>
      </w:r>
      <w:r>
        <w:t xml:space="preserve"> </w:t>
      </w:r>
      <w:r>
        <w:t xml:space="preserve">EECC and its consideration of national circumstances ensures the coherence with national</w:t>
      </w:r>
      <w:r>
        <w:t xml:space="preserve"> </w:t>
      </w:r>
      <w:r>
        <w:t xml:space="preserve">social welfare systems298 but do not provide for harmonised measures.</w:t>
      </w:r>
      <w:r>
        <w:t xml:space="preserve"> </w:t>
      </w:r>
      <w:r>
        <w:t xml:space="preserve">Social vouchers can also support broadband access for some specific categories of consumers</w:t>
      </w:r>
      <w:r>
        <w:t xml:space="preserve"> </w:t>
      </w:r>
      <w:r>
        <w:t xml:space="preserve">and can be designed in line with State aid provisions as one alternative tool open to Member</w:t>
      </w:r>
      <w:r>
        <w:t xml:space="preserve"> </w:t>
      </w:r>
      <w:r>
        <w:t xml:space="preserve">States to ensure that users have access to affordable broadband.</w:t>
      </w:r>
      <w:r>
        <w:br/>
      </w:r>
      <w:r>
        <w:t xml:space="preserve">The European Accessibility Act (EAA)299 refers to and complements the EECC by setting</w:t>
      </w:r>
      <w:r>
        <w:t xml:space="preserve"> </w:t>
      </w:r>
      <w:r>
        <w:t xml:space="preserve">forth additional accessibility requirements related to electronic communications services.</w:t>
      </w:r>
      <w:r>
        <w:t xml:space="preserve"> </w:t>
      </w:r>
      <w:r>
        <w:t xml:space="preserve">EECC universal service rules set a requirement on support to consumers with disabilities. The</w:t>
      </w:r>
      <w:r>
        <w:t xml:space="preserve"> </w:t>
      </w:r>
      <w:r>
        <w:t xml:space="preserve">scope of the EAA is complementary to the universal service provisions and it lays down</w:t>
      </w:r>
      <w:r>
        <w:t xml:space="preserve"> </w:t>
      </w:r>
      <w:r>
        <w:t xml:space="preserve">concrete accessibility obligations as regards electronic communication services, imposing for</w:t>
      </w:r>
      <w:r>
        <w:t xml:space="preserve"> </w:t>
      </w:r>
      <w:r>
        <w:t xml:space="preserve">instance that real time text is provided by electronic communication services in addition to</w:t>
      </w:r>
      <w:r>
        <w:t xml:space="preserve"> </w:t>
      </w:r>
      <w:r>
        <w:t xml:space="preserve">voice communication and requesting the provision of total conversation in the cases where</w:t>
      </w:r>
      <w:r>
        <w:t xml:space="preserve"> </w:t>
      </w:r>
      <w:r>
        <w:t xml:space="preserve">video is provided in addition to voice communication300. Moreover, the EAA sets forth</w:t>
      </w:r>
      <w:r>
        <w:t xml:space="preserve"> </w:t>
      </w:r>
      <w:r>
        <w:t xml:space="preserve">mandatory accessibility requirements as regards access to emergency communications</w:t>
      </w:r>
      <w:r>
        <w:t xml:space="preserve"> </w:t>
      </w:r>
      <w:r>
        <w:t xml:space="preserve">delivered by providers of electronic communication services, complementing the accessibility</w:t>
      </w:r>
      <w:r>
        <w:t xml:space="preserve"> </w:t>
      </w:r>
      <w:r>
        <w:t xml:space="preserve">obligations laid down in Article 109 of the the ECC. The EAA also ensures that, when</w:t>
      </w:r>
      <w:r>
        <w:t xml:space="preserve"> </w:t>
      </w:r>
      <w:r>
        <w:t xml:space="preserve">handling emergency communications to ‘112’, PSAP operators responding to those</w:t>
      </w:r>
      <w:r>
        <w:t xml:space="preserve"> </w:t>
      </w:r>
      <w:r>
        <w:t xml:space="preserve">communications issue accessible responses, that persons with disabilities can perceive and</w:t>
      </w:r>
    </w:p>
    <w:p>
      <w:pPr>
        <w:pStyle w:val="BodyText"/>
      </w:pPr>
      <w:r>
        <w:t xml:space="preserve">297 Universal service supporting study.</w:t>
      </w:r>
      <w:r>
        <w:t xml:space="preserve"> </w:t>
      </w:r>
      <w:r>
        <w:t xml:space="preserve">298 Universal service supporting study.</w:t>
      </w:r>
      <w:r>
        <w:t xml:space="preserve"> </w:t>
      </w:r>
      <w:r>
        <w:t xml:space="preserve">299 Directive (EU) 2019/882 of the European Parliament and of the Council of 17 April 2019 on the</w:t>
      </w:r>
      <w:r>
        <w:t xml:space="preserve"> </w:t>
      </w:r>
      <w:r>
        <w:t xml:space="preserve">accessibility requirements for products and services.</w:t>
      </w:r>
      <w:r>
        <w:t xml:space="preserve"> </w:t>
      </w:r>
      <w:r>
        <w:t xml:space="preserve">300 Universal service supporting study</w:t>
      </w:r>
    </w:p>
    <w:p>
      <w:pPr>
        <w:pStyle w:val="BodyText"/>
      </w:pPr>
      <w:r>
        <w:t xml:space="preserve">103</w:t>
      </w:r>
    </w:p>
    <w:p>
      <w:pPr>
        <w:pStyle w:val="BodyText"/>
      </w:pPr>
      <w:r>
        <w:t xml:space="preserve">understand. The scope of the two acts is slightly different since the obligations of the EAA</w:t>
      </w:r>
      <w:r>
        <w:t xml:space="preserve"> </w:t>
      </w:r>
      <w:r>
        <w:t xml:space="preserve">relate to electronic communication services with the exception of transmission services used</w:t>
      </w:r>
      <w:r>
        <w:t xml:space="preserve"> </w:t>
      </w:r>
      <w:r>
        <w:t xml:space="preserve">for the provision of machine-to-machine services, whereas the EECC universal service regime</w:t>
      </w:r>
      <w:r>
        <w:t xml:space="preserve"> </w:t>
      </w:r>
      <w:r>
        <w:t xml:space="preserve">relates to the provision of adequate broadband internet access and voice communication</w:t>
      </w:r>
      <w:r>
        <w:t xml:space="preserve"> </w:t>
      </w:r>
      <w:r>
        <w:t xml:space="preserve">services.</w:t>
      </w:r>
      <w:r>
        <w:br/>
      </w:r>
      <w:r>
        <w:t xml:space="preserve">The universal service supporting study assesses that the public funding mechanism for</w:t>
      </w:r>
      <w:r>
        <w:t xml:space="preserve"> </w:t>
      </w:r>
      <w:r>
        <w:t xml:space="preserve">universal service is coherent but concludes that the industry funding mechanism may create</w:t>
      </w:r>
      <w:r>
        <w:t xml:space="preserve"> </w:t>
      </w:r>
      <w:r>
        <w:t xml:space="preserve">artificial preference over other mechanisms funded via public funds and may be incoherent</w:t>
      </w:r>
      <w:r>
        <w:t xml:space="preserve"> </w:t>
      </w:r>
      <w:r>
        <w:t xml:space="preserve">with the wider objectives of the EECC. According to the universal service supporting study,</w:t>
      </w:r>
      <w:r>
        <w:t xml:space="preserve"> </w:t>
      </w:r>
      <w:r>
        <w:t xml:space="preserve">the funding for universal service policy should come from state resources rather than an</w:t>
      </w:r>
      <w:r>
        <w:t xml:space="preserve"> </w:t>
      </w:r>
      <w:r>
        <w:t xml:space="preserve">industry fund, as the primary goal is to address market failures and social inequalities.</w:t>
      </w:r>
      <w:r>
        <w:t xml:space="preserve"> </w:t>
      </w:r>
      <w:r>
        <w:t xml:space="preserve">7.5. EU added value</w:t>
      </w:r>
      <w:r>
        <w:t xml:space="preserve"> </w:t>
      </w:r>
      <w:r>
        <w:t xml:space="preserve">The universal service regime is designed in a flexible way to allow Member States to</w:t>
      </w:r>
      <w:r>
        <w:t xml:space="preserve"> </w:t>
      </w:r>
      <w:r>
        <w:t xml:space="preserve">implement it taking national circumstances into account due to the significant differences</w:t>
      </w:r>
      <w:r>
        <w:t xml:space="preserve"> </w:t>
      </w:r>
      <w:r>
        <w:t xml:space="preserve">between the countries. The EU added value refers to the benefits provided by EU legislation.</w:t>
      </w:r>
      <w:r>
        <w:t xml:space="preserve"> </w:t>
      </w:r>
      <w:r>
        <w:t xml:space="preserve">However, the national flexibility and divergence of the implementation of the rules limits the</w:t>
      </w:r>
      <w:r>
        <w:t xml:space="preserve"> </w:t>
      </w:r>
      <w:r>
        <w:t xml:space="preserve">EU added value in terms of economies of scale and efficient administrative procedures301.</w:t>
      </w:r>
      <w:r>
        <w:br/>
      </w:r>
      <w:r>
        <w:t xml:space="preserve">That said, the USO regime has provided an important basis for the harmonisation of</w:t>
      </w:r>
      <w:r>
        <w:t xml:space="preserve"> </w:t>
      </w:r>
      <w:r>
        <w:t xml:space="preserve">approaches that may otherwise have diverged to a significant degree. Before the entry into</w:t>
      </w:r>
      <w:r>
        <w:t xml:space="preserve"> </w:t>
      </w:r>
      <w:r>
        <w:t xml:space="preserve">force of the EECC provisions on universal service broadband, nine Member States had</w:t>
      </w:r>
      <w:r>
        <w:t xml:space="preserve"> </w:t>
      </w:r>
      <w:r>
        <w:t xml:space="preserve">already introduced a broadband universal service, with some degree of variability in the</w:t>
      </w:r>
      <w:r>
        <w:t xml:space="preserve"> </w:t>
      </w:r>
      <w:r>
        <w:t xml:space="preserve">definition across those countries.302 EECC rules provide limitations on the definition of</w:t>
      </w:r>
      <w:r>
        <w:t xml:space="preserve"> </w:t>
      </w:r>
      <w:r>
        <w:t xml:space="preserve">adequate broadband as well as the minimum set of services set out in Annex V that provide a</w:t>
      </w:r>
      <w:r>
        <w:t xml:space="preserve"> </w:t>
      </w:r>
      <w:r>
        <w:t xml:space="preserve">coordinated approach for the minimum bandwidth303. The EECC provides legal certainty and</w:t>
      </w:r>
      <w:r>
        <w:t xml:space="preserve"> </w:t>
      </w:r>
      <w:r>
        <w:t xml:space="preserve">guidance on the costing (in EECC Annex VII) and financing of universal service.</w:t>
      </w:r>
      <w:r>
        <w:br/>
      </w:r>
      <w:r>
        <w:t xml:space="preserve">While giving certain legal certainty, the availability provisions seem to have limited EU-</w:t>
      </w:r>
      <w:r>
        <w:t xml:space="preserve"> </w:t>
      </w:r>
      <w:r>
        <w:t xml:space="preserve">added value since, for several reasons, notably because of commercial and publicly funded</w:t>
      </w:r>
      <w:r>
        <w:t xml:space="preserve"> </w:t>
      </w:r>
      <w:r>
        <w:t xml:space="preserve">roll-out, the availability of adequate broadband (at universal service speeds) is widely ensured</w:t>
      </w:r>
      <w:r>
        <w:t xml:space="preserve"> </w:t>
      </w:r>
      <w:r>
        <w:t xml:space="preserve">throughout the EU.304</w:t>
      </w:r>
      <w:r>
        <w:t xml:space="preserve"> </w:t>
      </w:r>
      <w:r>
        <w:t xml:space="preserve">8. End-user rights</w:t>
      </w:r>
      <w:r>
        <w:t xml:space="preserve"> </w:t>
      </w:r>
      <w:r>
        <w:t xml:space="preserve">In general terms, Europeans enjoy a high-level of end-user experience and protection in the</w:t>
      </w:r>
      <w:r>
        <w:t xml:space="preserve"> </w:t>
      </w:r>
      <w:r>
        <w:t xml:space="preserve">electronic communications sector for choice, price and quality of services. The European</w:t>
      </w:r>
      <w:r>
        <w:t xml:space="preserve"> </w:t>
      </w:r>
      <w:r>
        <w:t xml:space="preserve">electronic communications legislative framework (EECC) and the EU’s competition policy</w:t>
      </w:r>
      <w:r>
        <w:t xml:space="preserve"> </w:t>
      </w:r>
      <w:r>
        <w:t xml:space="preserve">ensure consumer choice and competitive markets. In 2024, over 94 per cent of EU households</w:t>
      </w:r>
      <w:r>
        <w:t xml:space="preserve"> </w:t>
      </w:r>
      <w:r>
        <w:t xml:space="preserve">had an internet access305, up from 80 per cent in 2014. Nine in ten Europeans are also satisfied</w:t>
      </w:r>
      <w:r>
        <w:t xml:space="preserve"> </w:t>
      </w:r>
      <w:r>
        <w:t xml:space="preserve">with the upload and download speed of their internet connection at home306. In global</w:t>
      </w:r>
    </w:p>
    <w:p>
      <w:pPr>
        <w:pStyle w:val="BodyText"/>
      </w:pPr>
      <w:r>
        <w:t xml:space="preserve">301 Universal service supporting study</w:t>
      </w:r>
      <w:r>
        <w:t xml:space="preserve"> </w:t>
      </w:r>
      <w:r>
        <w:t xml:space="preserve">302 BEREC Report on Member States’ best practices to) support the defining of adequate broadband internet</w:t>
      </w:r>
      <w:r>
        <w:t xml:space="preserve"> </w:t>
      </w:r>
      <w:r>
        <w:t xml:space="preserve">access service, 7 March, 2024, BoR (24) 40.</w:t>
      </w:r>
      <w:r>
        <w:t xml:space="preserve"> </w:t>
      </w:r>
      <w:r>
        <w:t xml:space="preserve">303 Universal service supporting study.</w:t>
      </w:r>
      <w:r>
        <w:t xml:space="preserve"> </w:t>
      </w:r>
      <w:r>
        <w:t xml:space="preserve">304 Universal service supporting study.</w:t>
      </w:r>
      <w:r>
        <w:t xml:space="preserve"> </w:t>
      </w:r>
      <w:r>
        <w:t xml:space="preserve">305 Eurostat https://ec.europa.eu/eurostat/databrowser/view/isoc_ci_in_h/default/table?lang=en.</w:t>
      </w:r>
      <w:r>
        <w:t xml:space="preserve"> </w:t>
      </w:r>
      <w:r>
        <w:t xml:space="preserve">306 Special Eurobarometer 560. E-Communications and Digital Single Market. 2026.</w:t>
      </w:r>
    </w:p>
    <w:p>
      <w:pPr>
        <w:pStyle w:val="BodyText"/>
      </w:pPr>
      <w:r>
        <w:t xml:space="preserve">104</w:t>
      </w:r>
    </w:p>
    <w:p>
      <w:pPr>
        <w:pStyle w:val="BodyText"/>
      </w:pPr>
      <w:r>
        <w:t xml:space="preserve">comparison, Europe stands out as the region with the most affordable broadband services307.</w:t>
      </w:r>
      <w:r>
        <w:t xml:space="preserve"> </w:t>
      </w:r>
      <w:r>
        <w:t xml:space="preserve">According to the Study on mobile and fixed broadband prices in Europe 2022308, in</w:t>
      </w:r>
      <w:r>
        <w:t xml:space="preserve"> </w:t>
      </w:r>
      <w:r>
        <w:t xml:space="preserve">comparison, the EU27 region tends to offer the most affordable prices, particularly for Single</w:t>
      </w:r>
      <w:r>
        <w:t xml:space="preserve"> </w:t>
      </w:r>
      <w:r>
        <w:t xml:space="preserve">Play offers below 999 Mbps. The EECC’s end-user rights ensure solid consumer protection</w:t>
      </w:r>
      <w:r>
        <w:t xml:space="preserve"> </w:t>
      </w:r>
      <w:r>
        <w:t xml:space="preserve">and empower consumers in aspects like changing providers, porting numbers or getting</w:t>
      </w:r>
      <w:r>
        <w:t xml:space="preserve"> </w:t>
      </w:r>
      <w:r>
        <w:t xml:space="preserve">information on the quality of services. Nearly half of Europeans who have changed a service</w:t>
      </w:r>
      <w:r>
        <w:t xml:space="preserve"> </w:t>
      </w:r>
      <w:r>
        <w:t xml:space="preserve">package provider have not experienced problems in doing so309. The European Consumer</w:t>
      </w:r>
      <w:r>
        <w:t xml:space="preserve"> </w:t>
      </w:r>
      <w:r>
        <w:t xml:space="preserve">Organisation BEUC notes in its feedback to the Commission’s Call for evidence on the</w:t>
      </w:r>
      <w:r>
        <w:t xml:space="preserve"> </w:t>
      </w:r>
      <w:r>
        <w:t xml:space="preserve">Digital Networks Act in 2025310 that the “EECCs end-user rights chapter provisions on</w:t>
      </w:r>
      <w:r>
        <w:t xml:space="preserve"> </w:t>
      </w:r>
      <w:r>
        <w:t xml:space="preserve">switching, contract summaries, affordability, transparency and quality-of-service have proven</w:t>
      </w:r>
      <w:r>
        <w:t xml:space="preserve"> </w:t>
      </w:r>
      <w:r>
        <w:t xml:space="preserve">essential for consumer empowerment and fair market functioning”.</w:t>
      </w:r>
      <w:r>
        <w:br/>
      </w:r>
      <w:r>
        <w:t xml:space="preserve">These findings are supported by the draft single market (DSM) supporting study311 that</w:t>
      </w:r>
      <w:r>
        <w:t xml:space="preserve"> </w:t>
      </w:r>
      <w:r>
        <w:t xml:space="preserve">concludes that, overall, the majority of governmental and some industry stakeholders stated</w:t>
      </w:r>
      <w:r>
        <w:t xml:space="preserve"> </w:t>
      </w:r>
      <w:r>
        <w:t xml:space="preserve">that the EECC did provide benefits to end-users. This indicates that the EECC reached its</w:t>
      </w:r>
      <w:r>
        <w:t xml:space="preserve"> </w:t>
      </w:r>
      <w:r>
        <w:t xml:space="preserve">objective of promoting consumer choice, thanks to the provisions facilitating early</w:t>
      </w:r>
      <w:r>
        <w:t xml:space="preserve"> </w:t>
      </w:r>
      <w:r>
        <w:t xml:space="preserve">termination of contracts, number portability and easy switching. This positive effect can also</w:t>
      </w:r>
      <w:r>
        <w:t xml:space="preserve"> </w:t>
      </w:r>
      <w:r>
        <w:t xml:space="preserve">be observed in the data312 according to which both fibre coverage as well as 5G availability</w:t>
      </w:r>
      <w:r>
        <w:t xml:space="preserve"> </w:t>
      </w:r>
      <w:r>
        <w:t xml:space="preserve">and subscriptions increased.</w:t>
      </w:r>
      <w:r>
        <w:t xml:space="preserve"> </w:t>
      </w:r>
      <w:r>
        <w:t xml:space="preserve">The sector-specific end-user rights provisions in Articles 98-116 of the EECC complement</w:t>
      </w:r>
      <w:r>
        <w:t xml:space="preserve"> </w:t>
      </w:r>
      <w:r>
        <w:t xml:space="preserve">general horizontal consumer protection rules, including the Directive 2011/83/EU on</w:t>
      </w:r>
      <w:r>
        <w:t xml:space="preserve"> </w:t>
      </w:r>
      <w:r>
        <w:t xml:space="preserve">consumer rights, since there are sector-specific issues in the market which justify additional</w:t>
      </w:r>
      <w:r>
        <w:t xml:space="preserve"> </w:t>
      </w:r>
      <w:r>
        <w:t xml:space="preserve">rules to protect end-users.</w:t>
      </w:r>
      <w:r>
        <w:br/>
      </w:r>
      <w:r>
        <w:t xml:space="preserve">Article 123 of the EECC on “Specific review procedure on end-user rights” requires that the</w:t>
      </w:r>
      <w:r>
        <w:t xml:space="preserve"> </w:t>
      </w:r>
      <w:r>
        <w:t xml:space="preserve">Commission, taking utmost account of the BEREC opinion, shall publish a report on the</w:t>
      </w:r>
      <w:r>
        <w:t xml:space="preserve"> </w:t>
      </w:r>
      <w:r>
        <w:t xml:space="preserve">application of end-user rights and shall submit a legislative proposal to amend where</w:t>
      </w:r>
      <w:r>
        <w:t xml:space="preserve"> </w:t>
      </w:r>
      <w:r>
        <w:t xml:space="preserve">necessary to ensure that the objectives set out in Article 3 of the EECC continue to be met.</w:t>
      </w:r>
      <w:r>
        <w:t xml:space="preserve"> </w:t>
      </w:r>
      <w:r>
        <w:t xml:space="preserve">The general objectives in Article 3 include promoting the interests of the citizens by enabling</w:t>
      </w:r>
      <w:r>
        <w:t xml:space="preserve"> </w:t>
      </w:r>
      <w:r>
        <w:t xml:space="preserve">maximum benefits in terms of choice, price and quality on the basis of effective competition</w:t>
      </w:r>
      <w:r>
        <w:t xml:space="preserve"> </w:t>
      </w:r>
      <w:r>
        <w:t xml:space="preserve">by ensuring high and common level of protection for end-users through the necessary sector-</w:t>
      </w:r>
      <w:r>
        <w:t xml:space="preserve"> </w:t>
      </w:r>
      <w:r>
        <w:t xml:space="preserve">specific rules.</w:t>
      </w:r>
      <w:r>
        <w:br/>
      </w:r>
      <w:r>
        <w:t xml:space="preserve">The BEREC Opinion on the market and technological developments and on their impact on</w:t>
      </w:r>
      <w:r>
        <w:t xml:space="preserve"> </w:t>
      </w:r>
      <w:r>
        <w:t xml:space="preserve">the application of rights of end-users in the EECC was adopted by BEREC in December</w:t>
      </w:r>
    </w:p>
    <w:p>
      <w:pPr>
        <w:pStyle w:val="BodyText"/>
      </w:pPr>
      <w:r>
        <w:t xml:space="preserve">307 ITU (2025): Measuring digital development State of digital development and trends in the Europe region:</w:t>
      </w:r>
      <w:r>
        <w:t xml:space="preserve"> </w:t>
      </w:r>
      <w:r>
        <w:t xml:space="preserve">Challenges and opportunities, February 2025, page 1.</w:t>
      </w:r>
      <w:r>
        <w:t xml:space="preserve"> </w:t>
      </w:r>
      <w:r>
        <w:t xml:space="preserve">308 https://digital-strategy.ec.europa.eu/en/library/mobile-and-fixed-broadband-prices-europe-2022; Study</w:t>
      </w:r>
      <w:r>
        <w:t xml:space="preserve"> </w:t>
      </w:r>
      <w:r>
        <w:t xml:space="preserve">provides data on 2022 retail prices of fixed and mobile broadband offers for consumers in the EU27, the UK,</w:t>
      </w:r>
      <w:r>
        <w:t xml:space="preserve"> </w:t>
      </w:r>
      <w:r>
        <w:t xml:space="preserve">Icelnad, Norway, Japan, South Korea and the United States.</w:t>
      </w:r>
      <w:r>
        <w:t xml:space="preserve"> </w:t>
      </w:r>
      <w:r>
        <w:t xml:space="preserve">309 Special Eurobarometer 560. E-Communications and Digital Single Market. 2026.</w:t>
      </w:r>
      <w:r>
        <w:t xml:space="preserve"> </w:t>
      </w:r>
      <w:r>
        <w:t xml:space="preserve">310 https://ec.europa.eu/info/law/better-regulation/have-your-say/initiatives/14709-Digital-Networks-</w:t>
      </w:r>
      <w:r>
        <w:t xml:space="preserve"> </w:t>
      </w:r>
      <w:r>
        <w:t xml:space="preserve">Act%20_en.</w:t>
      </w:r>
      <w:r>
        <w:t xml:space="preserve"> </w:t>
      </w:r>
      <w:r>
        <w:t xml:space="preserve">311 “DSM supporting study” refers to forthcoming supporting study “Study Completing the Digital Single</w:t>
      </w:r>
      <w:r>
        <w:t xml:space="preserve"> </w:t>
      </w:r>
      <w:r>
        <w:t xml:space="preserve">Market (DSM): Regulatory enablers for cross-border networks”.</w:t>
      </w:r>
      <w:r>
        <w:br/>
      </w:r>
      <w:r>
        <w:t xml:space="preserve">312 The DSM supporting study 2025 section 4.1.2.</w:t>
      </w:r>
    </w:p>
    <w:p>
      <w:pPr>
        <w:pStyle w:val="BodyText"/>
      </w:pPr>
      <w:r>
        <w:t xml:space="preserve">105</w:t>
      </w:r>
    </w:p>
    <w:p>
      <w:pPr>
        <w:pStyle w:val="Compact"/>
        <w:numPr>
          <w:ilvl w:val="0"/>
          <w:numId w:val="1004"/>
        </w:numPr>
      </w:pPr>
      <w:r>
        <w:t xml:space="preserve">The first BEREC opinion was adopted in 2021314. The 2024 opinion considers the</w:t>
      </w:r>
      <w:r>
        <w:t xml:space="preserve"> </w:t>
      </w:r>
      <w:r>
        <w:t xml:space="preserve">current end-user provisions to be ”future-proofed, ensuring that end-user rights are upheld</w:t>
      </w:r>
      <w:r>
        <w:t xml:space="preserve"> </w:t>
      </w:r>
      <w:r>
        <w:t xml:space="preserve">despite ongoing developments in the electronic communications sector. In most cases, the</w:t>
      </w:r>
      <w:r>
        <w:t xml:space="preserve"> </w:t>
      </w:r>
      <w:r>
        <w:t xml:space="preserve">framework’s robust structure allows it to adapt to new challenges and technological changes.</w:t>
      </w:r>
      <w:r>
        <w:t xml:space="preserve"> </w:t>
      </w:r>
      <w:r>
        <w:t xml:space="preserve">However, there are some areas where improvements could be made to enhance its efficiency</w:t>
      </w:r>
      <w:r>
        <w:t xml:space="preserve"> </w:t>
      </w:r>
      <w:r>
        <w:t xml:space="preserve">and end-user experience.”</w:t>
      </w:r>
      <w:r>
        <w:br/>
      </w:r>
      <w:r>
        <w:t xml:space="preserve">As of 21 December 2020, by virtue of the EECC definitions, the ePrivacy Directive315</w:t>
      </w:r>
      <w:r>
        <w:t xml:space="preserve"> </w:t>
      </w:r>
      <w:r>
        <w:t xml:space="preserve">applies to public electronic communications networks, all electronic communications</w:t>
      </w:r>
      <w:r>
        <w:t xml:space="preserve"> </w:t>
      </w:r>
      <w:r>
        <w:t xml:space="preserve">services, including number-independent interpersonal communications services. Given the</w:t>
      </w:r>
      <w:r>
        <w:t xml:space="preserve"> </w:t>
      </w:r>
      <w:r>
        <w:t xml:space="preserve">technological evolution and the new challenges in this regard, the relevance of the current</w:t>
      </w:r>
      <w:r>
        <w:t xml:space="preserve"> </w:t>
      </w:r>
      <w:r>
        <w:t xml:space="preserve">directive and to what extent it is fit for purpose is under consideration. Some telecom-</w:t>
      </w:r>
      <w:r>
        <w:t xml:space="preserve"> </w:t>
      </w:r>
      <w:r>
        <w:t xml:space="preserve">specific/number-related provisions such as the presentation and restriction of the calling and</w:t>
      </w:r>
      <w:r>
        <w:t xml:space="preserve"> </w:t>
      </w:r>
      <w:r>
        <w:t xml:space="preserve">connected line identification, and especially, for tracing malicious, nuisance or fraudulent</w:t>
      </w:r>
      <w:r>
        <w:t xml:space="preserve"> </w:t>
      </w:r>
      <w:r>
        <w:t xml:space="preserve">calls, remain relevant but need to be updated, and taking also into account the evolution of</w:t>
      </w:r>
      <w:r>
        <w:t xml:space="preserve"> </w:t>
      </w:r>
      <w:r>
        <w:t xml:space="preserve">networks and services (e.g., transition to all IP networks).</w:t>
      </w:r>
      <w:r>
        <w:t xml:space="preserve"> </w:t>
      </w:r>
      <w:r>
        <w:t xml:space="preserve">Article 4 of the Open Internet Regulation (EU) 2015/2120 (OIR) on transparency measures</w:t>
      </w:r>
      <w:r>
        <w:t xml:space="preserve"> </w:t>
      </w:r>
      <w:r>
        <w:t xml:space="preserve">for ensuring open internet access, contains provisions that are complementary to the end-users</w:t>
      </w:r>
      <w:r>
        <w:t xml:space="preserve"> </w:t>
      </w:r>
      <w:r>
        <w:t xml:space="preserve">rights in the EECC (Article 4 OIR establishes obligations for internet service access</w:t>
      </w:r>
      <w:r>
        <w:t xml:space="preserve"> </w:t>
      </w:r>
      <w:r>
        <w:t xml:space="preserve">providers, while the EECC end-users provisions contain obligations for electronic</w:t>
      </w:r>
      <w:r>
        <w:t xml:space="preserve"> </w:t>
      </w:r>
      <w:r>
        <w:t xml:space="preserve">communications service providers, except internet access service providers). As mentioned</w:t>
      </w:r>
      <w:r>
        <w:t xml:space="preserve"> </w:t>
      </w:r>
      <w:r>
        <w:t xml:space="preserve">above, the European Commission’ report on the implementation of the OIR of 2023316,</w:t>
      </w:r>
      <w:r>
        <w:t xml:space="preserve"> </w:t>
      </w:r>
      <w:r>
        <w:t xml:space="preserve">concluded that the provisions of the Regulation, including Article 4, are still fit for purpose. In</w:t>
      </w:r>
      <w:r>
        <w:t xml:space="preserve"> </w:t>
      </w:r>
      <w:r>
        <w:t xml:space="preserve">view of a possible simplification and streamlining of the electronic communications legal</w:t>
      </w:r>
      <w:r>
        <w:t xml:space="preserve"> </w:t>
      </w:r>
      <w:r>
        <w:t xml:space="preserve">framework, Article 4 OIR could be merged with the rest of end-user rights provisions of the</w:t>
      </w:r>
      <w:r>
        <w:t xml:space="preserve"> </w:t>
      </w:r>
      <w:r>
        <w:t xml:space="preserve">EECC, without substantial changes in the merit.</w:t>
      </w:r>
      <w:r>
        <w:t xml:space="preserve"> </w:t>
      </w:r>
      <w:r>
        <w:t xml:space="preserve">The Commission’s Call for evidence on the Digital Networks Act in 2025317 showed that</w:t>
      </w:r>
      <w:r>
        <w:t xml:space="preserve"> </w:t>
      </w:r>
      <w:r>
        <w:t xml:space="preserve">Member States, NRAs and consumer organisations support maintaining high-level of</w:t>
      </w:r>
      <w:r>
        <w:t xml:space="preserve"> </w:t>
      </w:r>
      <w:r>
        <w:t xml:space="preserve">protection of consumers in the sector, while simplifying the rules where possible. Most</w:t>
      </w:r>
      <w:r>
        <w:t xml:space="preserve"> </w:t>
      </w:r>
      <w:r>
        <w:t xml:space="preserve">operators and service providers called for simplification and removal of sector specific rules,</w:t>
      </w:r>
      <w:r>
        <w:t xml:space="preserve"> </w:t>
      </w:r>
      <w:r>
        <w:t xml:space="preserve">where justified, in view of existing horizontal consumer law and for removal of protection in</w:t>
      </w:r>
      <w:r>
        <w:t xml:space="preserve"> </w:t>
      </w:r>
      <w:r>
        <w:t xml:space="preserve">business-to-business transactions. However, many stakeholders, including several companies,</w:t>
      </w:r>
      <w:r>
        <w:t xml:space="preserve"> </w:t>
      </w:r>
      <w:r>
        <w:t xml:space="preserve">agree on the necessity for sector-specific rules especially mentioning number portability and</w:t>
      </w:r>
      <w:r>
        <w:t xml:space="preserve"> </w:t>
      </w:r>
      <w:r>
        <w:t xml:space="preserve">switching.</w:t>
      </w:r>
    </w:p>
    <w:p>
      <w:pPr>
        <w:pStyle w:val="FirstParagraph"/>
      </w:pPr>
      <w:r>
        <w:t xml:space="preserve">313 https://www.berec.europa.eu/en/all-documents/berec/opinions/berec-opinion-on-the-market-and-</w:t>
      </w:r>
      <w:r>
        <w:t xml:space="preserve"> </w:t>
      </w:r>
      <w:r>
        <w:t xml:space="preserve">technological-developments-and-on-their-impact-on-the-application-of-rights-of-end-users-in-the-eecc-</w:t>
      </w:r>
      <w:r>
        <w:t xml:space="preserve"> </w:t>
      </w:r>
      <w:r>
        <w:t xml:space="preserve">article-123.</w:t>
      </w:r>
      <w:r>
        <w:t xml:space="preserve"> </w:t>
      </w:r>
      <w:r>
        <w:t xml:space="preserve">314 BoR(21)177</w:t>
      </w:r>
      <w:r>
        <w:t xml:space="preserve"> </w:t>
      </w:r>
      <w:r>
        <w:t xml:space="preserve">https://www.berec.europa.eu/sites/default/files/files/document_register_store/2021/12/BoR_%2821%29_177</w:t>
      </w:r>
      <w:r>
        <w:t xml:space="preserve"> </w:t>
      </w:r>
      <w:r>
        <w:rPr>
          <w:i/>
          <w:iCs/>
        </w:rPr>
        <w:t xml:space="preserve">BEREC_Opinion</w:t>
      </w:r>
      <w:r>
        <w:t xml:space="preserve">-_Art._123_EECC.pdf.</w:t>
      </w:r>
      <w:r>
        <w:br/>
      </w:r>
      <w:r>
        <w:t xml:space="preserve">315 Directive - 2002/58 - EN - eprivacy directive - EUR-Lex.</w:t>
      </w:r>
      <w:r>
        <w:t xml:space="preserve"> </w:t>
      </w:r>
      <w:r>
        <w:t xml:space="preserve">316 https://digital-strategy.ec.europa.eu/en/library/second-report-implementation-regulation-open-internet-</w:t>
      </w:r>
      <w:r>
        <w:t xml:space="preserve"> </w:t>
      </w:r>
      <w:r>
        <w:t xml:space="preserve">access.</w:t>
      </w:r>
      <w:r>
        <w:t xml:space="preserve"> </w:t>
      </w:r>
      <w:r>
        <w:t xml:space="preserve">317 https://ec.europa.eu/info/law/better-regulation/have-your-say/initiatives/14709-Digital-Networks-</w:t>
      </w:r>
      <w:r>
        <w:t xml:space="preserve"> </w:t>
      </w:r>
      <w:r>
        <w:t xml:space="preserve">Act%20_en.</w:t>
      </w:r>
    </w:p>
    <w:p>
      <w:pPr>
        <w:pStyle w:val="BodyText"/>
      </w:pPr>
      <w:r>
        <w:t xml:space="preserve">106</w:t>
      </w:r>
    </w:p>
    <w:p>
      <w:pPr>
        <w:pStyle w:val="BodyText"/>
      </w:pPr>
      <w:r>
        <w:t xml:space="preserve">8.1. Effectiveness</w:t>
      </w:r>
      <w:r>
        <w:t xml:space="preserve"> </w:t>
      </w:r>
      <w:r>
        <w:t xml:space="preserve">The evaluation of effectiveness of the EECC end-user rights considers how successfully the</w:t>
      </w:r>
      <w:r>
        <w:t xml:space="preserve"> </w:t>
      </w:r>
      <w:r>
        <w:t xml:space="preserve">benefits in terms of choice, price and quality and high and common level of protection for</w:t>
      </w:r>
      <w:r>
        <w:t xml:space="preserve"> </w:t>
      </w:r>
      <w:r>
        <w:t xml:space="preserve">end-users have been achieved. According to BEREC318, most of the sector-specific consumer</w:t>
      </w:r>
      <w:r>
        <w:t xml:space="preserve"> </w:t>
      </w:r>
      <w:r>
        <w:t xml:space="preserve">protection rules are fit for purpose and ensure the objectives of the EECC continue to be met.</w:t>
      </w:r>
      <w:r>
        <w:t xml:space="preserve"> </w:t>
      </w:r>
      <w:r>
        <w:t xml:space="preserve">These findings indicate that the EECC reached several of its related objectives concerning</w:t>
      </w:r>
      <w:r>
        <w:t xml:space="preserve"> </w:t>
      </w:r>
      <w:r>
        <w:t xml:space="preserve">end-user rights.</w:t>
      </w:r>
      <w:r>
        <w:br/>
      </w:r>
      <w:r>
        <w:t xml:space="preserve">On broadband speeds, as mentioned above, compared to other countries around the globe,</w:t>
      </w:r>
      <w:r>
        <w:t xml:space="preserve"> </w:t>
      </w:r>
      <w:r>
        <w:t xml:space="preserve">most end-users in the EU lose out in terms of median mobile broadband speed.319 On fixed</w:t>
      </w:r>
      <w:r>
        <w:t xml:space="preserve"> </w:t>
      </w:r>
      <w:r>
        <w:t xml:space="preserve">broadband median speeds the situation is only slightly better with most countries behind the</w:t>
      </w:r>
      <w:r>
        <w:t xml:space="preserve"> </w:t>
      </w:r>
      <w:r>
        <w:t xml:space="preserve">US, South Korea and Japan.</w:t>
      </w:r>
      <w:r>
        <w:t xml:space="preserve"> </w:t>
      </w:r>
      <w:r>
        <w:t xml:space="preserve">The EECC opts for a maximum harmonisation approach (Article 101) for the applicability of</w:t>
      </w:r>
      <w:r>
        <w:t xml:space="preserve"> </w:t>
      </w:r>
      <w:r>
        <w:t xml:space="preserve">the same rules across the Union. This aims to reduce single market barriers created by</w:t>
      </w:r>
      <w:r>
        <w:t xml:space="preserve"> </w:t>
      </w:r>
      <w:r>
        <w:t xml:space="preserve">divergent implementation of rules and improve its functioning especially for cross-border</w:t>
      </w:r>
      <w:r>
        <w:t xml:space="preserve"> </w:t>
      </w:r>
      <w:r>
        <w:t xml:space="preserve">providers. The effectiveness of this provision has been reduced by the possibilities included in</w:t>
      </w:r>
      <w:r>
        <w:t xml:space="preserve"> </w:t>
      </w:r>
      <w:r>
        <w:t xml:space="preserve">various EECC end-user rights articles320 for national rules. These possibilities exist in several</w:t>
      </w:r>
      <w:r>
        <w:t xml:space="preserve"> </w:t>
      </w:r>
      <w:r>
        <w:t xml:space="preserve">different paragraphs of the end-user rights articles. Member States have also widely used the</w:t>
      </w:r>
      <w:r>
        <w:t xml:space="preserve"> </w:t>
      </w:r>
      <w:r>
        <w:t xml:space="preserve">possibilities. However, a distinction should be made between transposition stricto sensu –</w:t>
      </w:r>
      <w:r>
        <w:t xml:space="preserve"> </w:t>
      </w:r>
      <w:r>
        <w:t xml:space="preserve">many Member States included the possibility to derogate in their transposition measures - and</w:t>
      </w:r>
      <w:r>
        <w:t xml:space="preserve"> </w:t>
      </w:r>
      <w:r>
        <w:t xml:space="preserve">the effective use of the derogation321. According to Commission’s own analysis, the</w:t>
      </w:r>
      <w:r>
        <w:t xml:space="preserve"> </w:t>
      </w:r>
      <w:r>
        <w:t xml:space="preserve">transposition of a future possibility to derogate has been done by 5 – 26 Member States</w:t>
      </w:r>
      <w:r>
        <w:t xml:space="preserve"> </w:t>
      </w:r>
      <w:r>
        <w:t xml:space="preserve">(depending on the provision). According to BEREC collected data, 4 – 15 Member States of</w:t>
      </w:r>
      <w:r>
        <w:t xml:space="preserve"> </w:t>
      </w:r>
      <w:r>
        <w:t xml:space="preserve">them have also effectively used the possibilities, based on a sample of 25 Member States322.</w:t>
      </w:r>
      <w:r>
        <w:br/>
      </w:r>
      <w:r>
        <w:t xml:space="preserve">In stakeholder feedback to the targeted survey, collected by the DSM supporting study323,</w:t>
      </w:r>
      <w:r>
        <w:t xml:space="preserve"> </w:t>
      </w:r>
      <w:r>
        <w:t xml:space="preserve">some stakeholders (companies, business associations and a few NRAs) sought full</w:t>
      </w:r>
      <w:r>
        <w:t xml:space="preserve"> </w:t>
      </w:r>
      <w:r>
        <w:t xml:space="preserve">harmonisation across the EU together with partial removal of EU level sector specific rules.</w:t>
      </w:r>
      <w:r>
        <w:t xml:space="preserve"> </w:t>
      </w:r>
      <w:r>
        <w:t xml:space="preserve">The respondents mention that it would reduce administrative burden, lower compliance costs</w:t>
      </w:r>
      <w:r>
        <w:t xml:space="preserve"> </w:t>
      </w:r>
      <w:r>
        <w:t xml:space="preserve">and enhance the delivery of cross-border services. The regulatory fragmentation of the</w:t>
      </w:r>
      <w:r>
        <w:t xml:space="preserve"> </w:t>
      </w:r>
      <w:r>
        <w:t xml:space="preserve">consumer protection rules has been mentioned by industry stakeholders324 as a barrier to a</w:t>
      </w:r>
      <w:r>
        <w:t xml:space="preserve"> </w:t>
      </w:r>
      <w:r>
        <w:t xml:space="preserve">Single Market for telecommunications preventing operating at scale or offering consistent</w:t>
      </w:r>
      <w:r>
        <w:t xml:space="preserve"> </w:t>
      </w:r>
      <w:r>
        <w:t xml:space="preserve">cross-border services to business customers and increasing compliance costs. However,</w:t>
      </w:r>
      <w:r>
        <w:t xml:space="preserve"> </w:t>
      </w:r>
      <w:r>
        <w:t xml:space="preserve">BEREC, in its 2024 opinion of Article 123 EECC, refers to Member States concerns of loss of</w:t>
      </w:r>
    </w:p>
    <w:p>
      <w:pPr>
        <w:pStyle w:val="BodyText"/>
      </w:pPr>
      <w:r>
        <w:t xml:space="preserve">318 BEREC Opinion BoR(24)180 Figure 4, Figure 3.</w:t>
      </w:r>
      <w:r>
        <w:br/>
      </w:r>
      <w:r>
        <w:t xml:space="preserve">319 See Speedtest Global Index – Internet Speed around the world – Speedtest Global Index, latest raking from</w:t>
      </w:r>
      <w:r>
        <w:t xml:space="preserve"> </w:t>
      </w:r>
      <w:r>
        <w:t xml:space="preserve">November 2025.</w:t>
      </w:r>
      <w:r>
        <w:t xml:space="preserve"> </w:t>
      </w:r>
      <w:r>
        <w:t xml:space="preserve">320 Articles 102(6), 102(7), 103(4), 105(1), 105(4), 105(6), 106(6) for NRAs to establish details, 107(5), 110(2),</w:t>
      </w:r>
      <w:r>
        <w:t xml:space="preserve"> </w:t>
      </w:r>
      <w:r>
        <w:t xml:space="preserve">115(2) and 115(3).</w:t>
      </w:r>
      <w:r>
        <w:t xml:space="preserve"> </w:t>
      </w:r>
      <w:r>
        <w:t xml:space="preserve">321 DSM supporting study.</w:t>
      </w:r>
      <w:r>
        <w:br/>
      </w:r>
      <w:r>
        <w:t xml:space="preserve">322 BEREC Opinion BoR(24)180. Figure 7, covering 25 Member States.</w:t>
      </w:r>
      <w:r>
        <w:br/>
      </w:r>
      <w:r>
        <w:t xml:space="preserve">323 Supporting study “Completing the Digital Single Market: Regulatory enablers for cross-border networks.”</w:t>
      </w:r>
      <w:r>
        <w:br/>
      </w:r>
      <w:r>
        <w:t xml:space="preserve">324 Feedback on the Commission White Paper “How to master Europe’s digital infrastructure needs?”</w:t>
      </w:r>
      <w:r>
        <w:t xml:space="preserve"> </w:t>
      </w:r>
      <w:r>
        <w:t xml:space="preserve">https://ec.europa.eu/info/law/better-regulation/have-your-say/initiatives/14168-White-Paper-How-to-master-</w:t>
      </w:r>
      <w:r>
        <w:t xml:space="preserve"> </w:t>
      </w:r>
      <w:r>
        <w:t xml:space="preserve">Europes-digital-infrastructure-needs?_en and Connect Europe study “A simplification Agenda for European</w:t>
      </w:r>
      <w:r>
        <w:t xml:space="preserve"> </w:t>
      </w:r>
      <w:r>
        <w:t xml:space="preserve">telecoms 2025”.</w:t>
      </w:r>
    </w:p>
    <w:p>
      <w:pPr>
        <w:pStyle w:val="BodyText"/>
      </w:pPr>
      <w:r>
        <w:t xml:space="preserve">107</w:t>
      </w:r>
    </w:p>
    <w:p>
      <w:pPr>
        <w:pStyle w:val="BodyText"/>
      </w:pPr>
      <w:r>
        <w:t xml:space="preserve">certain elements of consumer protection in full harmonisation and confirms that a certain level</w:t>
      </w:r>
      <w:r>
        <w:t xml:space="preserve"> </w:t>
      </w:r>
      <w:r>
        <w:t xml:space="preserve">of flexibility remains necessary to achieve the objectives in EECC Article 3.</w:t>
      </w:r>
      <w:r>
        <w:br/>
      </w:r>
      <w:r>
        <w:t xml:space="preserve">End-user rights Article 102 “Information requirements for contracts” and related Annex VIII</w:t>
      </w:r>
      <w:r>
        <w:t xml:space="preserve"> </w:t>
      </w:r>
      <w:r>
        <w:t xml:space="preserve">include provisions on the information requirements for contracts and sets the obligation on the</w:t>
      </w:r>
      <w:r>
        <w:t xml:space="preserve"> </w:t>
      </w:r>
      <w:r>
        <w:t xml:space="preserve">contract summary template. The template was included in the Commission Implementing</w:t>
      </w:r>
      <w:r>
        <w:t xml:space="preserve"> </w:t>
      </w:r>
      <w:r>
        <w:t xml:space="preserve">Regulation (EU) 2019/2243. The contract summary aims to identify the main elements of</w:t>
      </w:r>
      <w:r>
        <w:t xml:space="preserve"> </w:t>
      </w:r>
      <w:r>
        <w:t xml:space="preserve">information for the benefit of end-users to make free and informed choices that contribute to</w:t>
      </w:r>
      <w:r>
        <w:t xml:space="preserve"> </w:t>
      </w:r>
      <w:r>
        <w:t xml:space="preserve">the effective achievement of the general objectives in Article 3.</w:t>
      </w:r>
      <w:r>
        <w:br/>
      </w:r>
      <w:r>
        <w:t xml:space="preserve">According to the DSM supporting study most industry stakeholders and many public sector</w:t>
      </w:r>
      <w:r>
        <w:t xml:space="preserve"> </w:t>
      </w:r>
      <w:r>
        <w:t xml:space="preserve">stakeholders note that consumers are encountering an information overload when being</w:t>
      </w:r>
      <w:r>
        <w:t xml:space="preserve"> </w:t>
      </w:r>
      <w:r>
        <w:t xml:space="preserve">presented with the contract and the supporting documents. They mention that there is too</w:t>
      </w:r>
      <w:r>
        <w:t xml:space="preserve"> </w:t>
      </w:r>
      <w:r>
        <w:t xml:space="preserve">much information, and of a very technical nature. In its 2024 opinion, also BEREC notes the</w:t>
      </w:r>
      <w:r>
        <w:t xml:space="preserve"> </w:t>
      </w:r>
      <w:r>
        <w:t xml:space="preserve">issue of information overload and that some NRAs have raised the issue of excessive</w:t>
      </w:r>
      <w:r>
        <w:t xml:space="preserve"> </w:t>
      </w:r>
      <w:r>
        <w:t xml:space="preserve">information obligations. The European Consumer Organisation BEUC is in general inviting to</w:t>
      </w:r>
      <w:r>
        <w:t xml:space="preserve"> </w:t>
      </w:r>
      <w:r>
        <w:t xml:space="preserve">consider an obligation to provide consumers with a summary of the General Terms and</w:t>
      </w:r>
      <w:r>
        <w:t xml:space="preserve"> </w:t>
      </w:r>
      <w:r>
        <w:t xml:space="preserve">Conditions to help to partly counteract the asymmetry of knowledge created by the sheer</w:t>
      </w:r>
      <w:r>
        <w:t xml:space="preserve"> </w:t>
      </w:r>
      <w:r>
        <w:t xml:space="preserve">volume of information that consumers are required to process.325</w:t>
      </w:r>
      <w:r>
        <w:br/>
      </w:r>
      <w:r>
        <w:t xml:space="preserve">The contract summary obligation is scoped widely to electronic communications service</w:t>
      </w:r>
      <w:r>
        <w:t xml:space="preserve"> </w:t>
      </w:r>
      <w:r>
        <w:t xml:space="preserve">providers, including number-independent services. According to BEREC326, the contract</w:t>
      </w:r>
      <w:r>
        <w:t xml:space="preserve"> </w:t>
      </w:r>
      <w:r>
        <w:t xml:space="preserve">summary today is used as a tool to record the most important terms of the contract for the</w:t>
      </w:r>
      <w:r>
        <w:t xml:space="preserve"> </w:t>
      </w:r>
      <w:r>
        <w:t xml:space="preserve">end-user to check before agreeing to them as well as for later reference. It has had a positive</w:t>
      </w:r>
      <w:r>
        <w:t xml:space="preserve"> </w:t>
      </w:r>
      <w:r>
        <w:t xml:space="preserve">impact on the effectiveness. Furthermore, BEREC considers the contract summary an</w:t>
      </w:r>
      <w:r>
        <w:t xml:space="preserve"> </w:t>
      </w:r>
      <w:r>
        <w:t xml:space="preserve">important element enabling end-users to make free and informed choices. The European</w:t>
      </w:r>
      <w:r>
        <w:t xml:space="preserve"> </w:t>
      </w:r>
      <w:r>
        <w:t xml:space="preserve">Consumer organisation (BEUC) highlights that the EECC’s end-user rights chapter provisions</w:t>
      </w:r>
      <w:r>
        <w:t xml:space="preserve"> </w:t>
      </w:r>
      <w:r>
        <w:t xml:space="preserve">on different aspects, including contract summaries, have proven essential for consumer</w:t>
      </w:r>
      <w:r>
        <w:t xml:space="preserve"> </w:t>
      </w:r>
      <w:r>
        <w:t xml:space="preserve">empowerment and fair market functioning. These rules enable informed consumer choice327.</w:t>
      </w:r>
      <w:r>
        <w:t xml:space="preserve"> </w:t>
      </w:r>
      <w:r>
        <w:t xml:space="preserve">According to DSM supporting study some stakeholders mention that the contract summary is</w:t>
      </w:r>
      <w:r>
        <w:t xml:space="preserve"> </w:t>
      </w:r>
      <w:r>
        <w:t xml:space="preserve">already a step in the right direction, but some stakeholders note that consumers often receive</w:t>
      </w:r>
      <w:r>
        <w:t xml:space="preserve"> </w:t>
      </w:r>
      <w:r>
        <w:t xml:space="preserve">the contract summary right before signing their contract and it cannot be effectively used to</w:t>
      </w:r>
      <w:r>
        <w:t xml:space="preserve"> </w:t>
      </w:r>
      <w:r>
        <w:t xml:space="preserve">compare offers. The European Consumer Organisation BEUC mentions328 that its members</w:t>
      </w:r>
      <w:r>
        <w:t xml:space="preserve"> </w:t>
      </w:r>
      <w:r>
        <w:t xml:space="preserve">report on certain operators failing to adequately provide their contract summaries with enough</w:t>
      </w:r>
      <w:r>
        <w:t xml:space="preserve"> </w:t>
      </w:r>
      <w:r>
        <w:t xml:space="preserve">time in advance to consumers.</w:t>
      </w:r>
      <w:r>
        <w:br/>
      </w:r>
      <w:r>
        <w:t xml:space="preserve">The EECC Article 103 requires that NRAs ensure that end-users have access free of charge to</w:t>
      </w:r>
      <w:r>
        <w:t xml:space="preserve"> </w:t>
      </w:r>
      <w:r>
        <w:t xml:space="preserve">at least one independent comparison tool. In its report in 2023329 BEREC reported on</w:t>
      </w:r>
      <w:r>
        <w:t xml:space="preserve"> </w:t>
      </w:r>
      <w:r>
        <w:t xml:space="preserve">comparison tools. Comparison tools are implemented in different ways and only in one</w:t>
      </w:r>
      <w:r>
        <w:t xml:space="preserve"> </w:t>
      </w:r>
      <w:r>
        <w:t xml:space="preserve">Member State it was possible to compare number-independent interpersonal communications</w:t>
      </w:r>
      <w:r>
        <w:t xml:space="preserve"> </w:t>
      </w:r>
      <w:r>
        <w:t xml:space="preserve">services. There were also countries where the NRA certifies an independent provider. In 12 of</w:t>
      </w:r>
    </w:p>
    <w:p>
      <w:pPr>
        <w:pStyle w:val="BodyText"/>
      </w:pPr>
      <w:r>
        <w:t xml:space="preserve">325 ”Towards European Digital Fairness”. BEUC framing response paper for the REFIT consultation.</w:t>
      </w:r>
      <w:r>
        <w:t xml:space="preserve"> </w:t>
      </w:r>
      <w:r>
        <w:t xml:space="preserve">https://www.beuc.eu/sites/default/files/publications/BEUC-X-2023-</w:t>
      </w:r>
      <w:r>
        <w:t xml:space="preserve"> </w:t>
      </w:r>
      <w:r>
        <w:t xml:space="preserve">020_Consultation_paper_REFIT_consumer_law_digital_fairness.pdf.</w:t>
      </w:r>
      <w:r>
        <w:t xml:space="preserve"> </w:t>
      </w:r>
      <w:r>
        <w:t xml:space="preserve">326 BEREC Opinion BoR(24)180.</w:t>
      </w:r>
      <w:r>
        <w:t xml:space="preserve"> </w:t>
      </w:r>
      <w:r>
        <w:t xml:space="preserve">327 Feedback from: BEUC - The European Consumer Organisation.</w:t>
      </w:r>
      <w:r>
        <w:t xml:space="preserve"> </w:t>
      </w:r>
      <w:r>
        <w:t xml:space="preserve">328 BEUC response to the public consultation on the European Commission White paper “How to master</w:t>
      </w:r>
      <w:r>
        <w:t xml:space="preserve"> </w:t>
      </w:r>
      <w:r>
        <w:t xml:space="preserve">Europe’s digital infrastructure needs?”. 2024.</w:t>
      </w:r>
      <w:r>
        <w:t xml:space="preserve"> </w:t>
      </w:r>
      <w:r>
        <w:t xml:space="preserve">329 https://www.berec.europa.eu/en/document-categories/berec/reports/berec-report-on-comparison-tools-and-</w:t>
      </w:r>
      <w:r>
        <w:t xml:space="preserve"> </w:t>
      </w:r>
      <w:r>
        <w:t xml:space="preserve">accreditation.</w:t>
      </w:r>
    </w:p>
    <w:p>
      <w:pPr>
        <w:pStyle w:val="BodyText"/>
      </w:pPr>
      <w:r>
        <w:t xml:space="preserve">108</w:t>
      </w:r>
    </w:p>
    <w:p>
      <w:pPr>
        <w:pStyle w:val="BodyText"/>
      </w:pPr>
      <w:r>
        <w:t xml:space="preserve">the 15 countries where the tool was already implemented at the time of the BEREC report, the</w:t>
      </w:r>
      <w:r>
        <w:t xml:space="preserve"> </w:t>
      </w:r>
      <w:r>
        <w:t xml:space="preserve">comparison tool can compare bundles. The main advantage of comparison tool is the</w:t>
      </w:r>
      <w:r>
        <w:t xml:space="preserve"> </w:t>
      </w:r>
      <w:r>
        <w:t xml:space="preserve">possibility to compare prices and tariffs, while advertised speed is the criterion most</w:t>
      </w:r>
      <w:r>
        <w:t xml:space="preserve"> </w:t>
      </w:r>
      <w:r>
        <w:t xml:space="preserve">frequently used by comparison tools. In most countries the certification regime for</w:t>
      </w:r>
      <w:r>
        <w:t xml:space="preserve"> </w:t>
      </w:r>
      <w:r>
        <w:t xml:space="preserve">comparison tools was not yet in place. The main challenges faced in the implementation of</w:t>
      </w:r>
      <w:r>
        <w:t xml:space="preserve"> </w:t>
      </w:r>
      <w:r>
        <w:t xml:space="preserve">the comparison tool were reported as the data collection, the design and testing of the</w:t>
      </w:r>
      <w:r>
        <w:t xml:space="preserve"> </w:t>
      </w:r>
      <w:r>
        <w:t xml:space="preserve">algorithm used to order the offers, the definition of the requirements of the tool and its update</w:t>
      </w:r>
      <w:r>
        <w:t xml:space="preserve"> </w:t>
      </w:r>
      <w:r>
        <w:t xml:space="preserve">and maintenance.</w:t>
      </w:r>
      <w:r>
        <w:br/>
      </w:r>
      <w:r>
        <w:t xml:space="preserve">Some NRAs mentioned that the development of AI will affect the understanding and use of</w:t>
      </w:r>
      <w:r>
        <w:t xml:space="preserve"> </w:t>
      </w:r>
      <w:r>
        <w:t xml:space="preserve">ECSs. The DSM supporting study mentions an absence of publicly available data on user</w:t>
      </w:r>
      <w:r>
        <w:t xml:space="preserve"> </w:t>
      </w:r>
      <w:r>
        <w:t xml:space="preserve">engagement with NRA comparison tools or on their perceived usefulness, limiting the ability</w:t>
      </w:r>
      <w:r>
        <w:t xml:space="preserve"> </w:t>
      </w:r>
      <w:r>
        <w:t xml:space="preserve">to assess their impact on consumer decision-making.</w:t>
      </w:r>
      <w:r>
        <w:br/>
      </w:r>
      <w:r>
        <w:t xml:space="preserve">Information on the quality of service (QoS) (Article 104 and Annex X in addition to</w:t>
      </w:r>
      <w:r>
        <w:t xml:space="preserve"> </w:t>
      </w:r>
      <w:r>
        <w:t xml:space="preserve">requirements in Annex VIII), such as maximum download and upload speeds, supports</w:t>
      </w:r>
      <w:r>
        <w:t xml:space="preserve"> </w:t>
      </w:r>
      <w:r>
        <w:t xml:space="preserve">consumer choice. According to Eurobarometer findings speed (together with pricing and</w:t>
      </w:r>
      <w:r>
        <w:t xml:space="preserve"> </w:t>
      </w:r>
      <w:r>
        <w:t xml:space="preserve">bundle offers) is one of the most important factors for consumers when choosing an internet</w:t>
      </w:r>
      <w:r>
        <w:t xml:space="preserve"> </w:t>
      </w:r>
      <w:r>
        <w:t xml:space="preserve">provider330.</w:t>
      </w:r>
      <w:r>
        <w:br/>
      </w:r>
      <w:r>
        <w:t xml:space="preserve">BEREC adopted331 QoS parameters of fixed networks and mobile networks in 2024. BEREC</w:t>
      </w:r>
      <w:r>
        <w:t xml:space="preserve"> </w:t>
      </w:r>
      <w:r>
        <w:t xml:space="preserve">opinion on end-user rights332 highlights the importance of quality-of-service parameters of the</w:t>
      </w:r>
      <w:r>
        <w:t xml:space="preserve"> </w:t>
      </w:r>
      <w:r>
        <w:t xml:space="preserve">EECC that complement Article 4(1) of the Open Internet Regulation (EU) 2015/2120. Sixteen</w:t>
      </w:r>
      <w:r>
        <w:t xml:space="preserve"> </w:t>
      </w:r>
      <w:r>
        <w:t xml:space="preserve">NRAs reported using the option under Article 104 of the EECC to require internet access and</w:t>
      </w:r>
      <w:r>
        <w:t xml:space="preserve"> </w:t>
      </w:r>
      <w:r>
        <w:t xml:space="preserve">publicly available interpersonal communications service providers to publish information on</w:t>
      </w:r>
      <w:r>
        <w:t xml:space="preserve"> </w:t>
      </w:r>
      <w:r>
        <w:t xml:space="preserve">service quality. While quality of service parameters rely on technical information, providing</w:t>
      </w:r>
      <w:r>
        <w:t xml:space="preserve"> </w:t>
      </w:r>
      <w:r>
        <w:t xml:space="preserve">methodology and standards, this was viewed by some stakeholders as being more directly</w:t>
      </w:r>
      <w:r>
        <w:t xml:space="preserve"> </w:t>
      </w:r>
      <w:r>
        <w:t xml:space="preserve">relevant to comparison by providers among themselves and for regulatory purposes rather</w:t>
      </w:r>
      <w:r>
        <w:t xml:space="preserve"> </w:t>
      </w:r>
      <w:r>
        <w:t xml:space="preserve">than for the benefit of end-users.333 In its opinion, BEREC also notes the growing importance</w:t>
      </w:r>
      <w:r>
        <w:t xml:space="preserve"> </w:t>
      </w:r>
      <w:r>
        <w:t xml:space="preserve">of comprehensive information on quality of service and mentions the value of having</w:t>
      </w:r>
      <w:r>
        <w:t xml:space="preserve"> </w:t>
      </w:r>
      <w:r>
        <w:t xml:space="preserve">information regarding “quality of experience” that may have greater utility than QoS.</w:t>
      </w:r>
      <w:r>
        <w:t xml:space="preserve"> </w:t>
      </w:r>
      <w:r>
        <w:t xml:space="preserve">According to the Eurobarometer findings, nine in ten Europeans are satisfied with the upload</w:t>
      </w:r>
      <w:r>
        <w:t xml:space="preserve"> </w:t>
      </w:r>
      <w:r>
        <w:t xml:space="preserve">and download speed of their internet connection at home. Since 2020, the overall level of</w:t>
      </w:r>
      <w:r>
        <w:t xml:space="preserve"> </w:t>
      </w:r>
      <w:r>
        <w:t xml:space="preserve">satisfaction has increased substantially for both types of speed.334</w:t>
      </w:r>
      <w:r>
        <w:t xml:space="preserve"> </w:t>
      </w:r>
      <w:r>
        <w:t xml:space="preserve">In general, BEREC335 assesses that the provision on end-user rights during the contract</w:t>
      </w:r>
      <w:r>
        <w:t xml:space="preserve"> </w:t>
      </w:r>
      <w:r>
        <w:t xml:space="preserve">(Article 105) are effective. Most of the provisions336 of the article are scoped to all end-users.</w:t>
      </w:r>
      <w:r>
        <w:t xml:space="preserve"> </w:t>
      </w:r>
      <w:r>
        <w:t xml:space="preserve">This raises issues on relevance of applicability to business-to-business relations discussed</w:t>
      </w:r>
      <w:r>
        <w:t xml:space="preserve"> </w:t>
      </w:r>
      <w:r>
        <w:t xml:space="preserve">below.</w:t>
      </w:r>
    </w:p>
    <w:p>
      <w:pPr>
        <w:pStyle w:val="BodyText"/>
      </w:pPr>
      <w:r>
        <w:t xml:space="preserve">330 Special Eurobarometer 560. E-Communications and Digital Single Market.2026</w:t>
      </w:r>
      <w:r>
        <w:t xml:space="preserve"> </w:t>
      </w:r>
      <w:r>
        <w:t xml:space="preserve">331 BEREC Guidelines detailing Quality of Service Parameters of 7 March 2024, BoR (24) 42.</w:t>
      </w:r>
      <w:r>
        <w:t xml:space="preserve"> </w:t>
      </w:r>
      <w:r>
        <w:t xml:space="preserve">332 BoR(24) 180.</w:t>
      </w:r>
      <w:r>
        <w:t xml:space="preserve"> </w:t>
      </w:r>
      <w:r>
        <w:t xml:space="preserve">333 BoR(24) 180.</w:t>
      </w:r>
      <w:r>
        <w:t xml:space="preserve"> </w:t>
      </w:r>
      <w:r>
        <w:t xml:space="preserve">334 Special Eurobarometer 560. E-Communications and Digital Single Market. 2026.</w:t>
      </w:r>
      <w:r>
        <w:t xml:space="preserve"> </w:t>
      </w:r>
      <w:r>
        <w:t xml:space="preserve">335 BoR(24) 180.</w:t>
      </w:r>
      <w:r>
        <w:t xml:space="preserve"> </w:t>
      </w:r>
      <w:r>
        <w:t xml:space="preserve">336 Article 105(1) on maximum commitment period is scoped to consumers, microenterprises, small enterprises</w:t>
      </w:r>
      <w:r>
        <w:t xml:space="preserve"> </w:t>
      </w:r>
      <w:r>
        <w:t xml:space="preserve">and not-for-profit organisations as specified in article 105(2).</w:t>
      </w:r>
    </w:p>
    <w:p>
      <w:pPr>
        <w:pStyle w:val="BodyText"/>
      </w:pPr>
      <w:r>
        <w:t xml:space="preserve">109</w:t>
      </w:r>
    </w:p>
    <w:p>
      <w:pPr>
        <w:pStyle w:val="BodyText"/>
      </w:pPr>
      <w:r>
        <w:t xml:space="preserve">The DSM supporting study refers to some stakeholder feedback about consistency with the</w:t>
      </w:r>
      <w:r>
        <w:t xml:space="preserve"> </w:t>
      </w:r>
      <w:r>
        <w:t xml:space="preserve">case law of the European Court of Justice and ruling C-326/14337 (based on the rules</w:t>
      </w:r>
      <w:r>
        <w:t xml:space="preserve"> </w:t>
      </w:r>
      <w:r>
        <w:t xml:space="preserve">preceding the EECC) that contract price increases resulting from indexation do not give the</w:t>
      </w:r>
      <w:r>
        <w:t xml:space="preserve"> </w:t>
      </w:r>
      <w:r>
        <w:t xml:space="preserve">consumer the right to cancel the contract (as detailed in the ruling). In its opinion, BEREC</w:t>
      </w:r>
      <w:r>
        <w:t xml:space="preserve"> </w:t>
      </w:r>
      <w:r>
        <w:t xml:space="preserve">highlights a concern relating to price increases during the contract. According to the</w:t>
      </w:r>
      <w:r>
        <w:t xml:space="preserve"> </w:t>
      </w:r>
      <w:r>
        <w:t xml:space="preserve">Eurobarometer findings seven in ten Europeans (70%) have not been notified of an increase in</w:t>
      </w:r>
      <w:r>
        <w:t xml:space="preserve"> </w:t>
      </w:r>
      <w:r>
        <w:t xml:space="preserve">price by their internet provider during their current contract338.</w:t>
      </w:r>
      <w:r>
        <w:br/>
      </w:r>
      <w:r>
        <w:t xml:space="preserve">On contract duration, BEREC339 observed that for the most part Member States use provisions</w:t>
      </w:r>
      <w:r>
        <w:t xml:space="preserve"> </w:t>
      </w:r>
      <w:r>
        <w:t xml:space="preserve">which mandate shorter (than 24 months) maximum contractual commitment periods on basis</w:t>
      </w:r>
      <w:r>
        <w:t xml:space="preserve"> </w:t>
      </w:r>
      <w:r>
        <w:t xml:space="preserve">of Article 105(1). According to Commission’s own analysis, 13 Member States have made</w:t>
      </w:r>
      <w:r>
        <w:t xml:space="preserve"> </w:t>
      </w:r>
      <w:r>
        <w:t xml:space="preserve">use of this option, setting periods between 6 – 12 months or a combination of 12-month and</w:t>
      </w:r>
      <w:r>
        <w:t xml:space="preserve"> </w:t>
      </w:r>
      <w:r>
        <w:t xml:space="preserve">24-month. Connect Europe study340 notes that Denmark imposes a six-month limit for</w:t>
      </w:r>
      <w:r>
        <w:t xml:space="preserve"> </w:t>
      </w:r>
      <w:r>
        <w:t xml:space="preserve">consumers. Germany, similar to some other Member States (France, Croatia, Italy, the</w:t>
      </w:r>
      <w:r>
        <w:t xml:space="preserve"> </w:t>
      </w:r>
      <w:r>
        <w:t xml:space="preserve">Netherlands and Poland,) apply legacy rules, originally introduced under the repealed</w:t>
      </w:r>
      <w:r>
        <w:t xml:space="preserve"> </w:t>
      </w:r>
      <w:r>
        <w:t xml:space="preserve">Universal Service Directive, to maintain the availability of at least one 12-month contract</w:t>
      </w:r>
      <w:r>
        <w:t xml:space="preserve"> </w:t>
      </w:r>
      <w:r>
        <w:t xml:space="preserve">option. Providers that wish to offer their services cross-border within the EU may find a</w:t>
      </w:r>
      <w:r>
        <w:t xml:space="preserve"> </w:t>
      </w:r>
      <w:r>
        <w:t xml:space="preserve">disincentive in the different maximum periods of contract duration that some stakeholders see</w:t>
      </w:r>
      <w:r>
        <w:t xml:space="preserve"> </w:t>
      </w:r>
      <w:r>
        <w:t xml:space="preserve">as excessive.</w:t>
      </w:r>
      <w:r>
        <w:br/>
      </w:r>
      <w:r>
        <w:t xml:space="preserve">The rules on switching and number portability (Article 106) support end-users in benefiting</w:t>
      </w:r>
      <w:r>
        <w:t xml:space="preserve"> </w:t>
      </w:r>
      <w:r>
        <w:t xml:space="preserve">from a competitive market. By decreasing the switching costs, the provisions stimulate</w:t>
      </w:r>
      <w:r>
        <w:t xml:space="preserve"> </w:t>
      </w:r>
      <w:r>
        <w:t xml:space="preserve">competition in the telecom sector since they decrease the switching costs of the consumers341.</w:t>
      </w:r>
      <w:r>
        <w:t xml:space="preserve"> </w:t>
      </w:r>
      <w:r>
        <w:t xml:space="preserve">The Article is scoped to all end-users, but it has also been questioned342 whether business</w:t>
      </w:r>
      <w:r>
        <w:t xml:space="preserve"> </w:t>
      </w:r>
      <w:r>
        <w:t xml:space="preserve">customers should be protected and granted the receiver-led switching process.</w:t>
      </w:r>
      <w:r>
        <w:br/>
      </w:r>
      <w:r>
        <w:t xml:space="preserve">In a poll done by Connect Europe among 9600 European adults (aged 18-64) in 2024, 44% of</w:t>
      </w:r>
      <w:r>
        <w:t xml:space="preserve"> </w:t>
      </w:r>
      <w:r>
        <w:t xml:space="preserve">respondents mentioned that they switched mobile communications providers in the past 5</w:t>
      </w:r>
      <w:r>
        <w:t xml:space="preserve"> </w:t>
      </w:r>
      <w:r>
        <w:t xml:space="preserve">years. 39% of all respondents had already switched provider for fixed internet in the last five</w:t>
      </w:r>
      <w:r>
        <w:t xml:space="preserve"> </w:t>
      </w:r>
      <w:r>
        <w:t xml:space="preserve">years. 58% of respondents find it simple and quick to switch telecom providers.343 The</w:t>
      </w:r>
      <w:r>
        <w:t xml:space="preserve"> </w:t>
      </w:r>
      <w:r>
        <w:t xml:space="preserve">Eurobarometer shows that nearly six in ten Europeans (57%) have changed bundle service</w:t>
      </w:r>
      <w:r>
        <w:t xml:space="preserve"> </w:t>
      </w:r>
      <w:r>
        <w:t xml:space="preserve">providers. Nearly half of Europeans (46%) who have changed service package provider have</w:t>
      </w:r>
      <w:r>
        <w:t xml:space="preserve"> </w:t>
      </w:r>
      <w:r>
        <w:t xml:space="preserve">not experienced any problems.344 A stakeholder study345 mentions that competition and end-</w:t>
      </w:r>
      <w:r>
        <w:t xml:space="preserve"> </w:t>
      </w:r>
      <w:r>
        <w:t xml:space="preserve">user empowerment has advanced significantly through switching rights. On this basis, the</w:t>
      </w:r>
      <w:r>
        <w:t xml:space="preserve"> </w:t>
      </w:r>
      <w:r>
        <w:t xml:space="preserve">rules on provider switching and number portability appear to have been effective in achieving</w:t>
      </w:r>
    </w:p>
    <w:p>
      <w:pPr>
        <w:pStyle w:val="BodyText"/>
      </w:pPr>
      <w:r>
        <w:t xml:space="preserve">337 Judgment of 26 November 2015. Verein für Konsumenteninformation v A1 Telekom Austria AG, Case C-</w:t>
      </w:r>
      <w:r>
        <w:t xml:space="preserve"> </w:t>
      </w:r>
      <w:r>
        <w:t xml:space="preserve">326/14, EU:C:2015:782.</w:t>
      </w:r>
      <w:r>
        <w:t xml:space="preserve"> </w:t>
      </w:r>
      <w:r>
        <w:t xml:space="preserve">338 Special Eurobarometer 560. E-Communications and Digital Single Market. 2026</w:t>
      </w:r>
      <w:r>
        <w:t xml:space="preserve"> </w:t>
      </w:r>
      <w:r>
        <w:t xml:space="preserve">339 BoR(24) 180 and Figure 7.</w:t>
      </w:r>
      <w:r>
        <w:t xml:space="preserve"> </w:t>
      </w:r>
      <w:r>
        <w:t xml:space="preserve">340 Connect Europe study “A simplification Agenda for European telecoms 2025”.</w:t>
      </w:r>
      <w:r>
        <w:t xml:space="preserve"> </w:t>
      </w:r>
      <w:r>
        <w:t xml:space="preserve">341 Supporting study “Completing the Digital Single Market: Regulatory enablers for cross-border networks.”,</w:t>
      </w:r>
      <w:r>
        <w:t xml:space="preserve"> </w:t>
      </w:r>
      <w:r>
        <w:t xml:space="preserve">forthcoming.</w:t>
      </w:r>
      <w:r>
        <w:t xml:space="preserve"> </w:t>
      </w:r>
      <w:r>
        <w:t xml:space="preserve">342 BoR(24) 180.</w:t>
      </w:r>
      <w:r>
        <w:t xml:space="preserve"> </w:t>
      </w:r>
      <w:r>
        <w:t xml:space="preserve">343 Connect Europe, Europe’s Digital Pulse Connectivity Tends and Consumer Insights, 2024,</w:t>
      </w:r>
      <w:r>
        <w:br/>
      </w:r>
      <w:r>
        <w:t xml:space="preserve">https://connecteurope.org/sites/default/files/2024-</w:t>
      </w:r>
      <w:r>
        <w:t xml:space="preserve"> </w:t>
      </w:r>
      <w:r>
        <w:t xml:space="preserve">10/Ipsos%20ConnectEurope%20_Consumer%20survey_Report.pdf.</w:t>
      </w:r>
      <w:r>
        <w:t xml:space="preserve"> </w:t>
      </w:r>
      <w:r>
        <w:t xml:space="preserve">344 Special Eurobarometer 560. E-Communications and Digital Single Market. 2026.</w:t>
      </w:r>
      <w:r>
        <w:t xml:space="preserve"> </w:t>
      </w:r>
      <w:r>
        <w:t xml:space="preserve">345 Connect Europe study “A simplification Agenda for European telecoms 2025”.</w:t>
      </w:r>
    </w:p>
    <w:p>
      <w:pPr>
        <w:pStyle w:val="BodyText"/>
      </w:pPr>
      <w:r>
        <w:t xml:space="preserve">110</w:t>
      </w:r>
    </w:p>
    <w:p>
      <w:pPr>
        <w:pStyle w:val="BodyText"/>
      </w:pPr>
      <w:r>
        <w:t xml:space="preserve">the objectives of the EECC in terms of choice on the basis of effective competition. BEUC</w:t>
      </w:r>
      <w:r>
        <w:t xml:space="preserve"> </w:t>
      </w:r>
      <w:r>
        <w:t xml:space="preserve">mentions that a member still reports lock-in measures that prevent consumers from easily</w:t>
      </w:r>
      <w:r>
        <w:t xml:space="preserve"> </w:t>
      </w:r>
      <w:r>
        <w:t xml:space="preserve">switching operator for better offers on connectivity346. According to BEREC347 one of the</w:t>
      </w:r>
      <w:r>
        <w:t xml:space="preserve"> </w:t>
      </w:r>
      <w:r>
        <w:t xml:space="preserve">most common complaints received by the NRAs is related to provider switching and number</w:t>
      </w:r>
      <w:r>
        <w:t xml:space="preserve"> </w:t>
      </w:r>
      <w:r>
        <w:t xml:space="preserve">portability. In its opinion, BEREC highlights that the requirement to ensure there is a</w:t>
      </w:r>
      <w:r>
        <w:t xml:space="preserve"> </w:t>
      </w:r>
      <w:r>
        <w:t xml:space="preserve">minimum (or no) service interruption during the switching process is a key requirement to</w:t>
      </w:r>
      <w:r>
        <w:t xml:space="preserve"> </w:t>
      </w:r>
      <w:r>
        <w:t xml:space="preserve">achieve the objective to encourage end-users to compare. Furthermore, BEREC mentions that</w:t>
      </w:r>
      <w:r>
        <w:t xml:space="preserve"> </w:t>
      </w:r>
      <w:r>
        <w:t xml:space="preserve">switching scenarios involving satellite operators and tying contractual commitments to</w:t>
      </w:r>
      <w:r>
        <w:t xml:space="preserve"> </w:t>
      </w:r>
      <w:r>
        <w:t xml:space="preserve">devices provided by satellite operators should be studied more in detail.</w:t>
      </w:r>
      <w:r>
        <w:br/>
      </w:r>
      <w:r>
        <w:t xml:space="preserve">The EECC Article 106 on provider switching and number portability carried over Article 30</w:t>
      </w:r>
      <w:r>
        <w:t xml:space="preserve"> </w:t>
      </w:r>
      <w:r>
        <w:t xml:space="preserve">of the Universal Service Directive which already included that operators must port and</w:t>
      </w:r>
      <w:r>
        <w:t xml:space="preserve"> </w:t>
      </w:r>
      <w:r>
        <w:t xml:space="preserve">activate numbers within the shortest possible time. The additional impact of the EECC in</w:t>
      </w:r>
      <w:r>
        <w:t xml:space="preserve"> </w:t>
      </w:r>
      <w:r>
        <w:t xml:space="preserve">effectiveness is therefore not easy to assess. Evidence from some Member States348 shows</w:t>
      </w:r>
      <w:r>
        <w:t xml:space="preserve"> </w:t>
      </w:r>
      <w:r>
        <w:t xml:space="preserve">continued increase in switching after the applicability of the EECC.</w:t>
      </w:r>
      <w:r>
        <w:br/>
      </w:r>
      <w:r>
        <w:t xml:space="preserve">According to BEREC349, there’s a growing trend of bundled services across the EU. The</w:t>
      </w:r>
      <w:r>
        <w:t xml:space="preserve"> </w:t>
      </w:r>
      <w:r>
        <w:t xml:space="preserve">Eurobarometer findings show that over six in ten Europeans (64%) have subscribed to two or</w:t>
      </w:r>
      <w:r>
        <w:t xml:space="preserve"> </w:t>
      </w:r>
      <w:r>
        <w:t xml:space="preserve">more services as part of a bundle with fixed internet access, mobile telephone and television</w:t>
      </w:r>
      <w:r>
        <w:t xml:space="preserve"> </w:t>
      </w:r>
      <w:r>
        <w:t xml:space="preserve">channels being the most frequently included services. Most NRAs agreed that the provisions</w:t>
      </w:r>
      <w:r>
        <w:t xml:space="preserve"> </w:t>
      </w:r>
      <w:r>
        <w:t xml:space="preserve">on bundled offers (Article 107) are effective. However, some issues were flagged by NRAs.</w:t>
      </w:r>
      <w:r>
        <w:t xml:space="preserve"> </w:t>
      </w:r>
      <w:r>
        <w:t xml:space="preserve">For example, some found that Article 107 is unclear on the ability of end-users to terminate a</w:t>
      </w:r>
      <w:r>
        <w:t xml:space="preserve"> </w:t>
      </w:r>
      <w:r>
        <w:t xml:space="preserve">bundled service when the service works well, but the mobile device (or another product in the</w:t>
      </w:r>
      <w:r>
        <w:t xml:space="preserve"> </w:t>
      </w:r>
      <w:r>
        <w:t xml:space="preserve">bundle) does not, and legal remedies, such as warranties instituted by the rules of contracts for</w:t>
      </w:r>
      <w:r>
        <w:t xml:space="preserve"> </w:t>
      </w:r>
      <w:r>
        <w:t xml:space="preserve">the sales of goods or for the supply of digital content, are inapplicable. According to BEREC,</w:t>
      </w:r>
      <w:r>
        <w:t xml:space="preserve"> </w:t>
      </w:r>
      <w:r>
        <w:t xml:space="preserve">there are also questions about bundled contracts with separate minimal periods applicable to</w:t>
      </w:r>
      <w:r>
        <w:t xml:space="preserve"> </w:t>
      </w:r>
      <w:r>
        <w:t xml:space="preserve">separate services.350</w:t>
      </w:r>
      <w:r>
        <w:br/>
      </w:r>
      <w:r>
        <w:t xml:space="preserve">The supporting study points out that under the current definition,351 an IoT device is</w:t>
      </w:r>
      <w:r>
        <w:t xml:space="preserve"> </w:t>
      </w:r>
      <w:r>
        <w:t xml:space="preserve">considered terminal equipment, if it is connected directly or indirectly to a public</w:t>
      </w:r>
      <w:r>
        <w:t xml:space="preserve"> </w:t>
      </w:r>
      <w:r>
        <w:t xml:space="preserve">communications network. If an IoT device is connected to a private communications network,</w:t>
      </w:r>
      <w:r>
        <w:t xml:space="preserve"> </w:t>
      </w:r>
      <w:r>
        <w:t xml:space="preserve">it may be not seen as a terminal equipment.352 This would result in Article 107(3) EECC not</w:t>
      </w:r>
      <w:r>
        <w:t xml:space="preserve"> </w:t>
      </w:r>
      <w:r>
        <w:t xml:space="preserve">being applicable to the end-user contract that includes such an IoT device.353</w:t>
      </w:r>
    </w:p>
    <w:p>
      <w:pPr>
        <w:pStyle w:val="BodyText"/>
      </w:pPr>
      <w:r>
        <w:t xml:space="preserve">346 BEUC response to the public consultation on the European Commission White Paper “How to master</w:t>
      </w:r>
      <w:r>
        <w:t xml:space="preserve"> </w:t>
      </w:r>
      <w:r>
        <w:t xml:space="preserve">Europe’s digital infrastructure needs?”. 2024.</w:t>
      </w:r>
      <w:r>
        <w:t xml:space="preserve"> </w:t>
      </w:r>
      <w:r>
        <w:t xml:space="preserve">347 BoR(24) 180</w:t>
      </w:r>
      <w:r>
        <w:t xml:space="preserve"> </w:t>
      </w:r>
      <w:r>
        <w:t xml:space="preserve">348 DSM Supporting study.</w:t>
      </w:r>
      <w:r>
        <w:br/>
      </w:r>
      <w:r>
        <w:t xml:space="preserve">349 BoR(24) 180</w:t>
      </w:r>
      <w:r>
        <w:t xml:space="preserve"> </w:t>
      </w:r>
      <w:r>
        <w:t xml:space="preserve">350 BoR(24)180.</w:t>
      </w:r>
      <w:r>
        <w:t xml:space="preserve"> </w:t>
      </w:r>
      <w:r>
        <w:t xml:space="preserve">351 Art. 2 Nr. 41 EECC in conjunction with Art. 1 point (1) of the Commission Directive 2008/63/EC of 20 June</w:t>
      </w:r>
      <w:r>
        <w:t xml:space="preserve"> </w:t>
      </w:r>
      <w:r>
        <w:t xml:space="preserve">2008 on competition in the markets in telecommunications terminal equipment, OJ L 162, 21.06.2008:</w:t>
      </w:r>
      <w:r>
        <w:t xml:space="preserve"> </w:t>
      </w:r>
      <w:r>
        <w:t xml:space="preserve">https://eur-lex.europa.eu/eli/dir/2008/63/oj/eng.</w:t>
      </w:r>
      <w:r>
        <w:br/>
      </w:r>
      <w:r>
        <w:t xml:space="preserve">352 Even though private networks are not yet widespread and are only implemented by large companies, such as</w:t>
      </w:r>
      <w:r>
        <w:t xml:space="preserve"> </w:t>
      </w:r>
      <w:r>
        <w:t xml:space="preserve">the Port of Rotterdam, Schiphol Airport Amsterdam, the relevance of said technologies will only increase</w:t>
      </w:r>
      <w:r>
        <w:t xml:space="preserve"> </w:t>
      </w:r>
      <w:r>
        <w:t xml:space="preserve">with more future use cases of IoT such as fleet management, agriculture, etc. cf. BoR (23) 41.</w:t>
      </w:r>
      <w:r>
        <w:br/>
      </w:r>
      <w:r>
        <w:t xml:space="preserve">353 For example, in DK car manufactures also fall under the term terminal equipment. This expanded definition</w:t>
      </w:r>
      <w:r>
        <w:t xml:space="preserve"> </w:t>
      </w:r>
      <w:r>
        <w:t xml:space="preserve">can strengthen end-user rights.</w:t>
      </w:r>
    </w:p>
    <w:p>
      <w:pPr>
        <w:pStyle w:val="BodyText"/>
      </w:pPr>
      <w:r>
        <w:t xml:space="preserve">111</w:t>
      </w:r>
    </w:p>
    <w:p>
      <w:pPr>
        <w:pStyle w:val="BodyText"/>
      </w:pPr>
      <w:r>
        <w:t xml:space="preserve">On Article 109: the 2024 Report of the Commission to the European Parliament and Council</w:t>
      </w:r>
      <w:r>
        <w:t xml:space="preserve"> </w:t>
      </w:r>
      <w:r>
        <w:t xml:space="preserve">on the implementation of the single European emergency number ‘112’354 highlights the</w:t>
      </w:r>
      <w:r>
        <w:t xml:space="preserve"> </w:t>
      </w:r>
      <w:r>
        <w:t xml:space="preserve">continued implementation of packet switched technologies in Member States both in</w:t>
      </w:r>
      <w:r>
        <w:t xml:space="preserve"> </w:t>
      </w:r>
      <w:r>
        <w:t xml:space="preserve">emergency communication services and Public Safety Answering Points (PSAP). This</w:t>
      </w:r>
      <w:r>
        <w:t xml:space="preserve"> </w:t>
      </w:r>
      <w:r>
        <w:t xml:space="preserve">technological change is triggered by the broader trend of migration to 4/5G networks and</w:t>
      </w:r>
      <w:r>
        <w:t xml:space="preserve"> </w:t>
      </w:r>
      <w:r>
        <w:t xml:space="preserve">2/3G switch-off. The report indicates that the implementation of handset-derived caller</w:t>
      </w:r>
      <w:r>
        <w:t xml:space="preserve"> </w:t>
      </w:r>
      <w:r>
        <w:t xml:space="preserve">location continued to improve in the EU. 25 Member States ensure that their PSAP system is</w:t>
      </w:r>
      <w:r>
        <w:t xml:space="preserve"> </w:t>
      </w:r>
      <w:r>
        <w:t xml:space="preserve">AML enabled. However, only eight Member States confirmed that handset-derived location is</w:t>
      </w:r>
      <w:r>
        <w:t xml:space="preserve"> </w:t>
      </w:r>
      <w:r>
        <w:t xml:space="preserve">available for roaming end-users. In addition, the report shows that end-users with disabilities</w:t>
      </w:r>
      <w:r>
        <w:t xml:space="preserve"> </w:t>
      </w:r>
      <w:r>
        <w:t xml:space="preserve">do not yet benefit from fully equivalent means of access to emergency services, especially</w:t>
      </w:r>
      <w:r>
        <w:t xml:space="preserve"> </w:t>
      </w:r>
      <w:r>
        <w:t xml:space="preserve">when roaming. When these end-users are not able to place a call to ‘112’, they have to rely on</w:t>
      </w:r>
      <w:r>
        <w:t xml:space="preserve"> </w:t>
      </w:r>
      <w:r>
        <w:t xml:space="preserve">nationally fragmented solutions. However, this situation is expected to change as Member</w:t>
      </w:r>
      <w:r>
        <w:t xml:space="preserve"> </w:t>
      </w:r>
      <w:r>
        <w:t xml:space="preserve">States are preparing their PSAP systems to handle and electronic communication service</w:t>
      </w:r>
      <w:r>
        <w:t xml:space="preserve"> </w:t>
      </w:r>
      <w:r>
        <w:t xml:space="preserve">providers are preparing to deploy interoperable real time text by June 2025 in line with the</w:t>
      </w:r>
      <w:r>
        <w:t xml:space="preserve"> </w:t>
      </w:r>
      <w:r>
        <w:t xml:space="preserve">requirements of the European Accessibility Act. The Delegated Regulation 444/2023 adopted</w:t>
      </w:r>
      <w:r>
        <w:t xml:space="preserve"> </w:t>
      </w:r>
      <w:r>
        <w:t xml:space="preserve">under Art 109(8) further specifies caller location criteria parameters, equivalence</w:t>
      </w:r>
      <w:r>
        <w:t xml:space="preserve"> </w:t>
      </w:r>
      <w:r>
        <w:t xml:space="preserve">requirements for end-users with disabilities and need to upgrade the PSAP system to packet</w:t>
      </w:r>
      <w:r>
        <w:t xml:space="preserve"> </w:t>
      </w:r>
      <w:r>
        <w:t xml:space="preserve">switched technology.</w:t>
      </w:r>
      <w:r>
        <w:br/>
      </w:r>
      <w:r>
        <w:t xml:space="preserve">As stated in the BEREC Opinion355 most of surveyed NRAs consider the Public Warning</w:t>
      </w:r>
      <w:r>
        <w:t xml:space="preserve"> </w:t>
      </w:r>
      <w:r>
        <w:t xml:space="preserve">Systems</w:t>
      </w:r>
      <w:r>
        <w:t xml:space="preserve"> </w:t>
      </w:r>
      <w:r>
        <w:t xml:space="preserve">(Article 110),</w:t>
      </w:r>
      <w:r>
        <w:t xml:space="preserve"> </w:t>
      </w:r>
      <w:r>
        <w:t xml:space="preserve">Directory</w:t>
      </w:r>
      <w:r>
        <w:t xml:space="preserve"> </w:t>
      </w:r>
      <w:r>
        <w:t xml:space="preserve">Enquiry</w:t>
      </w:r>
      <w:r>
        <w:t xml:space="preserve"> </w:t>
      </w:r>
      <w:r>
        <w:t xml:space="preserve">Services</w:t>
      </w:r>
      <w:r>
        <w:t xml:space="preserve"> </w:t>
      </w:r>
      <w:r>
        <w:t xml:space="preserve">(Article 112),</w:t>
      </w:r>
      <w:r>
        <w:t xml:space="preserve"> </w:t>
      </w:r>
      <w:r>
        <w:t xml:space="preserve">Interoperability</w:t>
      </w:r>
      <w:r>
        <w:t xml:space="preserve"> </w:t>
      </w:r>
      <w:r>
        <w:t xml:space="preserve">(Article 113), and ‘Must Carry’ Obligations (Article 114) to be clearly outlined in the EECC.</w:t>
      </w:r>
      <w:r>
        <w:br/>
      </w:r>
      <w:r>
        <w:t xml:space="preserve">Article 110 of the EECC provides for the implementation of public warning systems (PWS)</w:t>
      </w:r>
      <w:r>
        <w:t xml:space="preserve"> </w:t>
      </w:r>
      <w:r>
        <w:t xml:space="preserve">in mobile networks, that is Cell-broadcast or SMS based PWS. Currently 10 Member States</w:t>
      </w:r>
      <w:r>
        <w:t xml:space="preserve"> </w:t>
      </w:r>
      <w:r>
        <w:t xml:space="preserve">did not notify the implementation of compliant PWS.</w:t>
      </w:r>
      <w:r>
        <w:t xml:space="preserve"> </w:t>
      </w:r>
      <w:r>
        <w:t xml:space="preserve">Article112 on directory Enquiry Services requires that all providers of number-based</w:t>
      </w:r>
      <w:r>
        <w:t xml:space="preserve"> </w:t>
      </w:r>
      <w:r>
        <w:t xml:space="preserve">interpersonal communications services meet all reasonable requests to make available</w:t>
      </w:r>
      <w:r>
        <w:t xml:space="preserve"> </w:t>
      </w:r>
      <w:r>
        <w:t xml:space="preserve">directory enquiry services and directories, the relevant information in an agreed format, on</w:t>
      </w:r>
      <w:r>
        <w:t xml:space="preserve"> </w:t>
      </w:r>
      <w:r>
        <w:t xml:space="preserve">terms which are fair, objective, cost-oriented and non-discriminatory. According to the DSM</w:t>
      </w:r>
      <w:r>
        <w:br/>
      </w:r>
      <w:r>
        <w:t xml:space="preserve">supporting study’s evaluation, some companies and business associations think that it should</w:t>
      </w:r>
      <w:r>
        <w:t xml:space="preserve"> </w:t>
      </w:r>
      <w:r>
        <w:t xml:space="preserve">be completely removed. On the other hand, almost the same number of NRAs state that the</w:t>
      </w:r>
      <w:r>
        <w:t xml:space="preserve"> </w:t>
      </w:r>
      <w:r>
        <w:t xml:space="preserve">current provisions should not be changed. The same opinion is shared by consumer protection</w:t>
      </w:r>
      <w:r>
        <w:t xml:space="preserve"> </w:t>
      </w:r>
      <w:r>
        <w:t xml:space="preserve">associations and some companies as well as356. Given the divide in answers, it can be</w:t>
      </w:r>
      <w:r>
        <w:t xml:space="preserve"> </w:t>
      </w:r>
      <w:r>
        <w:t xml:space="preserve">concluded that there is no solid evidence or arguments for introducing changes to this</w:t>
      </w:r>
      <w:r>
        <w:t xml:space="preserve"> </w:t>
      </w:r>
      <w:r>
        <w:t xml:space="preserve">provision nor for maintaining it given the evolution of other functionally equivalent services.</w:t>
      </w:r>
      <w:r>
        <w:t xml:space="preserve"> </w:t>
      </w:r>
      <w:r>
        <w:t xml:space="preserve">The consequences from the possibility for different treatment of end-users’ data in directories</w:t>
      </w:r>
      <w:r>
        <w:t xml:space="preserve"> </w:t>
      </w:r>
      <w:r>
        <w:t xml:space="preserve">under the e-privacy Directive and in other functionally equivalent services under the GDPR</w:t>
      </w:r>
      <w:r>
        <w:t xml:space="preserve"> </w:t>
      </w:r>
      <w:r>
        <w:t xml:space="preserve">should be assessed in updating the directory and directory enquiry services provisions.</w:t>
      </w:r>
      <w:r>
        <w:t xml:space="preserve"> </w:t>
      </w:r>
      <w:r>
        <w:t xml:space="preserve">On Article 113 on interoperability of car radio, consumer radio receivers and consumer</w:t>
      </w:r>
      <w:r>
        <w:t xml:space="preserve"> </w:t>
      </w:r>
      <w:r>
        <w:t xml:space="preserve">digital television equipment BEREC notes that the provisions are clearly outlined in the</w:t>
      </w:r>
      <w:r>
        <w:t xml:space="preserve"> </w:t>
      </w:r>
      <w:r>
        <w:t xml:space="preserve">EECC, though several NRAs have reported challenges in implementation357. The single</w:t>
      </w:r>
    </w:p>
    <w:p>
      <w:pPr>
        <w:pStyle w:val="BodyText"/>
      </w:pPr>
      <w:r>
        <w:t xml:space="preserve">354 https://digital-strategy.ec.europa.eu/en/library/2024-report-implementation-eu-emergency-number-112.</w:t>
      </w:r>
      <w:r>
        <w:t xml:space="preserve"> </w:t>
      </w:r>
      <w:r>
        <w:t xml:space="preserve">355 BoR(24) 180. https://www.berec.europa.eu/en/all-documents/berec/opinions/berec-opinion-on-the-market-</w:t>
      </w:r>
      <w:r>
        <w:t xml:space="preserve"> </w:t>
      </w:r>
      <w:r>
        <w:t xml:space="preserve">and-technological-developments-and-on-their-impact-on-the-application-of-rights-of-end-users-in-the-eecc-</w:t>
      </w:r>
      <w:r>
        <w:t xml:space="preserve"> </w:t>
      </w:r>
      <w:r>
        <w:t xml:space="preserve">article-123.</w:t>
      </w:r>
      <w:r>
        <w:t xml:space="preserve"> </w:t>
      </w:r>
      <w:r>
        <w:t xml:space="preserve">356 Reference to the DSM supporting study.</w:t>
      </w:r>
      <w:r>
        <w:t xml:space="preserve"> </w:t>
      </w:r>
      <w:r>
        <w:t xml:space="preserve">357 BoR(24) 180.</w:t>
      </w:r>
    </w:p>
    <w:p>
      <w:pPr>
        <w:pStyle w:val="BodyText"/>
      </w:pPr>
      <w:r>
        <w:t xml:space="preserve">112</w:t>
      </w:r>
    </w:p>
    <w:p>
      <w:pPr>
        <w:pStyle w:val="BodyText"/>
      </w:pPr>
      <w:r>
        <w:t xml:space="preserve">market supporting study noted that the measure of mandating all car radios integrated in new</w:t>
      </w:r>
      <w:r>
        <w:t xml:space="preserve"> </w:t>
      </w:r>
      <w:r>
        <w:t xml:space="preserve">vehicles to be equipped with radios enabled to allow digital audio broadcasting/DAB+</w:t>
      </w:r>
      <w:r>
        <w:t xml:space="preserve"> </w:t>
      </w:r>
      <w:r>
        <w:t xml:space="preserve">reception has worked well. In 2018, when the new measure had been adopted as part of the</w:t>
      </w:r>
      <w:r>
        <w:t xml:space="preserve"> </w:t>
      </w:r>
      <w:r>
        <w:t xml:space="preserve">EECC, only 21% of new cars were sold with a DAB+ radio. This figure rose to 70% in 2020,</w:t>
      </w:r>
      <w:r>
        <w:t xml:space="preserve"> </w:t>
      </w:r>
      <w:r>
        <w:t xml:space="preserve">by which time the measure had to be transposed in all Member States and finally reached 97%</w:t>
      </w:r>
      <w:r>
        <w:t xml:space="preserve"> </w:t>
      </w:r>
      <w:r>
        <w:t xml:space="preserve">in 2024.</w:t>
      </w:r>
      <w:r>
        <w:br/>
      </w:r>
      <w:r>
        <w:t xml:space="preserve">Figure 17: % of new cars sold in selected EU countries358, 2015-2024</w:t>
      </w:r>
    </w:p>
    <w:p>
      <w:pPr>
        <w:pStyle w:val="BodyText"/>
      </w:pPr>
      <w:r>
        <w:t xml:space="preserve">In 15 EU Member States 97% or more of cars are equipped with DAB+ radios.</w:t>
      </w:r>
      <w:r>
        <w:t xml:space="preserve"> </w:t>
      </w:r>
      <w:r>
        <w:t xml:space="preserve">Figure 18: % of new cars sold by 2024, per country</w:t>
      </w:r>
    </w:p>
    <w:p>
      <w:pPr>
        <w:pStyle w:val="BodyText"/>
      </w:pPr>
      <w:r>
        <w:t xml:space="preserve">The effectiveness of the measure has also contributed to more EU Member States being</w:t>
      </w:r>
      <w:r>
        <w:t xml:space="preserve"> </w:t>
      </w:r>
      <w:r>
        <w:t xml:space="preserve">covered by DAB+ radio broadcast networks (the latest information is about launch in Estonia</w:t>
      </w:r>
      <w:r>
        <w:t xml:space="preserve"> </w:t>
      </w:r>
      <w:r>
        <w:t xml:space="preserve">in September 2025 and in Luxembourg in November 2025) and to substantial increases in</w:t>
      </w:r>
      <w:r>
        <w:t xml:space="preserve"> </w:t>
      </w:r>
      <w:r>
        <w:t xml:space="preserve">coverage of existing DAB+ networks in some other Member States (France and Spain).</w:t>
      </w:r>
      <w:r>
        <w:t xml:space="preserve"> </w:t>
      </w:r>
      <w:r>
        <w:t xml:space="preserve">DAB+ broadcast networks are available in the vast majority of Member States, with an</w:t>
      </w:r>
    </w:p>
    <w:p>
      <w:pPr>
        <w:pStyle w:val="BodyText"/>
      </w:pPr>
      <w:r>
        <w:t xml:space="preserve">358 2015-17: Denmark, France, Germany, Italy, Netherlands; 2018-202: same countries plus Belgium; 2023:</w:t>
      </w:r>
      <w:r>
        <w:t xml:space="preserve"> </w:t>
      </w:r>
      <w:r>
        <w:t xml:space="preserve">same countries plus Austria, Czechia, Poland, Portugal, Spain, Sweden; 2024: same countries plus Slovenia.</w:t>
      </w:r>
    </w:p>
    <w:p>
      <w:pPr>
        <w:pStyle w:val="BodyText"/>
      </w:pPr>
      <w:r>
        <w:t xml:space="preserve">113</w:t>
      </w:r>
    </w:p>
    <w:p>
      <w:pPr>
        <w:pStyle w:val="BodyText"/>
      </w:pPr>
      <w:r>
        <w:t xml:space="preserve">increasing number of radio channels available359. Only in Belgium several regions have</w:t>
      </w:r>
      <w:r>
        <w:t xml:space="preserve"> </w:t>
      </w:r>
      <w:r>
        <w:t xml:space="preserve">adopted requirements for consumer radio receivers other than car radios to include a DAB+</w:t>
      </w:r>
      <w:r>
        <w:t xml:space="preserve"> </w:t>
      </w:r>
      <w:r>
        <w:t xml:space="preserve">receiver, in accordance with Article 113(2) EECC360.</w:t>
      </w:r>
      <w:r>
        <w:t xml:space="preserve"> </w:t>
      </w:r>
      <w:r>
        <w:t xml:space="preserve">Art. 114 EECC leaves the possibility of imposing a reasonable must carry obligation to the</w:t>
      </w:r>
      <w:r>
        <w:t xml:space="preserve"> </w:t>
      </w:r>
      <w:r>
        <w:t xml:space="preserve">discretion of Member States, in particular in relation to end-users with disabilities. The</w:t>
      </w:r>
      <w:r>
        <w:t xml:space="preserve"> </w:t>
      </w:r>
      <w:r>
        <w:t xml:space="preserve">majority of respondents to the targeted survey (almost half of all NRAs, quite some</w:t>
      </w:r>
      <w:r>
        <w:t xml:space="preserve"> </w:t>
      </w:r>
      <w:r>
        <w:t xml:space="preserve">companies, most consumer protection associations) find that there should be no change to the</w:t>
      </w:r>
      <w:r>
        <w:t xml:space="preserve"> </w:t>
      </w:r>
      <w:r>
        <w:t xml:space="preserve">must carry obligations361 which is a proof that the provision has confirmed its effectiveness</w:t>
      </w:r>
      <w:r>
        <w:t xml:space="preserve"> </w:t>
      </w:r>
      <w:r>
        <w:t xml:space="preserve">and therefore, maintaining it seems a reasonable way forward.</w:t>
      </w:r>
      <w:r>
        <w:t xml:space="preserve"> </w:t>
      </w:r>
      <w:r>
        <w:t xml:space="preserve">8.2. Efficiency</w:t>
      </w:r>
      <w:r>
        <w:t xml:space="preserve"> </w:t>
      </w:r>
      <w:r>
        <w:t xml:space="preserve">As pointed already by the previous evaluation of the framework362 the efficiency of the rules</w:t>
      </w:r>
      <w:r>
        <w:t xml:space="preserve"> </w:t>
      </w:r>
      <w:r>
        <w:t xml:space="preserve">depends on the transposition by Member States that determine the costs and benefits for</w:t>
      </w:r>
      <w:r>
        <w:t xml:space="preserve"> </w:t>
      </w:r>
      <w:r>
        <w:t xml:space="preserve">different stakeholders. The possibilities included in the framework for Member States to</w:t>
      </w:r>
      <w:r>
        <w:t xml:space="preserve"> </w:t>
      </w:r>
      <w:r>
        <w:t xml:space="preserve">maintain or introduce divergent rules in several end-user rights provisions result in varying</w:t>
      </w:r>
      <w:r>
        <w:t xml:space="preserve"> </w:t>
      </w:r>
      <w:r>
        <w:t xml:space="preserve">benefits for end-users and compliance costs for providers and makes an efficiency assessment</w:t>
      </w:r>
      <w:r>
        <w:t xml:space="preserve"> </w:t>
      </w:r>
      <w:r>
        <w:t xml:space="preserve">difficult.</w:t>
      </w:r>
      <w:r>
        <w:br/>
      </w:r>
      <w:r>
        <w:t xml:space="preserve">The single market supporting study highlights simplifying information provisions for</w:t>
      </w:r>
      <w:r>
        <w:t xml:space="preserve"> </w:t>
      </w:r>
      <w:r>
        <w:t xml:space="preserve">efficiency. There is no clear conclusion whether the amount of information that an operator</w:t>
      </w:r>
      <w:r>
        <w:t xml:space="preserve"> </w:t>
      </w:r>
      <w:r>
        <w:t xml:space="preserve">must provide under Article 102 is efficient. Simplifications could be made, amongst which</w:t>
      </w:r>
      <w:r>
        <w:t xml:space="preserve"> </w:t>
      </w:r>
      <w:r>
        <w:t xml:space="preserve">reducing duplications (overlaps with general consumer protection law), streamlining</w:t>
      </w:r>
      <w:r>
        <w:t xml:space="preserve"> </w:t>
      </w:r>
      <w:r>
        <w:t xml:space="preserve">publication requirements and simplifying the language. Industry associations argued for</w:t>
      </w:r>
      <w:r>
        <w:t xml:space="preserve"> </w:t>
      </w:r>
      <w:r>
        <w:t xml:space="preserve">decreasing the regulatory burden resulting from end-user provisions in the EECC, while one</w:t>
      </w:r>
      <w:r>
        <w:t xml:space="preserve"> </w:t>
      </w:r>
      <w:r>
        <w:t xml:space="preserve">association also noted that changing the status quo will result in new costs. As regards the</w:t>
      </w:r>
      <w:r>
        <w:t xml:space="preserve"> </w:t>
      </w:r>
      <w:r>
        <w:t xml:space="preserve">benefits of Article 102, BEREC363 considers that the current EECC provisions concerning the</w:t>
      </w:r>
      <w:r>
        <w:t xml:space="preserve"> </w:t>
      </w:r>
      <w:r>
        <w:t xml:space="preserve">conclusion of contracts, the contract summary template (Article 102, Annex VIII) and the</w:t>
      </w:r>
      <w:r>
        <w:t xml:space="preserve"> </w:t>
      </w:r>
      <w:r>
        <w:t xml:space="preserve">accompanying implementing act (Commission Implementing Regulation (EU) 2019/2243) are</w:t>
      </w:r>
      <w:r>
        <w:t xml:space="preserve"> </w:t>
      </w:r>
      <w:r>
        <w:t xml:space="preserve">important elements of the regulatory framework enabling end-users to make free and</w:t>
      </w:r>
      <w:r>
        <w:t xml:space="preserve"> </w:t>
      </w:r>
      <w:r>
        <w:t xml:space="preserve">informed choices based on complete, timely and understandable contractual information.</w:t>
      </w:r>
      <w:r>
        <w:t xml:space="preserve"> </w:t>
      </w:r>
      <w:r>
        <w:t xml:space="preserve">BEUC364 highlights the benefits of the EECCs end-user rights chapter in general, including</w:t>
      </w:r>
      <w:r>
        <w:t xml:space="preserve"> </w:t>
      </w:r>
      <w:r>
        <w:t xml:space="preserve">provisions on contract summaries, that have proven essential for consumer empowerment and</w:t>
      </w:r>
      <w:r>
        <w:t xml:space="preserve"> </w:t>
      </w:r>
      <w:r>
        <w:t xml:space="preserve">fair market functioning. According to BEUC, these rules enable informed consumer choice</w:t>
      </w:r>
      <w:r>
        <w:t xml:space="preserve"> </w:t>
      </w:r>
      <w:r>
        <w:t xml:space="preserve">and ensure minimum guarantees.</w:t>
      </w:r>
    </w:p>
    <w:p>
      <w:pPr>
        <w:pStyle w:val="BodyText"/>
      </w:pPr>
      <w:r>
        <w:t xml:space="preserve">359 World DAB summit, 20 November 2025, see</w:t>
      </w:r>
    </w:p>
    <w:p>
      <w:pPr>
        <w:pStyle w:val="BodyText"/>
      </w:pPr>
      <w:r>
        <w:t xml:space="preserve">https://issuu.com/worlddmb/docs/worlddab_summit_2025_brochure/3?ff</w:t>
      </w:r>
      <w:r>
        <w:br/>
      </w:r>
      <w:r>
        <w:t xml:space="preserve">360 In the Walloon region, legislation has been adopted requiring that all radio receivers need to have a DAB+</w:t>
      </w:r>
      <w:r>
        <w:t xml:space="preserve"> </w:t>
      </w:r>
      <w:r>
        <w:t xml:space="preserve">receiver, with the exception of low-value receivers which do not have a alpha-numeric display. The Flanders</w:t>
      </w:r>
      <w:r>
        <w:t xml:space="preserve"> </w:t>
      </w:r>
      <w:r>
        <w:t xml:space="preserve">region requires all equipment sold in Flanders intended for the reception of FM radio signals from a radio</w:t>
      </w:r>
      <w:r>
        <w:t xml:space="preserve"> </w:t>
      </w:r>
      <w:r>
        <w:t xml:space="preserve">broadcaster to be able to receive digital radio signals. Exempted is equipment used by radio amateurs,</w:t>
      </w:r>
      <w:r>
        <w:t xml:space="preserve"> </w:t>
      </w:r>
      <w:r>
        <w:t xml:space="preserve">smarphones and tablets. See Belgium | Countries | WorldDAB.</w:t>
      </w:r>
      <w:r>
        <w:t xml:space="preserve"> </w:t>
      </w:r>
      <w:r>
        <w:t xml:space="preserve">361 Supporting study “Completing the Digital Single Market: Regulatory enablers for cross-border networks,</w:t>
      </w:r>
      <w:r>
        <w:t xml:space="preserve"> </w:t>
      </w:r>
      <w:r>
        <w:t xml:space="preserve">forthcoming.</w:t>
      </w:r>
      <w:r>
        <w:t xml:space="preserve"> </w:t>
      </w:r>
      <w:r>
        <w:t xml:space="preserve">362 Commission Staff working Document SWD(2016) 313. 14.9.2016.</w:t>
      </w:r>
      <w:r>
        <w:t xml:space="preserve"> </w:t>
      </w:r>
      <w:r>
        <w:t xml:space="preserve">363 BoR(24) 180.</w:t>
      </w:r>
      <w:r>
        <w:t xml:space="preserve"> </w:t>
      </w:r>
      <w:r>
        <w:t xml:space="preserve">364 BEUC response to the Call for Evidence on the forthcoming Digital Networks Act (DNA). 2025.</w:t>
      </w:r>
    </w:p>
    <w:p>
      <w:pPr>
        <w:pStyle w:val="BodyText"/>
      </w:pPr>
      <w:r>
        <w:t xml:space="preserve">114</w:t>
      </w:r>
    </w:p>
    <w:p>
      <w:pPr>
        <w:pStyle w:val="BodyText"/>
      </w:pPr>
      <w:r>
        <w:t xml:space="preserve">The DSM supporting study gives an example of the efficiency of the Article 113 on</w:t>
      </w:r>
      <w:r>
        <w:t xml:space="preserve"> </w:t>
      </w:r>
      <w:r>
        <w:t xml:space="preserve">interoperability of car radio and consumer radio receivers and consumer digital television</w:t>
      </w:r>
      <w:r>
        <w:t xml:space="preserve"> </w:t>
      </w:r>
      <w:r>
        <w:t xml:space="preserve">equipment. Although the provision is considered as effective, in terms of its efficiency, it</w:t>
      </w:r>
      <w:r>
        <w:t xml:space="preserve"> </w:t>
      </w:r>
      <w:r>
        <w:t xml:space="preserve">could have some adverse effects, beyond increasing the cost for buyers of new cars because of</w:t>
      </w:r>
      <w:r>
        <w:t xml:space="preserve"> </w:t>
      </w:r>
      <w:r>
        <w:t xml:space="preserve">the increasing take-up of alternatives like internet radio and Bluetooth speakers365. Based on</w:t>
      </w:r>
      <w:r>
        <w:t xml:space="preserve"> </w:t>
      </w:r>
      <w:r>
        <w:t xml:space="preserve">the supporting study’s evaluation findings, a potential simplification could be applied to this</w:t>
      </w:r>
      <w:r>
        <w:t xml:space="preserve"> </w:t>
      </w:r>
      <w:r>
        <w:t xml:space="preserve">Article and in particular, the related Annex XI. This simplification would involve making the</w:t>
      </w:r>
      <w:r>
        <w:t xml:space="preserve"> </w:t>
      </w:r>
      <w:r>
        <w:t xml:space="preserve">provision more technologically neutral. Doing so would help to avoid barriers to innovation</w:t>
      </w:r>
      <w:r>
        <w:t xml:space="preserve"> </w:t>
      </w:r>
      <w:r>
        <w:t xml:space="preserve">and improve the efficiency of the regulation.</w:t>
      </w:r>
      <w:r>
        <w:t xml:space="preserve"> </w:t>
      </w:r>
      <w:r>
        <w:t xml:space="preserve">BEREC366 also explored potential ways to reduce the administrative burden on providers.</w:t>
      </w:r>
      <w:r>
        <w:t xml:space="preserve"> </w:t>
      </w:r>
      <w:r>
        <w:t xml:space="preserve">Certain obligations in Articles 105 to 107 may not serve a meaningful purpose for business</w:t>
      </w:r>
      <w:r>
        <w:t xml:space="preserve"> </w:t>
      </w:r>
      <w:r>
        <w:t xml:space="preserve">customers (legal entities), which fall under the scope of the end-user definition.</w:t>
      </w:r>
      <w:r>
        <w:br/>
      </w:r>
      <w:r>
        <w:t xml:space="preserve">Another aspect mentioned by stakeholders is the amount of information during the conclusion</w:t>
      </w:r>
      <w:r>
        <w:t xml:space="preserve"> </w:t>
      </w:r>
      <w:r>
        <w:t xml:space="preserve">of contracts with end-users and possible inconsistencies between various pieces of European</w:t>
      </w:r>
      <w:r>
        <w:t xml:space="preserve"> </w:t>
      </w:r>
      <w:r>
        <w:t xml:space="preserve">legislation related to user and consumer rights, for example regarding transparency</w:t>
      </w:r>
      <w:r>
        <w:t xml:space="preserve"> </w:t>
      </w:r>
      <w:r>
        <w:t xml:space="preserve">obligations. Industry stakeholders mention in this context an increasing regulatory burden for</w:t>
      </w:r>
      <w:r>
        <w:t xml:space="preserve"> </w:t>
      </w:r>
      <w:r>
        <w:t xml:space="preserve">European telecom operators over the past decade367.</w:t>
      </w:r>
      <w:r>
        <w:br/>
      </w:r>
      <w:r>
        <w:t xml:space="preserve">8.3. Relevance</w:t>
      </w:r>
      <w:r>
        <w:t xml:space="preserve"> </w:t>
      </w:r>
      <w:r>
        <w:t xml:space="preserve">Sector-specific end-user protection rules are especially relevant for sector specific issues that</w:t>
      </w:r>
      <w:r>
        <w:t xml:space="preserve"> </w:t>
      </w:r>
      <w:r>
        <w:t xml:space="preserve">are not covered in other EU legislation. The DSM supporting study concludes that there is</w:t>
      </w:r>
      <w:r>
        <w:t xml:space="preserve"> </w:t>
      </w:r>
      <w:r>
        <w:t xml:space="preserve">consensus among government stakeholders that the EECC remains a relevant framework that</w:t>
      </w:r>
      <w:r>
        <w:t xml:space="preserve"> </w:t>
      </w:r>
      <w:r>
        <w:t xml:space="preserve">protects and strengthens consumer rights. For example, contract termination and provider</w:t>
      </w:r>
      <w:r>
        <w:t xml:space="preserve"> </w:t>
      </w:r>
      <w:r>
        <w:t xml:space="preserve">switching (Articles 105-106) are particularly relevant considering 5G, the copper switch-off</w:t>
      </w:r>
      <w:r>
        <w:t xml:space="preserve"> </w:t>
      </w:r>
      <w:r>
        <w:t xml:space="preserve">and the provision of emergency services.</w:t>
      </w:r>
      <w:r>
        <w:br/>
      </w:r>
      <w:r>
        <w:t xml:space="preserve">In its feedback, BEUC has highlighted a rise in consumer complaints, many originating in the</w:t>
      </w:r>
      <w:r>
        <w:t xml:space="preserve"> </w:t>
      </w:r>
      <w:r>
        <w:t xml:space="preserve">electronic communications sector368. Those complaints concern issues such as unilateral price</w:t>
      </w:r>
      <w:r>
        <w:t xml:space="preserve"> </w:t>
      </w:r>
      <w:r>
        <w:t xml:space="preserve">hikes or lower quality of service, and misleading marketing of offers to lock-in measures.</w:t>
      </w:r>
      <w:r>
        <w:t xml:space="preserve"> </w:t>
      </w:r>
      <w:r>
        <w:t xml:space="preserve">Consumer organisations have also reported price hikes and too few competitive offers and</w:t>
      </w:r>
      <w:r>
        <w:t xml:space="preserve"> </w:t>
      </w:r>
      <w:r>
        <w:t xml:space="preserve">multiple disparities across Member States between advertised offers and the actual service</w:t>
      </w:r>
      <w:r>
        <w:t xml:space="preserve"> </w:t>
      </w:r>
      <w:r>
        <w:t xml:space="preserve">provided, especially regarding fibre to the home or 5G. According to the DSM supporting</w:t>
      </w:r>
      <w:r>
        <w:t xml:space="preserve"> </w:t>
      </w:r>
      <w:r>
        <w:t xml:space="preserve">study’s targeted consultation, a limited number of public sector stakeholders and several</w:t>
      </w:r>
      <w:r>
        <w:t xml:space="preserve"> </w:t>
      </w:r>
      <w:r>
        <w:t xml:space="preserve">industry associations said that there should be no extension or change to the end-user rights or</w:t>
      </w:r>
      <w:r>
        <w:t xml:space="preserve"> </w:t>
      </w:r>
      <w:r>
        <w:t xml:space="preserve">that these provisions should even be deleted to avoid redundancy since they are covered by</w:t>
      </w:r>
      <w:r>
        <w:t xml:space="preserve"> </w:t>
      </w:r>
      <w:r>
        <w:t xml:space="preserve">horizontal legislation369.</w:t>
      </w:r>
      <w:r>
        <w:t xml:space="preserve"> </w:t>
      </w:r>
      <w:r>
        <w:t xml:space="preserve">The EECC Article 103 requires that providers of internet access and interpersonal</w:t>
      </w:r>
      <w:r>
        <w:t xml:space="preserve"> </w:t>
      </w:r>
      <w:r>
        <w:t xml:space="preserve">communications services publish information (detailed in EECC Annex IX), including</w:t>
      </w:r>
      <w:r>
        <w:t xml:space="preserve"> </w:t>
      </w:r>
      <w:r>
        <w:t xml:space="preserve">description of the services offered, about their services. The targeted stakeholder consultation</w:t>
      </w:r>
      <w:r>
        <w:t xml:space="preserve"> </w:t>
      </w:r>
      <w:r>
        <w:t xml:space="preserve">carried out by the DSM supporting study shows the continued relevance of this provision with</w:t>
      </w:r>
    </w:p>
    <w:p>
      <w:pPr>
        <w:pStyle w:val="BodyText"/>
      </w:pPr>
      <w:r>
        <w:t xml:space="preserve">365 Reference in Section 4.6.3.2 of the Final 1st Interim Report on “Completing the Digital Single Market”.</w:t>
      </w:r>
      <w:r>
        <w:t xml:space="preserve"> </w:t>
      </w:r>
      <w:r>
        <w:t xml:space="preserve">366 BoR(24) 180.</w:t>
      </w:r>
      <w:r>
        <w:t xml:space="preserve"> </w:t>
      </w:r>
      <w:r>
        <w:t xml:space="preserve">367 Connect Europe study “A simplification Agenda for European telecoms 2025”.</w:t>
      </w:r>
      <w:r>
        <w:t xml:space="preserve"> </w:t>
      </w:r>
      <w:r>
        <w:t xml:space="preserve">368 https://www.beuc.eu/position-papers/mind-connectivity-gap-making-digital-infrastructure-work-consumers.</w:t>
      </w:r>
      <w:r>
        <w:t xml:space="preserve"> </w:t>
      </w:r>
      <w:r>
        <w:t xml:space="preserve">369 DSM supporting study.</w:t>
      </w:r>
    </w:p>
    <w:p>
      <w:pPr>
        <w:pStyle w:val="BodyText"/>
      </w:pPr>
      <w:r>
        <w:t xml:space="preserve">115</w:t>
      </w:r>
    </w:p>
    <w:p>
      <w:pPr>
        <w:pStyle w:val="BodyText"/>
      </w:pPr>
      <w:r>
        <w:t xml:space="preserve">most respondents (53 out of 81 answers in total) finding the provision beneficial as shown in</w:t>
      </w:r>
      <w:r>
        <w:t xml:space="preserve"> </w:t>
      </w:r>
      <w:r>
        <w:t xml:space="preserve">the figure below370.</w:t>
      </w:r>
      <w:r>
        <w:t xml:space="preserve"> </w:t>
      </w:r>
      <w:r>
        <w:t xml:space="preserve">Figure 19: Stakeholder views: Publication of information (e.g. description of offered services) by</w:t>
      </w:r>
      <w:r>
        <w:t xml:space="preserve"> </w:t>
      </w:r>
      <w:r>
        <w:t xml:space="preserve">providers beneficial Y/N</w:t>
      </w:r>
    </w:p>
    <w:p>
      <w:pPr>
        <w:pStyle w:val="BodyText"/>
      </w:pPr>
      <w:r>
        <w:t xml:space="preserve">Some business associations consulted in the context of the DSM supporting study believe that</w:t>
      </w:r>
      <w:r>
        <w:t xml:space="preserve"> </w:t>
      </w:r>
      <w:r>
        <w:t xml:space="preserve">there are commercial clients who reap the benefits of end-user rights, even though they are</w:t>
      </w:r>
      <w:r>
        <w:t xml:space="preserve"> </w:t>
      </w:r>
      <w:r>
        <w:t xml:space="preserve">not as vulnerable as consumers, for example, it could be questioned whether Articles 105(3)</w:t>
      </w:r>
      <w:r>
        <w:t xml:space="preserve"> </w:t>
      </w:r>
      <w:r>
        <w:t xml:space="preserve">(notice period after automatic prolongation), 105(4) (rights of termination before end of</w:t>
      </w:r>
      <w:r>
        <w:t xml:space="preserve"> </w:t>
      </w:r>
      <w:r>
        <w:t xml:space="preserve">contract), 105(6) (compensation before end of contract) should in general apply to all end-</w:t>
      </w:r>
      <w:r>
        <w:t xml:space="preserve"> </w:t>
      </w:r>
      <w:r>
        <w:t xml:space="preserve">users.371 The scope of end-user protection in electronic communications is wider than that of</w:t>
      </w:r>
      <w:r>
        <w:t xml:space="preserve"> </w:t>
      </w:r>
      <w:r>
        <w:t xml:space="preserve">horizontal consumer legislation that applies to business-to-consumer commercial practices372.</w:t>
      </w:r>
      <w:r>
        <w:t xml:space="preserve"> </w:t>
      </w:r>
      <w:r>
        <w:t xml:space="preserve">BEREC373 noted that it was found that certain obligations may not serve a meaningful</w:t>
      </w:r>
      <w:r>
        <w:t xml:space="preserve"> </w:t>
      </w:r>
      <w:r>
        <w:t xml:space="preserve">purpose for business customers (legal entities). One key observation was that the obligation in</w:t>
      </w:r>
      <w:r>
        <w:t xml:space="preserve"> </w:t>
      </w:r>
      <w:r>
        <w:t xml:space="preserve">Article 105(3), which requires providers to offer end-users the best tariff information at least</w:t>
      </w:r>
      <w:r>
        <w:t xml:space="preserve"> </w:t>
      </w:r>
      <w:r>
        <w:t xml:space="preserve">annually, seems unnecessary for business customers with bespoke contracts. The lacking</w:t>
      </w:r>
      <w:r>
        <w:t xml:space="preserve"> </w:t>
      </w:r>
      <w:r>
        <w:t xml:space="preserve">relevance of the obligation to give business end-users best tariff information is confirmed by</w:t>
      </w:r>
      <w:r>
        <w:t xml:space="preserve"> </w:t>
      </w:r>
      <w:r>
        <w:t xml:space="preserve">the targeted stakeholder consultation carried out by the DSM supporting study. In the</w:t>
      </w:r>
      <w:r>
        <w:t xml:space="preserve"> </w:t>
      </w:r>
      <w:r>
        <w:t xml:space="preserve">consultation many respondents argue for the removal of the extension of end-user protection</w:t>
      </w:r>
      <w:r>
        <w:t xml:space="preserve"> </w:t>
      </w:r>
      <w:r>
        <w:t xml:space="preserve">to B2B relations (i.e. end-user protection should apply only to consumers). A stakeholder</w:t>
      </w:r>
      <w:r>
        <w:t xml:space="preserve"> </w:t>
      </w:r>
      <w:r>
        <w:t xml:space="preserve">gave an example of the requirement to inform all end-users yearly about the most</w:t>
      </w:r>
      <w:r>
        <w:t xml:space="preserve"> </w:t>
      </w:r>
      <w:r>
        <w:t xml:space="preserve">advantageous tariffs, which is irrelevant for</w:t>
      </w:r>
      <w:r>
        <w:t xml:space="preserve"> </w:t>
      </w:r>
      <w:r>
        <w:t xml:space="preserve">“bespoke business such as the Large/Enterprise</w:t>
      </w:r>
      <w:r>
        <w:t xml:space="preserve"> </w:t>
      </w:r>
      <w:r>
        <w:t xml:space="preserve">market”</w:t>
      </w:r>
      <w:r>
        <w:t xml:space="preserve"> </w:t>
      </w:r>
      <w:r>
        <w:t xml:space="preserve">where no comparable tariffs exist.</w:t>
      </w:r>
    </w:p>
    <w:p>
      <w:pPr>
        <w:pStyle w:val="BodyText"/>
      </w:pPr>
      <w:r>
        <w:t xml:space="preserve">370 Supporting study Annex 3 Survey results.</w:t>
      </w:r>
      <w:r>
        <w:br/>
      </w:r>
      <w:r>
        <w:t xml:space="preserve">371 Note that Art. 105(4,6) apply to end-users apart from transmission services used for machine-to-machine</w:t>
      </w:r>
      <w:r>
        <w:t xml:space="preserve"> </w:t>
      </w:r>
      <w:r>
        <w:t xml:space="preserve">services for which those rights are exclusively applied to consumers, microenterprises, small enterprises or</w:t>
      </w:r>
      <w:r>
        <w:t xml:space="preserve"> </w:t>
      </w:r>
      <w:r>
        <w:t xml:space="preserve">not-for-profit organisations.</w:t>
      </w:r>
      <w:r>
        <w:t xml:space="preserve"> </w:t>
      </w:r>
      <w:r>
        <w:t xml:space="preserve">372 Alexiadis, P,. Bourreau, M., Cave, M., De Streel, A., Feasey, R., Godlovitch, I., Manganelli, A., Monti, G.,</w:t>
      </w:r>
      <w:r>
        <w:t xml:space="preserve"> </w:t>
      </w:r>
      <w:r>
        <w:t xml:space="preserve">Shortall, T., Timmers, P., The Future of European Telecommunications: In-depth Analysis, p. 74-76, 2024.</w:t>
      </w:r>
      <w:r>
        <w:t xml:space="preserve"> </w:t>
      </w:r>
      <w:r>
        <w:t xml:space="preserve">373 BoR(24) 180.</w:t>
      </w:r>
    </w:p>
    <w:p>
      <w:pPr>
        <w:pStyle w:val="BodyText"/>
      </w:pPr>
      <w:r>
        <w:t xml:space="preserve">116</w:t>
      </w:r>
    </w:p>
    <w:p>
      <w:pPr>
        <w:pStyle w:val="BodyText"/>
      </w:pPr>
      <w:r>
        <w:t xml:space="preserve">An issue of increased relevance is the use of eSIMs in connected objects and the possibilities</w:t>
      </w:r>
      <w:r>
        <w:t xml:space="preserve"> </w:t>
      </w:r>
      <w:r>
        <w:t xml:space="preserve">of switching. The eSIM market is significantly increasing374. Number porting of eSIMs is</w:t>
      </w:r>
      <w:r>
        <w:t xml:space="preserve"> </w:t>
      </w:r>
      <w:r>
        <w:t xml:space="preserve">covered under Article 106 EECC, and consumers should be easily able to port their numbers</w:t>
      </w:r>
      <w:r>
        <w:t xml:space="preserve"> </w:t>
      </w:r>
      <w:r>
        <w:t xml:space="preserve">to other providers. However, manufacturers of devices i.e., mobile phones, tablets, IoT</w:t>
      </w:r>
      <w:r>
        <w:t xml:space="preserve"> </w:t>
      </w:r>
      <w:r>
        <w:t xml:space="preserve">devices, etc. could limit specific eSIM profiles. BEREC noted375 that it might harm</w:t>
      </w:r>
      <w:r>
        <w:t xml:space="preserve"> </w:t>
      </w:r>
      <w:r>
        <w:t xml:space="preserve">competition and lead to significantly higher prices for electronic communications services in</w:t>
      </w:r>
      <w:r>
        <w:t xml:space="preserve"> </w:t>
      </w:r>
      <w:r>
        <w:t xml:space="preserve">devices reliant on eSIM-based connectivity if it is not possible to switch provider.</w:t>
      </w:r>
      <w:r>
        <w:t xml:space="preserve"> </w:t>
      </w:r>
      <w:r>
        <w:t xml:space="preserve">New issues of increasing relevance are the price indexation increases during the contract,</w:t>
      </w:r>
      <w:r>
        <w:t xml:space="preserve"> </w:t>
      </w:r>
      <w:r>
        <w:t xml:space="preserve">which is an issue for possible further clarification of the rules in line with the horizontal</w:t>
      </w:r>
      <w:r>
        <w:t xml:space="preserve"> </w:t>
      </w:r>
      <w:r>
        <w:t xml:space="preserve">consumer protection legislation376. According to BEREC, some NRAs have also observed that</w:t>
      </w:r>
      <w:r>
        <w:t xml:space="preserve"> </w:t>
      </w:r>
      <w:r>
        <w:t xml:space="preserve">the additional facilities listed in Annex VI of the EECC (enabling Member States to impose</w:t>
      </w:r>
      <w:r>
        <w:t xml:space="preserve"> </w:t>
      </w:r>
      <w:r>
        <w:t xml:space="preserve">on providers obligations such as to offer pre-payment and phased payment options) have</w:t>
      </w:r>
      <w:r>
        <w:t xml:space="preserve"> </w:t>
      </w:r>
      <w:r>
        <w:t xml:space="preserve">become less relevant as they are increasingly provided voluntarily, on a commercial basis.</w:t>
      </w:r>
      <w:r>
        <w:t xml:space="preserve"> </w:t>
      </w:r>
      <w:r>
        <w:t xml:space="preserve">The targeted stakeholder consultation carried out by the DSM supporting study asked whether</w:t>
      </w:r>
      <w:r>
        <w:t xml:space="preserve"> </w:t>
      </w:r>
      <w:r>
        <w:t xml:space="preserve">the facilities referred to in Annex VI are beneficial to end-users. The views were divided, the</w:t>
      </w:r>
      <w:r>
        <w:t xml:space="preserve"> </w:t>
      </w:r>
      <w:r>
        <w:t xml:space="preserve">results showed that around half of respondents (39 out of 75 answers in total) did not consider</w:t>
      </w:r>
      <w:r>
        <w:t xml:space="preserve"> </w:t>
      </w:r>
      <w:r>
        <w:t xml:space="preserve">the facilities beneficial and around half of the respondents considered them beneficial or did</w:t>
      </w:r>
      <w:r>
        <w:t xml:space="preserve"> </w:t>
      </w:r>
      <w:r>
        <w:t xml:space="preserve">not give an opinion. BEREC considered in its opinion appropriate to evaluate the possibility</w:t>
      </w:r>
      <w:r>
        <w:t xml:space="preserve"> </w:t>
      </w:r>
      <w:r>
        <w:t xml:space="preserve">of making facilities such as cost control, itemised billing, and the deactivation of third-party</w:t>
      </w:r>
      <w:r>
        <w:t xml:space="preserve"> </w:t>
      </w:r>
      <w:r>
        <w:t xml:space="preserve">billing mandatory.</w:t>
      </w:r>
      <w:r>
        <w:t xml:space="preserve"> </w:t>
      </w:r>
      <w:r>
        <w:t xml:space="preserve">BEREC377 considers that the contract summary (Article 102) is likely to have an increasingly</w:t>
      </w:r>
      <w:r>
        <w:t xml:space="preserve"> </w:t>
      </w:r>
      <w:r>
        <w:t xml:space="preserve">important role to play for end-users, though its relevance for comparison has decreased. The</w:t>
      </w:r>
      <w:r>
        <w:t xml:space="preserve"> </w:t>
      </w:r>
      <w:r>
        <w:t xml:space="preserve">development of artificial intelligence could also benefit the development of comparison tools.</w:t>
      </w:r>
      <w:r>
        <w:t xml:space="preserve"> </w:t>
      </w:r>
      <w:r>
        <w:t xml:space="preserve">Article 107 rules on bundled contracts remain highly relevant. According to the</w:t>
      </w:r>
      <w:r>
        <w:t xml:space="preserve"> </w:t>
      </w:r>
      <w:r>
        <w:t xml:space="preserve">Eurobarometer378 over six in ten Europeans (64%) have subscribed to two or more services as</w:t>
      </w:r>
      <w:r>
        <w:t xml:space="preserve"> </w:t>
      </w:r>
      <w:r>
        <w:t xml:space="preserve">part of a bundle with fixed internet access, mobile telephone subscriptions and television</w:t>
      </w:r>
      <w:r>
        <w:t xml:space="preserve"> </w:t>
      </w:r>
      <w:r>
        <w:t xml:space="preserve">channels being the most frequently included services. The BEREC external Study on</w:t>
      </w:r>
      <w:r>
        <w:t xml:space="preserve"> </w:t>
      </w:r>
      <w:r>
        <w:t xml:space="preserve">Communication Services for Businesses found that telecom and ICT bundling is</w:t>
      </w:r>
      <w:r>
        <w:t xml:space="preserve"> </w:t>
      </w:r>
      <w:r>
        <w:t xml:space="preserve">widespread.379 In 2022 40-50% of 1,000 European business interviewed indicated that they</w:t>
      </w:r>
      <w:r>
        <w:t xml:space="preserve"> </w:t>
      </w:r>
      <w:r>
        <w:t xml:space="preserve">subscribed to bundles of ECS and cloud storage and/or collaborative solutions. 30-40% of IT</w:t>
      </w:r>
      <w:r>
        <w:t xml:space="preserve"> </w:t>
      </w:r>
      <w:r>
        <w:t xml:space="preserve">services are subscribed with an ECS bundle.</w:t>
      </w:r>
      <w:r>
        <w:br/>
      </w:r>
      <w:r>
        <w:t xml:space="preserve">An increased reliance on NI-ICS for interpersonal communications has raised a question on</w:t>
      </w:r>
      <w:r>
        <w:t xml:space="preserve"> </w:t>
      </w:r>
      <w:r>
        <w:t xml:space="preserve">re-evaluating the end-user rights for traditional electronic communications services and NI-</w:t>
      </w:r>
      <w:r>
        <w:t xml:space="preserve"> </w:t>
      </w:r>
      <w:r>
        <w:t xml:space="preserve">ICS to reduce regulatory gaps and improve its relevance. Some industry associations are of</w:t>
      </w:r>
      <w:r>
        <w:t xml:space="preserve"> </w:t>
      </w:r>
      <w:r>
        <w:t xml:space="preserve">the opinion that Articles 98-115 EECC provide a robust framework for traditional telecom</w:t>
      </w:r>
    </w:p>
    <w:p>
      <w:pPr>
        <w:pStyle w:val="BodyText"/>
      </w:pPr>
      <w:r>
        <w:t xml:space="preserve">374 GSMA, 2024, eSIM Market China and Beyond, https://www.gsma.com/solutions-and-</w:t>
      </w:r>
      <w:r>
        <w:t xml:space="preserve"> </w:t>
      </w:r>
      <w:r>
        <w:t xml:space="preserve">impact/technologies/esim/wp-content/uploads/2024/07/GSMA-Welcome-and-eSIM-Market-China-and-</w:t>
      </w:r>
      <w:r>
        <w:t xml:space="preserve"> </w:t>
      </w:r>
      <w:r>
        <w:t xml:space="preserve">Beyond.pdf?ref=mobimatter.com.</w:t>
      </w:r>
      <w:r>
        <w:t xml:space="preserve"> </w:t>
      </w:r>
      <w:r>
        <w:t xml:space="preserve">375 BoR (24) 180</w:t>
      </w:r>
      <w:r>
        <w:t xml:space="preserve"> </w:t>
      </w:r>
      <w:r>
        <w:t xml:space="preserve">376 Council Directive 93/13/EEC on unfair terms in consumer contracts.</w:t>
      </w:r>
      <w:r>
        <w:t xml:space="preserve"> </w:t>
      </w:r>
      <w:r>
        <w:t xml:space="preserve">377 BEREC Opinion BoR(24)180.</w:t>
      </w:r>
      <w:r>
        <w:t xml:space="preserve"> </w:t>
      </w:r>
      <w:r>
        <w:t xml:space="preserve">378 Special Eurobarometer 560. E-Communications and Digital Single Market. 2026.</w:t>
      </w:r>
      <w:r>
        <w:t xml:space="preserve"> </w:t>
      </w:r>
      <w:r>
        <w:t xml:space="preserve">379 BoR (22) 184, interviewed 1,000 business users in various countries: DE, FR, PL, SP.</w:t>
      </w:r>
    </w:p>
    <w:p>
      <w:pPr>
        <w:pStyle w:val="BodyText"/>
      </w:pPr>
      <w:r>
        <w:t xml:space="preserve">117</w:t>
      </w:r>
    </w:p>
    <w:p>
      <w:pPr>
        <w:pStyle w:val="BodyText"/>
      </w:pPr>
      <w:r>
        <w:t xml:space="preserve">operators but are not projected well onto NI-ICS providers. Industry stakeholders pointed out</w:t>
      </w:r>
      <w:r>
        <w:t xml:space="preserve"> </w:t>
      </w:r>
      <w:r>
        <w:t xml:space="preserve">that it might be necessary to extend Article 109 EECC to include NI-ICS in the EECC380.</w:t>
      </w:r>
      <w:r>
        <w:br/>
      </w:r>
      <w:r>
        <w:t xml:space="preserve">Concerning Article 113 during the consultation period on the European Commission’s Call</w:t>
      </w:r>
      <w:r>
        <w:t xml:space="preserve"> </w:t>
      </w:r>
      <w:r>
        <w:t xml:space="preserve">for Evidence organised on the Digital Networks Act in July 2025, the provisions, in general,</w:t>
      </w:r>
      <w:r>
        <w:t xml:space="preserve"> </w:t>
      </w:r>
      <w:r>
        <w:t xml:space="preserve">were assessed as relevant by the concerned stakeholders. Furthermore, some of them insist</w:t>
      </w:r>
      <w:r>
        <w:t xml:space="preserve"> </w:t>
      </w:r>
      <w:r>
        <w:t xml:space="preserve">that all new vehicles of categories M and N placed on the EU market to be equipped with</w:t>
      </w:r>
      <w:r>
        <w:t xml:space="preserve"> </w:t>
      </w:r>
      <w:r>
        <w:t xml:space="preserve">radio receivers supporting FM, DAB+, and IP radio. This ensures interoperability, allows</w:t>
      </w:r>
      <w:r>
        <w:t xml:space="preserve"> </w:t>
      </w:r>
      <w:r>
        <w:t xml:space="preserve">seamless switching between platforms, and guarantees continued access to free-to-air radio</w:t>
      </w:r>
      <w:r>
        <w:t xml:space="preserve"> </w:t>
      </w:r>
      <w:r>
        <w:t xml:space="preserve">across all environments. Furthermore, in times of crises, such as natural disasters or major</w:t>
      </w:r>
      <w:r>
        <w:t xml:space="preserve"> </w:t>
      </w:r>
      <w:r>
        <w:t xml:space="preserve">emergencies, broadcast radio plays a critical role in keeping the public informed. When all</w:t>
      </w:r>
      <w:r>
        <w:t xml:space="preserve"> </w:t>
      </w:r>
      <w:r>
        <w:t xml:space="preserve">else fails, broadcast radio is the only way for people to stay up to date with news and public</w:t>
      </w:r>
      <w:r>
        <w:t xml:space="preserve"> </w:t>
      </w:r>
      <w:r>
        <w:t xml:space="preserve">safety alerts and recommendations. The recent power outage in Spain and Portugal</w:t>
      </w:r>
      <w:r>
        <w:t xml:space="preserve"> </w:t>
      </w:r>
      <w:r>
        <w:t xml:space="preserve">highlighted the crucial role of radio. However, relevance should be assessed from more</w:t>
      </w:r>
      <w:r>
        <w:t xml:space="preserve"> </w:t>
      </w:r>
      <w:r>
        <w:t xml:space="preserve">angles, including the nuanced views under the efficiency analysis in paragraph 8.2. of this</w:t>
      </w:r>
      <w:r>
        <w:t xml:space="preserve"> </w:t>
      </w:r>
      <w:r>
        <w:t xml:space="preserve">Report. The role of radio broadcasting as a measure for disseminating public warning</w:t>
      </w:r>
      <w:r>
        <w:t xml:space="preserve"> </w:t>
      </w:r>
      <w:r>
        <w:t xml:space="preserve">communications, complementary to those mandated by the EECC for providers of mobile</w:t>
      </w:r>
      <w:r>
        <w:t xml:space="preserve"> </w:t>
      </w:r>
      <w:r>
        <w:t xml:space="preserve">number-based interpersonal communications services has so far been raised only by</w:t>
      </w:r>
      <w:r>
        <w:t xml:space="preserve"> </w:t>
      </w:r>
      <w:r>
        <w:t xml:space="preserve">broadcasters and by car radio manufacturers.</w:t>
      </w:r>
      <w:r>
        <w:t xml:space="preserve"> </w:t>
      </w:r>
      <w:r>
        <w:t xml:space="preserve">The</w:t>
      </w:r>
      <w:r>
        <w:t xml:space="preserve"> </w:t>
      </w:r>
      <w:r>
        <w:t xml:space="preserve">“must carry”</w:t>
      </w:r>
      <w:r>
        <w:t xml:space="preserve"> </w:t>
      </w:r>
      <w:r>
        <w:t xml:space="preserve">obligation in Article 114 had been justified by national circumstances which</w:t>
      </w:r>
      <w:r>
        <w:t xml:space="preserve"> </w:t>
      </w:r>
      <w:r>
        <w:t xml:space="preserve">proves the relevance of such article381. National factors, such as social, economic, and</w:t>
      </w:r>
      <w:r>
        <w:t xml:space="preserve"> </w:t>
      </w:r>
      <w:r>
        <w:t xml:space="preserve">infrastructural conditions, can necessitate the application of</w:t>
      </w:r>
      <w:r>
        <w:t xml:space="preserve"> </w:t>
      </w:r>
      <w:r>
        <w:t xml:space="preserve">“must carry”</w:t>
      </w:r>
      <w:r>
        <w:t xml:space="preserve"> </w:t>
      </w:r>
      <w:r>
        <w:t xml:space="preserve">rules to ensure</w:t>
      </w:r>
      <w:r>
        <w:t xml:space="preserve"> </w:t>
      </w:r>
      <w:r>
        <w:t xml:space="preserve">access to radio and television broadcast channels where this is necessary to meet general</w:t>
      </w:r>
      <w:r>
        <w:t xml:space="preserve"> </w:t>
      </w:r>
      <w:r>
        <w:t xml:space="preserve">interest objectives such as media pluralism and cultural diversity382.</w:t>
      </w:r>
      <w:r>
        <w:br/>
      </w:r>
      <w:r>
        <w:t xml:space="preserve">As of increased relevance for end-user rights since 2021 BEREC383 mentions especially the</w:t>
      </w:r>
      <w:r>
        <w:t xml:space="preserve"> </w:t>
      </w:r>
      <w:r>
        <w:t xml:space="preserve">continued growth and importance of data use in mobile communication, increase in demand</w:t>
      </w:r>
      <w:r>
        <w:t xml:space="preserve"> </w:t>
      </w:r>
      <w:r>
        <w:t xml:space="preserve">for connectivity and high-capacity internet connections, the significant increase of fraudulent</w:t>
      </w:r>
      <w:r>
        <w:t xml:space="preserve"> </w:t>
      </w:r>
      <w:r>
        <w:t xml:space="preserve">traffic and scams and the growth of usage of digital platforms. The most important technical</w:t>
      </w:r>
      <w:r>
        <w:t xml:space="preserve"> </w:t>
      </w:r>
      <w:r>
        <w:t xml:space="preserve">developments were deployment of 5G, phase-out of 2G/3G and copper switch-off.</w:t>
      </w:r>
      <w:r>
        <w:br/>
      </w:r>
      <w:r>
        <w:t xml:space="preserve">The consumer Trends Report 2024/25 EBA384 notes that payment fraud is one of the most</w:t>
      </w:r>
      <w:r>
        <w:t xml:space="preserve"> </w:t>
      </w:r>
      <w:r>
        <w:t xml:space="preserve">relevant topics inside of the European Union. According to the Eurobarometer385 slightly</w:t>
      </w:r>
      <w:r>
        <w:t xml:space="preserve"> </w:t>
      </w:r>
      <w:r>
        <w:t xml:space="preserve">under a fifth (19%, +6pp compared to results in 2020) of respondents reported receiving a call</w:t>
      </w:r>
      <w:r>
        <w:t xml:space="preserve"> </w:t>
      </w:r>
      <w:r>
        <w:t xml:space="preserve">from an unknown number and being charged for it after answering or calling back, a slight</w:t>
      </w:r>
      <w:r>
        <w:t xml:space="preserve"> </w:t>
      </w:r>
      <w:r>
        <w:t xml:space="preserve">increase since 2020. Since 2020, the share of respondents receiving this kind of calls has</w:t>
      </w:r>
      <w:r>
        <w:t xml:space="preserve"> </w:t>
      </w:r>
      <w:r>
        <w:t xml:space="preserve">increased in 18 countries. Member States implement anti-fraud measures ordering operators</w:t>
      </w:r>
      <w:r>
        <w:t xml:space="preserve"> </w:t>
      </w:r>
      <w:r>
        <w:t xml:space="preserve">to preventively block numbers or services rather than leave it to national authorities that are</w:t>
      </w:r>
    </w:p>
    <w:p>
      <w:pPr>
        <w:pStyle w:val="BodyText"/>
      </w:pPr>
      <w:r>
        <w:t xml:space="preserve">380 Draft study “Completing the Digital Single Market”.</w:t>
      </w:r>
      <w:r>
        <w:t xml:space="preserve"> </w:t>
      </w:r>
      <w:r>
        <w:t xml:space="preserve">381 BoR(24) 180.</w:t>
      </w:r>
      <w:r>
        <w:t xml:space="preserve"> </w:t>
      </w:r>
      <w:r>
        <w:t xml:space="preserve">382 The Court of Justice of the European Unuion has acknowledged that such national differences can justify the</w:t>
      </w:r>
      <w:r>
        <w:t xml:space="preserve"> </w:t>
      </w:r>
      <w:r>
        <w:t xml:space="preserve">imposition of</w:t>
      </w:r>
      <w:r>
        <w:t xml:space="preserve"> </w:t>
      </w:r>
      <w:r>
        <w:t xml:space="preserve">“must carry”</w:t>
      </w:r>
      <w:r>
        <w:t xml:space="preserve"> </w:t>
      </w:r>
      <w:r>
        <w:t xml:space="preserve">obligations, provided they are proportionate and do not infringe on other</w:t>
      </w:r>
      <w:r>
        <w:t xml:space="preserve"> </w:t>
      </w:r>
      <w:r>
        <w:t xml:space="preserve">fundamental rights. This highlights the need for a balanced and context-sensitive application of these rules,</w:t>
      </w:r>
      <w:r>
        <w:t xml:space="preserve"> </w:t>
      </w:r>
      <w:r>
        <w:t xml:space="preserve">aligned with both regulatory principles and local needs. Case C‑87/19.</w:t>
      </w:r>
      <w:r>
        <w:t xml:space="preserve"> </w:t>
      </w:r>
      <w:r>
        <w:t xml:space="preserve">383 BEREC Opinion BoR(24)180 Figure 4, Figure 3.</w:t>
      </w:r>
      <w:r>
        <w:br/>
      </w:r>
      <w:r>
        <w:t xml:space="preserve">384 European Banking Authority, 2025, EBA Consumer Trends Report 2024/25,</w:t>
      </w:r>
      <w:r>
        <w:t xml:space="preserve"> </w:t>
      </w:r>
      <w:r>
        <w:t xml:space="preserve">https://www.eba.europa.eu/sites/default/files/2025-03/514b651f-091b-42d3-b738-</w:t>
      </w:r>
      <w:r>
        <w:t xml:space="preserve"> </w:t>
      </w:r>
      <w:r>
        <w:t xml:space="preserve">1fae79264044/Consumer%20Trends%20Report%202024-2025.pdf.</w:t>
      </w:r>
      <w:r>
        <w:t xml:space="preserve"> </w:t>
      </w:r>
      <w:r>
        <w:t xml:space="preserve">385 Special Eurobarometer 560. E-Communications and Digital Single Market. 2026.</w:t>
      </w:r>
    </w:p>
    <w:p>
      <w:pPr>
        <w:pStyle w:val="BodyText"/>
      </w:pPr>
      <w:r>
        <w:t xml:space="preserve">118</w:t>
      </w:r>
    </w:p>
    <w:p>
      <w:pPr>
        <w:pStyle w:val="BodyText"/>
      </w:pPr>
      <w:r>
        <w:t xml:space="preserve">enabled in Article 97(2) to issue orders after case-by-case analysis. These measures aim to</w:t>
      </w:r>
      <w:r>
        <w:t xml:space="preserve"> </w:t>
      </w:r>
      <w:r>
        <w:t xml:space="preserve">balance e-privacy concerns with the need to fight the growing economic and societal impact</w:t>
      </w:r>
      <w:r>
        <w:t xml:space="preserve"> </w:t>
      </w:r>
      <w:r>
        <w:t xml:space="preserve">of fraud schemes perpetrated through interpersonal communication services on end-users.</w:t>
      </w:r>
      <w:r>
        <w:br/>
      </w:r>
      <w:r>
        <w:t xml:space="preserve">8.4. Coherence</w:t>
      </w:r>
      <w:r>
        <w:t xml:space="preserve"> </w:t>
      </w:r>
      <w:r>
        <w:t xml:space="preserve">One of the main coherence aspects of the EECC end-user rights is its alignment with</w:t>
      </w:r>
      <w:r>
        <w:t xml:space="preserve"> </w:t>
      </w:r>
      <w:r>
        <w:t xml:space="preserve">horizontal Union consumer protection legislation. The Consumer Rights Directive (CRD)386</w:t>
      </w:r>
      <w:r>
        <w:t xml:space="preserve"> </w:t>
      </w:r>
      <w:r>
        <w:t xml:space="preserve">contains general consumer law rules on pre-contractual information, which link with the</w:t>
      </w:r>
      <w:r>
        <w:t xml:space="preserve"> </w:t>
      </w:r>
      <w:r>
        <w:t xml:space="preserve">information requirements for contracts in Article 102. Stakeholders have asked387 for an</w:t>
      </w:r>
      <w:r>
        <w:t xml:space="preserve"> </w:t>
      </w:r>
      <w:r>
        <w:t xml:space="preserve">improved alignment of the content of the pre-contractual information that needs to be</w:t>
      </w:r>
      <w:r>
        <w:t xml:space="preserve"> </w:t>
      </w:r>
      <w:r>
        <w:t xml:space="preserve">provided, several industry associations suggesting deletion of what is covered by horizontal</w:t>
      </w:r>
      <w:r>
        <w:t xml:space="preserve"> </w:t>
      </w:r>
      <w:r>
        <w:t xml:space="preserve">legislation.</w:t>
      </w:r>
      <w:r>
        <w:t xml:space="preserve"> </w:t>
      </w:r>
      <w:r>
        <w:t xml:space="preserve">BEREC’s opinion points out that full harmonisation and its interactions (and sometimes</w:t>
      </w:r>
      <w:r>
        <w:t xml:space="preserve"> </w:t>
      </w:r>
      <w:r>
        <w:t xml:space="preserve">clashes) with established interpretations in the areas of contract and consumer law at national</w:t>
      </w:r>
      <w:r>
        <w:t xml:space="preserve"> </w:t>
      </w:r>
      <w:r>
        <w:t xml:space="preserve">level were identified as a concern. BEREC has also raised issues of coherence both internally</w:t>
      </w:r>
      <w:r>
        <w:t xml:space="preserve"> </w:t>
      </w:r>
      <w:r>
        <w:t xml:space="preserve">and externally concerning the beneficiaries of the protection and the different applicability to</w:t>
      </w:r>
      <w:r>
        <w:t xml:space="preserve"> </w:t>
      </w:r>
      <w:r>
        <w:t xml:space="preserve">all end-users, certain groups of end-users or only to consumers. On the rules on bundled offers</w:t>
      </w:r>
      <w:r>
        <w:t xml:space="preserve"> </w:t>
      </w:r>
      <w:r>
        <w:t xml:space="preserve">(Article 107), BEREC observed some concern that there is a mismatch between the</w:t>
      </w:r>
      <w:r>
        <w:t xml:space="preserve"> </w:t>
      </w:r>
      <w:r>
        <w:t xml:space="preserve">beneficiaries of the protections of Article 106(1) in a stand-alone situation and in a bundle</w:t>
      </w:r>
      <w:r>
        <w:t xml:space="preserve"> </w:t>
      </w:r>
      <w:r>
        <w:t xml:space="preserve">situation, because of the formulation of Article 107(4) EECC that includes a possibility to</w:t>
      </w:r>
      <w:r>
        <w:t xml:space="preserve"> </w:t>
      </w:r>
      <w:r>
        <w:t xml:space="preserve">waive all or parts of the provisions.</w:t>
      </w:r>
      <w:r>
        <w:t xml:space="preserve"> </w:t>
      </w:r>
      <w:r>
        <w:t xml:space="preserve">According to the DSM supporting study operators have mentioned concerns about potential</w:t>
      </w:r>
      <w:r>
        <w:t xml:space="preserve"> </w:t>
      </w:r>
      <w:r>
        <w:t xml:space="preserve">overlap under the EECC Article 108 and the Directive on the resilience of critical entities388.</w:t>
      </w:r>
      <w:r>
        <w:br/>
      </w:r>
      <w:r>
        <w:t xml:space="preserve">The EECC and Digital Services Act are considered largely complementary, but according to</w:t>
      </w:r>
      <w:r>
        <w:t xml:space="preserve"> </w:t>
      </w:r>
      <w:r>
        <w:t xml:space="preserve">the DSM supporting study, the scoping to certain NI-ICS could be clarified.389</w:t>
      </w:r>
      <w:r>
        <w:br/>
      </w:r>
      <w:r>
        <w:t xml:space="preserve">The Open Internet Regulation (OIR Regulation 2015/2120) and the EECC largely align,</w:t>
      </w:r>
      <w:r>
        <w:t xml:space="preserve"> </w:t>
      </w:r>
      <w:r>
        <w:t xml:space="preserve">though some interplay issues have been mentioned.390 Article 106 lays out provisions to</w:t>
      </w:r>
      <w:r>
        <w:t xml:space="preserve"> </w:t>
      </w:r>
      <w:r>
        <w:t xml:space="preserve">facilitate provider switching, including for providers that offer internet access. On the other</w:t>
      </w:r>
      <w:r>
        <w:t xml:space="preserve"> </w:t>
      </w:r>
      <w:r>
        <w:t xml:space="preserve">hand, OIR contains a broad baseline provision on the quality of access to internet service that</w:t>
      </w:r>
      <w:r>
        <w:t xml:space="preserve"> </w:t>
      </w:r>
      <w:r>
        <w:t xml:space="preserve">is referred to in the context of the contract summary and Annex VIII.</w:t>
      </w:r>
    </w:p>
    <w:p>
      <w:pPr>
        <w:pStyle w:val="BodyText"/>
      </w:pPr>
      <w:r>
        <w:t xml:space="preserve">386 Directive 2011/83/EU.</w:t>
      </w:r>
      <w:r>
        <w:t xml:space="preserve"> </w:t>
      </w:r>
      <w:r>
        <w:t xml:space="preserve">387 DSM supporting study.</w:t>
      </w:r>
      <w:r>
        <w:t xml:space="preserve"> </w:t>
      </w:r>
      <w:r>
        <w:t xml:space="preserve">388 Directive (EU) 2022/2557.</w:t>
      </w:r>
      <w:r>
        <w:br/>
      </w:r>
      <w:r>
        <w:t xml:space="preserve">389 On the DMA, see BEREC (2021). Report on the interplay between the EECC and the EC’s proposal for a</w:t>
      </w:r>
      <w:r>
        <w:t xml:space="preserve"> </w:t>
      </w:r>
      <w:r>
        <w:t xml:space="preserve">Digital Markets Act concerning number-independent interpersonal communication services, BoR(21) 85:</w:t>
      </w:r>
      <w:r>
        <w:t xml:space="preserve"> </w:t>
      </w:r>
      <w:r>
        <w:t xml:space="preserve">https://www.berec.europa.eu/sites/default/files/files/document_register_store/2021/6/BoR_(21)</w:t>
      </w:r>
      <w:r>
        <w:rPr>
          <w:i/>
          <w:iCs/>
        </w:rPr>
        <w:t xml:space="preserve">85_Report</w:t>
      </w:r>
      <w:r>
        <w:t xml:space="preserve"> </w:t>
      </w:r>
      <w:r>
        <w:t xml:space="preserve">on_the_interplay_EECC-DMA_on_NI-ICS_-</w:t>
      </w:r>
      <w:r>
        <w:rPr>
          <w:i/>
          <w:iCs/>
        </w:rPr>
        <w:t xml:space="preserve">Clean</w:t>
      </w:r>
      <w:r>
        <w:t xml:space="preserve">(final).pdf.</w:t>
      </w:r>
      <w:r>
        <w:t xml:space="preserve"> </w:t>
      </w:r>
      <w:r>
        <w:t xml:space="preserve">390 European Commission: Directorate-General for Communications Networks, Content and Technology, ICF,</w:t>
      </w:r>
      <w:r>
        <w:t xml:space="preserve"> </w:t>
      </w:r>
      <w:r>
        <w:t xml:space="preserve">Wik Consult, Godlovitch, I., Wiewiorra, L. et al., Study on the implementation of the open internet access</w:t>
      </w:r>
      <w:r>
        <w:t xml:space="preserve"> </w:t>
      </w:r>
      <w:r>
        <w:t xml:space="preserve">provisions of Regulation 2015/2120, Publications Office of the European Union, 2023,</w:t>
      </w:r>
      <w:r>
        <w:t xml:space="preserve"> </w:t>
      </w:r>
      <w:r>
        <w:t xml:space="preserve">https://data.europa.eu/doi/10.2759/026383 discusses this incoherence, but also notes that such legal</w:t>
      </w:r>
      <w:r>
        <w:t xml:space="preserve"> </w:t>
      </w:r>
      <w:r>
        <w:t xml:space="preserve">uncertainty has not yet been observed in the market.</w:t>
      </w:r>
    </w:p>
    <w:p>
      <w:pPr>
        <w:pStyle w:val="BodyText"/>
      </w:pPr>
      <w:r>
        <w:t xml:space="preserve">119</w:t>
      </w:r>
    </w:p>
    <w:p>
      <w:pPr>
        <w:pStyle w:val="BodyText"/>
      </w:pPr>
      <w:r>
        <w:t xml:space="preserve">The EECC and the Digital Content Directive391 can be considered largely complementary</w:t>
      </w:r>
      <w:r>
        <w:t xml:space="preserve"> </w:t>
      </w:r>
      <w:r>
        <w:t xml:space="preserve">though some interplay issues between the two instruments have been pointed out on</w:t>
      </w:r>
      <w:r>
        <w:t xml:space="preserve"> </w:t>
      </w:r>
      <w:r>
        <w:t xml:space="preserve">terminating contracts regarding contract modifications392.</w:t>
      </w:r>
      <w:r>
        <w:br/>
      </w:r>
      <w:r>
        <w:t xml:space="preserve">The provisions of Article 109 on emergency communications are coherent and</w:t>
      </w:r>
      <w:r>
        <w:t xml:space="preserve"> </w:t>
      </w:r>
      <w:r>
        <w:t xml:space="preserve">complementary with other sectoral EU legislation, namely, the European Accessibility Act393</w:t>
      </w:r>
      <w:r>
        <w:t xml:space="preserve"> </w:t>
      </w:r>
      <w:r>
        <w:t xml:space="preserve">and eCall legislation394.</w:t>
      </w:r>
      <w:r>
        <w:t xml:space="preserve"> </w:t>
      </w:r>
      <w:r>
        <w:t xml:space="preserve">When assessing the coherence of the scope with other acts, several governments and industry</w:t>
      </w:r>
      <w:r>
        <w:t xml:space="preserve"> </w:t>
      </w:r>
      <w:r>
        <w:t xml:space="preserve">stakeholders commented on the rules on personal data protection in electronic</w:t>
      </w:r>
      <w:r>
        <w:t xml:space="preserve"> </w:t>
      </w:r>
      <w:r>
        <w:t xml:space="preserve">communications and found incoherence of the ePrivacy Directive with the GDPR and the</w:t>
      </w:r>
      <w:r>
        <w:t xml:space="preserve"> </w:t>
      </w:r>
      <w:r>
        <w:t xml:space="preserve">EECC. A few stakeholders pointed out that, due to the repeal of the proposal for an ePrivacy</w:t>
      </w:r>
      <w:r>
        <w:t xml:space="preserve"> </w:t>
      </w:r>
      <w:r>
        <w:t xml:space="preserve">Regulation, alternative solutions should be sought that align the rules for electronic</w:t>
      </w:r>
      <w:r>
        <w:t xml:space="preserve"> </w:t>
      </w:r>
      <w:r>
        <w:t xml:space="preserve">communications with the GDPR. For instance, unsolicited communications, direct marketing,</w:t>
      </w:r>
      <w:r>
        <w:t xml:space="preserve"> </w:t>
      </w:r>
      <w:r>
        <w:t xml:space="preserve">malicious calls, and cookies may already be sufficiently covered by the GDPR and do not</w:t>
      </w:r>
      <w:r>
        <w:t xml:space="preserve"> </w:t>
      </w:r>
      <w:r>
        <w:t xml:space="preserve">require duplicate sectoral regulation. However, some sector-specific provisions remain</w:t>
      </w:r>
      <w:r>
        <w:t xml:space="preserve"> </w:t>
      </w:r>
      <w:r>
        <w:t xml:space="preserve">necessary395.</w:t>
      </w:r>
      <w:r>
        <w:t xml:space="preserve"> </w:t>
      </w:r>
      <w:r>
        <w:t xml:space="preserve">8.5. EU added value</w:t>
      </w:r>
      <w:r>
        <w:t xml:space="preserve"> </w:t>
      </w:r>
      <w:r>
        <w:t xml:space="preserve">The added value of EU sector specific end-user protection rules in the electronic</w:t>
      </w:r>
      <w:r>
        <w:t xml:space="preserve"> </w:t>
      </w:r>
      <w:r>
        <w:t xml:space="preserve">communications sector is two-fold396. It appears essential to continue to regulate key elements</w:t>
      </w:r>
      <w:r>
        <w:t xml:space="preserve"> </w:t>
      </w:r>
      <w:r>
        <w:t xml:space="preserve">specific to the electronic communications market (such as switching and number portability)</w:t>
      </w:r>
      <w:r>
        <w:t xml:space="preserve"> </w:t>
      </w:r>
      <w:r>
        <w:t xml:space="preserve">so that consumers can profit from competition. Second, consumer protection rules are part of</w:t>
      </w:r>
      <w:r>
        <w:t xml:space="preserve"> </w:t>
      </w:r>
      <w:r>
        <w:t xml:space="preserve">the conditions that operators are obliged to comply with when providing electronic</w:t>
      </w:r>
      <w:r>
        <w:t xml:space="preserve"> </w:t>
      </w:r>
      <w:r>
        <w:t xml:space="preserve">communications services and as such have a great impact on the conditions to do business and</w:t>
      </w:r>
      <w:r>
        <w:t xml:space="preserve"> </w:t>
      </w:r>
      <w:r>
        <w:t xml:space="preserve">on the competition within the single market. In this latter context, full harmonisation has</w:t>
      </w:r>
      <w:r>
        <w:t xml:space="preserve"> </w:t>
      </w:r>
      <w:r>
        <w:t xml:space="preserve">generated additional value. Harmonised end-user rules support also interoperability and cross-</w:t>
      </w:r>
      <w:r>
        <w:t xml:space="preserve"> </w:t>
      </w:r>
      <w:r>
        <w:t xml:space="preserve">border services operating at scale, as highlighted by industry stakeholders397.</w:t>
      </w:r>
      <w:r>
        <w:t xml:space="preserve"> </w:t>
      </w:r>
      <w:r>
        <w:t xml:space="preserve">The principle of maximum harmonisation is set in the EECC Article 101. As discussed in the</w:t>
      </w:r>
      <w:r>
        <w:t xml:space="preserve"> </w:t>
      </w:r>
      <w:r>
        <w:t xml:space="preserve">section on effectiveness, many Member States have used the EECC provisions that give</w:t>
      </w:r>
      <w:r>
        <w:t xml:space="preserve"> </w:t>
      </w:r>
      <w:r>
        <w:t xml:space="preserve">Member States possibilities to introduce additional rules in various end-user rights articles398.</w:t>
      </w:r>
    </w:p>
    <w:p>
      <w:pPr>
        <w:pStyle w:val="BodyText"/>
      </w:pPr>
      <w:r>
        <w:t xml:space="preserve">391 Directive (EU) 2019/770 of the European Parliament and of the Council of 20 May 2019 on certain aspects</w:t>
      </w:r>
      <w:r>
        <w:t xml:space="preserve"> </w:t>
      </w:r>
      <w:r>
        <w:t xml:space="preserve">concerning contracts for the supply of digital content and digital services, OJ L 136, 22.05.2019: https://eur-</w:t>
      </w:r>
      <w:r>
        <w:t xml:space="preserve"> </w:t>
      </w:r>
      <w:r>
        <w:t xml:space="preserve">lex.europa.eu/legal-content/EN/TXT/?uri=CELEX:32019L0770.</w:t>
      </w:r>
      <w:r>
        <w:br/>
      </w:r>
      <w:r>
        <w:t xml:space="preserve">392 See a discussion in: Karin Sein, What rules should apply to smart consumer goods?, 12 (2021) JIPITEC 169:</w:t>
      </w:r>
      <w:r>
        <w:t xml:space="preserve"> </w:t>
      </w:r>
      <w:r>
        <w:t xml:space="preserve">https://www.jipitec.eu/jipitec/article/view/305/298.</w:t>
      </w:r>
      <w:r>
        <w:br/>
      </w:r>
      <w:r>
        <w:t xml:space="preserve">393 Directive (EU) 2019/882 of the European Parliament and of the Council of 17 April 2019 on the</w:t>
      </w:r>
      <w:r>
        <w:t xml:space="preserve"> </w:t>
      </w:r>
      <w:r>
        <w:t xml:space="preserve">accessibility requirements for products and services.</w:t>
      </w:r>
      <w:r>
        <w:t xml:space="preserve"> </w:t>
      </w:r>
      <w:r>
        <w:t xml:space="preserve">394 Commission Delegated Regulation 2024/1084.</w:t>
      </w:r>
      <w:r>
        <w:t xml:space="preserve"> </w:t>
      </w:r>
      <w:r>
        <w:t xml:space="preserve">395 DSM supporting study.</w:t>
      </w:r>
      <w:r>
        <w:t xml:space="preserve"> </w:t>
      </w:r>
      <w:r>
        <w:t xml:space="preserve">396 Discussion in the previous evaluation SWD(2016) 313. 14.9.2016. Evaluation of the regulatory framework</w:t>
      </w:r>
      <w:r>
        <w:t xml:space="preserve"> </w:t>
      </w:r>
      <w:r>
        <w:t xml:space="preserve">for electronic communications.</w:t>
      </w:r>
      <w:r>
        <w:br/>
      </w:r>
      <w:r>
        <w:t xml:space="preserve">397 Feedback on the Commission White Paper “How to master Europe’s digital infrastructure needs?”</w:t>
      </w:r>
      <w:r>
        <w:br/>
      </w:r>
      <w:r>
        <w:t xml:space="preserve">https://www.ebu.ch/events/2025/10/channels-of-resilience?site=ebu#speakers-4fec4dae-952f-430a-876f-</w:t>
      </w:r>
      <w:r>
        <w:t xml:space="preserve"> </w:t>
      </w:r>
      <w:r>
        <w:t xml:space="preserve">6611995916f0 and Connect Europe study “A simplification Agenda for European telecoms 2025”.</w:t>
      </w:r>
      <w:r>
        <w:t xml:space="preserve"> </w:t>
      </w:r>
      <w:r>
        <w:t xml:space="preserve">398 Figure 7. BEREC Opinion on the market and technological developments and on their impact on the</w:t>
      </w:r>
      <w:r>
        <w:t xml:space="preserve"> </w:t>
      </w:r>
      <w:r>
        <w:t xml:space="preserve">application of rights of end-users in the EECC (Article 123). BoR(24)180.</w:t>
      </w:r>
    </w:p>
    <w:p>
      <w:pPr>
        <w:pStyle w:val="BodyText"/>
      </w:pPr>
      <w:r>
        <w:t xml:space="preserve">120</w:t>
      </w:r>
    </w:p>
    <w:p>
      <w:pPr>
        <w:pStyle w:val="BodyText"/>
      </w:pPr>
      <w:r>
        <w:t xml:space="preserve">This can present a risk of reducing the EU added value and fragmenting the overall market.399</w:t>
      </w:r>
      <w:r>
        <w:t xml:space="preserve"> </w:t>
      </w:r>
      <w:r>
        <w:t xml:space="preserve">On the other hand, several stakeholders noted that this allows for flexibility, taking national</w:t>
      </w:r>
      <w:r>
        <w:t xml:space="preserve"> </w:t>
      </w:r>
      <w:r>
        <w:t xml:space="preserve">circumstances into account and having more tailored national rules where necessary.</w:t>
      </w:r>
      <w:r>
        <w:t xml:space="preserve"> </w:t>
      </w:r>
      <w:r>
        <w:t xml:space="preserve">According to the DSM supporting study, almost all public sector stakeholders agree that some</w:t>
      </w:r>
      <w:r>
        <w:t xml:space="preserve"> </w:t>
      </w:r>
      <w:r>
        <w:t xml:space="preserve">provisions in the EECC provide added value beyond the horizontal rules that are in place.</w:t>
      </w:r>
      <w:r>
        <w:t xml:space="preserve"> </w:t>
      </w:r>
      <w:r>
        <w:t xml:space="preserve">Overall, they note that the EECC provides stronger, sector-specific protection to ensure</w:t>
      </w:r>
      <w:r>
        <w:t xml:space="preserve"> </w:t>
      </w:r>
      <w:r>
        <w:t xml:space="preserve">transparency, fair competition, and consumer rights in a rapidly evolving telecom market.</w:t>
      </w:r>
      <w:r>
        <w:t xml:space="preserve"> </w:t>
      </w:r>
      <w:r>
        <w:t xml:space="preserve">Furthermore, the EECC harmonises the extension of certain protections beyond consumers,</w:t>
      </w:r>
      <w:r>
        <w:t xml:space="preserve"> </w:t>
      </w:r>
      <w:r>
        <w:t xml:space="preserve">for example to micro and small enterprises and not-for-profit organisations meaning that also</w:t>
      </w:r>
      <w:r>
        <w:t xml:space="preserve"> </w:t>
      </w:r>
      <w:r>
        <w:t xml:space="preserve">they are better protected throughout the EU. While some industry stakeholders mention the</w:t>
      </w:r>
      <w:r>
        <w:t xml:space="preserve"> </w:t>
      </w:r>
      <w:r>
        <w:t xml:space="preserve">burden that some of the EECC provisions (e.g. contractual information or the added value of</w:t>
      </w:r>
      <w:r>
        <w:t xml:space="preserve"> </w:t>
      </w:r>
      <w:r>
        <w:t xml:space="preserve">Article 113) place on operators, the need to ensure resilience of communication of public</w:t>
      </w:r>
      <w:r>
        <w:t xml:space="preserve"> </w:t>
      </w:r>
      <w:r>
        <w:t xml:space="preserve">interest information and of public warnings in disaster situations and in case mobile</w:t>
      </w:r>
      <w:r>
        <w:t xml:space="preserve"> </w:t>
      </w:r>
      <w:r>
        <w:t xml:space="preserve">communication networks are not working or are congested has been highlighted by public</w:t>
      </w:r>
      <w:r>
        <w:t xml:space="preserve"> </w:t>
      </w:r>
      <w:r>
        <w:t xml:space="preserve">service broadcasters and EP parliamentarians400.</w:t>
      </w:r>
      <w:r>
        <w:br/>
      </w:r>
      <w:r>
        <w:t xml:space="preserve">9. GOVERNANCE</w:t>
      </w:r>
      <w:r>
        <w:t xml:space="preserve"> </w:t>
      </w:r>
      <w:r>
        <w:t xml:space="preserve">The overall governance as it results in EECC involves the role of several actors, including the</w:t>
      </w:r>
      <w:r>
        <w:t xml:space="preserve"> </w:t>
      </w:r>
      <w:r>
        <w:t xml:space="preserve">Commission, NRAs and other national competent authorities, as for example Spectrum</w:t>
      </w:r>
      <w:r>
        <w:t xml:space="preserve"> </w:t>
      </w:r>
      <w:r>
        <w:t xml:space="preserve">Authorities, BEREC and BEREC Office, and RSPG. interacting among themselves and</w:t>
      </w:r>
      <w:r>
        <w:t xml:space="preserve"> </w:t>
      </w:r>
      <w:r>
        <w:t xml:space="preserve">coordinating horizontally at national level or vertically between the national and the EU401</w:t>
      </w:r>
      <w:r>
        <w:t xml:space="preserve"> </w:t>
      </w:r>
      <w:r>
        <w:t xml:space="preserve">level. The allocation of competences has been done according to different modalities, either</w:t>
      </w:r>
      <w:r>
        <w:t xml:space="preserve"> </w:t>
      </w:r>
      <w:r>
        <w:t xml:space="preserve">listing the competences as for example Article 5 EECC on competences of NRAs or</w:t>
      </w:r>
      <w:r>
        <w:t xml:space="preserve"> </w:t>
      </w:r>
      <w:r>
        <w:t xml:space="preserve">allocating specific tasks as for example to BEREC in Article 76 or Article 82 EECC regarding</w:t>
      </w:r>
      <w:r>
        <w:t xml:space="preserve"> </w:t>
      </w:r>
      <w:r>
        <w:t xml:space="preserve">the guidelines. In other cases, the competences were allocated at the stage of transposition</w:t>
      </w:r>
      <w:r>
        <w:t xml:space="preserve"> </w:t>
      </w:r>
      <w:r>
        <w:t xml:space="preserve">normally between competent Authorities and NRA.</w:t>
      </w:r>
      <w:r>
        <w:br/>
      </w:r>
      <w:r>
        <w:t xml:space="preserve">9.1. Independence of NRAs</w:t>
      </w:r>
      <w:r>
        <w:t xml:space="preserve"> </w:t>
      </w:r>
      <w:r>
        <w:t xml:space="preserve">The EECC contains provisions on the functions and independence of the NRAs (Articles 5-</w:t>
      </w:r>
      <w:r>
        <w:t xml:space="preserve"> </w:t>
      </w:r>
      <w:r>
        <w:t xml:space="preserve">11). The Directive provides high-level principles to which Member States need to abide to</w:t>
      </w:r>
      <w:r>
        <w:t xml:space="preserve"> </w:t>
      </w:r>
      <w:r>
        <w:t xml:space="preserve">ensure that the NRAs have the necessary resources (both in terms of budget and staff) to</w:t>
      </w:r>
      <w:r>
        <w:t xml:space="preserve"> </w:t>
      </w:r>
      <w:r>
        <w:t xml:space="preserve">execute their tasks. The Member States maintain a high level of discretion in the actual</w:t>
      </w:r>
      <w:r>
        <w:t xml:space="preserve"> </w:t>
      </w:r>
      <w:r>
        <w:t xml:space="preserve">implementation of the provisions. The novelties introduced by the EECC compared to the</w:t>
      </w:r>
      <w:r>
        <w:t xml:space="preserve"> </w:t>
      </w:r>
      <w:r>
        <w:t xml:space="preserve">previous legal framework relate mainly to strengthening the independence of personnel: the</w:t>
      </w:r>
      <w:r>
        <w:t xml:space="preserve"> </w:t>
      </w:r>
      <w:r>
        <w:t xml:space="preserve">EECC has requirements not only for the dismissal but also for the appointment of the NRA</w:t>
      </w:r>
      <w:r>
        <w:t xml:space="preserve"> </w:t>
      </w:r>
      <w:r>
        <w:t xml:space="preserve">head and members of the NRA board.</w:t>
      </w:r>
      <w:r>
        <w:t xml:space="preserve"> </w:t>
      </w:r>
      <w:r>
        <w:t xml:space="preserve">In its final report on the independence of NRAs402, BEREC distinguished between an</w:t>
      </w:r>
      <w:r>
        <w:t xml:space="preserve"> </w:t>
      </w:r>
      <w:r>
        <w:t xml:space="preserve">independence de jure, stemming from the actual provisions, and an independence de facto,</w:t>
      </w:r>
      <w:r>
        <w:t xml:space="preserve"> </w:t>
      </w:r>
      <w:r>
        <w:t xml:space="preserve">which is influenced by other elements. EU-level legal provisions on NRA independence leave</w:t>
      </w:r>
      <w:r>
        <w:t xml:space="preserve"> </w:t>
      </w:r>
      <w:r>
        <w:t xml:space="preserve">a lot of leeway for the Member States for their implementation in the national legislation. In</w:t>
      </w:r>
    </w:p>
    <w:p>
      <w:pPr>
        <w:pStyle w:val="BodyText"/>
      </w:pPr>
      <w:r>
        <w:t xml:space="preserve">399 This phenomenon of derogations and the following detrimental effects that could arise by “gold-plating” is</w:t>
      </w:r>
      <w:r>
        <w:t xml:space="preserve"> </w:t>
      </w:r>
      <w:r>
        <w:t xml:space="preserve">discussed by Letta, (2024), Much More than a Market, p. 125.</w:t>
      </w:r>
      <w:r>
        <w:t xml:space="preserve"> </w:t>
      </w:r>
      <w:r>
        <w:t xml:space="preserve">400 See https://www.ebu.ch/video-talks/open/2025/10/channels-of-resilience</w:t>
      </w:r>
      <w:r>
        <w:t xml:space="preserve"> </w:t>
      </w:r>
      <w:r>
        <w:t xml:space="preserve">401 In some Member States, spectrum competences are split between ad hoc spectrum authorises, ministries and</w:t>
      </w:r>
      <w:r>
        <w:t xml:space="preserve"> </w:t>
      </w:r>
      <w:r>
        <w:t xml:space="preserve">NRA. In some cases, NRAs present in BEREC, don’t have nearly any competence in spectrum.</w:t>
      </w:r>
      <w:r>
        <w:br/>
      </w:r>
      <w:r>
        <w:t xml:space="preserve">402 Study on the NRA independence, BoR (22) 189.</w:t>
      </w:r>
    </w:p>
    <w:p>
      <w:pPr>
        <w:pStyle w:val="BodyText"/>
      </w:pPr>
      <w:r>
        <w:t xml:space="preserve">121</w:t>
      </w:r>
    </w:p>
    <w:p>
      <w:pPr>
        <w:pStyle w:val="BodyText"/>
      </w:pPr>
      <w:r>
        <w:t xml:space="preserve">addition, the practice of NRA independence (de facto independence) varies across countries,</w:t>
      </w:r>
      <w:r>
        <w:t xml:space="preserve"> </w:t>
      </w:r>
      <w:r>
        <w:t xml:space="preserve">leading to even more diversity. As a result, although there is a harmonised de jure framework</w:t>
      </w:r>
      <w:r>
        <w:t xml:space="preserve"> </w:t>
      </w:r>
      <w:r>
        <w:t xml:space="preserve">at the EU level, there is still a diversity of de jure and de facto independence at the national</w:t>
      </w:r>
      <w:r>
        <w:t xml:space="preserve"> </w:t>
      </w:r>
      <w:r>
        <w:t xml:space="preserve">level.</w:t>
      </w:r>
      <w:r>
        <w:br/>
      </w:r>
      <w:r>
        <w:t xml:space="preserve">In addition to the independence, Member State shall also ensure that NRAs have adequate</w:t>
      </w:r>
      <w:r>
        <w:t xml:space="preserve"> </w:t>
      </w:r>
      <w:r>
        <w:t xml:space="preserve">financial and human resources to enable them to actively participate in and contribute to</w:t>
      </w:r>
      <w:r>
        <w:t xml:space="preserve"> </w:t>
      </w:r>
      <w:r>
        <w:t xml:space="preserve">BEREC’s goals of promoting greater regulatory coordination and consistency.</w:t>
      </w:r>
      <w:r>
        <w:br/>
      </w:r>
      <w:r>
        <w:t xml:space="preserve">9.2. BEREC and BEREC Office</w:t>
      </w:r>
      <w:r>
        <w:t xml:space="preserve"> </w:t>
      </w:r>
      <w:r>
        <w:t xml:space="preserve">The evaluation of BEREC and BEREC Office according to the evaluation criteria</w:t>
      </w:r>
      <w:r>
        <w:t xml:space="preserve"> </w:t>
      </w:r>
      <w:r>
        <w:t xml:space="preserve">(effectiveness, efficiency, coherence, EU added value, relevance) is contained in separate</w:t>
      </w:r>
      <w:r>
        <w:t xml:space="preserve"> </w:t>
      </w:r>
      <w:r>
        <w:t xml:space="preserve">document entitled: Evaluation of BEREC and the BEREC Office. It is attached as Appendix</w:t>
      </w:r>
      <w:r>
        <w:t xml:space="preserve"> </w:t>
      </w:r>
      <w:r>
        <w:t xml:space="preserve">III to this evaluation report.</w:t>
      </w:r>
      <w:r>
        <w:br/>
      </w:r>
      <w:r>
        <w:t xml:space="preserve">9.3. Radio Spectrum Policy Group (RSPG)</w:t>
      </w:r>
      <w:r>
        <w:t xml:space="preserve"> </w:t>
      </w:r>
      <w:r>
        <w:t xml:space="preserve">The Radio Spectrum Policy Group (RSPG) is a Commission high-level advisory group</w:t>
      </w:r>
      <w:r>
        <w:t xml:space="preserve"> </w:t>
      </w:r>
      <w:r>
        <w:t xml:space="preserve">established by 403 to support the Commission in the coordination of radio spectrum policy. Its</w:t>
      </w:r>
      <w:r>
        <w:t xml:space="preserve"> </w:t>
      </w:r>
      <w:r>
        <w:t xml:space="preserve">members are high-level representatives responsible for strategic radio spectrum policy from</w:t>
      </w:r>
      <w:r>
        <w:t xml:space="preserve"> </w:t>
      </w:r>
      <w:r>
        <w:t xml:space="preserve">Member States and, since 2023404, from EEA EFTA countries, and observers from the EU</w:t>
      </w:r>
      <w:r>
        <w:t xml:space="preserve"> </w:t>
      </w:r>
      <w:r>
        <w:t xml:space="preserve">candidate countries, the CEPT and ETSI. The RSPG Secretariat is provided by the</w:t>
      </w:r>
      <w:r>
        <w:t xml:space="preserve"> </w:t>
      </w:r>
      <w:r>
        <w:t xml:space="preserve">Commission.</w:t>
      </w:r>
      <w:r>
        <w:br/>
      </w:r>
      <w:r>
        <w:t xml:space="preserve">With the entry into force of the EECC at the end of 2018, the RSPG role has been</w:t>
      </w:r>
      <w:r>
        <w:t xml:space="preserve"> </w:t>
      </w:r>
      <w:r>
        <w:t xml:space="preserve">strengthened and tasks expanded to inter alia peer review of spectrum assignment procedures</w:t>
      </w:r>
      <w:r>
        <w:t xml:space="preserve"> </w:t>
      </w:r>
      <w:r>
        <w:t xml:space="preserve">under Article 35 of the EECC and good offices to address any problem or dispute in relation</w:t>
      </w:r>
      <w:r>
        <w:t xml:space="preserve"> </w:t>
      </w:r>
      <w:r>
        <w:t xml:space="preserve">to cross-border coordination under Article 28 of the EECC. Additionally, the RSPG assists the</w:t>
      </w:r>
      <w:r>
        <w:t xml:space="preserve"> </w:t>
      </w:r>
      <w:r>
        <w:t xml:space="preserve">Commission in preparatory work for establishing the EU position for the World</w:t>
      </w:r>
      <w:r>
        <w:t xml:space="preserve"> </w:t>
      </w:r>
      <w:r>
        <w:t xml:space="preserve">Radiocommunications Conferences (WRC) pursuant Article 218(9) TFEU. The RSPG also</w:t>
      </w:r>
      <w:r>
        <w:t xml:space="preserve"> </w:t>
      </w:r>
      <w:r>
        <w:t xml:space="preserve">assists Member States and could, upon request, advise the Council and the European</w:t>
      </w:r>
      <w:r>
        <w:t xml:space="preserve"> </w:t>
      </w:r>
      <w:r>
        <w:t xml:space="preserve">Parliament. New tasks were reflected in Commission Decision of 11 June 2019405.</w:t>
      </w:r>
      <w:r>
        <w:br/>
      </w:r>
      <w:r>
        <w:t xml:space="preserve">Since the beginning of 2020, the RSPG adopted 15 opinions, including on three</w:t>
      </w:r>
      <w:r>
        <w:t xml:space="preserve"> </w:t>
      </w:r>
      <w:r>
        <w:t xml:space="preserve">Commission’s consultations, and 11 reports, including three annual reports on the Peer</w:t>
      </w:r>
      <w:r>
        <w:t xml:space="preserve"> </w:t>
      </w:r>
      <w:r>
        <w:t xml:space="preserve">Reviews406. Besides its activities stemming from its biennial work programmes, the RSPG</w:t>
      </w:r>
      <w:r>
        <w:t xml:space="preserve"> </w:t>
      </w:r>
      <w:r>
        <w:t xml:space="preserve">accepted all ad hoc Commission requests for an opinion, such as on the Mobile Satellite</w:t>
      </w:r>
      <w:r>
        <w:t xml:space="preserve"> </w:t>
      </w:r>
      <w:r>
        <w:t xml:space="preserve">Services in the 2 GHz band.</w:t>
      </w:r>
      <w:r>
        <w:br/>
      </w:r>
      <w:r>
        <w:t xml:space="preserve">The main areas addressed in deliverables were related to spectrum for future wireless</w:t>
      </w:r>
      <w:r>
        <w:t xml:space="preserve"> </w:t>
      </w:r>
      <w:r>
        <w:t xml:space="preserve">connectivity, including 6G, spectrum sharing, future use of the UHF band, WRCs and their</w:t>
      </w:r>
      <w:r>
        <w:t xml:space="preserve"> </w:t>
      </w:r>
      <w:r>
        <w:t xml:space="preserve">outcome, satellite connectivity, and climate change. The RSPG deliverables provided valuable</w:t>
      </w:r>
    </w:p>
    <w:p>
      <w:pPr>
        <w:pStyle w:val="BodyText"/>
      </w:pPr>
      <w:r>
        <w:t xml:space="preserve">403 Commission Decision of 11 June 2019 setting up the Radio Spectrum Policy Group and repealing Decision</w:t>
      </w:r>
      <w:r>
        <w:t xml:space="preserve"> </w:t>
      </w:r>
      <w:r>
        <w:t xml:space="preserve">2002/622/EC (OJ C 196, 12.6.2019, p. 16).</w:t>
      </w:r>
      <w:r>
        <w:t xml:space="preserve"> </w:t>
      </w:r>
      <w:r>
        <w:t xml:space="preserve">404 Decision of the EEA Joint Committee No 63/2023 of 17 March 2023 amending Annex XI (Electronic</w:t>
      </w:r>
      <w:r>
        <w:t xml:space="preserve"> </w:t>
      </w:r>
      <w:r>
        <w:t xml:space="preserve">communication, audiovisual services and information society) and Protocol 37 (containing the list provided</w:t>
      </w:r>
      <w:r>
        <w:t xml:space="preserve"> </w:t>
      </w:r>
      <w:r>
        <w:t xml:space="preserve">for in Article 101) to the EEA Agreement [2023/2354].</w:t>
      </w:r>
      <w:r>
        <w:t xml:space="preserve"> </w:t>
      </w:r>
      <w:r>
        <w:t xml:space="preserve">405 Commission Decision of 11 June 2019 setting up the Radio Spectrum Policy Group and repealing Decision</w:t>
      </w:r>
      <w:r>
        <w:t xml:space="preserve"> </w:t>
      </w:r>
      <w:r>
        <w:t xml:space="preserve">2002/622/EC (OJ C 196, 12.6.2019, p. 16–21).</w:t>
      </w:r>
      <w:r>
        <w:t xml:space="preserve"> </w:t>
      </w:r>
      <w:r>
        <w:t xml:space="preserve">406 https://radio-spectrum-policy-group.ec.europa.eu/opinions-and-reports_en.</w:t>
      </w:r>
    </w:p>
    <w:p>
      <w:pPr>
        <w:pStyle w:val="BodyText"/>
      </w:pPr>
      <w:r>
        <w:t xml:space="preserve">122</w:t>
      </w:r>
    </w:p>
    <w:p>
      <w:pPr>
        <w:pStyle w:val="BodyText"/>
      </w:pPr>
      <w:r>
        <w:t xml:space="preserve">input for further EC considerations – for example the RSPG opinion on WRC-23 set a basis</w:t>
      </w:r>
      <w:r>
        <w:t xml:space="preserve"> </w:t>
      </w:r>
      <w:r>
        <w:t xml:space="preserve">for the EU position at the WRC-23 established by a Council Decision – and are welcomed</w:t>
      </w:r>
      <w:r>
        <w:t xml:space="preserve"> </w:t>
      </w:r>
      <w:r>
        <w:t xml:space="preserve">also by stakeholders. In general, all RSPG deliverables contributed to the development of the</w:t>
      </w:r>
      <w:r>
        <w:t xml:space="preserve"> </w:t>
      </w:r>
      <w:r>
        <w:t xml:space="preserve">internal market and to support the development of a Union-level radio spectrum policy.</w:t>
      </w:r>
      <w:r>
        <w:t xml:space="preserve"> </w:t>
      </w:r>
      <w:r>
        <w:t xml:space="preserve">However, as the RSPG adopts deliverables in general by consensus, at least on some sensitive</w:t>
      </w:r>
      <w:r>
        <w:t xml:space="preserve"> </w:t>
      </w:r>
      <w:r>
        <w:t xml:space="preserve">issues, a fine balance needed to be struck between different national interests and the EU and</w:t>
      </w:r>
      <w:r>
        <w:t xml:space="preserve"> </w:t>
      </w:r>
      <w:r>
        <w:t xml:space="preserve">national prerogatives, sometimes regretfully to the detriment of the broader EU benefit.</w:t>
      </w:r>
      <w:r>
        <w:t xml:space="preserve"> </w:t>
      </w:r>
      <w:r>
        <w:t xml:space="preserve">Additionally, , in its Opinions, the RSPG’s tendency has been to focus mainly on technical</w:t>
      </w:r>
      <w:r>
        <w:t xml:space="preserve"> </w:t>
      </w:r>
      <w:r>
        <w:t xml:space="preserve">issues when advising the EC on radio policy issues and to a lesser degree economic, political,</w:t>
      </w:r>
      <w:r>
        <w:t xml:space="preserve"> </w:t>
      </w:r>
      <w:r>
        <w:t xml:space="preserve">cultural, strategic, health and social considerations407.</w:t>
      </w:r>
      <w:r>
        <w:br/>
      </w:r>
      <w:r>
        <w:t xml:space="preserve">Since the entry into force of the EECC, Member States notified pursuant Article 35 of the EECC to the</w:t>
      </w:r>
      <w:r>
        <w:t xml:space="preserve"> </w:t>
      </w:r>
      <w:r>
        <w:t xml:space="preserve">RSPG 30 draft measures for authorisation of EU harmonised spectrum, but only 10 Peer Review</w:t>
      </w:r>
      <w:r>
        <w:t xml:space="preserve"> </w:t>
      </w:r>
      <w:r>
        <w:t xml:space="preserve">Forums were held. Notifications and Peer Review Forums “replaced” the RSPG peer review</w:t>
      </w:r>
      <w:r>
        <w:t xml:space="preserve"> </w:t>
      </w:r>
      <w:r>
        <w:t xml:space="preserve">platform established in 2016 and authorisation workshops that served for peer learning on the</w:t>
      </w:r>
      <w:r>
        <w:t xml:space="preserve"> </w:t>
      </w:r>
      <w:r>
        <w:t xml:space="preserve">authorisation procedures. In its opinion on the White paper “How to master Europe’s digital</w:t>
      </w:r>
      <w:r>
        <w:t xml:space="preserve"> </w:t>
      </w:r>
      <w:r>
        <w:t xml:space="preserve">infrastructure needs”, the RSPG recognised the value of peer review mechanism for sharing</w:t>
      </w:r>
      <w:r>
        <w:t xml:space="preserve"> </w:t>
      </w:r>
      <w:r>
        <w:t xml:space="preserve">of lessons learned and exchanging of views, leading to award harmonisation and increased</w:t>
      </w:r>
      <w:r>
        <w:t xml:space="preserve"> </w:t>
      </w:r>
      <w:r>
        <w:t xml:space="preserve">transparency among peers. At the same time, the RSPG admitted the peer review could be</w:t>
      </w:r>
      <w:r>
        <w:t xml:space="preserve"> </w:t>
      </w:r>
      <w:r>
        <w:t xml:space="preserve">enhanced. Indeed, due to the peer review’s voluntary nature, the lack of structure and</w:t>
      </w:r>
      <w:r>
        <w:t xml:space="preserve"> </w:t>
      </w:r>
      <w:r>
        <w:t xml:space="preserve">obligation to devote resources and to conduct a thorough assessment of the notified measures,</w:t>
      </w:r>
      <w:r>
        <w:t xml:space="preserve"> </w:t>
      </w:r>
      <w:r>
        <w:t xml:space="preserve">the peer review has been totally unsuccessful in influencing the design of authorisation</w:t>
      </w:r>
      <w:r>
        <w:t xml:space="preserve"> </w:t>
      </w:r>
      <w:r>
        <w:t xml:space="preserve">procedures in a consistent manner in line with the objectives of the EECC for investment in</w:t>
      </w:r>
      <w:r>
        <w:t xml:space="preserve"> </w:t>
      </w:r>
      <w:r>
        <w:t xml:space="preserve">high-capacity connectivity. There has been no tangible modification of authorisation</w:t>
      </w:r>
      <w:r>
        <w:t xml:space="preserve"> </w:t>
      </w:r>
      <w:r>
        <w:t xml:space="preserve">conditions and market shaping elements following the peer review. Furthermore, experience</w:t>
      </w:r>
      <w:r>
        <w:t xml:space="preserve"> </w:t>
      </w:r>
      <w:r>
        <w:t xml:space="preserve">shows that certain assignment procedures, which has raised criticism by market players, have</w:t>
      </w:r>
      <w:r>
        <w:t xml:space="preserve"> </w:t>
      </w:r>
      <w:r>
        <w:t xml:space="preserve">not even been subject to a peer review.</w:t>
      </w:r>
      <w:r>
        <w:br/>
      </w:r>
      <w:r>
        <w:t xml:space="preserve">Through its Good Offices subgroup, the RSPG proactively monitored cross-border</w:t>
      </w:r>
      <w:r>
        <w:t xml:space="preserve"> </w:t>
      </w:r>
      <w:r>
        <w:t xml:space="preserve">coordination issues, including harmful interference, related to implementation of the 700 MHz</w:t>
      </w:r>
      <w:r>
        <w:t xml:space="preserve"> </w:t>
      </w:r>
      <w:r>
        <w:t xml:space="preserve">band in the EU. It proposed a coordinated solution for an outstanding interference issue</w:t>
      </w:r>
      <w:r>
        <w:t xml:space="preserve"> </w:t>
      </w:r>
      <w:r>
        <w:t xml:space="preserve">between two Member States pursuant to Article 28(3) of the EECC and together with the EC</w:t>
      </w:r>
      <w:r>
        <w:t xml:space="preserve"> </w:t>
      </w:r>
      <w:r>
        <w:t xml:space="preserve">assisted Member States in cross-border coordination with the third countries. In this way it</w:t>
      </w:r>
      <w:r>
        <w:t xml:space="preserve"> </w:t>
      </w:r>
      <w:r>
        <w:t xml:space="preserve">facilitated the 5G services deployment in the EU, and hence establishment of single market.</w:t>
      </w:r>
      <w:r>
        <w:t xml:space="preserve"> </w:t>
      </w:r>
      <w:r>
        <w:t xml:space="preserve">However, the RSPG assistance falls short when it comes to cross-border coordination issues</w:t>
      </w:r>
      <w:r>
        <w:t xml:space="preserve"> </w:t>
      </w:r>
      <w:r>
        <w:t xml:space="preserve">with third countries on general or, between Member States involving the non-EU harmonised</w:t>
      </w:r>
      <w:r>
        <w:t xml:space="preserve"> </w:t>
      </w:r>
      <w:r>
        <w:t xml:space="preserve">spectrum (e.g. FM radio), as the RSPG simply does not have a legal basis and appropriate</w:t>
      </w:r>
      <w:r>
        <w:t xml:space="preserve"> </w:t>
      </w:r>
      <w:r>
        <w:t xml:space="preserve">tools to act.</w:t>
      </w:r>
      <w:r>
        <w:br/>
      </w:r>
      <w:r>
        <w:t xml:space="preserve">The RSPG played an important role in setting the EU position for the WRC-23 held in</w:t>
      </w:r>
      <w:r>
        <w:t xml:space="preserve"> </w:t>
      </w:r>
      <w:r>
        <w:t xml:space="preserve">November and December 2023 through a well-established preparatory process. That process</w:t>
      </w:r>
      <w:r>
        <w:t xml:space="preserve"> </w:t>
      </w:r>
      <w:r>
        <w:t xml:space="preserve">consists of identifying together with the EC items of the WRC agendas that might affect EU</w:t>
      </w:r>
      <w:r>
        <w:t xml:space="preserve"> </w:t>
      </w:r>
      <w:r>
        <w:t xml:space="preserve">law, policies or programmes and then recommend for each of them the position that the EU</w:t>
      </w:r>
      <w:r>
        <w:t xml:space="preserve"> </w:t>
      </w:r>
      <w:r>
        <w:t xml:space="preserve">should take at the WRCs. The draft Council Decision on WRC-23 proposed by the EC</w:t>
      </w:r>
    </w:p>
    <w:p>
      <w:pPr>
        <w:pStyle w:val="BodyText"/>
      </w:pPr>
      <w:r>
        <w:t xml:space="preserve">407 Commission Decision of 11 June 2019 setting up the Radio Spectrum Policy Group and repealing Decision</w:t>
      </w:r>
      <w:r>
        <w:t xml:space="preserve"> </w:t>
      </w:r>
      <w:r>
        <w:t xml:space="preserve">2002/622/EC (OJ C 196, 12.6.2019, p. 16–21) recital 5) indicates that “The Group should further contribute</w:t>
      </w:r>
      <w:r>
        <w:t xml:space="preserve"> </w:t>
      </w:r>
      <w:r>
        <w:t xml:space="preserve">to the development of a radio spectrum policy in the Union that takes into account not only technical</w:t>
      </w:r>
      <w:r>
        <w:t xml:space="preserve"> </w:t>
      </w:r>
      <w:r>
        <w:t xml:space="preserve">parameters but also economic, political, cultural, strategic, health and social considerations, as well as the</w:t>
      </w:r>
      <w:r>
        <w:t xml:space="preserve"> </w:t>
      </w:r>
      <w:r>
        <w:t xml:space="preserve">various potentially conflicting needs of radio spectrum users with a view to ensuring that a fair, non-</w:t>
      </w:r>
      <w:r>
        <w:t xml:space="preserve"> </w:t>
      </w:r>
      <w:r>
        <w:t xml:space="preserve">discriminatory and proportionate balance is achieved”.</w:t>
      </w:r>
    </w:p>
    <w:p>
      <w:pPr>
        <w:pStyle w:val="BodyText"/>
      </w:pPr>
      <w:r>
        <w:t xml:space="preserve">123</w:t>
      </w:r>
    </w:p>
    <w:p>
      <w:pPr>
        <w:pStyle w:val="BodyText"/>
      </w:pPr>
      <w:r>
        <w:t xml:space="preserve">contained all items of the WRC-23 agenda identified by the RSPG as of the EU relevance408</w:t>
      </w:r>
      <w:r>
        <w:t xml:space="preserve"> </w:t>
      </w:r>
      <w:r>
        <w:t xml:space="preserve">and the EC relied very much on the RSPG recommendations when proposing draft EU</w:t>
      </w:r>
      <w:r>
        <w:t xml:space="preserve"> </w:t>
      </w:r>
      <w:r>
        <w:t xml:space="preserve">positions for each of them. The RSPG recommendations409 proved useful for organising the</w:t>
      </w:r>
      <w:r>
        <w:t xml:space="preserve"> </w:t>
      </w:r>
      <w:r>
        <w:t xml:space="preserve">EU coordination during the WRC-23. In its Report on the WRC-23410, the RSPG did not just</w:t>
      </w:r>
      <w:r>
        <w:t xml:space="preserve"> </w:t>
      </w:r>
      <w:r>
        <w:t xml:space="preserve">assess of the outcome compared to the initial EU positions but also provided very useful</w:t>
      </w:r>
      <w:r>
        <w:t xml:space="preserve"> </w:t>
      </w:r>
      <w:r>
        <w:t xml:space="preserve">lessons learnt that will be used in the subsequent WRC cycles. Currently, the RSPG is</w:t>
      </w:r>
      <w:r>
        <w:t xml:space="preserve"> </w:t>
      </w:r>
      <w:r>
        <w:t xml:space="preserve">working on an opinion for the WRC-27411. However, such a coordination phase of the</w:t>
      </w:r>
      <w:r>
        <w:t xml:space="preserve"> </w:t>
      </w:r>
      <w:r>
        <w:t xml:space="preserve">Union’s position does not exist when Member States participate at CEPT, where they co-</w:t>
      </w:r>
      <w:r>
        <w:t xml:space="preserve"> </w:t>
      </w:r>
      <w:r>
        <w:t xml:space="preserve">develop technical harmonisation, which could have a significant impact at EU level.</w:t>
      </w:r>
      <w:r>
        <w:t xml:space="preserve"> </w:t>
      </w:r>
      <w:r>
        <w:t xml:space="preserve">The RSPG work is guided by biennial work programmes corresponding to the Chairperson’s</w:t>
      </w:r>
      <w:r>
        <w:t xml:space="preserve"> </w:t>
      </w:r>
      <w:r>
        <w:t xml:space="preserve">term of office. It is assisted by subgroups, created by the EC for implementation of topics</w:t>
      </w:r>
      <w:r>
        <w:t xml:space="preserve"> </w:t>
      </w:r>
      <w:r>
        <w:t xml:space="preserve">outlined in a particular work programme, or ad hoc as a result of the EC request for an RSPG</w:t>
      </w:r>
      <w:r>
        <w:t xml:space="preserve"> </w:t>
      </w:r>
      <w:r>
        <w:t xml:space="preserve">Opinion. On average, under each work programme, RSPG has 7 subgroups, with 3 of them</w:t>
      </w:r>
      <w:r>
        <w:t xml:space="preserve"> </w:t>
      </w:r>
      <w:r>
        <w:t xml:space="preserve">being permanent (Good Offices, Peer Review and WRC); others are dissolved as soon as they</w:t>
      </w:r>
      <w:r>
        <w:t xml:space="preserve"> </w:t>
      </w:r>
      <w:r>
        <w:t xml:space="preserve">fulfil their mandate. Generally, subgroups are open to the RSPG members and observers,</w:t>
      </w:r>
      <w:r>
        <w:t xml:space="preserve"> </w:t>
      </w:r>
      <w:r>
        <w:t xml:space="preserve">except the Good Offices and Peer Review, and WRC subgroups, which are limited to RSPG</w:t>
      </w:r>
      <w:r>
        <w:t xml:space="preserve"> </w:t>
      </w:r>
      <w:r>
        <w:t xml:space="preserve">members and to EU Member States respectively thus reflecting their more sensitive tasks.</w:t>
      </w:r>
      <w:r>
        <w:t xml:space="preserve"> </w:t>
      </w:r>
      <w:r>
        <w:t xml:space="preserve">Subgroups’ work is stirred by two co-chairs, from Member States of all sizes and different</w:t>
      </w:r>
      <w:r>
        <w:t xml:space="preserve"> </w:t>
      </w:r>
      <w:r>
        <w:t xml:space="preserve">geographical parts of the EU. Under current work programme, the cochairs are coming one</w:t>
      </w:r>
      <w:r>
        <w:t xml:space="preserve"> </w:t>
      </w:r>
      <w:r>
        <w:t xml:space="preserve">from DE, DK, FI, FR, HU, IE, IT, LT, MT, SE, SI and 3 from EL.</w:t>
      </w:r>
      <w:r>
        <w:t xml:space="preserve"> </w:t>
      </w:r>
      <w:r>
        <w:t xml:space="preserve">Since the beginning of the Covid-19 confinement, the RSPG has been meeting mainly in</w:t>
      </w:r>
      <w:r>
        <w:t xml:space="preserve"> </w:t>
      </w:r>
      <w:r>
        <w:t xml:space="preserve">hybrid format and its subgroup in online format respectively. Only occasionally, the</w:t>
      </w:r>
      <w:r>
        <w:t xml:space="preserve"> </w:t>
      </w:r>
      <w:r>
        <w:t xml:space="preserve">subgroups met also in the hybrid format, with a physical part taking place mainly in the EC</w:t>
      </w:r>
      <w:r>
        <w:t xml:space="preserve"> </w:t>
      </w:r>
      <w:r>
        <w:t xml:space="preserve">premises in Brussels, to discuss more sensitive outstanding issues. These working</w:t>
      </w:r>
      <w:r>
        <w:t xml:space="preserve"> </w:t>
      </w:r>
      <w:r>
        <w:t xml:space="preserve">arrangements of subgroups facilitated participation of experts, including of EC</w:t>
      </w:r>
      <w:r>
        <w:t xml:space="preserve"> </w:t>
      </w:r>
      <w:r>
        <w:t xml:space="preserve">representatives, and thus exchanging of views and experiences and peer learning on the topics</w:t>
      </w:r>
      <w:r>
        <w:t xml:space="preserve"> </w:t>
      </w:r>
      <w:r>
        <w:t xml:space="preserve">on interest among broader groups of experts. The number of subgroups’ members is high</w:t>
      </w:r>
      <w:r>
        <w:t xml:space="preserve"> </w:t>
      </w:r>
      <w:r>
        <w:t xml:space="preserve">(currently 45 and 100 members from 17 to 22 Member States), but not all are connecting to</w:t>
      </w:r>
      <w:r>
        <w:t xml:space="preserve"> </w:t>
      </w:r>
      <w:r>
        <w:t xml:space="preserve">meetings and are actively engaged in subgroups’ work. In general, big administrations can</w:t>
      </w:r>
      <w:r>
        <w:t xml:space="preserve"> </w:t>
      </w:r>
      <w:r>
        <w:t xml:space="preserve">afford to be active in all subgroups, whereas small administrations only in the subgroups of</w:t>
      </w:r>
      <w:r>
        <w:t xml:space="preserve"> </w:t>
      </w:r>
      <w:r>
        <w:t xml:space="preserve">their particular interest (such as Good Offices).</w:t>
      </w:r>
      <w:r>
        <w:br/>
      </w:r>
      <w:r>
        <w:t xml:space="preserve">In general, the RSPG deliverables were adopted in the time frames foreseen in working</w:t>
      </w:r>
      <w:r>
        <w:t xml:space="preserve"> </w:t>
      </w:r>
      <w:r>
        <w:t xml:space="preserve">programmes or in the EC requests for the opinion. Only in some rare, more sensitive cases,</w:t>
      </w:r>
      <w:r>
        <w:t xml:space="preserve"> </w:t>
      </w:r>
      <w:r>
        <w:t xml:space="preserve">the subgroups needed a few more months to finalise work, but it was never carried to the new</w:t>
      </w:r>
    </w:p>
    <w:p>
      <w:pPr>
        <w:pStyle w:val="BodyText"/>
      </w:pPr>
      <w:r>
        <w:t xml:space="preserve">408 RSPG Opinion on the ITU-R World Radiocommunication Conference 2023 (RSPG22-040 FINAL)</w:t>
      </w:r>
      <w:r>
        <w:t xml:space="preserve"> </w:t>
      </w:r>
      <w:r>
        <w:t xml:space="preserve">https://radio-spectrum-policy-group.ec.europa.eu/document/download/61378c81-1e03-45a6-aa49-</w:t>
      </w:r>
      <w:r>
        <w:t xml:space="preserve"> </w:t>
      </w:r>
      <w:r>
        <w:t xml:space="preserve">6190809ee3ed_en?filename=RSPG22-040final-RSPG_Final_Opinion_on_WRC23.pdf .</w:t>
      </w:r>
      <w:r>
        <w:t xml:space="preserve"> </w:t>
      </w:r>
      <w:r>
        <w:t xml:space="preserve">409 RSPG Opinion on EU coordination at ITU-R Radiocommunication Conferences (RSPG19-009 FINAL)</w:t>
      </w:r>
      <w:r>
        <w:t xml:space="preserve"> </w:t>
      </w:r>
      <w:r>
        <w:t xml:space="preserve">https://radio-spectrum-policy-group.ec.europa.eu/document/download/cfb06e5c-1901-4d27-830a-</w:t>
      </w:r>
      <w:r>
        <w:t xml:space="preserve"> </w:t>
      </w:r>
      <w:r>
        <w:t xml:space="preserve">ca800ecdfe84_en?filename=RSPG19-009final_RSPG_Opinion_EU-coordination.pdf .</w:t>
      </w:r>
      <w:r>
        <w:t xml:space="preserve"> </w:t>
      </w:r>
      <w:r>
        <w:t xml:space="preserve">410 RSPG Report on the result of the ITU-R World Radiocommunication Conference 2023 (RSPG24-017</w:t>
      </w:r>
      <w:r>
        <w:t xml:space="preserve"> </w:t>
      </w:r>
      <w:r>
        <w:t xml:space="preserve">FINAL) https://radio-spectrum-policy-group.ec.europa.eu/document/download/3d8d393b-2067-48c4-98f9-</w:t>
      </w:r>
      <w:r>
        <w:t xml:space="preserve"> </w:t>
      </w:r>
      <w:r>
        <w:t xml:space="preserve">b95f4d8ed960_en?filename=RSPG24-017final-RSPG_Report_%20WRC23.pdf.</w:t>
      </w:r>
      <w:r>
        <w:t xml:space="preserve"> </w:t>
      </w:r>
      <w:r>
        <w:t xml:space="preserve">411 RSPG Interim Opinion on WRC-27 (RSPG25-022 FINAL) https://radio-spectrum-policy-</w:t>
      </w:r>
      <w:r>
        <w:t xml:space="preserve"> </w:t>
      </w:r>
      <w:r>
        <w:t xml:space="preserve">group.ec.europa.eu/document/download/026c0088-c2ba-4c68-bebe-5019fbe2d38d_en?filename=RSPG25-</w:t>
      </w:r>
      <w:r>
        <w:t xml:space="preserve"> </w:t>
      </w:r>
      <w:r>
        <w:t xml:space="preserve">022final-RSPG_Interim_Opinion-WRC27.pdf.</w:t>
      </w:r>
    </w:p>
    <w:p>
      <w:pPr>
        <w:pStyle w:val="BodyText"/>
      </w:pPr>
      <w:r>
        <w:t xml:space="preserve">124</w:t>
      </w:r>
    </w:p>
    <w:p>
      <w:pPr>
        <w:pStyle w:val="BodyText"/>
      </w:pPr>
      <w:r>
        <w:t xml:space="preserve">working cycle. When necessary, an extraordinary RSPG plenary meeting was organised412. A</w:t>
      </w:r>
      <w:r>
        <w:t xml:space="preserve"> </w:t>
      </w:r>
      <w:r>
        <w:t xml:space="preserve">few RSPG deliverables were adopted through written procedure, such as the mandate to</w:t>
      </w:r>
      <w:r>
        <w:t xml:space="preserve"> </w:t>
      </w:r>
      <w:r>
        <w:t xml:space="preserve">develop a 6G spectrum roadmap as an addendum of the Work programme 2024 and beyond.</w:t>
      </w:r>
      <w:r>
        <w:br/>
      </w:r>
      <w:r>
        <w:t xml:space="preserve">During preparation of deliverables, the RSPG subgroups issued questionnaires targeted to</w:t>
      </w:r>
      <w:r>
        <w:t xml:space="preserve"> </w:t>
      </w:r>
      <w:r>
        <w:t xml:space="preserve">Member States authorisations or to various stakeholders, or organised targeted hearings or</w:t>
      </w:r>
      <w:r>
        <w:t xml:space="preserve"> </w:t>
      </w:r>
      <w:r>
        <w:t xml:space="preserve">workshops with broad range of stakeholders to collect evidence for substantiating their views.</w:t>
      </w:r>
      <w:r>
        <w:t xml:space="preserve"> </w:t>
      </w:r>
      <w:r>
        <w:t xml:space="preserve">All deliverables, except the RSPG replies to the EC consultations and interim RSPG opinions</w:t>
      </w:r>
      <w:r>
        <w:t xml:space="preserve"> </w:t>
      </w:r>
      <w:r>
        <w:t xml:space="preserve">on WRCs, were published for 6-weeks long public consultation before being adopted by the</w:t>
      </w:r>
      <w:r>
        <w:t xml:space="preserve"> </w:t>
      </w:r>
      <w:r>
        <w:t xml:space="preserve">RSPG plenary.</w:t>
      </w:r>
      <w:r>
        <w:br/>
      </w:r>
      <w:r>
        <w:t xml:space="preserve">All the RSPG workstream are considered to have a very high added value by participating</w:t>
      </w:r>
      <w:r>
        <w:t xml:space="preserve"> </w:t>
      </w:r>
      <w:r>
        <w:t xml:space="preserve">Member States representatives as emerged from a survey conducted by the EC study413 (see</w:t>
      </w:r>
      <w:r>
        <w:t xml:space="preserve"> </w:t>
      </w:r>
      <w:r>
        <w:t xml:space="preserve">Figure 1). The highest added value was indicated to the development of the common position</w:t>
      </w:r>
      <w:r>
        <w:t xml:space="preserve"> </w:t>
      </w:r>
      <w:r>
        <w:t xml:space="preserve">for the WRC, followed by approaches to D2D and access to satellite markets.</w:t>
      </w:r>
      <w:r>
        <w:t xml:space="preserve"> </w:t>
      </w:r>
      <w:r>
        <w:t xml:space="preserve">Figure 20: Spectrum competent authorities’ assessment of added value of RSPG work</w:t>
      </w:r>
    </w:p>
    <w:p>
      <w:pPr>
        <w:pStyle w:val="BodyText"/>
      </w:pPr>
      <w:r>
        <w:t xml:space="preserve">The RSPG, the BEREC and the BEREC Office signed in 2019 special working arrangements.</w:t>
      </w:r>
      <w:r>
        <w:t xml:space="preserve"> </w:t>
      </w:r>
      <w:r>
        <w:t xml:space="preserve">BEREC experts are regularly invited and participate at the Peer Review Forums. In 2020, they</w:t>
      </w:r>
      <w:r>
        <w:t xml:space="preserve"> </w:t>
      </w:r>
      <w:r>
        <w:t xml:space="preserve">issued a common Position Paper on spectrum-related EMF issues. However, there is not</w:t>
      </w:r>
    </w:p>
    <w:p>
      <w:pPr>
        <w:pStyle w:val="BodyText"/>
      </w:pPr>
      <w:r>
        <w:t xml:space="preserve">412 https://radio-spectrum-policy-group.ec.europa.eu/extraordinary-rspg-plenary-09-december-2022_en.</w:t>
      </w:r>
      <w:r>
        <w:t xml:space="preserve"> </w:t>
      </w:r>
      <w:r>
        <w:t xml:space="preserve">413 Study on Completing the Digital Single Market (DSM): Regulatory enablers for cross-border networks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1</w:t>
      </w:r>
      <w:r>
        <w:t xml:space="preserve"> </w:t>
      </w:r>
      <w:r>
        <w:t xml:space="preserve">4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3</w:t>
      </w:r>
      <w:r>
        <w:t xml:space="preserve"> </w:t>
      </w:r>
      <w:r>
        <w:t xml:space="preserve">5</w:t>
      </w:r>
      <w:r>
        <w:t xml:space="preserve"> </w:t>
      </w:r>
      <w:r>
        <w:t xml:space="preserve">3</w:t>
      </w:r>
      <w:r>
        <w:t xml:space="preserve"> </w:t>
      </w:r>
      <w:r>
        <w:t xml:space="preserve">5</w:t>
      </w:r>
      <w:r>
        <w:t xml:space="preserve"> </w:t>
      </w:r>
      <w:r>
        <w:t xml:space="preserve">8</w:t>
      </w:r>
      <w:r>
        <w:t xml:space="preserve"> </w:t>
      </w:r>
      <w:r>
        <w:t xml:space="preserve">3</w:t>
      </w:r>
      <w:r>
        <w:t xml:space="preserve"> </w:t>
      </w:r>
      <w:r>
        <w:t xml:space="preserve">3</w:t>
      </w:r>
      <w:r>
        <w:t xml:space="preserve"> </w:t>
      </w:r>
      <w:r>
        <w:t xml:space="preserve">5</w:t>
      </w:r>
      <w:r>
        <w:t xml:space="preserve"> </w:t>
      </w:r>
      <w:r>
        <w:t xml:space="preserve">5</w:t>
      </w:r>
      <w:r>
        <w:t xml:space="preserve"> </w:t>
      </w:r>
      <w:r>
        <w:t xml:space="preserve">5</w:t>
      </w:r>
      <w:r>
        <w:t xml:space="preserve"> </w:t>
      </w:r>
      <w:r>
        <w:t xml:space="preserve">4</w:t>
      </w:r>
      <w:r>
        <w:t xml:space="preserve"> </w:t>
      </w:r>
      <w:r>
        <w:t xml:space="preserve">9</w:t>
      </w:r>
      <w:r>
        <w:t xml:space="preserve"> </w:t>
      </w:r>
      <w:r>
        <w:t xml:space="preserve">15</w:t>
      </w:r>
      <w:r>
        <w:t xml:space="preserve"> </w:t>
      </w:r>
      <w:r>
        <w:t xml:space="preserve">7</w:t>
      </w:r>
      <w:r>
        <w:t xml:space="preserve"> </w:t>
      </w:r>
      <w:r>
        <w:t xml:space="preserve">10</w:t>
      </w:r>
      <w:r>
        <w:t xml:space="preserve"> </w:t>
      </w:r>
      <w:r>
        <w:t xml:space="preserve">14</w:t>
      </w:r>
      <w:r>
        <w:t xml:space="preserve"> </w:t>
      </w:r>
      <w:r>
        <w:t xml:space="preserve">14</w:t>
      </w:r>
      <w:r>
        <w:t xml:space="preserve"> </w:t>
      </w:r>
      <w:r>
        <w:t xml:space="preserve">13</w:t>
      </w:r>
      <w:r>
        <w:t xml:space="preserve"> </w:t>
      </w:r>
      <w:r>
        <w:t xml:space="preserve">13</w:t>
      </w:r>
      <w:r>
        <w:t xml:space="preserve"> </w:t>
      </w:r>
      <w:r>
        <w:t xml:space="preserve">12</w:t>
      </w:r>
      <w:r>
        <w:t xml:space="preserve"> </w:t>
      </w:r>
      <w:r>
        <w:t xml:space="preserve">10</w:t>
      </w:r>
      <w:r>
        <w:t xml:space="preserve"> </w:t>
      </w:r>
      <w:r>
        <w:t xml:space="preserve">0%</w:t>
      </w:r>
      <w:r>
        <w:t xml:space="preserve"> </w:t>
      </w:r>
      <w:r>
        <w:t xml:space="preserve">10%</w:t>
      </w:r>
      <w:r>
        <w:t xml:space="preserve"> </w:t>
      </w:r>
      <w:r>
        <w:t xml:space="preserve">20%</w:t>
      </w:r>
      <w:r>
        <w:t xml:space="preserve"> </w:t>
      </w:r>
      <w:r>
        <w:t xml:space="preserve">30%</w:t>
      </w:r>
      <w:r>
        <w:t xml:space="preserve"> </w:t>
      </w:r>
      <w:r>
        <w:t xml:space="preserve">40%</w:t>
      </w:r>
      <w:r>
        <w:t xml:space="preserve"> </w:t>
      </w:r>
      <w:r>
        <w:t xml:space="preserve">50%</w:t>
      </w:r>
      <w:r>
        <w:t xml:space="preserve"> </w:t>
      </w:r>
      <w:r>
        <w:t xml:space="preserve">60%</w:t>
      </w:r>
      <w:r>
        <w:t xml:space="preserve"> </w:t>
      </w:r>
      <w:r>
        <w:t xml:space="preserve">70%</w:t>
      </w:r>
      <w:r>
        <w:t xml:space="preserve"> </w:t>
      </w:r>
      <w:r>
        <w:t xml:space="preserve">80%</w:t>
      </w:r>
      <w:r>
        <w:t xml:space="preserve"> </w:t>
      </w:r>
      <w:r>
        <w:t xml:space="preserve">90% 100%</w:t>
      </w:r>
      <w:r>
        <w:t xml:space="preserve"> </w:t>
      </w:r>
      <w:r>
        <w:t xml:space="preserve">Facilitating resolution of cross-border coordination and cross-</w:t>
      </w:r>
      <w:r>
        <w:t xml:space="preserve"> </w:t>
      </w:r>
      <w:r>
        <w:t xml:space="preserve">border interference issues (Good Offices)</w:t>
      </w:r>
      <w:r>
        <w:t xml:space="preserve"> </w:t>
      </w:r>
      <w:r>
        <w:t xml:space="preserve">Making recommendations for the establishment of an EU</w:t>
      </w:r>
      <w:r>
        <w:t xml:space="preserve"> </w:t>
      </w:r>
      <w:r>
        <w:t xml:space="preserve">common position in view of World Radio-communication</w:t>
      </w:r>
      <w:r>
        <w:t xml:space="preserve"> </w:t>
      </w:r>
      <w:r>
        <w:t xml:space="preserve">Conferences</w:t>
      </w:r>
      <w:r>
        <w:t xml:space="preserve"> </w:t>
      </w:r>
      <w:r>
        <w:t xml:space="preserve">Peer review/learning on authorisation measures for</w:t>
      </w:r>
      <w:r>
        <w:t xml:space="preserve"> </w:t>
      </w:r>
      <w:r>
        <w:t xml:space="preserve">harmonised wireless broadband spectrum (Art. 35)</w:t>
      </w:r>
      <w:r>
        <w:t xml:space="preserve"> </w:t>
      </w:r>
      <w:r>
        <w:t xml:space="preserve">Enabling experience / information sharing</w:t>
      </w:r>
      <w:r>
        <w:t xml:space="preserve"> </w:t>
      </w:r>
      <w:r>
        <w:t xml:space="preserve">Developing EU approaches on current or future challenges in</w:t>
      </w:r>
      <w:r>
        <w:t xml:space="preserve"> </w:t>
      </w:r>
      <w:r>
        <w:t xml:space="preserve">D2D</w:t>
      </w:r>
      <w:r>
        <w:t xml:space="preserve"> </w:t>
      </w:r>
      <w:r>
        <w:t xml:space="preserve">Developing EU approaches on current or future challenges in:</w:t>
      </w:r>
      <w:r>
        <w:t xml:space="preserve"> </w:t>
      </w:r>
      <w:r>
        <w:t xml:space="preserve">Access to satellite markets</w:t>
      </w:r>
      <w:r>
        <w:t xml:space="preserve"> </w:t>
      </w:r>
      <w:r>
        <w:t xml:space="preserve">Developing EU approaches on current or future challenges in</w:t>
      </w:r>
      <w:r>
        <w:t xml:space="preserve"> </w:t>
      </w:r>
      <w:r>
        <w:t xml:space="preserve">6G spectrum vision</w:t>
      </w:r>
      <w:r>
        <w:t xml:space="preserve"> </w:t>
      </w:r>
      <w:r>
        <w:t xml:space="preserve">Developing EU approaches on current or future challenges in</w:t>
      </w:r>
      <w:r>
        <w:t xml:space="preserve"> </w:t>
      </w:r>
      <w:r>
        <w:t xml:space="preserve">Future of the Upper 6 GHz band</w:t>
      </w:r>
      <w:r>
        <w:t xml:space="preserve"> </w:t>
      </w:r>
      <w:r>
        <w:t xml:space="preserve">Developing EU approaches on current or future challenges in</w:t>
      </w:r>
      <w:r>
        <w:t xml:space="preserve"> </w:t>
      </w:r>
      <w:r>
        <w:t xml:space="preserve">Future of the MSS 2 GHz band</w:t>
      </w:r>
      <w:r>
        <w:t xml:space="preserve"> </w:t>
      </w:r>
      <w:r>
        <w:t xml:space="preserve">Developing EU approaches on current or future challenges in</w:t>
      </w:r>
      <w:r>
        <w:t xml:space="preserve"> </w:t>
      </w:r>
      <w:r>
        <w:t xml:space="preserve">Future of the UHF band</w:t>
      </w:r>
      <w:r>
        <w:t xml:space="preserve"> </w:t>
      </w:r>
      <w:r>
        <w:t xml:space="preserve">1-low added value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4</w:t>
      </w:r>
      <w:r>
        <w:t xml:space="preserve"> </w:t>
      </w:r>
      <w:r>
        <w:t xml:space="preserve">5-high added value</w:t>
      </w:r>
    </w:p>
    <w:p>
      <w:pPr>
        <w:pStyle w:val="BodyText"/>
      </w:pPr>
      <w:r>
        <w:t xml:space="preserve">125</w:t>
      </w:r>
    </w:p>
    <w:p>
      <w:pPr>
        <w:pStyle w:val="BodyText"/>
      </w:pPr>
      <w:r>
        <w:t xml:space="preserve">tangible cooperation beside those two examples of cooperation between the two groups, so</w:t>
      </w:r>
      <w:r>
        <w:t xml:space="preserve"> </w:t>
      </w:r>
      <w:r>
        <w:t xml:space="preserve">RSPG deliverables might not be so holistic as one would expect and the cooperation with</w:t>
      </w:r>
      <w:r>
        <w:t xml:space="preserve"> </w:t>
      </w:r>
      <w:r>
        <w:t xml:space="preserve">BEREC is insufficient. For example, some opinions which hinted to the need of further</w:t>
      </w:r>
      <w:r>
        <w:t xml:space="preserve"> </w:t>
      </w:r>
      <w:r>
        <w:t xml:space="preserve">cooperation between BEREC and RSPG (e.g. D2D and access to satellite market) have not</w:t>
      </w:r>
      <w:r>
        <w:t xml:space="preserve"> </w:t>
      </w:r>
      <w:r>
        <w:t xml:space="preserve">been further developed.</w:t>
      </w:r>
      <w:r>
        <w:br/>
      </w:r>
      <w:r>
        <w:t xml:space="preserve">The RSPG Secretariat is provided by the Commission. It offers the RSPG, mainly an</w:t>
      </w:r>
      <w:r>
        <w:t xml:space="preserve"> </w:t>
      </w:r>
      <w:r>
        <w:t xml:space="preserve">administrative support (e.g. organising the meetings on different levels, helping in organising</w:t>
      </w:r>
      <w:r>
        <w:t xml:space="preserve"> </w:t>
      </w:r>
      <w:r>
        <w:t xml:space="preserve">hearings, managing documents, databases, preparing the steering documents), and legal</w:t>
      </w:r>
      <w:r>
        <w:t xml:space="preserve"> </w:t>
      </w:r>
      <w:r>
        <w:t xml:space="preserve">support on the topics related to the RSPG functioning. For the RSPG deliverables to pursue</w:t>
      </w:r>
      <w:r>
        <w:t xml:space="preserve"> </w:t>
      </w:r>
      <w:r>
        <w:t xml:space="preserve">broader EU benefit, it might be beneficial, if the RSPG Secretariat is involved more into</w:t>
      </w:r>
      <w:r>
        <w:t xml:space="preserve"> </w:t>
      </w:r>
      <w:r>
        <w:t xml:space="preserve">substance too. Currently, this is impossible because of the lack of staff (around 1.5 FTEs) and</w:t>
      </w:r>
      <w:r>
        <w:t xml:space="preserve"> </w:t>
      </w:r>
      <w:r>
        <w:t xml:space="preserve">the EC staff could represent at the same time the RSPG Secretariat and the EC experts.</w:t>
      </w:r>
      <w:r>
        <w:br/>
      </w:r>
      <w:r>
        <w:t xml:space="preserve">Regarding the costs, 3 RSPG Plenary meetings are held per year - one of them might be</w:t>
      </w:r>
      <w:r>
        <w:t xml:space="preserve"> </w:t>
      </w:r>
      <w:r>
        <w:t xml:space="preserve">online only, and hybrid format. For hybrid meetings, as they are taking place in the</w:t>
      </w:r>
      <w:r>
        <w:t xml:space="preserve"> </w:t>
      </w:r>
      <w:r>
        <w:t xml:space="preserve">Commission’s premises, costs are in a range of 10,000-15,000 euro per meeting, with a major</w:t>
      </w:r>
      <w:r>
        <w:t xml:space="preserve"> </w:t>
      </w:r>
      <w:r>
        <w:t xml:space="preserve">part attributed to reimbursement of travel costs for one person per Member State, and a</w:t>
      </w:r>
      <w:r>
        <w:t xml:space="preserve"> </w:t>
      </w:r>
      <w:r>
        <w:t xml:space="preserve">smaller part to costs of catering. There are no costs associated with the online only meetings.</w:t>
      </w:r>
      <w:r>
        <w:t xml:space="preserve"> </w:t>
      </w:r>
      <w:r>
        <w:t xml:space="preserve">Subgroups are organised mainly in the online only format, as well as hearings. For occasional</w:t>
      </w:r>
      <w:r>
        <w:t xml:space="preserve"> </w:t>
      </w:r>
      <w:r>
        <w:t xml:space="preserve">subgroup meetings in a hybrid format (about 5 times per year) and RSPG workshops (about 3</w:t>
      </w:r>
      <w:r>
        <w:t xml:space="preserve"> </w:t>
      </w:r>
      <w:r>
        <w:t xml:space="preserve">times per year) costs are lower that for the RSPG Plenary as the travel costs are not reimbursed</w:t>
      </w:r>
      <w:r>
        <w:t xml:space="preserve"> </w:t>
      </w:r>
      <w:r>
        <w:t xml:space="preserve">and they were in the range from 900 euro (subgroup) to 4000 euro (workshop).</w:t>
      </w:r>
      <w:r>
        <w:br/>
      </w:r>
      <w:r>
        <w:t xml:space="preserve">It is hard to assess costs per Member State for being involved in RSPG work as it depends on</w:t>
      </w:r>
      <w:r>
        <w:t xml:space="preserve"> </w:t>
      </w:r>
      <w:r>
        <w:t xml:space="preserve">various factors. None of administration seems to have a special RSPG dedicated staff. The</w:t>
      </w:r>
      <w:r>
        <w:t xml:space="preserve"> </w:t>
      </w:r>
      <w:r>
        <w:t xml:space="preserve">Commission is reimbursing travel costs for one person per delegation of a Member State only</w:t>
      </w:r>
      <w:r>
        <w:t xml:space="preserve"> </w:t>
      </w:r>
      <w:r>
        <w:t xml:space="preserve">for RSPG Plenary meetings. Some Member States have special national arrangements to</w:t>
      </w:r>
      <w:r>
        <w:t xml:space="preserve"> </w:t>
      </w:r>
      <w:r>
        <w:t xml:space="preserve">coordinate positions before each RSPG Plenary meeting, that could involve also consulting</w:t>
      </w:r>
      <w:r>
        <w:t xml:space="preserve"> </w:t>
      </w:r>
      <w:r>
        <w:t xml:space="preserve">with stakeholders. It depends also on a degree of involvement of experts in the work of a</w:t>
      </w:r>
      <w:r>
        <w:t xml:space="preserve"> </w:t>
      </w:r>
      <w:r>
        <w:t xml:space="preserve">subgroup – it is obvious that co-chairs should invest more efforts than other members of the</w:t>
      </w:r>
      <w:r>
        <w:t xml:space="preserve"> </w:t>
      </w:r>
      <w:r>
        <w:t xml:space="preserve">subgroup, the workload could be shared among the members of a subgroup (such as drafting</w:t>
      </w:r>
      <w:r>
        <w:t xml:space="preserve"> </w:t>
      </w:r>
      <w:r>
        <w:t xml:space="preserve">or assessing replies to a questionnaire).</w:t>
      </w:r>
      <w:r>
        <w:br/>
      </w:r>
      <w:r>
        <w:t xml:space="preserve">Based on the EU study414, the average number of hours that Member State devote per year to</w:t>
      </w:r>
      <w:r>
        <w:t xml:space="preserve"> </w:t>
      </w:r>
      <w:r>
        <w:t xml:space="preserve">the specific activities is the following: around 60 hours and 250 hours for participation in</w:t>
      </w:r>
      <w:r>
        <w:t xml:space="preserve"> </w:t>
      </w:r>
      <w:r>
        <w:t xml:space="preserve">RSPG plenary and sub-groups respectively, 90 hours of additional efforts for chairing sub</w:t>
      </w:r>
      <w:r>
        <w:t xml:space="preserve"> </w:t>
      </w:r>
      <w:r>
        <w:t xml:space="preserve">groups, 30 hours for participating to peer reviews and 30 hours of additional effort if the</w:t>
      </w:r>
      <w:r>
        <w:t xml:space="preserve"> </w:t>
      </w:r>
      <w:r>
        <w:t xml:space="preserve">Member State asks for a peer review of the auction.</w:t>
      </w:r>
      <w:r>
        <w:t xml:space="preserve"> </w:t>
      </w:r>
      <w:r>
        <w:t xml:space="preserve">Considering the limited cost, the current RSPG efficiently contributes to EU spectrum policy</w:t>
      </w:r>
      <w:r>
        <w:t xml:space="preserve"> </w:t>
      </w:r>
      <w:r>
        <w:t xml:space="preserve">making with its opinions and reports and the preparation of the WRC and with the good</w:t>
      </w:r>
      <w:r>
        <w:t xml:space="preserve"> </w:t>
      </w:r>
      <w:r>
        <w:t xml:space="preserve">offices activity. However, the RSPG effectiveness is reaching its limits. As indicated in the</w:t>
      </w:r>
      <w:r>
        <w:t xml:space="preserve"> </w:t>
      </w:r>
      <w:r>
        <w:t xml:space="preserve">EC study415, stakeholder see the merits in providing RSPG with more administrative support</w:t>
      </w:r>
      <w:r>
        <w:t xml:space="preserve"> </w:t>
      </w:r>
      <w:r>
        <w:t xml:space="preserve">than is currently provided by the Commission. Such support could facilitate the work</w:t>
      </w:r>
      <w:r>
        <w:t xml:space="preserve"> </w:t>
      </w:r>
      <w:r>
        <w:t xml:space="preserve">especially of RSPG subgroups, by taking over some preparatory and administrative work</w:t>
      </w:r>
      <w:r>
        <w:t xml:space="preserve"> </w:t>
      </w:r>
      <w:r>
        <w:t xml:space="preserve">from the co-chairs. Such support would be even more pertinent, if in the future, the scope of</w:t>
      </w:r>
      <w:r>
        <w:t xml:space="preserve"> </w:t>
      </w:r>
      <w:r>
        <w:t xml:space="preserve">RSPG tasks and responsibilities is increased.</w:t>
      </w:r>
    </w:p>
    <w:p>
      <w:pPr>
        <w:pStyle w:val="BodyText"/>
      </w:pPr>
      <w:r>
        <w:t xml:space="preserve">414 Study on Completing the Digital Single Market (DSM): Regulatory enablers for cross-border networks.</w:t>
      </w:r>
      <w:r>
        <w:t xml:space="preserve"> </w:t>
      </w:r>
      <w:r>
        <w:t xml:space="preserve">415 Study on Completing the Digital Single Market (DSM): Regulatory enablers for cross-border networks.</w:t>
      </w:r>
    </w:p>
    <w:p>
      <w:pPr>
        <w:pStyle w:val="BodyText"/>
      </w:pPr>
      <w:r>
        <w:t xml:space="preserve">126</w:t>
      </w:r>
    </w:p>
    <w:p>
      <w:pPr>
        <w:pStyle w:val="BodyText"/>
      </w:pPr>
      <w:r>
        <w:t xml:space="preserve">Overall, the coordination among authorities of Member States remains the core task in both</w:t>
      </w:r>
      <w:r>
        <w:t xml:space="preserve"> </w:t>
      </w:r>
      <w:r>
        <w:t xml:space="preserve">entities, where pan-EU perspectives had been taken only to a limited extent, and there was no</w:t>
      </w:r>
      <w:r>
        <w:t xml:space="preserve"> </w:t>
      </w:r>
      <w:r>
        <w:t xml:space="preserve">sufficiently strong boost to the completion of the single market. A lack of sufficient alignment</w:t>
      </w:r>
      <w:r>
        <w:t xml:space="preserve"> </w:t>
      </w:r>
      <w:r>
        <w:t xml:space="preserve">of the organisation of workstreams and of the co-ordination of tasks prevented in several</w:t>
      </w:r>
      <w:r>
        <w:t xml:space="preserve"> </w:t>
      </w:r>
      <w:r>
        <w:t xml:space="preserve">instances to achieve sufficient coherence in the governance of the sector.</w:t>
      </w:r>
    </w:p>
    <w:p>
      <w:pPr>
        <w:pStyle w:val="Compact"/>
        <w:numPr>
          <w:ilvl w:val="0"/>
          <w:numId w:val="1005"/>
        </w:numPr>
      </w:pPr>
      <w:r>
        <w:t xml:space="preserve">LESSONS LEARNT AND CONCLUSIONS</w:t>
      </w:r>
      <w:r>
        <w:t xml:space="preserve"> </w:t>
      </w:r>
      <w:r>
        <w:t xml:space="preserve">The analysis above has shown that the EECC, through its objectives of promotion of</w:t>
      </w:r>
      <w:r>
        <w:t xml:space="preserve"> </w:t>
      </w:r>
      <w:r>
        <w:t xml:space="preserve">connectivity and access to, and take-up of, very high-capacity networks, helped</w:t>
      </w:r>
      <w:r>
        <w:t xml:space="preserve"> </w:t>
      </w:r>
      <w:r>
        <w:t xml:space="preserve">achieve/maintain effective competition in the market for electronic communications networks</w:t>
      </w:r>
      <w:r>
        <w:t xml:space="preserve"> </w:t>
      </w:r>
      <w:r>
        <w:t xml:space="preserve">and services and protect the interests of the end users. However, the EECC, as a Directive</w:t>
      </w:r>
      <w:r>
        <w:t xml:space="preserve"> </w:t>
      </w:r>
      <w:r>
        <w:t xml:space="preserve">leaves significant room for national divergence leading to fragmentation and therefore, the</w:t>
      </w:r>
      <w:r>
        <w:t xml:space="preserve"> </w:t>
      </w:r>
      <w:r>
        <w:t xml:space="preserve">evaluation shows its limitations in achieving more single market. Furthermore, the evaluation</w:t>
      </w:r>
      <w:r>
        <w:t xml:space="preserve"> </w:t>
      </w:r>
      <w:r>
        <w:t xml:space="preserve">revealed the need for some rebalancing of objectives, in the sense of prioritising all</w:t>
      </w:r>
      <w:r>
        <w:t xml:space="preserve"> </w:t>
      </w:r>
      <w:r>
        <w:t xml:space="preserve">dimensions of connectivity (investment, demand), and considering the addition of new</w:t>
      </w:r>
      <w:r>
        <w:t xml:space="preserve"> </w:t>
      </w:r>
      <w:r>
        <w:t xml:space="preserve">objectives of enhanced competitiveness for innovations in advanced infrastructures and</w:t>
      </w:r>
      <w:r>
        <w:t xml:space="preserve"> </w:t>
      </w:r>
      <w:r>
        <w:t xml:space="preserve">services, and integration of infrastructures’ security and resilience to the core objectives of the</w:t>
      </w:r>
      <w:r>
        <w:t xml:space="preserve"> </w:t>
      </w:r>
      <w:r>
        <w:t xml:space="preserve">new framework.</w:t>
      </w:r>
      <w:r>
        <w:br/>
      </w:r>
      <w:r>
        <w:t xml:space="preserve">Several pillars of EECC still remain relevant:</w:t>
      </w:r>
      <w:r>
        <w:br/>
      </w:r>
      <w:r>
        <w:t xml:space="preserve">• The Significant Market Power (SMP) regime remains the key instrument for ex ante</w:t>
      </w:r>
      <w:r>
        <w:t xml:space="preserve"> </w:t>
      </w:r>
      <w:r>
        <w:t xml:space="preserve">regulation. Ex-ante regulation is still an important tool to ensure that markets work well, and</w:t>
      </w:r>
      <w:r>
        <w:t xml:space="preserve"> </w:t>
      </w:r>
      <w:r>
        <w:t xml:space="preserve">main tool used by NRAs. However, NRAs have increasingly defined markets subject to</w:t>
      </w:r>
      <w:r>
        <w:t xml:space="preserve"> </w:t>
      </w:r>
      <w:r>
        <w:t xml:space="preserve">regulation as regional or local level and lower the intensity of ex ante regulation.</w:t>
      </w:r>
      <w:r>
        <w:t xml:space="preserve"> </w:t>
      </w:r>
      <w:r>
        <w:t xml:space="preserve">• Radio spectrum is of outmost strategic and geopolitical importance; it is essential to enable</w:t>
      </w:r>
      <w:r>
        <w:t xml:space="preserve"> </w:t>
      </w:r>
      <w:r>
        <w:t xml:space="preserve">communication, drive economic growth and social prosperity, and support critical services</w:t>
      </w:r>
      <w:r>
        <w:t xml:space="preserve"> </w:t>
      </w:r>
      <w:r>
        <w:t xml:space="preserve">across various sectors.</w:t>
      </w:r>
      <w:r>
        <w:t xml:space="preserve"> </w:t>
      </w:r>
      <w:r>
        <w:t xml:space="preserve">• The universal service obligations (USO) in the EECC are a safety net to ensure all consumers</w:t>
      </w:r>
      <w:r>
        <w:t xml:space="preserve"> </w:t>
      </w:r>
      <w:r>
        <w:t xml:space="preserve">in the Union have affordable adequate internet and voice communications services, however</w:t>
      </w:r>
      <w:r>
        <w:t xml:space="preserve"> </w:t>
      </w:r>
      <w:r>
        <w:t xml:space="preserve">the use of the USO by MS had decreased.</w:t>
      </w:r>
      <w:r>
        <w:t xml:space="preserve"> </w:t>
      </w:r>
      <w:r>
        <w:t xml:space="preserve">• The provisions on end-user rights are mostly still fit for purpose but in some respects could be</w:t>
      </w:r>
      <w:r>
        <w:t xml:space="preserve"> </w:t>
      </w:r>
      <w:r>
        <w:t xml:space="preserve">simplified;</w:t>
      </w:r>
      <w:r>
        <w:t xml:space="preserve"> </w:t>
      </w:r>
      <w:r>
        <w:t xml:space="preserve">Access regulation is based on competition law principles and on transparent consultation</w:t>
      </w:r>
      <w:r>
        <w:t xml:space="preserve"> </w:t>
      </w:r>
      <w:r>
        <w:t xml:space="preserve">mechanisms with the Commission as the guardian of the treaties, ensuring that the proposed</w:t>
      </w:r>
      <w:r>
        <w:t xml:space="preserve"> </w:t>
      </w:r>
      <w:r>
        <w:t xml:space="preserve">regulations would not create a barrier to the internal market and are compatible with Union</w:t>
      </w:r>
      <w:r>
        <w:t xml:space="preserve"> </w:t>
      </w:r>
      <w:r>
        <w:t xml:space="preserve">law. Such a system promotes regulatory predictability by ensuring a consistent regulatory</w:t>
      </w:r>
      <w:r>
        <w:t xml:space="preserve"> </w:t>
      </w:r>
      <w:r>
        <w:t xml:space="preserve">approach.</w:t>
      </w:r>
      <w:r>
        <w:br/>
      </w:r>
      <w:r>
        <w:t xml:space="preserve">The current framework is, in principle, well adapted to addressing instances of significant</w:t>
      </w:r>
      <w:r>
        <w:t xml:space="preserve"> </w:t>
      </w:r>
      <w:r>
        <w:t xml:space="preserve">market power including local monopolies, which is relevant in full fibre environment in a</w:t>
      </w:r>
      <w:r>
        <w:t xml:space="preserve"> </w:t>
      </w:r>
      <w:r>
        <w:t xml:space="preserve">post-copper world. The number of cases regarding the oligopolistic markets, notified under</w:t>
      </w:r>
      <w:r>
        <w:t xml:space="preserve"> </w:t>
      </w:r>
      <w:r>
        <w:t xml:space="preserve">Article 32 EECC was very limited. Possible issues in oligopolistic markets have been</w:t>
      </w:r>
      <w:r>
        <w:t xml:space="preserve"> </w:t>
      </w:r>
      <w:r>
        <w:t xml:space="preserve">addressed either under the spectrum authorisation regime or under competition law.</w:t>
      </w:r>
      <w:r>
        <w:br/>
      </w:r>
      <w:r>
        <w:t xml:space="preserve">Moreover, as indicated in the report, there is a room for simplification of some key provisions</w:t>
      </w:r>
      <w:r>
        <w:t xml:space="preserve"> </w:t>
      </w:r>
      <w:r>
        <w:t xml:space="preserve">that have either not been applied by regulators (Article 76 regarding co-investments,</w:t>
      </w:r>
      <w:r>
        <w:t xml:space="preserve"> </w:t>
      </w:r>
      <w:r>
        <w:t xml:space="preserve">Article 77 regarding the imposition of functional separation) or were applied by some</w:t>
      </w:r>
      <w:r>
        <w:t xml:space="preserve"> </w:t>
      </w:r>
      <w:r>
        <w:t xml:space="preserve">regulators but should be further simplified to enable their broader application (Article 61(3)</w:t>
      </w:r>
    </w:p>
    <w:p>
      <w:pPr>
        <w:pStyle w:val="FirstParagraph"/>
      </w:pPr>
      <w:r>
        <w:t xml:space="preserve">127</w:t>
      </w:r>
    </w:p>
    <w:p>
      <w:pPr>
        <w:pStyle w:val="BodyText"/>
      </w:pPr>
      <w:r>
        <w:t xml:space="preserve">covering symmetric regulation, Article 79 covering regulatory commitments, Article 80</w:t>
      </w:r>
      <w:r>
        <w:t xml:space="preserve"> </w:t>
      </w:r>
      <w:r>
        <w:t xml:space="preserve">regulating wholesale-only networks).</w:t>
      </w:r>
      <w:r>
        <w:br/>
      </w:r>
      <w:r>
        <w:t xml:space="preserve">As regards copper switch-off, Article 81 has had limited practical relevance primarily due to</w:t>
      </w:r>
      <w:r>
        <w:t xml:space="preserve"> </w:t>
      </w:r>
      <w:r>
        <w:t xml:space="preserve">the lack of plans announced by incumbent operators and has not significantly contributed to</w:t>
      </w:r>
      <w:r>
        <w:t xml:space="preserve"> </w:t>
      </w:r>
      <w:r>
        <w:t xml:space="preserve">accelerating the transition from copper to fibre networks. Instead, its primary purpose has</w:t>
      </w:r>
      <w:r>
        <w:t xml:space="preserve"> </w:t>
      </w:r>
      <w:r>
        <w:t xml:space="preserve">been to provide NRAs with a framework to manage the switch-off process in a transparent</w:t>
      </w:r>
      <w:r>
        <w:t xml:space="preserve"> </w:t>
      </w:r>
      <w:r>
        <w:t xml:space="preserve">and competitive manner, ensuring that migrations do not harm competition or end-user rights,</w:t>
      </w:r>
      <w:r>
        <w:t xml:space="preserve"> </w:t>
      </w:r>
      <w:r>
        <w:t xml:space="preserve">and that alternative access products of comparable quality are available.</w:t>
      </w:r>
      <w:r>
        <w:t xml:space="preserve"> </w:t>
      </w:r>
      <w:r>
        <w:t xml:space="preserve">On wireless connectivity, although the EU spectrum policy framework has laid the</w:t>
      </w:r>
      <w:r>
        <w:t xml:space="preserve"> </w:t>
      </w:r>
      <w:r>
        <w:t xml:space="preserve">foundation for coordinated 5G deployment through early harmonisation and binding deadlines</w:t>
      </w:r>
      <w:r>
        <w:t xml:space="preserve"> </w:t>
      </w:r>
      <w:r>
        <w:t xml:space="preserve">for the assignment of spectrum, and has ensured competitive prices for end users, the EU is</w:t>
      </w:r>
      <w:r>
        <w:t xml:space="preserve"> </w:t>
      </w:r>
      <w:r>
        <w:t xml:space="preserve">lagging in high quality 5G deployment compared to leading world economies with negative</w:t>
      </w:r>
      <w:r>
        <w:t xml:space="preserve"> </w:t>
      </w:r>
      <w:r>
        <w:t xml:space="preserve">implications not only for consumers but also for EU’s industrial competitiveness and</w:t>
      </w:r>
      <w:r>
        <w:t xml:space="preserve"> </w:t>
      </w:r>
      <w:r>
        <w:t xml:space="preserve">innovation. The reasons are diverse: spectrum assignment conditions remain excessively</w:t>
      </w:r>
      <w:r>
        <w:t xml:space="preserve"> </w:t>
      </w:r>
      <w:r>
        <w:t xml:space="preserve">fragmented and have not ensured consistent outcomes in terms of investments. Excessively</w:t>
      </w:r>
      <w:r>
        <w:t xml:space="preserve"> </w:t>
      </w:r>
      <w:r>
        <w:t xml:space="preserve">high reserve prices, revenue-oriented auction designs, insufficiently long duration of licenses,</w:t>
      </w:r>
      <w:r>
        <w:t xml:space="preserve"> </w:t>
      </w:r>
      <w:r>
        <w:t xml:space="preserve">unjustified market shaping measures, lack of flexibility and incentives to share spectrum and</w:t>
      </w:r>
      <w:r>
        <w:t xml:space="preserve"> </w:t>
      </w:r>
      <w:r>
        <w:t xml:space="preserve">use it more efficiently have increased the cost of spectrum which combined with limited</w:t>
      </w:r>
      <w:r>
        <w:t xml:space="preserve"> </w:t>
      </w:r>
      <w:r>
        <w:t xml:space="preserve">mobile revenues and lack of demand have negatively affected deployment.</w:t>
      </w:r>
      <w:r>
        <w:br/>
      </w:r>
      <w:r>
        <w:t xml:space="preserve">The procedural tools of the EECC to help establish the single market for spectrum, and in</w:t>
      </w:r>
      <w:r>
        <w:t xml:space="preserve"> </w:t>
      </w:r>
      <w:r>
        <w:t xml:space="preserve">particular the voluntary peer review of spectrum assignment procedures or the voluntary joint</w:t>
      </w:r>
      <w:r>
        <w:t xml:space="preserve"> </w:t>
      </w:r>
      <w:r>
        <w:t xml:space="preserve">authorisation procedure allowing several Member States to cooperate to grant spectrum usage</w:t>
      </w:r>
      <w:r>
        <w:t xml:space="preserve"> </w:t>
      </w:r>
      <w:r>
        <w:t xml:space="preserve">rights through common conditions and procedure have been ineffective to promote regulatory</w:t>
      </w:r>
      <w:r>
        <w:t xml:space="preserve"> </w:t>
      </w:r>
      <w:r>
        <w:t xml:space="preserve">predictability and investment. As regards cross-border harmful interferences between Member</w:t>
      </w:r>
      <w:r>
        <w:t xml:space="preserve"> </w:t>
      </w:r>
      <w:r>
        <w:t xml:space="preserve">States, the RSPG good offices’ involvement has brought significant added-value according to</w:t>
      </w:r>
      <w:r>
        <w:t xml:space="preserve"> </w:t>
      </w:r>
      <w:r>
        <w:t xml:space="preserve">participants but has not been fully efficient to address cross-border coordination issues with</w:t>
      </w:r>
      <w:r>
        <w:t xml:space="preserve"> </w:t>
      </w:r>
      <w:r>
        <w:t xml:space="preserve">third countries or in non-harmonised bands. Overall lack of regulatory predictability and</w:t>
      </w:r>
      <w:r>
        <w:t xml:space="preserve"> </w:t>
      </w:r>
      <w:r>
        <w:t xml:space="preserve">inefficient use of spectrum have affected the financial attractiveness of 5G investment</w:t>
      </w:r>
      <w:r>
        <w:t xml:space="preserve"> </w:t>
      </w:r>
      <w:r>
        <w:t xml:space="preserve">projects.</w:t>
      </w:r>
      <w:r>
        <w:br/>
      </w:r>
      <w:r>
        <w:t xml:space="preserve">For satellite services that have a clear cross-border potential, the failure to establish a Single</w:t>
      </w:r>
      <w:r>
        <w:t xml:space="preserve"> </w:t>
      </w:r>
      <w:r>
        <w:t xml:space="preserve">Market is even more apparent. There are no minimum common authorisation conditions or</w:t>
      </w:r>
      <w:r>
        <w:t xml:space="preserve"> </w:t>
      </w:r>
      <w:r>
        <w:t xml:space="preserve">requirements for satellite spectrum, and no common selection procedures except for the 2</w:t>
      </w:r>
      <w:r>
        <w:t xml:space="preserve"> </w:t>
      </w:r>
      <w:r>
        <w:t xml:space="preserve">GHz band, wide variations in timescales for issuing a license, different approaches to national</w:t>
      </w:r>
      <w:r>
        <w:t xml:space="preserve"> </w:t>
      </w:r>
      <w:r>
        <w:t xml:space="preserve">coordination with existing services, different fees and different conditions attached to the</w:t>
      </w:r>
      <w:r>
        <w:t xml:space="preserve"> </w:t>
      </w:r>
      <w:r>
        <w:t xml:space="preserve">licences. This fragmentation does not allow to leverage the strength of the internal market to</w:t>
      </w:r>
      <w:r>
        <w:t xml:space="preserve"> </w:t>
      </w:r>
      <w:r>
        <w:t xml:space="preserve">ensure a level playing field in space and is not favourable to scaling up for the EU-wide</w:t>
      </w:r>
      <w:r>
        <w:t xml:space="preserve"> </w:t>
      </w:r>
      <w:r>
        <w:t xml:space="preserve">provision of satellite services and allows for regulatory forum shopping. These barriers affect</w:t>
      </w:r>
      <w:r>
        <w:t xml:space="preserve"> </w:t>
      </w:r>
      <w:r>
        <w:t xml:space="preserve">EU readiness for the Direct-to-Device challenge in a context where the EU risks being</w:t>
      </w:r>
      <w:r>
        <w:t xml:space="preserve"> </w:t>
      </w:r>
      <w:r>
        <w:t xml:space="preserve">strategically dependent on foreign players for services crucial for its security and defence.</w:t>
      </w:r>
      <w:r>
        <w:t xml:space="preserve"> </w:t>
      </w:r>
      <w:r>
        <w:t xml:space="preserve">The evaluation findings on the general authorisation provisions pointed out to the need for</w:t>
      </w:r>
      <w:r>
        <w:t xml:space="preserve"> </w:t>
      </w:r>
      <w:r>
        <w:t xml:space="preserve">further harmonisation, update and simplification of the general authorisation regime and</w:t>
      </w:r>
      <w:r>
        <w:t xml:space="preserve"> </w:t>
      </w:r>
      <w:r>
        <w:t xml:space="preserve">paving the way for facilitating the deployment of more virtualised and centrally managed</w:t>
      </w:r>
      <w:r>
        <w:t xml:space="preserve"> </w:t>
      </w:r>
      <w:r>
        <w:t xml:space="preserve">networks and software (cloud)-based electronic communications services in the EU.</w:t>
      </w:r>
      <w:r>
        <w:t xml:space="preserve"> </w:t>
      </w:r>
      <w:r>
        <w:t xml:space="preserve">The provisions on end-user rights are mostly still fit for purpose and there must be</w:t>
      </w:r>
      <w:r>
        <w:t xml:space="preserve"> </w:t>
      </w:r>
      <w:r>
        <w:t xml:space="preserve">continued focus on their enforcement and implementation. At the same time, some updates</w:t>
      </w:r>
      <w:r>
        <w:t xml:space="preserve"> </w:t>
      </w:r>
      <w:r>
        <w:t xml:space="preserve">and simplification could be beneficial for both end-users and service providers, for example,</w:t>
      </w:r>
      <w:r>
        <w:t xml:space="preserve"> </w:t>
      </w:r>
      <w:r>
        <w:t xml:space="preserve">streamlining of contractual information (Article 102), as well as the harmonisation at EU level</w:t>
      </w:r>
      <w:r>
        <w:t xml:space="preserve"> </w:t>
      </w:r>
      <w:r>
        <w:t xml:space="preserve">of some aspects, such as parameters on quality of services (Article 104)</w:t>
      </w:r>
    </w:p>
    <w:p>
      <w:pPr>
        <w:pStyle w:val="BodyText"/>
      </w:pPr>
      <w:r>
        <w:t xml:space="preserve">128</w:t>
      </w:r>
    </w:p>
    <w:p>
      <w:pPr>
        <w:pStyle w:val="BodyText"/>
      </w:pPr>
      <w:r>
        <w:t xml:space="preserve">As regards, authorisation and objectives, the fragmentation of rules, in particular the</w:t>
      </w:r>
      <w:r>
        <w:t xml:space="preserve"> </w:t>
      </w:r>
      <w:r>
        <w:t xml:space="preserve">conditions under the general authorisation regime and for satellites combined with nationally</w:t>
      </w:r>
      <w:r>
        <w:t xml:space="preserve"> </w:t>
      </w:r>
      <w:r>
        <w:t xml:space="preserve">diverging rules in the area of end-user protection as well as law enforcement, cyber-security</w:t>
      </w:r>
      <w:r>
        <w:t xml:space="preserve"> </w:t>
      </w:r>
      <w:r>
        <w:t xml:space="preserve">or privacy, hampers companies from deploying pan-European innovative services. The</w:t>
      </w:r>
      <w:r>
        <w:t xml:space="preserve"> </w:t>
      </w:r>
      <w:r>
        <w:t xml:space="preserve">evaluation revealed the need for some rebalancing of objectives, in the sense of prioritising all</w:t>
      </w:r>
      <w:r>
        <w:t xml:space="preserve"> </w:t>
      </w:r>
      <w:r>
        <w:t xml:space="preserve">dimensions of connectivity (investment, demand), including in green networks and</w:t>
      </w:r>
      <w:r>
        <w:t xml:space="preserve"> </w:t>
      </w:r>
      <w:r>
        <w:t xml:space="preserve">considering the addition of enhanced competitiveness for innovations in advanced</w:t>
      </w:r>
      <w:r>
        <w:t xml:space="preserve"> </w:t>
      </w:r>
      <w:r>
        <w:t xml:space="preserve">infrastructures and services, and integration of infrastructures’ security and resilience to the</w:t>
      </w:r>
      <w:r>
        <w:t xml:space="preserve"> </w:t>
      </w:r>
      <w:r>
        <w:t xml:space="preserve">core objectives of the new framework.</w:t>
      </w:r>
      <w:r>
        <w:t xml:space="preserve"> </w:t>
      </w:r>
      <w:r>
        <w:t xml:space="preserve">As regards governance the assessment of BEREC and the BEREC Office and their</w:t>
      </w:r>
      <w:r>
        <w:t xml:space="preserve"> </w:t>
      </w:r>
      <w:r>
        <w:t xml:space="preserve">contribution to the harmonised implementation of the EECC had been overall positive in</w:t>
      </w:r>
      <w:r>
        <w:t xml:space="preserve"> </w:t>
      </w:r>
      <w:r>
        <w:t xml:space="preserve">particular as regards quality of BEREC guidelines and report, and overall supporting NRAs in</w:t>
      </w:r>
      <w:r>
        <w:t xml:space="preserve"> </w:t>
      </w:r>
      <w:r>
        <w:t xml:space="preserve">reaching common approaches. Yet BEREC guidelines and exchanges of best practices were</w:t>
      </w:r>
      <w:r>
        <w:t xml:space="preserve"> </w:t>
      </w:r>
      <w:r>
        <w:t xml:space="preserve">not sufficient to bring about the single market in the communication sector.</w:t>
      </w:r>
      <w:r>
        <w:t xml:space="preserve"> </w:t>
      </w:r>
      <w:r>
        <w:t xml:space="preserve">As markets, technology and broader digital ecosystem rapidly evolve BEREC’s mandate</w:t>
      </w:r>
      <w:r>
        <w:t xml:space="preserve"> </w:t>
      </w:r>
      <w:r>
        <w:t xml:space="preserve">should also evolve to encompass new tasks in e.g. digital markets, cybersecurity, spectrum,</w:t>
      </w:r>
      <w:r>
        <w:t xml:space="preserve"> </w:t>
      </w:r>
      <w:r>
        <w:t xml:space="preserve">data, AI. Also, BEREC Office should be strengthened to increase its capacity to support</w:t>
      </w:r>
      <w:r>
        <w:t xml:space="preserve"> </w:t>
      </w:r>
      <w:r>
        <w:t xml:space="preserve">BEREC also on substance, with aim to ensure better alignment with EU-level policies.</w:t>
      </w:r>
      <w:r>
        <w:t xml:space="preserve"> </w:t>
      </w:r>
      <w:r>
        <w:t xml:space="preserve">Similarly, the assessment of the contribution of the RSPG in spectrum policy is positive. Its</w:t>
      </w:r>
      <w:r>
        <w:t xml:space="preserve"> </w:t>
      </w:r>
      <w:r>
        <w:t xml:space="preserve">deliverables related to spectrum for future wireless connectivity, including 6G, spectrum</w:t>
      </w:r>
      <w:r>
        <w:t xml:space="preserve"> </w:t>
      </w:r>
      <w:r>
        <w:t xml:space="preserve">sharing, future use of the UHF band, WRCs and their outcome, satellite connectivity, and</w:t>
      </w:r>
      <w:r>
        <w:t xml:space="preserve"> </w:t>
      </w:r>
      <w:r>
        <w:t xml:space="preserve">climate change have provided valuable input for further EC considerations. However, as the</w:t>
      </w:r>
      <w:r>
        <w:t xml:space="preserve"> </w:t>
      </w:r>
      <w:r>
        <w:t xml:space="preserve">RSPG adopts deliverables in general by consensus, at least on some sensitive issues, a fine</w:t>
      </w:r>
      <w:r>
        <w:t xml:space="preserve"> </w:t>
      </w:r>
      <w:r>
        <w:t xml:space="preserve">balance needed to be struck between different national interests and the EU and national</w:t>
      </w:r>
      <w:r>
        <w:t xml:space="preserve"> </w:t>
      </w:r>
      <w:r>
        <w:t xml:space="preserve">prerogatives, sometimes regretfully to the detriment of the broader EU benefit. RSPG</w:t>
      </w:r>
      <w:r>
        <w:t xml:space="preserve"> </w:t>
      </w:r>
      <w:r>
        <w:t xml:space="preserve">opinions tend to be too technical and not as political as its role of a high-level advisory group</w:t>
      </w:r>
      <w:r>
        <w:t xml:space="preserve"> </w:t>
      </w:r>
      <w:r>
        <w:t xml:space="preserve">to the Commission would require. Moreover, several limitations have significantly limited its</w:t>
      </w:r>
      <w:r>
        <w:t xml:space="preserve"> </w:t>
      </w:r>
      <w:r>
        <w:t xml:space="preserve">impact, such as the voluntary nature of the peer review, or the legal limitations to use its Good</w:t>
      </w:r>
      <w:r>
        <w:t xml:space="preserve"> </w:t>
      </w:r>
      <w:r>
        <w:t xml:space="preserve">Offices mechanism to address interferences from third countries. Synergies between RSPG</w:t>
      </w:r>
      <w:r>
        <w:t xml:space="preserve"> </w:t>
      </w:r>
      <w:r>
        <w:t xml:space="preserve">and BEREC work in technical, economic and overall policy dimensions have not been</w:t>
      </w:r>
      <w:r>
        <w:t xml:space="preserve"> </w:t>
      </w:r>
      <w:r>
        <w:t xml:space="preserve">leveraged.</w:t>
      </w:r>
    </w:p>
    <w:p>
      <w:pPr>
        <w:pStyle w:val="BodyText"/>
      </w:pPr>
      <w:r>
        <w:t xml:space="preserve">129</w:t>
      </w:r>
    </w:p>
    <w:p>
      <w:pPr>
        <w:pStyle w:val="BodyText"/>
      </w:pPr>
      <w:r>
        <w:t xml:space="preserve">APPENDIX I SOURCES</w:t>
      </w:r>
      <w:r>
        <w:t xml:space="preserve"> </w:t>
      </w:r>
      <w:r>
        <w:t xml:space="preserve">1) National implementation reports from the NRAs (not available or carried out for the EECC,</w:t>
      </w:r>
      <w:r>
        <w:t xml:space="preserve"> </w:t>
      </w:r>
      <w:r>
        <w:t xml:space="preserve">country reports for DD could be used to some extent) and BEREC:</w:t>
      </w:r>
      <w:r>
        <w:br/>
      </w:r>
      <w:r>
        <w:t xml:space="preserve">2) The BEREC Opinions and reports:</w:t>
      </w:r>
    </w:p>
    <w:p>
      <w:pPr>
        <w:pStyle w:val="BodyText"/>
      </w:pPr>
      <w:r>
        <w:t xml:space="preserve">BEREC Opinion on the national implementation and functioning of the general</w:t>
      </w:r>
      <w:r>
        <w:t xml:space="preserve"> </w:t>
      </w:r>
      <w:r>
        <w:t xml:space="preserve">authorisation, and on their impact on the functioning of the internal market, pursuant to</w:t>
      </w:r>
      <w:r>
        <w:t xml:space="preserve"> </w:t>
      </w:r>
      <w:r>
        <w:t xml:space="preserve">Article 122, paragraph 3 EECC416.</w:t>
      </w:r>
    </w:p>
    <w:p>
      <w:pPr>
        <w:pStyle w:val="BodyText"/>
      </w:pPr>
      <w:r>
        <w:t xml:space="preserve">BEREC Report on Member States’ best practices to support the defining of adequate</w:t>
      </w:r>
      <w:r>
        <w:t xml:space="preserve"> </w:t>
      </w:r>
      <w:r>
        <w:t xml:space="preserve">broadband internet access service417 (2024).</w:t>
      </w:r>
    </w:p>
    <w:p>
      <w:pPr>
        <w:pStyle w:val="BodyText"/>
      </w:pPr>
      <w:r>
        <w:t xml:space="preserve">BEREC Opinion on the market and technological developments and on their impact on</w:t>
      </w:r>
      <w:r>
        <w:t xml:space="preserve"> </w:t>
      </w:r>
      <w:r>
        <w:t xml:space="preserve">the application of rights of end-users in the EECC (2021418) and (2024419).</w:t>
      </w:r>
    </w:p>
    <w:p>
      <w:pPr>
        <w:pStyle w:val="BodyText"/>
      </w:pPr>
      <w:r>
        <w:t xml:space="preserve">BEREC</w:t>
      </w:r>
      <w:r>
        <w:t xml:space="preserve"> </w:t>
      </w:r>
      <w:r>
        <w:t xml:space="preserve">report</w:t>
      </w:r>
      <w:r>
        <w:t xml:space="preserve"> </w:t>
      </w:r>
      <w:r>
        <w:t xml:space="preserve">on</w:t>
      </w:r>
      <w:r>
        <w:t xml:space="preserve"> </w:t>
      </w:r>
      <w:r>
        <w:t xml:space="preserve">interoperability</w:t>
      </w:r>
      <w:r>
        <w:t xml:space="preserve"> </w:t>
      </w:r>
      <w:r>
        <w:t xml:space="preserve">of</w:t>
      </w:r>
      <w:r>
        <w:t xml:space="preserve"> </w:t>
      </w:r>
      <w:r>
        <w:t xml:space="preserve">Number-Independent</w:t>
      </w:r>
      <w:r>
        <w:t xml:space="preserve"> </w:t>
      </w:r>
      <w:r>
        <w:t xml:space="preserve">Interpersonal</w:t>
      </w:r>
      <w:r>
        <w:t xml:space="preserve"> </w:t>
      </w:r>
      <w:r>
        <w:t xml:space="preserve">Communication Services (NI-ICS)420</w:t>
      </w:r>
      <w:r>
        <w:t xml:space="preserve"> </w:t>
      </w:r>
      <w:r>
        <w:t xml:space="preserve">3) The studies:</w:t>
      </w:r>
      <w:r>
        <w:t xml:space="preserve"> </w:t>
      </w:r>
      <w:r>
        <w:t xml:space="preserve">Ongoing studies</w:t>
      </w:r>
    </w:p>
    <w:p>
      <w:pPr>
        <w:pStyle w:val="BodyText"/>
      </w:pPr>
      <w:r>
        <w:t xml:space="preserve">The objective of Study 1 on Completing the Digital Single Market (DSM) - Regulatory</w:t>
      </w:r>
      <w:r>
        <w:t xml:space="preserve"> </w:t>
      </w:r>
      <w:r>
        <w:t xml:space="preserve">enablers for cross-border networks led by EY is to Develop and assess concrete policy</w:t>
      </w:r>
      <w:r>
        <w:t xml:space="preserve"> </w:t>
      </w:r>
      <w:r>
        <w:t xml:space="preserve">options for the EECC review and the scenarios of the White Paper relevant for cross-</w:t>
      </w:r>
      <w:r>
        <w:t xml:space="preserve"> </w:t>
      </w:r>
      <w:r>
        <w:t xml:space="preserve">border operation and the move towards a Single Market for digital networks and</w:t>
      </w:r>
      <w:r>
        <w:t xml:space="preserve"> </w:t>
      </w:r>
      <w:r>
        <w:t xml:space="preserve">services. Relevant areas include Technology challenges and Convergence, Scope of the</w:t>
      </w:r>
      <w:r>
        <w:t xml:space="preserve"> </w:t>
      </w:r>
      <w:r>
        <w:t xml:space="preserve">regulatory framework, Level Playing Field, Quality Based Services, Authorisation,</w:t>
      </w:r>
      <w:r>
        <w:t xml:space="preserve"> </w:t>
      </w:r>
      <w:r>
        <w:t xml:space="preserve">Spectrum, Sustainability and Regulatory governance, as well as end-user protection.</w:t>
      </w:r>
    </w:p>
    <w:p>
      <w:pPr>
        <w:pStyle w:val="BodyText"/>
      </w:pPr>
      <w:r>
        <w:t xml:space="preserve">Review of Access Regulation under the European Electronic Communications EECC</w:t>
      </w:r>
      <w:r>
        <w:t xml:space="preserve"> </w:t>
      </w:r>
      <w:r>
        <w:t xml:space="preserve">and analysis of future Access policy in full fibre environment (Terms of reference421) -</w:t>
      </w:r>
      <w:r>
        <w:t xml:space="preserve"> </w:t>
      </w:r>
      <w:r>
        <w:t xml:space="preserve">Study 2, on Review of Access Regulation under the EECC and analysis of future</w:t>
      </w:r>
      <w:r>
        <w:t xml:space="preserve"> </w:t>
      </w:r>
      <w:r>
        <w:t xml:space="preserve">Access policy in full fibre environment led by WIK, is to i) to evaluate in particular</w:t>
      </w:r>
    </w:p>
    <w:p>
      <w:pPr>
        <w:pStyle w:val="BodyText"/>
      </w:pPr>
      <w:r>
        <w:t xml:space="preserve">416 2021: https://www.berec.europa.eu/en/document-categories/berec/opinions/berec-opinion-on-the-national-</w:t>
      </w:r>
      <w:r>
        <w:t xml:space="preserve"> </w:t>
      </w:r>
      <w:r>
        <w:t xml:space="preserve">implementation-and-functioning-of-the-general-authorisation-and-on-their-impact-on-the-functioning-of-</w:t>
      </w:r>
      <w:r>
        <w:t xml:space="preserve"> </w:t>
      </w:r>
      <w:r>
        <w:t xml:space="preserve">the-internal-market-pursuant-to-article-122-paragraph-3-eecc.</w:t>
      </w:r>
      <w:r>
        <w:t xml:space="preserve"> </w:t>
      </w:r>
      <w:r>
        <w:t xml:space="preserve">2024: https://www.berec.europa.eu/en/all-documents/berec/opinions/berec-opinion-on-the-national-</w:t>
      </w:r>
      <w:r>
        <w:t xml:space="preserve"> </w:t>
      </w:r>
      <w:r>
        <w:t xml:space="preserve">implementation-and-functioning-of-the-general-authorisation-and-on-their-impact-on-the-functioning-of-</w:t>
      </w:r>
      <w:r>
        <w:t xml:space="preserve"> </w:t>
      </w:r>
      <w:r>
        <w:t xml:space="preserve">the-internal-market-pursuant-to-article-122-paragraph-3-eecc.</w:t>
      </w:r>
      <w:r>
        <w:t xml:space="preserve"> </w:t>
      </w:r>
      <w:r>
        <w:t xml:space="preserve">417 https://www.berec.europa.eu/en/document-categories/berec/reports/berec-report-on-member-states-best-</w:t>
      </w:r>
      <w:r>
        <w:t xml:space="preserve"> </w:t>
      </w:r>
      <w:r>
        <w:t xml:space="preserve">practices-to-support-the-defining-of-adequate-broadband-internet-access-service-0.</w:t>
      </w:r>
      <w:r>
        <w:t xml:space="preserve"> </w:t>
      </w:r>
      <w:r>
        <w:t xml:space="preserve">418 https://www.berec.europa.eu/en/document-categories/berec/opinions/berec-opinion-on-the-market-and-</w:t>
      </w:r>
      <w:r>
        <w:t xml:space="preserve"> </w:t>
      </w:r>
      <w:r>
        <w:t xml:space="preserve">technological-developments-and-on-their-impact-on-the-application-of-rights-of-end-users-in-the-eecc.</w:t>
      </w:r>
      <w:r>
        <w:t xml:space="preserve"> </w:t>
      </w:r>
      <w:r>
        <w:t xml:space="preserve">419 https://www.berec.europa.eu/en/all-documents/berec/opinions/berec-opinion-on-the-market-and-</w:t>
      </w:r>
      <w:r>
        <w:t xml:space="preserve"> </w:t>
      </w:r>
      <w:r>
        <w:t xml:space="preserve">technological-developments-and-on-their-impact-on-the-application-of-rights-of-end-users-in-the-eecc-</w:t>
      </w:r>
      <w:r>
        <w:t xml:space="preserve"> </w:t>
      </w:r>
      <w:r>
        <w:t xml:space="preserve">article-123.</w:t>
      </w:r>
      <w:r>
        <w:t xml:space="preserve"> </w:t>
      </w:r>
      <w:r>
        <w:t xml:space="preserve">420 BEREC report on interoperability of NI-ICS.</w:t>
      </w:r>
      <w:r>
        <w:br/>
      </w:r>
      <w:r>
        <w:t xml:space="preserve">421 Internal link to Ares:</w:t>
      </w:r>
      <w:r>
        <w:br/>
      </w:r>
      <w:r>
        <w:t xml:space="preserve">https://webgate.ec.testa.eu/Ares/document/show.do?documentId=080166e5103da7a2&amp;timestamp=17368463</w:t>
      </w:r>
      <w:r>
        <w:t xml:space="preserve"> </w:t>
      </w:r>
      <w:r>
        <w:t xml:space="preserve">25599.</w:t>
      </w:r>
    </w:p>
    <w:p>
      <w:pPr>
        <w:pStyle w:val="BodyText"/>
      </w:pPr>
      <w:r>
        <w:t xml:space="preserve">130</w:t>
      </w:r>
    </w:p>
    <w:p>
      <w:pPr>
        <w:pStyle w:val="BodyText"/>
      </w:pPr>
      <w:r>
        <w:t xml:space="preserve">the market and regulatory implications of key provisions of the EECC, including</w:t>
      </w:r>
      <w:r>
        <w:t xml:space="preserve"> </w:t>
      </w:r>
      <w:r>
        <w:t xml:space="preserve">as a minimum Articles 61(3), 76, 78 and 79 regarding the access provisions</w:t>
      </w:r>
      <w:r>
        <w:t xml:space="preserve"> </w:t>
      </w:r>
      <w:r>
        <w:t xml:space="preserve">concerning symmetric measures, co-investment, voluntary separation and</w:t>
      </w:r>
      <w:r>
        <w:t xml:space="preserve"> </w:t>
      </w:r>
      <w:r>
        <w:t xml:space="preserve">commitments in relation as well with the objective of the EECC; ii) the assessment</w:t>
      </w:r>
      <w:r>
        <w:t xml:space="preserve"> </w:t>
      </w:r>
      <w:r>
        <w:t xml:space="preserve">of the appropriateness of intervention powers to address oligopolistic market</w:t>
      </w:r>
      <w:r>
        <w:t xml:space="preserve"> </w:t>
      </w:r>
      <w:r>
        <w:t xml:space="preserve">structures; iii) the assessment of the impact of symmetrical regulation; iv) the</w:t>
      </w:r>
      <w:r>
        <w:t xml:space="preserve"> </w:t>
      </w:r>
      <w:r>
        <w:t xml:space="preserve">assessment, on a forward looking forward-looking basis, of the markets included in the</w:t>
      </w:r>
      <w:r>
        <w:t xml:space="preserve"> </w:t>
      </w:r>
      <w:r>
        <w:t xml:space="preserve">current Recommendation on Relevant Markets and evaluation of other markets, if any,</w:t>
      </w:r>
      <w:r>
        <w:t xml:space="preserve"> </w:t>
      </w:r>
      <w:r>
        <w:t xml:space="preserve">still warranting ex ante regulation at EU level; and v) assessment of the options set out</w:t>
      </w:r>
      <w:r>
        <w:t xml:space="preserve"> </w:t>
      </w:r>
      <w:r>
        <w:t xml:space="preserve">in the White Paper in the field of access regulation. The study will also support the</w:t>
      </w:r>
      <w:r>
        <w:t xml:space="preserve"> </w:t>
      </w:r>
      <w:r>
        <w:t xml:space="preserve">review of the Recommendation on relevant markets and possible guidance on Article 3</w:t>
      </w:r>
      <w:r>
        <w:t xml:space="preserve"> </w:t>
      </w:r>
      <w:r>
        <w:t xml:space="preserve">of the GIA Regulation.</w:t>
      </w:r>
      <w:r>
        <w:t xml:space="preserve"> </w:t>
      </w:r>
      <w:r>
        <w:t xml:space="preserve">Study 3 on financial conditions, demand and investment needs of the electronic</w:t>
      </w:r>
      <w:r>
        <w:t xml:space="preserve"> </w:t>
      </w:r>
      <w:r>
        <w:t xml:space="preserve">communications sector and their regulatory and policy implications, including on the</w:t>
      </w:r>
      <w:r>
        <w:t xml:space="preserve"> </w:t>
      </w:r>
      <w:r>
        <w:t xml:space="preserve">Universal Service also led by WIK aims at providing an estimate of the demand for very-</w:t>
      </w:r>
      <w:r>
        <w:t xml:space="preserve"> </w:t>
      </w:r>
      <w:r>
        <w:t xml:space="preserve">high-capacity connectivity networks in EU Member States in the light of the Digital Decade</w:t>
      </w:r>
      <w:r>
        <w:t xml:space="preserve"> </w:t>
      </w:r>
      <w:r>
        <w:t xml:space="preserve">2030 targets and the evolution of households and industry’s needs.</w:t>
      </w:r>
      <w:r>
        <w:br/>
      </w:r>
      <w:r>
        <w:t xml:space="preserve">This study also aims at identifying financial and regulatory incentives and barriers for</w:t>
      </w:r>
      <w:r>
        <w:t xml:space="preserve"> </w:t>
      </w:r>
      <w:r>
        <w:t xml:space="preserve">investment in the EU electronic communications sector as well as making an assessment of</w:t>
      </w:r>
      <w:r>
        <w:t xml:space="preserve"> </w:t>
      </w:r>
      <w:r>
        <w:t xml:space="preserve">the financial situation of the sector.</w:t>
      </w:r>
      <w:r>
        <w:br/>
      </w:r>
      <w:r>
        <w:t xml:space="preserve">Finally, it aims to assess whether the scope of the Universal Service provisions in the EECC</w:t>
      </w:r>
      <w:r>
        <w:t xml:space="preserve"> </w:t>
      </w:r>
      <w:r>
        <w:t xml:space="preserve">needs to be changed or redefined in light of social, economic and technological developments,</w:t>
      </w:r>
      <w:r>
        <w:t xml:space="preserve"> </w:t>
      </w:r>
      <w:r>
        <w:t xml:space="preserve">taking into account, inter alia, mobility and data rates in view of the prevailing technologies</w:t>
      </w:r>
      <w:r>
        <w:t xml:space="preserve"> </w:t>
      </w:r>
      <w:r>
        <w:t xml:space="preserve">used by most end-users.</w:t>
      </w:r>
    </w:p>
    <w:p>
      <w:pPr>
        <w:pStyle w:val="BodyText"/>
      </w:pPr>
      <w:r>
        <w:t xml:space="preserve">131</w:t>
      </w:r>
    </w:p>
    <w:p>
      <w:pPr>
        <w:pStyle w:val="BodyText"/>
      </w:pPr>
      <w:r>
        <w:t xml:space="preserve">APPENDIX II – RADIO SPECTRUM (POLICY PROGRAMME) – ADDITIONAL INFORMATION ON</w:t>
      </w:r>
      <w:r>
        <w:t xml:space="preserve"> </w:t>
      </w:r>
      <w:r>
        <w:t xml:space="preserve">SPECTRUM</w:t>
      </w:r>
      <w:r>
        <w:t xml:space="preserve"> </w:t>
      </w:r>
      <w:r>
        <w:t xml:space="preserve">APPENDIX II A. STATE OF PLAY OF THE IMPLEMENTATION OF THE RADIO SPECTRUM</w:t>
      </w:r>
      <w:r>
        <w:t xml:space="preserve"> </w:t>
      </w:r>
      <w:r>
        <w:t xml:space="preserve">POLICY PROGRAMME AND PROPOSED INCORPORATION OF RELEVANT PARTS IN THE DIGITAL</w:t>
      </w:r>
      <w:r>
        <w:t xml:space="preserve"> </w:t>
      </w:r>
      <w:r>
        <w:t xml:space="preserve">NETWORK ACT</w:t>
      </w:r>
      <w:r>
        <w:br/>
      </w:r>
      <w:r>
        <w:t xml:space="preserve">This Annex addresses the current state of play of the implementation of the RSPP Decision422</w:t>
      </w:r>
      <w:r>
        <w:t xml:space="preserve"> </w:t>
      </w:r>
      <w:r>
        <w:t xml:space="preserve">and assesses which aspects are completed or obsolete and which remain still relevant, to be</w:t>
      </w:r>
      <w:r>
        <w:t xml:space="preserve"> </w:t>
      </w:r>
      <w:r>
        <w:t xml:space="preserve">integrated in the DNA. This was done through an examination of existing 423￼ and 424￼</w:t>
      </w:r>
      <w:r>
        <w:br/>
      </w:r>
      <w:r>
        <w:t xml:space="preserve">which425, the Radio Spectrum Policy Group’s (RSPG) 2021 opinion on the RSPP426 and the</w:t>
      </w:r>
      <w:r>
        <w:t xml:space="preserve"> </w:t>
      </w:r>
      <w:r>
        <w:t xml:space="preserve">responses to the related public consultations427.</w:t>
      </w:r>
      <w:r>
        <w:t xml:space="preserve"> </w:t>
      </w:r>
      <w:r>
        <w:t xml:space="preserve">The analysis focused on a description of the current status of application of the RSPP</w:t>
      </w:r>
      <w:r>
        <w:t xml:space="preserve"> </w:t>
      </w:r>
      <w:r>
        <w:t xml:space="preserve">Decision collected and identified the following:</w:t>
      </w:r>
      <w:r>
        <w:t xml:space="preserve"> </w:t>
      </w:r>
      <w:r>
        <w:t xml:space="preserve">what actions included in the RSPP Decision could be considered as completed,</w:t>
      </w:r>
      <w:r>
        <w:br/>
      </w:r>
      <w:r>
        <w:t xml:space="preserve">what provisions of the RSPP Decision have become obsolete (including due to the substantive</w:t>
      </w:r>
      <w:r>
        <w:t xml:space="preserve"> </w:t>
      </w:r>
      <w:r>
        <w:t xml:space="preserve">revision of spectrum rules brought about by the EECC) and</w:t>
      </w:r>
      <w:r>
        <w:br/>
      </w:r>
      <w:r>
        <w:t xml:space="preserve">what objectives and general principles of the RSPP Decision remain relevant in the context of</w:t>
      </w:r>
      <w:r>
        <w:t xml:space="preserve"> </w:t>
      </w:r>
      <w:r>
        <w:t xml:space="preserve">strategic policy needs and support of broader EU policy objectives, taking into account the</w:t>
      </w:r>
      <w:r>
        <w:t xml:space="preserve"> </w:t>
      </w:r>
      <w:r>
        <w:t xml:space="preserve">current and future needs of key stakeholders.</w:t>
      </w:r>
      <w:r>
        <w:t xml:space="preserve"> </w:t>
      </w:r>
      <w:r>
        <w:t xml:space="preserve">In this analysis, completed actions are regarded as areas that designated bodies, such as the</w:t>
      </w:r>
      <w:r>
        <w:t xml:space="preserve"> </w:t>
      </w:r>
      <w:r>
        <w:t xml:space="preserve">European Commission or Member States, have completed within the set timeframe. On the</w:t>
      </w:r>
      <w:r>
        <w:t xml:space="preserve"> </w:t>
      </w:r>
      <w:r>
        <w:t xml:space="preserve">other hand, obsolete provisions refer to those that have become superseded or no longer</w:t>
      </w:r>
      <w:r>
        <w:t xml:space="preserve"> </w:t>
      </w:r>
      <w:r>
        <w:t xml:space="preserve">useful. The third area assesses the relevance of the key objectives and general principles of the</w:t>
      </w:r>
    </w:p>
    <w:p>
      <w:pPr>
        <w:pStyle w:val="BodyText"/>
      </w:pPr>
      <w:r>
        <w:t xml:space="preserve">422 Decision No 243/2012/EU of the European Parliament and of the Council of 14 March 2012 establishing a</w:t>
      </w:r>
      <w:r>
        <w:t xml:space="preserve"> </w:t>
      </w:r>
      <w:r>
        <w:t xml:space="preserve">multiannual radio spectrum policy programme (OJ L 91, 21.3.2012, p. 7), https://eur-lex.europa.eu/legal-</w:t>
      </w:r>
      <w:r>
        <w:t xml:space="preserve"> </w:t>
      </w:r>
      <w:r>
        <w:t xml:space="preserve">content/EN/ALL/?uri=CELEX%3A32012D0243.</w:t>
      </w:r>
      <w:r>
        <w:br/>
      </w:r>
      <w:r>
        <w:t xml:space="preserve">423 Commission report on the implementation of the Radio Spectrum Policy Programme (COM(2014) 228 final)</w:t>
      </w:r>
      <w:r>
        <w:t xml:space="preserve"> </w:t>
      </w:r>
      <w:r>
        <w:t xml:space="preserve">(22 April 2014), https://eur-lex.europa.eu/legal-content/EN/TXT/PDF/?uri=CELEX:52014DC0228&amp;rid=1</w:t>
      </w:r>
      <w:r>
        <w:t xml:space="preserve"> </w:t>
      </w:r>
      <w:r>
        <w:t xml:space="preserve">and Commission report on the Radio Spectrum Inventory (COM(2014) 536 final), 1 September 2014,</w:t>
      </w:r>
      <w:r>
        <w:t xml:space="preserve"> </w:t>
      </w:r>
      <w:r>
        <w:t xml:space="preserve">https://eur-lex.europa.eu/legal-content/en/ALL/?uri=CELEX:52014DC0536 , the Commission’s 2016 fitness</w:t>
      </w:r>
      <w:r>
        <w:t xml:space="preserve"> </w:t>
      </w:r>
      <w:r>
        <w:t xml:space="preserve">check accompanying the Code legislative proposal- Commission Staff Working Document on Evaluation of</w:t>
      </w:r>
      <w:r>
        <w:t xml:space="preserve"> </w:t>
      </w:r>
      <w:r>
        <w:t xml:space="preserve">the regulatory framework for electronic communications (SWD(2016) 313 final), 14 September 2016,</w:t>
      </w:r>
      <w:r>
        <w:t xml:space="preserve"> </w:t>
      </w:r>
      <w:r>
        <w:t xml:space="preserve">https://eur-lex.europa.eu/legal-content/EN/TXT/?uri=celex:52016SC0313</w:t>
      </w:r>
      <w:r>
        <w:br/>
      </w:r>
      <w:r>
        <w:t xml:space="preserve">424 European Commission: Directorate-General for Communications Networks, Content and Technology, LS</w:t>
      </w:r>
      <w:r>
        <w:t xml:space="preserve"> </w:t>
      </w:r>
      <w:r>
        <w:t xml:space="preserve">Telcom, PolicyTracker and VVA, Study on radio spectrum policy programme – Taking stock and discussing</w:t>
      </w:r>
      <w:r>
        <w:t xml:space="preserve"> </w:t>
      </w:r>
      <w:r>
        <w:t xml:space="preserve">future scenarios – Executive summary, Publications Office of the European Union, 2024,</w:t>
      </w:r>
      <w:r>
        <w:t xml:space="preserve"> </w:t>
      </w:r>
      <w:r>
        <w:t xml:space="preserve">https://data.europa.eu/doi/10.2759/687724</w:t>
      </w:r>
      <w:r>
        <w:t xml:space="preserve"> </w:t>
      </w:r>
      <w:r>
        <w:t xml:space="preserve">425 RSPG Opinion on the a Radio Spectrum Policy Programme (RSPP) (16 June 2021) https://rspg-</w:t>
      </w:r>
      <w:r>
        <w:t xml:space="preserve"> </w:t>
      </w:r>
      <w:r>
        <w:t xml:space="preserve">spectrum.eu/wp-content/uploads/2021/06/RSPG21-033final-RSPG_Opinion_on_RSPP .pdf.</w:t>
      </w:r>
    </w:p>
    <w:p>
      <w:pPr>
        <w:pStyle w:val="BodyText"/>
      </w:pPr>
      <w:r>
        <w:t xml:space="preserve">427 Public consultation on the draft RSPG Opinion on a Radio Spectrum Policy Programme (RSPP)</w:t>
      </w:r>
      <w:r>
        <w:br/>
      </w:r>
      <w:r>
        <w:t xml:space="preserve">https://radio-spectrum-policy-group.ec.europa.eu/document/download/5d3a590a-c3a3-4aa9-abcd-</w:t>
      </w:r>
      <w:r>
        <w:t xml:space="preserve"> </w:t>
      </w:r>
      <w:r>
        <w:t xml:space="preserve">536052e4e566_en?filename=PC_responses_RSPP_2021.zip and Targeted consultation on the 2030 Digital</w:t>
      </w:r>
      <w:r>
        <w:t xml:space="preserve"> </w:t>
      </w:r>
      <w:r>
        <w:t xml:space="preserve">Compass: The European way for the Digital Decade, https://digital-strategy.ec.europa.eu/en/targeted-</w:t>
      </w:r>
      <w:r>
        <w:t xml:space="preserve"> </w:t>
      </w:r>
      <w:r>
        <w:t xml:space="preserve">consultation-2030-digital-compass-european-way-digital-decade.</w:t>
      </w:r>
    </w:p>
    <w:p>
      <w:pPr>
        <w:pStyle w:val="BodyText"/>
      </w:pPr>
      <w:r>
        <w:t xml:space="preserve">132</w:t>
      </w:r>
    </w:p>
    <w:p>
      <w:pPr>
        <w:pStyle w:val="BodyText"/>
      </w:pPr>
      <w:r>
        <w:t xml:space="preserve">RSPP Decision in the current context. Section 2 identifies a key set of challenges that map the</w:t>
      </w:r>
      <w:r>
        <w:t xml:space="preserve"> </w:t>
      </w:r>
      <w:r>
        <w:t xml:space="preserve">problems identified in the RSPP in Section 3.</w:t>
      </w:r>
      <w:r>
        <w:t xml:space="preserve"> </w:t>
      </w:r>
      <w:r>
        <w:t xml:space="preserve">In the course of this analysis, existing policy documents were reviewed, including relevant</w:t>
      </w:r>
      <w:r>
        <w:t xml:space="preserve"> </w:t>
      </w:r>
      <w:r>
        <w:t xml:space="preserve">RSPG opinions and stakeholder consultation responses, and the principles of Tool #2 in the</w:t>
      </w:r>
      <w:r>
        <w:t xml:space="preserve"> </w:t>
      </w:r>
      <w:r>
        <w:t xml:space="preserve">Commission’s Better Regulation Toolbox, the Regulatory Fitness Programme (REFIT), were</w:t>
      </w:r>
      <w:r>
        <w:t xml:space="preserve"> </w:t>
      </w:r>
      <w:r>
        <w:t xml:space="preserve">applied. The approach also considered the goals of simplification and burden reduction, in</w:t>
      </w:r>
      <w:r>
        <w:t xml:space="preserve"> </w:t>
      </w:r>
      <w:r>
        <w:t xml:space="preserve">order to enhance the effectiveness of the policy document.</w:t>
      </w:r>
      <w:r>
        <w:t xml:space="preserve"> </w:t>
      </w:r>
      <w:r>
        <w:t xml:space="preserve">The chapter below summarises the findings of the analysis. The report acknowledges that</w:t>
      </w:r>
      <w:r>
        <w:t xml:space="preserve"> </w:t>
      </w:r>
      <w:r>
        <w:t xml:space="preserve">assessing whether an action is obsolete is a rather qualitative process and therefore, the</w:t>
      </w:r>
      <w:r>
        <w:t xml:space="preserve"> </w:t>
      </w:r>
      <w:r>
        <w:t xml:space="preserve">analysis is based on stakeholder views obtained through desk research and assessment of the</w:t>
      </w:r>
      <w:r>
        <w:t xml:space="preserve"> </w:t>
      </w:r>
      <w:r>
        <w:t xml:space="preserve">strength of the argument in each case.</w:t>
      </w:r>
      <w:r>
        <w:t xml:space="preserve"> </w:t>
      </w:r>
      <w:r>
        <w:t xml:space="preserve">WHAT ACTIONS INCLUDED IN THE RSPP DECISION COULD BE CONSIDERED AS COMPLETED?</w:t>
      </w:r>
      <w:r>
        <w:br/>
      </w:r>
      <w:r>
        <w:t xml:space="preserve">In addressing what actions defined in the RSPP Decision could be considered as completed,</w:t>
      </w:r>
      <w:r>
        <w:t xml:space="preserve"> </w:t>
      </w:r>
      <w:r>
        <w:t xml:space="preserve">the study considered those actions which a designated body – such as the European</w:t>
      </w:r>
      <w:r>
        <w:t xml:space="preserve"> </w:t>
      </w:r>
      <w:r>
        <w:t xml:space="preserve">Commission or Member States – must complete, usually within a set timeframe. Having</w:t>
      </w:r>
      <w:r>
        <w:t xml:space="preserve"> </w:t>
      </w:r>
      <w:r>
        <w:t xml:space="preserve">reviewed the RSPP and its impact reports, the following actions are considered as complete:</w:t>
      </w:r>
      <w:r>
        <w:t xml:space="preserve"> </w:t>
      </w:r>
      <w:r>
        <w:t xml:space="preserve">Article 3 (b) RSPP Decision</w:t>
      </w:r>
      <w:r>
        <w:t xml:space="preserve"> </w:t>
      </w:r>
      <w:r>
        <w:t xml:space="preserve">Article 3 RSPP Decision outlines the policy objectives that Member States and the European</w:t>
      </w:r>
      <w:r>
        <w:t xml:space="preserve"> </w:t>
      </w:r>
      <w:r>
        <w:t xml:space="preserve">Commission shall cooperate to support and achieve.</w:t>
      </w:r>
      <w:r>
        <w:br/>
      </w:r>
      <w:r>
        <w:t xml:space="preserve">Article 3 (b) RSPP Decision highlights the importance of allocating:</w:t>
      </w:r>
      <w:r>
        <w:br/>
      </w:r>
      <w:r>
        <w:t xml:space="preserve">“sufficient and appropriate spectrum in a timely manner to support Union policy objectives</w:t>
      </w:r>
      <w:r>
        <w:t xml:space="preserve"> </w:t>
      </w:r>
      <w:r>
        <w:t xml:space="preserve">and to best meet the increasing demand for wireless data traffic, thereby allowing the</w:t>
      </w:r>
      <w:r>
        <w:t xml:space="preserve"> </w:t>
      </w:r>
      <w:r>
        <w:t xml:space="preserve">development of commercial and public services, while taking into account important general</w:t>
      </w:r>
      <w:r>
        <w:t xml:space="preserve"> </w:t>
      </w:r>
      <w:r>
        <w:t xml:space="preserve">interest objectives such as cultural diversity and media pluralism; to that end, every effort</w:t>
      </w:r>
      <w:r>
        <w:t xml:space="preserve"> </w:t>
      </w:r>
      <w:r>
        <w:t xml:space="preserve">should be made to identify, based on the inventory established pursuant to Article 9, at least 1</w:t>
      </w:r>
      <w:r>
        <w:t xml:space="preserve"> </w:t>
      </w:r>
      <w:r>
        <w:t xml:space="preserve">200 MHz of suitable spectrum by 2015. That figure includes spectrum already in use”.</w:t>
      </w:r>
      <w:r>
        <w:br/>
      </w:r>
      <w:r>
        <w:t xml:space="preserve">Article 3 (b) RSPP Decision recommends the identification of at least 1 200 MHz of suitable</w:t>
      </w:r>
      <w:r>
        <w:t xml:space="preserve"> </w:t>
      </w:r>
      <w:r>
        <w:t xml:space="preserve">spectrum by 2015 to “support Union policy objectives” and to satisfy “the increasing demand</w:t>
      </w:r>
      <w:r>
        <w:t xml:space="preserve"> </w:t>
      </w:r>
      <w:r>
        <w:t xml:space="preserve">for wireless data traffic”. In 2021, the RSPG estimated that there is “already more than 12</w:t>
      </w:r>
      <w:r>
        <w:t xml:space="preserve"> </w:t>
      </w:r>
      <w:r>
        <w:t xml:space="preserve">GHz of harmonised spectrum available for wireless services”428. Based on this information,</w:t>
      </w:r>
      <w:r>
        <w:t xml:space="preserve"> </w:t>
      </w:r>
      <w:r>
        <w:t xml:space="preserve">the study considers this a completed action. The RSPG sees no need to define quantitative</w:t>
      </w:r>
      <w:r>
        <w:t xml:space="preserve"> </w:t>
      </w:r>
      <w:r>
        <w:t xml:space="preserve">targets in a RSPP as it can “develop long-term spectrum availability plans including needs for</w:t>
      </w:r>
      <w:r>
        <w:t xml:space="preserve"> </w:t>
      </w:r>
      <w:r>
        <w:t xml:space="preserve">harmonisation initiatives for key EU policy areas upon request”429.</w:t>
      </w:r>
      <w:r>
        <w:t xml:space="preserve"> </w:t>
      </w:r>
      <w:r>
        <w:t xml:space="preserve">However, allocating sufficient and appropriate spectrum in a timely manner to support Union</w:t>
      </w:r>
      <w:r>
        <w:t xml:space="preserve"> </w:t>
      </w:r>
      <w:r>
        <w:t xml:space="preserve">policy objectives and to meet spectrum demand remains an important policy consideration.</w:t>
      </w:r>
      <w:r>
        <w:t xml:space="preserve"> </w:t>
      </w:r>
      <w:r>
        <w:t xml:space="preserve">More than half of stakeholders consulted for this study agreed that updating the approach to</w:t>
      </w:r>
    </w:p>
    <w:p>
      <w:pPr>
        <w:pStyle w:val="BodyText"/>
      </w:pPr>
      <w:r>
        <w:t xml:space="preserve">428 RSPG Opinion on a Radio Spectrum Policy Programme (RSPP), RSPG21-033 FINAL, 16 June 2021, p. 5</w:t>
      </w:r>
      <w:r>
        <w:t xml:space="preserve"> </w:t>
      </w:r>
      <w:r>
        <w:t xml:space="preserve">(https://radio-spectrum-policy-group.ec.europa.eu/system/files/2023-01/RSPG21-033final-</w:t>
      </w:r>
      <w:r>
        <w:t xml:space="preserve"> </w:t>
      </w:r>
      <w:r>
        <w:t xml:space="preserve">RSPG_Opinion_on_RSPP.pdf).</w:t>
      </w:r>
      <w:r>
        <w:t xml:space="preserve"> </w:t>
      </w:r>
      <w:r>
        <w:t xml:space="preserve">429 Ibid.</w:t>
      </w:r>
    </w:p>
    <w:p>
      <w:pPr>
        <w:pStyle w:val="BodyText"/>
      </w:pPr>
      <w:r>
        <w:t xml:space="preserve">133</w:t>
      </w:r>
    </w:p>
    <w:p>
      <w:pPr>
        <w:pStyle w:val="BodyText"/>
      </w:pPr>
      <w:r>
        <w:t xml:space="preserve">establishing future spectrum needs was one of the most important issues related to revising</w:t>
      </w:r>
      <w:r>
        <w:t xml:space="preserve"> </w:t>
      </w:r>
      <w:r>
        <w:t xml:space="preserve">the RSPP.430</w:t>
      </w:r>
      <w:r>
        <w:t xml:space="preserve"> </w:t>
      </w:r>
      <w:r>
        <w:t xml:space="preserve">Some stakeholders, such as the mobile industry body, the GSMA, and Telefonica, are more</w:t>
      </w:r>
      <w:r>
        <w:t xml:space="preserve"> </w:t>
      </w:r>
      <w:r>
        <w:t xml:space="preserve">supportive of targets, both arguing that 5G needs an additional 1-2 GHz of new spectrum.431</w:t>
      </w:r>
      <w:r>
        <w:t xml:space="preserve"> </w:t>
      </w:r>
      <w:r>
        <w:t xml:space="preserve">ECTA further argues for identifying new specific bands for licensing by a specific deadline, as</w:t>
      </w:r>
      <w:r>
        <w:t xml:space="preserve"> </w:t>
      </w:r>
      <w:r>
        <w:t xml:space="preserve">was done in Article 6(4) RSPP Decision.432</w:t>
      </w:r>
      <w:r>
        <w:t xml:space="preserve"> </w:t>
      </w:r>
      <w:r>
        <w:t xml:space="preserve">Article 4 (7) RSPP Decision</w:t>
      </w:r>
      <w:r>
        <w:t xml:space="preserve"> </w:t>
      </w:r>
      <w:r>
        <w:t xml:space="preserve">Article 4 RSPP Decision is dedicated to the enhanced efficiency and flexibility of spectrum</w:t>
      </w:r>
      <w:r>
        <w:t xml:space="preserve"> </w:t>
      </w:r>
      <w:r>
        <w:t xml:space="preserve">use.</w:t>
      </w:r>
      <w:r>
        <w:t xml:space="preserve"> </w:t>
      </w:r>
      <w:r>
        <w:t xml:space="preserve">Article 4 (7) RSPP Decision indicates:</w:t>
      </w:r>
      <w:r>
        <w:br/>
      </w:r>
      <w:r>
        <w:t xml:space="preserve">“For electronic communications services, Member States shall, by 1 January 2013, adopt</w:t>
      </w:r>
      <w:r>
        <w:t xml:space="preserve"> </w:t>
      </w:r>
      <w:r>
        <w:t xml:space="preserve">allocation and authorisation measures appropriate for the development of broadband</w:t>
      </w:r>
      <w:r>
        <w:t xml:space="preserve"> </w:t>
      </w:r>
      <w:r>
        <w:t xml:space="preserve">services, in conformity with Directive 2002/20/EC, with the aim of achieving the highest</w:t>
      </w:r>
      <w:r>
        <w:t xml:space="preserve"> </w:t>
      </w:r>
      <w:r>
        <w:t xml:space="preserve">possible capacity and broadband speeds”.</w:t>
      </w:r>
      <w:r>
        <w:t xml:space="preserve"> </w:t>
      </w:r>
      <w:r>
        <w:t xml:space="preserve">As the Authorisation Directive433 has already been transposed into national law, and in fact</w:t>
      </w:r>
      <w:r>
        <w:t xml:space="preserve"> </w:t>
      </w:r>
      <w:r>
        <w:t xml:space="preserve">superseded by the 2018 EECC, this Article has in the literal sense been completed.</w:t>
      </w:r>
      <w:r>
        <w:t xml:space="preserve"> </w:t>
      </w:r>
      <w:r>
        <w:t xml:space="preserve">Furthermore, in terms of fulfilling the policy goal, Member States have progressively</w:t>
      </w:r>
      <w:r>
        <w:t xml:space="preserve"> </w:t>
      </w:r>
      <w:r>
        <w:t xml:space="preserve">followed objectives of enhanced efficiency and flexibility in spectrum use, further reinforced</w:t>
      </w:r>
      <w:r>
        <w:t xml:space="preserve"> </w:t>
      </w:r>
      <w:r>
        <w:t xml:space="preserve">in Article 45(2)(f) EECC. The EECC also seeks to facilitate greater coordination of spectrum</w:t>
      </w:r>
      <w:r>
        <w:t xml:space="preserve"> </w:t>
      </w:r>
      <w:r>
        <w:t xml:space="preserve">assignment across Europe, setting a deadline for making 5G bands available for use.434</w:t>
      </w:r>
      <w:r>
        <w:br/>
      </w:r>
      <w:r>
        <w:t xml:space="preserve">Article 6 (2) RSPP Decision</w:t>
      </w:r>
      <w:r>
        <w:t xml:space="preserve"> </w:t>
      </w:r>
      <w:r>
        <w:t xml:space="preserve">This provision required Member States to make available the 3.4-3.8 GHz, 2.6 GHz, 900</w:t>
      </w:r>
      <w:r>
        <w:t xml:space="preserve"> </w:t>
      </w:r>
      <w:r>
        <w:t xml:space="preserve">MHz and 1800 MHz frequency bands under terms and conditions of Commission Decisions</w:t>
      </w:r>
      <w:r>
        <w:t xml:space="preserve"> </w:t>
      </w:r>
      <w:r>
        <w:t xml:space="preserve">2008/411/EC,435 2008/477/EC,436 and 2009/766/EC,437 and carry out the authorisation</w:t>
      </w:r>
    </w:p>
    <w:p>
      <w:pPr>
        <w:pStyle w:val="BodyText"/>
      </w:pPr>
      <w:r>
        <w:t xml:space="preserve">430 A representative sample of 26 stakeholders were surveyed for this study: more details are given in Annexes 2</w:t>
      </w:r>
      <w:r>
        <w:t xml:space="preserve"> </w:t>
      </w:r>
      <w:r>
        <w:t xml:space="preserve">and 3. When asked “What do you consider to be the most important issues or challenges in view to improve</w:t>
      </w:r>
      <w:r>
        <w:t xml:space="preserve"> </w:t>
      </w:r>
      <w:r>
        <w:t xml:space="preserve">the current RSPP Decision?”, 14/26 interviewees agreed “updating the approach to establishing future</w:t>
      </w:r>
      <w:r>
        <w:t xml:space="preserve"> </w:t>
      </w:r>
      <w:r>
        <w:t xml:space="preserve">spectrum needs” was one of the most important.</w:t>
      </w:r>
      <w:r>
        <w:t xml:space="preserve"> </w:t>
      </w:r>
      <w:r>
        <w:t xml:space="preserve">431 GSMA and Telefonica responses in 2021 Public consultation on the draft RSPG Opinion on a Radio</w:t>
      </w:r>
      <w:r>
        <w:t xml:space="preserve"> </w:t>
      </w:r>
      <w:r>
        <w:t xml:space="preserve">Spectrum Policy Programme.</w:t>
      </w:r>
      <w:r>
        <w:t xml:space="preserve"> </w:t>
      </w:r>
      <w:r>
        <w:t xml:space="preserve">(https://circabc.europa.eu/ui/group/f5b44016-a8c5-4ef6-a0bf-bc8d357debcb/library/fc40afef-626f-40ec-</w:t>
      </w:r>
      <w:r>
        <w:t xml:space="preserve"> </w:t>
      </w:r>
      <w:r>
        <w:t xml:space="preserve">b1d0-874c69095f6a/details?download=true).</w:t>
      </w:r>
      <w:r>
        <w:br/>
      </w:r>
      <w:r>
        <w:t xml:space="preserve">432 ECTA response in 2021 Public consultation on the draft RSPG Opinion on a Radio Spectrum Policy</w:t>
      </w:r>
      <w:r>
        <w:t xml:space="preserve"> </w:t>
      </w:r>
      <w:r>
        <w:t xml:space="preserve">Programme.</w:t>
      </w:r>
      <w:r>
        <w:t xml:space="preserve"> </w:t>
      </w:r>
      <w:r>
        <w:t xml:space="preserve">(https://circabc.europa.eu/ui/group/f5b44016-a8c5-4ef6-a0bf-bc8d357debcb/library/fc40afef-626f-40ec-</w:t>
      </w:r>
      <w:r>
        <w:t xml:space="preserve"> </w:t>
      </w:r>
      <w:r>
        <w:t xml:space="preserve">b1d0-874c69095f6a/details?download=true)</w:t>
      </w:r>
      <w:r>
        <w:t xml:space="preserve"> </w:t>
      </w:r>
      <w:r>
        <w:t xml:space="preserve">433 Directive 2002/20/EC of the European Parliament and of the Council of 7 March 2002 on the authorisation</w:t>
      </w:r>
      <w:r>
        <w:t xml:space="preserve"> </w:t>
      </w:r>
      <w:r>
        <w:t xml:space="preserve">of electronic communications networks and services, OJ L 108, 24.4.2002, p. 21, no longer in force.</w:t>
      </w:r>
      <w:r>
        <w:t xml:space="preserve"> </w:t>
      </w:r>
      <w:r>
        <w:t xml:space="preserve">434 3.6 GHz and 26 GHz: see Article 54 EECC.</w:t>
      </w:r>
      <w:r>
        <w:t xml:space="preserve"> </w:t>
      </w:r>
      <w:r>
        <w:t xml:space="preserve">435 Commission Decision 2008/411/EC of 21 May 2008 on the harmonisation of the 3400 - 3800 MHz</w:t>
      </w:r>
      <w:r>
        <w:t xml:space="preserve"> </w:t>
      </w:r>
      <w:r>
        <w:t xml:space="preserve">frequency band for terrestrial systems capable of providing electronic communications services in the</w:t>
      </w:r>
      <w:r>
        <w:t xml:space="preserve"> </w:t>
      </w:r>
      <w:r>
        <w:t xml:space="preserve">Community, OJ L 144, 4.6.2008, p. 77.</w:t>
      </w:r>
      <w:r>
        <w:br/>
      </w:r>
      <w:r>
        <w:t xml:space="preserve">436 Commission Decision 2008/477/EC of 13 June 2008 on the harmonisation of the 2500 - 2690 MHz</w:t>
      </w:r>
      <w:r>
        <w:t xml:space="preserve"> </w:t>
      </w:r>
      <w:r>
        <w:t xml:space="preserve">frequency band for terrestrial systems capable of providing electronic communications services in the</w:t>
      </w:r>
      <w:r>
        <w:t xml:space="preserve"> </w:t>
      </w:r>
      <w:r>
        <w:t xml:space="preserve">Community, OJ L 163, 24.6.2008, p. 37.</w:t>
      </w:r>
    </w:p>
    <w:p>
      <w:pPr>
        <w:pStyle w:val="BodyText"/>
      </w:pPr>
      <w:r>
        <w:t xml:space="preserve">134</w:t>
      </w:r>
    </w:p>
    <w:p>
      <w:pPr>
        <w:pStyle w:val="BodyText"/>
      </w:pPr>
      <w:r>
        <w:t xml:space="preserve">processes by the end of 2012. As detailed in European Communications Office Report 03,438</w:t>
      </w:r>
      <w:r>
        <w:t xml:space="preserve"> </w:t>
      </w:r>
      <w:r>
        <w:t xml:space="preserve">Member States have progressively implemented these harmonisation Decisions and this</w:t>
      </w:r>
      <w:r>
        <w:t xml:space="preserve"> </w:t>
      </w:r>
      <w:r>
        <w:t xml:space="preserve">action has generally been completed.</w:t>
      </w:r>
      <w:r>
        <w:t xml:space="preserve"> </w:t>
      </w:r>
      <w:r>
        <w:t xml:space="preserve">However, as noted by the RSPG, assigned spectrum in harmonised EU bands varies by</w:t>
      </w:r>
      <w:r>
        <w:t xml:space="preserve"> </w:t>
      </w:r>
      <w:r>
        <w:t xml:space="preserve">Member State. “These differences are resulting from various factors, in particular inter alia:</w:t>
      </w:r>
      <w:r>
        <w:t xml:space="preserve"> </w:t>
      </w:r>
      <w:r>
        <w:t xml:space="preserve">the differences in national demands, in the characteristic of the band itself, in usages relative</w:t>
      </w:r>
      <w:r>
        <w:t xml:space="preserve"> </w:t>
      </w:r>
      <w:r>
        <w:t xml:space="preserve">to public security and defence and in the need to protect existing services different from</w:t>
      </w:r>
      <w:r>
        <w:t xml:space="preserve"> </w:t>
      </w:r>
      <w:r>
        <w:t xml:space="preserve">electronic communication”439. Furthermore, some Commission decisions referred to above</w:t>
      </w:r>
      <w:r>
        <w:t xml:space="preserve"> </w:t>
      </w:r>
      <w:r>
        <w:t xml:space="preserve">have been amended, notably to account for revised technical conditions for band usage.</w:t>
      </w:r>
      <w:r>
        <w:t xml:space="preserve"> </w:t>
      </w:r>
      <w:r>
        <w:t xml:space="preserve">As regards the 3.4-3.8 GHz band, Article 54(1) EECC states that “By 31 December 2020, for</w:t>
      </w:r>
      <w:r>
        <w:t xml:space="preserve"> </w:t>
      </w:r>
      <w:r>
        <w:t xml:space="preserve">terrestrial systems capable of providing wireless broadband services, Member States shall,</w:t>
      </w:r>
      <w:r>
        <w:t xml:space="preserve"> </w:t>
      </w:r>
      <w:r>
        <w:t xml:space="preserve">where necessary in order to facilitate the roll-out of 5G, take all appropriate measures to:</w:t>
      </w:r>
      <w:r>
        <w:br/>
      </w:r>
      <w:r>
        <w:t xml:space="preserve">reorganise and allow the use of sufficiently large blocks of the 3,4-3,8 GHz band”.</w:t>
      </w:r>
      <w:r>
        <w:t xml:space="preserve"> </w:t>
      </w:r>
      <w:r>
        <w:t xml:space="preserve">All Member States have now assigned this band for 5G.440</w:t>
      </w:r>
      <w:r>
        <w:t xml:space="preserve"> </w:t>
      </w:r>
      <w:r>
        <w:t xml:space="preserve">Article 6 (4) RSPP Decision</w:t>
      </w:r>
      <w:r>
        <w:t xml:space="preserve"> </w:t>
      </w:r>
      <w:r>
        <w:t xml:space="preserve">This provision required Member States to carry out the authorisation process in order to allow</w:t>
      </w:r>
      <w:r>
        <w:t xml:space="preserve"> </w:t>
      </w:r>
      <w:r>
        <w:t xml:space="preserve">the use of 800 MHz for electronic communications services by the end of 2015. In addition,</w:t>
      </w:r>
      <w:r>
        <w:t xml:space="preserve"> </w:t>
      </w:r>
      <w:r>
        <w:t xml:space="preserve">“If a Member State’s substantiated cross-border frequency coordination problems with one or</w:t>
      </w:r>
      <w:r>
        <w:t xml:space="preserve"> </w:t>
      </w:r>
      <w:r>
        <w:t xml:space="preserve">more countries, including candidate or acceding countries, persist after 31 December 2015</w:t>
      </w:r>
      <w:r>
        <w:t xml:space="preserve"> </w:t>
      </w:r>
      <w:r>
        <w:t xml:space="preserve">and prevent the availability of the 800 MHz band, the Commission shall grant exceptional</w:t>
      </w:r>
      <w:r>
        <w:t xml:space="preserve"> </w:t>
      </w:r>
      <w:r>
        <w:t xml:space="preserve">derogations on an annual basis until such problems are overcome”.</w:t>
      </w:r>
      <w:r>
        <w:t xml:space="preserve"> </w:t>
      </w:r>
      <w:r>
        <w:t xml:space="preserve">Despite the possibility for Member States to apply for derogations, the European</w:t>
      </w:r>
      <w:r>
        <w:t xml:space="preserve"> </w:t>
      </w:r>
      <w:r>
        <w:t xml:space="preserve">Commission’s 2014 report on the implementation of the RSPP noted that “Delays in assigning</w:t>
      </w:r>
      <w:r>
        <w:t xml:space="preserve"> </w:t>
      </w:r>
      <w:r>
        <w:t xml:space="preserve">the 800MHz band demonstrate the need for more nimble and flexible mechanisms for the</w:t>
      </w:r>
      <w:r>
        <w:t xml:space="preserve"> </w:t>
      </w:r>
      <w:r>
        <w:t xml:space="preserve">harmonised timing of assignments throughout the Union or for categories of Member States</w:t>
      </w:r>
      <w:r>
        <w:t xml:space="preserve"> </w:t>
      </w:r>
      <w:r>
        <w:t xml:space="preserve">based on the characteristics of the wireless broadband market, and for the harmonised</w:t>
      </w:r>
      <w:r>
        <w:t xml:space="preserve"> </w:t>
      </w:r>
      <w:r>
        <w:t xml:space="preserve">duration of spectrum usage rights”.441</w:t>
      </w:r>
      <w:r>
        <w:t xml:space="preserve"> </w:t>
      </w:r>
      <w:r>
        <w:t xml:space="preserve">Since then, the assignment of the 800 MHz band has been completed in all EU Member</w:t>
      </w:r>
      <w:r>
        <w:t xml:space="preserve"> </w:t>
      </w:r>
      <w:r>
        <w:t xml:space="preserve">States.</w:t>
      </w:r>
      <w:r>
        <w:t xml:space="preserve"> </w:t>
      </w:r>
      <w:r>
        <w:t xml:space="preserve">Article 6 (5) first subparagraph RSPP Decision</w:t>
      </w:r>
      <w:r>
        <w:t xml:space="preserve"> </w:t>
      </w:r>
      <w:r>
        <w:t xml:space="preserve">This provision requires Member States and the European Commission to “continuously</w:t>
      </w:r>
      <w:r>
        <w:t xml:space="preserve"> </w:t>
      </w:r>
      <w:r>
        <w:t xml:space="preserve">monitor the capacity requirements for wireless broadband services” and “report to the</w:t>
      </w:r>
    </w:p>
    <w:p>
      <w:pPr>
        <w:pStyle w:val="BodyText"/>
      </w:pPr>
      <w:r>
        <w:t xml:space="preserve">437 Commission Decision 2009/766/EC of 16 October 2009 on the harmonisation of the 900 MHz and 1800</w:t>
      </w:r>
      <w:r>
        <w:t xml:space="preserve"> </w:t>
      </w:r>
      <w:r>
        <w:t xml:space="preserve">MHz frequency bands for terrestrial systems capable of providing pan-European electronic communications</w:t>
      </w:r>
      <w:r>
        <w:t xml:space="preserve"> </w:t>
      </w:r>
      <w:r>
        <w:t xml:space="preserve">services in the Community, OJ L 274, 20.10.2009, p. 32.</w:t>
      </w:r>
      <w:r>
        <w:br/>
      </w:r>
      <w:r>
        <w:t xml:space="preserve">438 https://efis.cept.org/views2/report03.jsp.</w:t>
      </w:r>
      <w:r>
        <w:t xml:space="preserve"> </w:t>
      </w:r>
      <w:r>
        <w:t xml:space="preserve">439 RSPG Opinion on the implementation of the current RSPP and its revision to address the next period,</w:t>
      </w:r>
      <w:r>
        <w:t xml:space="preserve"> </w:t>
      </w:r>
      <w:r>
        <w:t xml:space="preserve">RSPG16-006 FINAL, 24 February 2016 (https://circabc.europa.eu/d/a/workspace/SpacesStore/4709f36a-</w:t>
      </w:r>
      <w:r>
        <w:t xml:space="preserve"> </w:t>
      </w:r>
      <w:r>
        <w:t xml:space="preserve">f27b-4850-a19b-95df0154d5aa/RSPG16-006final_RSPP_opinion.pdf).</w:t>
      </w:r>
      <w:r>
        <w:t xml:space="preserve"> </w:t>
      </w:r>
      <w:r>
        <w:t xml:space="preserve">440 27 Member States have assigned at least 50% of the targeted spectrum in this band. DESI 2025, figures at</w:t>
      </w:r>
      <w:r>
        <w:t xml:space="preserve"> </w:t>
      </w:r>
      <w:r>
        <w:t xml:space="preserve">February 2025 - https://digital-strategy.ec.europa.eu/en/policies/5g-observatory-2025 .</w:t>
      </w:r>
      <w:r>
        <w:t xml:space="preserve"> </w:t>
      </w:r>
      <w:r>
        <w:t xml:space="preserve">441 Report from the Commission to the European parliament and the Council on the implementation of the</w:t>
      </w:r>
      <w:r>
        <w:t xml:space="preserve"> </w:t>
      </w:r>
      <w:r>
        <w:t xml:space="preserve">Radio Spectrum Policy Programme (COM(2014) 228 final), 22 April 2014 (https://eur-lex.europa.eu/legal-</w:t>
      </w:r>
      <w:r>
        <w:t xml:space="preserve"> </w:t>
      </w:r>
      <w:r>
        <w:t xml:space="preserve">content/EN/TXT/PDF/?uri=CELEX:52014DC0228&amp;rid=1).</w:t>
      </w:r>
    </w:p>
    <w:p>
      <w:pPr>
        <w:pStyle w:val="BodyText"/>
      </w:pPr>
      <w:r>
        <w:t xml:space="preserve">135</w:t>
      </w:r>
    </w:p>
    <w:p>
      <w:pPr>
        <w:pStyle w:val="BodyText"/>
      </w:pPr>
      <w:r>
        <w:t xml:space="preserve">European Parliament and the Council by 1 January 2015 on whether there is a need for action</w:t>
      </w:r>
      <w:r>
        <w:t xml:space="preserve"> </w:t>
      </w:r>
      <w:r>
        <w:t xml:space="preserve">to harmonise additional frequency bands”. The European Commission delivered its report in</w:t>
      </w:r>
      <w:r>
        <w:t xml:space="preserve"> </w:t>
      </w:r>
      <w:r>
        <w:t xml:space="preserve">September 2014, noting that “With the aim of using resources effectively, the Commission</w:t>
      </w:r>
      <w:r>
        <w:t xml:space="preserve"> </w:t>
      </w:r>
      <w:r>
        <w:t xml:space="preserve">will continue to cooperate with the Member States both in collecting data that are already</w:t>
      </w:r>
      <w:r>
        <w:t xml:space="preserve"> </w:t>
      </w:r>
      <w:r>
        <w:t xml:space="preserve">available at Member State level and in obtaining additional data on a targeted basis. In</w:t>
      </w:r>
      <w:r>
        <w:t xml:space="preserve"> </w:t>
      </w:r>
      <w:r>
        <w:t xml:space="preserve">particular frequency bands relevant to the implementation of the RSPP will be targeted”.442</w:t>
      </w:r>
      <w:r>
        <w:t xml:space="preserve"> </w:t>
      </w:r>
      <w:r>
        <w:t xml:space="preserve">While this action has been completed, there is a continuing need to monitor the spectrum</w:t>
      </w:r>
      <w:r>
        <w:t xml:space="preserve"> </w:t>
      </w:r>
      <w:r>
        <w:t xml:space="preserve">needed for wireless broadband services and constantly update targets to keep them up to date</w:t>
      </w:r>
      <w:r>
        <w:t xml:space="preserve"> </w:t>
      </w:r>
      <w:r>
        <w:t xml:space="preserve">with technological progress and demand, e.g. in an evolving spectrum roadmap.</w:t>
      </w:r>
      <w:r>
        <w:br/>
      </w:r>
      <w:r>
        <w:t xml:space="preserve">Previously conducted stakeholders survey showed considerable support for ensuring sufficient</w:t>
      </w:r>
      <w:r>
        <w:t xml:space="preserve"> </w:t>
      </w:r>
      <w:r>
        <w:t xml:space="preserve">spectrum for wireless broadband as part of the RSPP review:</w:t>
      </w:r>
      <w:r>
        <w:t xml:space="preserve"> </w:t>
      </w:r>
      <w:r>
        <w:t xml:space="preserve">more than half regarded the updating of the approach to spectrum needs as a priority;</w:t>
      </w:r>
      <w:r>
        <w:t xml:space="preserve"> </w:t>
      </w:r>
      <w:r>
        <w:t xml:space="preserve">two thirds (18 out of 26) agreed that “ensuring that spectrum policy meets the requirements of</w:t>
      </w:r>
      <w:r>
        <w:t xml:space="preserve"> </w:t>
      </w:r>
      <w:r>
        <w:t xml:space="preserve">the Digital Decade policy, in particular connectivity targets” was an important issue;</w:t>
      </w:r>
      <w:r>
        <w:t xml:space="preserve"> </w:t>
      </w:r>
      <w:r>
        <w:t xml:space="preserve">just under half (13 out of 26) supported the need for quantified spectrum targets;</w:t>
      </w:r>
      <w:r>
        <w:t xml:space="preserve"> </w:t>
      </w:r>
      <w:r>
        <w:t xml:space="preserve">one third (9 out of 26) agreed with identifying specific spectrum bands for 6G.</w:t>
      </w:r>
      <w:r>
        <w:t xml:space="preserve"> </w:t>
      </w:r>
      <w:r>
        <w:t xml:space="preserve">Article 9 (2) RSPP Decision</w:t>
      </w:r>
      <w:r>
        <w:t xml:space="preserve"> </w:t>
      </w:r>
      <w:r>
        <w:t xml:space="preserve">This provision required the implementing act for the setting up of a spectrum inventory to be</w:t>
      </w:r>
      <w:r>
        <w:t xml:space="preserve"> </w:t>
      </w:r>
      <w:r>
        <w:t xml:space="preserve">adopted by 1 July 2013. This has been done but the usefulness of the spectrum inventory is</w:t>
      </w:r>
      <w:r>
        <w:t xml:space="preserve"> </w:t>
      </w:r>
      <w:r>
        <w:t xml:space="preserve">now disputed, as discussed further below.</w:t>
      </w:r>
      <w:r>
        <w:t xml:space="preserve"> </w:t>
      </w:r>
      <w:r>
        <w:t xml:space="preserve">Article 15 RSPP Decision</w:t>
      </w:r>
      <w:r>
        <w:t xml:space="preserve"> </w:t>
      </w:r>
      <w:r>
        <w:t xml:space="preserve">Article 15 RSPP Decision specifies that, by “10 April 2014, the Commission shall report to</w:t>
      </w:r>
      <w:r>
        <w:t xml:space="preserve"> </w:t>
      </w:r>
      <w:r>
        <w:t xml:space="preserve">the European Parliament and the Council on the activities developed and the measures</w:t>
      </w:r>
      <w:r>
        <w:t xml:space="preserve"> </w:t>
      </w:r>
      <w:r>
        <w:t xml:space="preserve">adopted pursuant to this Decision. Member States shall provide the Commission with all</w:t>
      </w:r>
      <w:r>
        <w:t xml:space="preserve"> </w:t>
      </w:r>
      <w:r>
        <w:t xml:space="preserve">information necessary for the purpose of reviewing the application of this Decision. By 31</w:t>
      </w:r>
      <w:r>
        <w:t xml:space="preserve"> </w:t>
      </w:r>
      <w:r>
        <w:t xml:space="preserve">December 2015, the Commission shall conduct a review of the application of this Decision”.</w:t>
      </w:r>
      <w:r>
        <w:t xml:space="preserve"> </w:t>
      </w:r>
      <w:r>
        <w:t xml:space="preserve">Regarding the reporting requirement, the European Commission’s report on the</w:t>
      </w:r>
      <w:r>
        <w:t xml:space="preserve"> </w:t>
      </w:r>
      <w:r>
        <w:t xml:space="preserve">implementation of the Radio Spectrum Policy Programme443 was delivered on 22 April 2014.</w:t>
      </w:r>
      <w:r>
        <w:t xml:space="preserve"> </w:t>
      </w:r>
      <w:r>
        <w:t xml:space="preserve">The review of the application of the RSPP was completed with the 2016 Fitness Check.444</w:t>
      </w:r>
      <w:r>
        <w:t xml:space="preserve"> </w:t>
      </w:r>
      <w:r>
        <w:t xml:space="preserve">WHAT PROVISIONS OF THE RSPP DECISION HAVE BECOME OBSOLETE?</w:t>
      </w:r>
      <w:r>
        <w:t xml:space="preserve"> </w:t>
      </w:r>
      <w:r>
        <w:t xml:space="preserve">This Section identifies provisions of the RSPP Decision which are obsolete in the sense of</w:t>
      </w:r>
      <w:r>
        <w:t xml:space="preserve"> </w:t>
      </w:r>
      <w:r>
        <w:t xml:space="preserve">being no longer useful in their current formulation, archaic, superseded445 or obsolete in the</w:t>
      </w:r>
    </w:p>
    <w:p>
      <w:pPr>
        <w:pStyle w:val="BodyText"/>
      </w:pPr>
      <w:r>
        <w:t xml:space="preserve">442 Report from the Commission to the European parliament and the Council on the Radio Spectrum Inventory</w:t>
      </w:r>
      <w:r>
        <w:t xml:space="preserve"> </w:t>
      </w:r>
      <w:r>
        <w:t xml:space="preserve">(COM(2014)</w:t>
      </w:r>
      <w:r>
        <w:t xml:space="preserve"> </w:t>
      </w:r>
      <w:r>
        <w:t xml:space="preserve">536</w:t>
      </w:r>
      <w:r>
        <w:t xml:space="preserve"> </w:t>
      </w:r>
      <w:r>
        <w:t xml:space="preserve">final),</w:t>
      </w:r>
      <w:r>
        <w:t xml:space="preserve"> </w:t>
      </w:r>
      <w:r>
        <w:t xml:space="preserve">1</w:t>
      </w:r>
      <w:r>
        <w:t xml:space="preserve"> </w:t>
      </w:r>
      <w:r>
        <w:t xml:space="preserve">September</w:t>
      </w:r>
      <w:r>
        <w:t xml:space="preserve"> </w:t>
      </w:r>
      <w:r>
        <w:t xml:space="preserve">2014</w:t>
      </w:r>
    </w:p>
    <w:p>
      <w:pPr>
        <w:pStyle w:val="BodyText"/>
      </w:pPr>
      <w:r>
        <w:t xml:space="preserve">(https://eur-lex.europa.eu/legal-</w:t>
      </w:r>
      <w:r>
        <w:t xml:space="preserve"> </w:t>
      </w:r>
      <w:r>
        <w:t xml:space="preserve">content/en/ALL/?uri=CELEX:52014DC0536).</w:t>
      </w:r>
      <w:r>
        <w:t xml:space="preserve"> </w:t>
      </w:r>
      <w:r>
        <w:t xml:space="preserve">443 Report from the Commission to the European parliament and the Council on the implementation of the</w:t>
      </w:r>
      <w:r>
        <w:t xml:space="preserve"> </w:t>
      </w:r>
      <w:r>
        <w:t xml:space="preserve">Radio Spectrum Policy Programme (COM(2014) 228 final), 22 April 2014, (https://eur-lex.europa.eu/legal-</w:t>
      </w:r>
      <w:r>
        <w:t xml:space="preserve"> </w:t>
      </w:r>
      <w:r>
        <w:t xml:space="preserve">content/EN/TXT/PDF/?uri=CELEX:52014DC0228&amp;rid=1).</w:t>
      </w:r>
      <w:r>
        <w:br/>
      </w:r>
      <w:r>
        <w:t xml:space="preserve">444 Commission Staff Working Document, Regulatory Fitness and Performance Programme REFIT and the 10</w:t>
      </w:r>
      <w:r>
        <w:t xml:space="preserve"> </w:t>
      </w:r>
      <w:r>
        <w:t xml:space="preserve">Priorities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Commission,</w:t>
      </w:r>
      <w:r>
        <w:t xml:space="preserve"> </w:t>
      </w:r>
      <w:r>
        <w:t xml:space="preserve">SWD(2016)</w:t>
      </w:r>
      <w:r>
        <w:t xml:space="preserve"> </w:t>
      </w:r>
      <w:r>
        <w:t xml:space="preserve">400</w:t>
      </w:r>
      <w:r>
        <w:t xml:space="preserve"> </w:t>
      </w:r>
      <w:r>
        <w:t xml:space="preserve">final,</w:t>
      </w:r>
      <w:r>
        <w:t xml:space="preserve"> </w:t>
      </w:r>
      <w:r>
        <w:t xml:space="preserve">25</w:t>
      </w:r>
      <w:r>
        <w:t xml:space="preserve"> </w:t>
      </w:r>
      <w:r>
        <w:t xml:space="preserve">September</w:t>
      </w:r>
      <w:r>
        <w:t xml:space="preserve"> </w:t>
      </w:r>
      <w:r>
        <w:t xml:space="preserve">2016,</w:t>
      </w:r>
      <w:r>
        <w:t xml:space="preserve"> </w:t>
      </w:r>
      <w:r>
        <w:t xml:space="preserve">(https://eur-</w:t>
      </w:r>
      <w:r>
        <w:t xml:space="preserve"> </w:t>
      </w:r>
      <w:r>
        <w:t xml:space="preserve">lex.europa.eu/resource.html?uri=cellar:d2b78384-9b80-11e6-868c-</w:t>
      </w:r>
      <w:r>
        <w:t xml:space="preserve"> </w:t>
      </w:r>
      <w:r>
        <w:t xml:space="preserve">01aa75ed71a1.0001.02/DOC_2&amp;format=PDF).</w:t>
      </w:r>
      <w:r>
        <w:t xml:space="preserve"> </w:t>
      </w:r>
      <w:r>
        <w:t xml:space="preserve">445 https://www.merriam-webster.com/dictionary/obsolete.</w:t>
      </w:r>
    </w:p>
    <w:p>
      <w:pPr>
        <w:pStyle w:val="BodyText"/>
      </w:pPr>
      <w:r>
        <w:t xml:space="preserve">136</w:t>
      </w:r>
    </w:p>
    <w:p>
      <w:pPr>
        <w:pStyle w:val="BodyText"/>
      </w:pPr>
      <w:r>
        <w:t xml:space="preserve">sense of their functions having been transferred to other legislation. It is possible that an</w:t>
      </w:r>
      <w:r>
        <w:t xml:space="preserve"> </w:t>
      </w:r>
      <w:r>
        <w:t xml:space="preserve">obsolete provision needs to be updated to reflect state-of-the-art developments. Determining</w:t>
      </w:r>
      <w:r>
        <w:t xml:space="preserve"> </w:t>
      </w:r>
      <w:r>
        <w:t xml:space="preserve">whether an action is obsolete is a process which is subject to a more qualitative assessment</w:t>
      </w:r>
      <w:r>
        <w:t xml:space="preserve"> </w:t>
      </w:r>
      <w:r>
        <w:t xml:space="preserve">than deciding whether an action is completed: the analysis is based on stakeholder views</w:t>
      </w:r>
      <w:r>
        <w:t xml:space="preserve"> </w:t>
      </w:r>
      <w:r>
        <w:t xml:space="preserve">found via desk research and the strength of arguments in each case.</w:t>
      </w:r>
      <w:r>
        <w:br/>
      </w:r>
      <w:r>
        <w:t xml:space="preserve">Article 2 (2) RSPP Decision</w:t>
      </w:r>
      <w:r>
        <w:t xml:space="preserve"> </w:t>
      </w:r>
      <w:r>
        <w:t xml:space="preserve">This provision refers to specific principles which apply in accordance with Articles 8a, 9, 9a</w:t>
      </w:r>
      <w:r>
        <w:t xml:space="preserve"> </w:t>
      </w:r>
      <w:r>
        <w:t xml:space="preserve">and 9b of the Framework Directive.446 However, this Directive has been repealed and</w:t>
      </w:r>
      <w:r>
        <w:t xml:space="preserve"> </w:t>
      </w:r>
      <w:r>
        <w:t xml:space="preserve">replaced with the EECC,447 so this Article is obsolete.</w:t>
      </w:r>
      <w:r>
        <w:br/>
      </w:r>
      <w:r>
        <w:t xml:space="preserve">Article 3 (m) and Article 8 (2) RSPP Decision</w:t>
      </w:r>
      <w:r>
        <w:t xml:space="preserve"> </w:t>
      </w:r>
      <w:r>
        <w:t xml:space="preserve">The RSPP’s environmental commitments, as listed in these two provisions, remain relevant</w:t>
      </w:r>
      <w:r>
        <w:t xml:space="preserve"> </w:t>
      </w:r>
      <w:r>
        <w:t xml:space="preserve">but need an update in the light of the EU’s European Green Deal policies. Article 3 (m) RSPP</w:t>
      </w:r>
      <w:r>
        <w:t xml:space="preserve"> </w:t>
      </w:r>
      <w:r>
        <w:t xml:space="preserve">Decision lists as a policy objective reducing “the Union’s carbon footprint by enhancing the</w:t>
      </w:r>
      <w:r>
        <w:t xml:space="preserve"> </w:t>
      </w:r>
      <w:r>
        <w:t xml:space="preserve">technical efficiency and energy efficiency of wireless communication networks and</w:t>
      </w:r>
      <w:r>
        <w:t xml:space="preserve"> </w:t>
      </w:r>
      <w:r>
        <w:t xml:space="preserve">equipment.” Article 8 (2) RSPP Decision has the objective of conducting studies on “saving</w:t>
      </w:r>
      <w:r>
        <w:t xml:space="preserve"> </w:t>
      </w:r>
      <w:r>
        <w:t xml:space="preserve">energy in the use of spectrum in order to contribute to a low-carbon policy” as well as making</w:t>
      </w:r>
      <w:r>
        <w:t xml:space="preserve"> </w:t>
      </w:r>
      <w:r>
        <w:t xml:space="preserve">spectrum available for wireless technologies which can save energy in other networks such as</w:t>
      </w:r>
      <w:r>
        <w:t xml:space="preserve"> </w:t>
      </w:r>
      <w:r>
        <w:t xml:space="preserve">water or electricity. This could be expanded to include the monitoring of progress towards EU</w:t>
      </w:r>
      <w:r>
        <w:t xml:space="preserve"> </w:t>
      </w:r>
      <w:r>
        <w:t xml:space="preserve">environmental targets, as proposed by the RSPG.448</w:t>
      </w:r>
      <w:r>
        <w:br/>
      </w:r>
      <w:r>
        <w:t xml:space="preserve">The European Commission policy options related to spectrum availability tackle the</w:t>
      </w:r>
      <w:r>
        <w:t xml:space="preserve"> </w:t>
      </w:r>
      <w:r>
        <w:t xml:space="preserve">obsolescence of the current RSPP by requiring that spectrum is allocated to support not only</w:t>
      </w:r>
      <w:r>
        <w:t xml:space="preserve"> </w:t>
      </w:r>
      <w:r>
        <w:t xml:space="preserve">the increasing demand for wireless communication but also environmental policy by:</w:t>
      </w:r>
      <w:r>
        <w:br/>
      </w:r>
      <w:r>
        <w:t xml:space="preserve">ensuring that sufficient spectrum is made available to support technologies that promote</w:t>
      </w:r>
      <w:r>
        <w:t xml:space="preserve"> </w:t>
      </w:r>
      <w:r>
        <w:t xml:space="preserve">environmentally efficient use of energy and a reduction of the environmental footprint;</w:t>
      </w:r>
      <w:r>
        <w:t xml:space="preserve"> </w:t>
      </w:r>
      <w:r>
        <w:t xml:space="preserve">envisioning that spectrum users would cooperate to develop their services and networks in</w:t>
      </w:r>
      <w:r>
        <w:t xml:space="preserve"> </w:t>
      </w:r>
      <w:r>
        <w:t xml:space="preserve">such a way as to maximise environmental efficiency;</w:t>
      </w:r>
      <w:r>
        <w:t xml:space="preserve"> </w:t>
      </w:r>
      <w:r>
        <w:t xml:space="preserve">spectrum users reporting on their carbon emissions and actions taken to contribute to the</w:t>
      </w:r>
      <w:r>
        <w:t xml:space="preserve"> </w:t>
      </w:r>
      <w:r>
        <w:t xml:space="preserve">achievement of the Union’s environmental targets.</w:t>
      </w:r>
      <w:r>
        <w:t xml:space="preserve"> </w:t>
      </w:r>
      <w:r>
        <w:t xml:space="preserve">These elements will be integrated in the Commission proposal for the DNA.</w:t>
      </w:r>
      <w:r>
        <w:t xml:space="preserve"> </w:t>
      </w:r>
      <w:r>
        <w:t xml:space="preserve">Article 3 (c) and Article 6 (1) RSPP Decision</w:t>
      </w:r>
      <w:r>
        <w:t xml:space="preserve"> </w:t>
      </w:r>
      <w:r>
        <w:t xml:space="preserve">These provisions are obsolete in the sense that they make reference to the 2010 Digital</w:t>
      </w:r>
      <w:r>
        <w:t xml:space="preserve"> </w:t>
      </w:r>
      <w:r>
        <w:t xml:space="preserve">Agenda for Europe449 target of access to broadband at speeds of not less than 30 Mbps for all</w:t>
      </w:r>
      <w:r>
        <w:t xml:space="preserve"> </w:t>
      </w:r>
      <w:r>
        <w:t xml:space="preserve">EU citizens by 2020. This target has been superseded by new goals.</w:t>
      </w:r>
      <w:r>
        <w:t xml:space="preserve"> </w:t>
      </w:r>
      <w:r>
        <w:t xml:space="preserve">The 2016 Gigabit Society targets were for 2020 to make 5G connectivity available as a fully-</w:t>
      </w:r>
      <w:r>
        <w:t xml:space="preserve"> </w:t>
      </w:r>
      <w:r>
        <w:t xml:space="preserve">fledged commercial service in at least one major city in each Member State, building on</w:t>
      </w:r>
    </w:p>
    <w:p>
      <w:pPr>
        <w:pStyle w:val="BodyText"/>
      </w:pPr>
      <w:r>
        <w:t xml:space="preserve">446 Directive 2002/21/EC of the European Parliament and of the Council of 7 March 2002 on a common</w:t>
      </w:r>
      <w:r>
        <w:t xml:space="preserve"> </w:t>
      </w:r>
      <w:r>
        <w:t xml:space="preserve">regulatory framework for electronic communications networks and services, OJ L 108, 24.04.2002, p33,no</w:t>
      </w:r>
      <w:r>
        <w:t xml:space="preserve"> </w:t>
      </w:r>
      <w:r>
        <w:t xml:space="preserve">longer in force.</w:t>
      </w:r>
      <w:r>
        <w:t xml:space="preserve"> </w:t>
      </w:r>
      <w:r>
        <w:t xml:space="preserve">447 Article 125 EECC.</w:t>
      </w:r>
      <w:r>
        <w:t xml:space="preserve"> </w:t>
      </w:r>
      <w:r>
        <w:t xml:space="preserve">448 RSPG 2021 opinion on RSPP, section 6.2.</w:t>
      </w:r>
      <w:r>
        <w:t xml:space="preserve"> </w:t>
      </w:r>
      <w:r>
        <w:t xml:space="preserve">449 Communication from the Commission to the European Parliament, the Council, the European Economic and</w:t>
      </w:r>
      <w:r>
        <w:t xml:space="preserve"> </w:t>
      </w:r>
      <w:r>
        <w:t xml:space="preserve">Social Committee and the Committee of the Regions, A Digital Agenda for Europe, COM(2010) 245 of</w:t>
      </w:r>
      <w:r>
        <w:t xml:space="preserve"> </w:t>
      </w:r>
      <w:r>
        <w:t xml:space="preserve">19.05.2010 (https://eur-lex.europa.eu/legal-content/en/ALL/?uri=celex%3A52010DC0245).</w:t>
      </w:r>
    </w:p>
    <w:p>
      <w:pPr>
        <w:pStyle w:val="BodyText"/>
      </w:pPr>
      <w:r>
        <w:t xml:space="preserve">137</w:t>
      </w:r>
    </w:p>
    <w:p>
      <w:pPr>
        <w:pStyle w:val="BodyText"/>
      </w:pPr>
      <w:r>
        <w:t xml:space="preserve">commercial introduction in 2018 while a strategic objective set for 2025 targeted</w:t>
      </w:r>
      <w:r>
        <w:t xml:space="preserve"> </w:t>
      </w:r>
      <w:r>
        <w:t xml:space="preserve">uninterrupted 5G coverage across all urban areas and all major terrestrial transport paths.450</w:t>
      </w:r>
      <w:r>
        <w:t xml:space="preserve"> </w:t>
      </w:r>
      <w:r>
        <w:t xml:space="preserve">Irrespective of whether these milestones have been achieved or not, they are obsolete because</w:t>
      </w:r>
      <w:r>
        <w:t xml:space="preserve"> </w:t>
      </w:r>
      <w:r>
        <w:t xml:space="preserve">the new Digital Decade targets are to achieve by 2030 fixed line gigabit connectivity for all</w:t>
      </w:r>
      <w:r>
        <w:t xml:space="preserve"> </w:t>
      </w:r>
      <w:r>
        <w:t xml:space="preserve">and that all populated areas are covered by next-generation wireless high-speed networks with</w:t>
      </w:r>
      <w:r>
        <w:t xml:space="preserve"> </w:t>
      </w:r>
      <w:r>
        <w:t xml:space="preserve">performance at least equivalent to that of 5G.451</w:t>
      </w:r>
      <w:r>
        <w:br/>
      </w:r>
      <w:r>
        <w:t xml:space="preserve">These elements will be integrated in the Commission proposal for the DNA, in the sense that</w:t>
      </w:r>
      <w:r>
        <w:t xml:space="preserve"> </w:t>
      </w:r>
      <w:r>
        <w:t xml:space="preserve">the DNA will be consistent with the EU policy objectives applicable at its adoption.</w:t>
      </w:r>
      <w:r>
        <w:t xml:space="preserve"> </w:t>
      </w:r>
      <w:r>
        <w:t xml:space="preserve">Article 4 (1) second paragraph RSPP Decision</w:t>
      </w:r>
      <w:r>
        <w:t xml:space="preserve"> </w:t>
      </w:r>
      <w:r>
        <w:t xml:space="preserve">This refers to the use of ‘white spaces’, a type of dynamic spectrum access (DSA) technology</w:t>
      </w:r>
      <w:r>
        <w:t xml:space="preserve"> </w:t>
      </w:r>
      <w:r>
        <w:t xml:space="preserve">which has had limited application, whereas interest in DSA continues. Here the reference to</w:t>
      </w:r>
      <w:r>
        <w:t xml:space="preserve"> </w:t>
      </w:r>
      <w:r>
        <w:t xml:space="preserve">white spaces is obsolete and could be replaced by DSA, which in any case includes white</w:t>
      </w:r>
      <w:r>
        <w:t xml:space="preserve"> </w:t>
      </w:r>
      <w:r>
        <w:t xml:space="preserve">space technology. The policy options described in the DNA Impact assessment to promote</w:t>
      </w:r>
      <w:r>
        <w:t xml:space="preserve"> </w:t>
      </w:r>
      <w:r>
        <w:t xml:space="preserve">spectrum sharing and flexible licensing, as a mandatory part of certain assignment procedures,</w:t>
      </w:r>
      <w:r>
        <w:t xml:space="preserve"> </w:t>
      </w:r>
      <w:r>
        <w:t xml:space="preserve">aims at updating this obsolete provision in the RSPP Decision.</w:t>
      </w:r>
      <w:r>
        <w:t xml:space="preserve"> </w:t>
      </w:r>
      <w:r>
        <w:t xml:space="preserve">Article 5 RSPP Decision</w:t>
      </w:r>
      <w:r>
        <w:t xml:space="preserve"> </w:t>
      </w:r>
      <w:r>
        <w:t xml:space="preserve">Deleted with effect from 21 December 2020 (Article 125 EECC).</w:t>
      </w:r>
      <w:r>
        <w:br/>
      </w:r>
      <w:r>
        <w:t xml:space="preserve">Article 6 (6) RSPP Decision</w:t>
      </w:r>
      <w:r>
        <w:t xml:space="preserve"> </w:t>
      </w:r>
      <w:r>
        <w:t xml:space="preserve">This provision urges the promotion of “broadband services using the 800 MHz band in remote</w:t>
      </w:r>
      <w:r>
        <w:t xml:space="preserve"> </w:t>
      </w:r>
      <w:r>
        <w:t xml:space="preserve">and sparsely populated areas” while protecting programme making and special events</w:t>
      </w:r>
      <w:r>
        <w:t xml:space="preserve"> </w:t>
      </w:r>
      <w:r>
        <w:t xml:space="preserve">(PMSE) users. While the provision of rural broadband is still an important policy goal, the</w:t>
      </w:r>
      <w:r>
        <w:t xml:space="preserve"> </w:t>
      </w:r>
      <w:r>
        <w:t xml:space="preserve">emphasis on 800MHz has been superseded and a more modern formulation is likely to</w:t>
      </w:r>
      <w:r>
        <w:t xml:space="preserve"> </w:t>
      </w:r>
      <w:r>
        <w:t xml:space="preserve">include bands like the 700MHz 5G pioneer band.</w:t>
      </w:r>
      <w:r>
        <w:br/>
      </w:r>
      <w:r>
        <w:t xml:space="preserve">Article 6 (8) RSPP Decision</w:t>
      </w:r>
      <w:r>
        <w:t xml:space="preserve"> </w:t>
      </w:r>
      <w:r>
        <w:t xml:space="preserve">This provision, which allows for the transfer or leasing of rights of use of spectrum in</w:t>
      </w:r>
      <w:r>
        <w:t xml:space="preserve"> </w:t>
      </w:r>
      <w:r>
        <w:t xml:space="preserve">harmonised bands, has been superseded by Article 51 EECC, which covers the same topic in</w:t>
      </w:r>
      <w:r>
        <w:t xml:space="preserve"> </w:t>
      </w:r>
      <w:r>
        <w:t xml:space="preserve">greater detail. These elements will be integrated in the Commission proposal for the DNA.</w:t>
      </w:r>
      <w:r>
        <w:t xml:space="preserve"> </w:t>
      </w:r>
      <w:r>
        <w:t xml:space="preserve">Article 6 (10) RSPP Decision</w:t>
      </w:r>
      <w:r>
        <w:t xml:space="preserve"> </w:t>
      </w:r>
      <w:r>
        <w:t xml:space="preserve">This provision requires Member States and the European Commission to “examine the</w:t>
      </w:r>
      <w:r>
        <w:t xml:space="preserve"> </w:t>
      </w:r>
      <w:r>
        <w:t xml:space="preserve">possibility of spreading the availability and use of picocells and femtocells”452, as well as</w:t>
      </w:r>
      <w:r>
        <w:t xml:space="preserve"> </w:t>
      </w:r>
      <w:r>
        <w:t xml:space="preserve">taking account of the benefits of wireless mesh networks. Both of these technologies are now</w:t>
      </w:r>
    </w:p>
    <w:p>
      <w:pPr>
        <w:pStyle w:val="BodyText"/>
      </w:pPr>
      <w:r>
        <w:t xml:space="preserve">450 Communication from the Commission to the European Parliament, the Council, the European Economic and</w:t>
      </w:r>
      <w:r>
        <w:t xml:space="preserve"> </w:t>
      </w:r>
      <w:r>
        <w:t xml:space="preserve">Social Committee and the Committee of the Regions, Connectivity for a Competitive Digital Single Market -</w:t>
      </w:r>
      <w:r>
        <w:t xml:space="preserve"> </w:t>
      </w:r>
      <w:r>
        <w:t xml:space="preserve">Towards a European Gigabit Society, COM(2016) 587 of 14.09.2016 (https://eur-lex.europa.eu/legal-</w:t>
      </w:r>
      <w:r>
        <w:t xml:space="preserve"> </w:t>
      </w:r>
      <w:r>
        <w:t xml:space="preserve">content/EN/TXT/PDF/?uri=CELEX:52016DC0587).</w:t>
      </w:r>
      <w:r>
        <w:t xml:space="preserve"> </w:t>
      </w:r>
      <w:r>
        <w:t xml:space="preserve">451 Decision (EU) 2022/2481 of the European Parliament and of the Council of 14 December 2022 establishing</w:t>
      </w:r>
      <w:r>
        <w:t xml:space="preserve"> </w:t>
      </w:r>
      <w:r>
        <w:t xml:space="preserve">the Digital Decade Policy Programme 2030, OJ L 323, 19.12.2022, p. 4: “all end users at a fixed location</w:t>
      </w:r>
      <w:r>
        <w:t xml:space="preserve"> </w:t>
      </w:r>
      <w:r>
        <w:t xml:space="preserve">are covered by a gigabit network up to the network termination point, and all populated areas are covered</w:t>
      </w:r>
      <w:r>
        <w:t xml:space="preserve"> </w:t>
      </w:r>
      <w:r>
        <w:t xml:space="preserve">by next-generation wireless high-speed networks with performance at least equivalent to that of 5G, in</w:t>
      </w:r>
      <w:r>
        <w:t xml:space="preserve"> </w:t>
      </w:r>
      <w:r>
        <w:t xml:space="preserve">accordance with the principle of technological neutrality”.</w:t>
      </w:r>
      <w:r>
        <w:t xml:space="preserve"> </w:t>
      </w:r>
      <w:r>
        <w:t xml:space="preserve">452 Picocells and femto cells are wireless transmitters with a shorter range than the full power mobile base</w:t>
      </w:r>
      <w:r>
        <w:t xml:space="preserve"> </w:t>
      </w:r>
      <w:r>
        <w:t xml:space="preserve">station. The latter has a range of up to about 10 km, while femtocells have a radius of up to 10 metres.</w:t>
      </w:r>
      <w:r>
        <w:t xml:space="preserve"> </w:t>
      </w:r>
      <w:r>
        <w:t xml:space="preserve">Picocells can cover a radius of up to 200 metres (https://commsbrief.com/small-cells-what-are-microcells-</w:t>
      </w:r>
      <w:r>
        <w:t xml:space="preserve"> </w:t>
      </w:r>
      <w:r>
        <w:t xml:space="preserve">femtocells-and-picocells).</w:t>
      </w:r>
    </w:p>
    <w:p>
      <w:pPr>
        <w:pStyle w:val="BodyText"/>
      </w:pPr>
      <w:r>
        <w:t xml:space="preserve">138</w:t>
      </w:r>
    </w:p>
    <w:p>
      <w:pPr>
        <w:pStyle w:val="BodyText"/>
      </w:pPr>
      <w:r>
        <w:t xml:space="preserve">widely used and adopted by operators in mobile and other networks where appropriate so this</w:t>
      </w:r>
      <w:r>
        <w:t xml:space="preserve"> </w:t>
      </w:r>
      <w:r>
        <w:t xml:space="preserve">provision has been superseded.</w:t>
      </w:r>
      <w:r>
        <w:br/>
      </w:r>
      <w:r>
        <w:t xml:space="preserve">Furthermore, the EECC incorporates a provision on small-area wireless access points, a</w:t>
      </w:r>
      <w:r>
        <w:t xml:space="preserve"> </w:t>
      </w:r>
      <w:r>
        <w:t xml:space="preserve">categorisation which includes picocells and femtocells. Article 57 EECC stipulates that small-</w:t>
      </w:r>
      <w:r>
        <w:t xml:space="preserve"> </w:t>
      </w:r>
      <w:r>
        <w:t xml:space="preserve">area wireless access points that meet defined characteristics shall not require town planning</w:t>
      </w:r>
      <w:r>
        <w:t xml:space="preserve"> </w:t>
      </w:r>
      <w:r>
        <w:t xml:space="preserve">permits. This makes them easier to erect than macrocells, which usually do require planning</w:t>
      </w:r>
      <w:r>
        <w:t xml:space="preserve"> </w:t>
      </w:r>
      <w:r>
        <w:t xml:space="preserve">permits. These elements will be integrated in the Commission proposal for the DNA and</w:t>
      </w:r>
      <w:r>
        <w:t xml:space="preserve"> </w:t>
      </w:r>
      <w:r>
        <w:t xml:space="preserve">further updated to increase the efficient use of Radio Local Access Networks.</w:t>
      </w:r>
      <w:r>
        <w:t xml:space="preserve"> </w:t>
      </w:r>
      <w:r>
        <w:t xml:space="preserve">Article 9 RSPP Decision</w:t>
      </w:r>
      <w:r>
        <w:t xml:space="preserve"> </w:t>
      </w:r>
      <w:r>
        <w:t xml:space="preserve">Article 9 RSPP Decision provides for the setting up of an inventory covering uses of the</w:t>
      </w:r>
      <w:r>
        <w:t xml:space="preserve"> </w:t>
      </w:r>
      <w:r>
        <w:t xml:space="preserve">spectrum between 400 MHz - 6 GHz. Its objective is to identify bands where spectrum</w:t>
      </w:r>
      <w:r>
        <w:t xml:space="preserve"> </w:t>
      </w:r>
      <w:r>
        <w:t xml:space="preserve">efficiency can be improved, enable spectrum sharing and re-allocation opportunities and</w:t>
      </w:r>
      <w:r>
        <w:t xml:space="preserve"> </w:t>
      </w:r>
      <w:r>
        <w:t xml:space="preserve">support the analysis of spectrum use. It requires Member States to collect the data and the</w:t>
      </w:r>
      <w:r>
        <w:t xml:space="preserve"> </w:t>
      </w:r>
      <w:r>
        <w:t xml:space="preserve">European Commission to carry out an analysis of technology trends, future needs and demand</w:t>
      </w:r>
      <w:r>
        <w:t xml:space="preserve"> </w:t>
      </w:r>
      <w:r>
        <w:t xml:space="preserve">for spectrum. To support this work, the Joint Research Centre (JRC) developed the Radio</w:t>
      </w:r>
      <w:r>
        <w:t xml:space="preserve"> </w:t>
      </w:r>
      <w:r>
        <w:t xml:space="preserve">Spectrum Inventory (RSI) tool.</w:t>
      </w:r>
      <w:r>
        <w:t xml:space="preserve"> </w:t>
      </w:r>
      <w:r>
        <w:t xml:space="preserve">A key disadvantage of the current spectrum inventory is that it functions primarily as a static</w:t>
      </w:r>
      <w:r>
        <w:t xml:space="preserve"> </w:t>
      </w:r>
      <w:r>
        <w:t xml:space="preserve">database453, without the capability to reflect real-time spectrum usage. This significantly</w:t>
      </w:r>
      <w:r>
        <w:t xml:space="preserve"> </w:t>
      </w:r>
      <w:r>
        <w:t xml:space="preserve">limits its practical value—especially in contexts such as spectrum sharing, where accurate,</w:t>
      </w:r>
      <w:r>
        <w:t xml:space="preserve"> </w:t>
      </w:r>
      <w:r>
        <w:t xml:space="preserve">real-time data on frequency occupancy is essential for ensuring efficient use and avoiding</w:t>
      </w:r>
      <w:r>
        <w:t xml:space="preserve"> </w:t>
      </w:r>
      <w:r>
        <w:t xml:space="preserve">interference. The limited practical use454 of the inventory suggests it has not been effectively</w:t>
      </w:r>
      <w:r>
        <w:t xml:space="preserve"> </w:t>
      </w:r>
      <w:r>
        <w:t xml:space="preserve">incorporated into spectrum management practices. Furthermore, its maintenance involves a</w:t>
      </w:r>
      <w:r>
        <w:t xml:space="preserve"> </w:t>
      </w:r>
      <w:r>
        <w:t xml:space="preserve">high annual cost—estimated at around €100,000 by the JRC—despite its limited utilisation.</w:t>
      </w:r>
      <w:r>
        <w:t xml:space="preserve"> </w:t>
      </w:r>
      <w:r>
        <w:t xml:space="preserve">The RSPG has recommended that Article 9 of the current RSPP is not maintained. It</w:t>
      </w:r>
      <w:r>
        <w:t xml:space="preserve"> </w:t>
      </w:r>
      <w:r>
        <w:t xml:space="preserve">described the inventory as “burdensome” for administrations and called for a more targeted</w:t>
      </w:r>
      <w:r>
        <w:t xml:space="preserve"> </w:t>
      </w:r>
      <w:r>
        <w:t xml:space="preserve">approach focussing on “frequency bands identified by RSPG as potential bands for wireless</w:t>
      </w:r>
      <w:r>
        <w:t xml:space="preserve"> </w:t>
      </w:r>
      <w:r>
        <w:t xml:space="preserve">broadband services or other strategic applications”.455 Desk research showed very limited</w:t>
      </w:r>
      <w:r>
        <w:t xml:space="preserve"> </w:t>
      </w:r>
      <w:r>
        <w:t xml:space="preserve">support for continuing the inventory. Of the responses to the 2021 RSPG consultation on the</w:t>
      </w:r>
      <w:r>
        <w:t xml:space="preserve"> </w:t>
      </w:r>
      <w:r>
        <w:t xml:space="preserve">RSPP, only the LoRa Alliance gave unqualified backing while United Wireless gave support</w:t>
      </w:r>
      <w:r>
        <w:t xml:space="preserve"> </w:t>
      </w:r>
      <w:r>
        <w:t xml:space="preserve">to a revised inventory which concentrated efforts on wireless broadband frequencies. This is</w:t>
      </w:r>
      <w:r>
        <w:t xml:space="preserve"> </w:t>
      </w:r>
      <w:r>
        <w:t xml:space="preserve">very similar to the approach advocated by the RSPG.456</w:t>
      </w:r>
      <w:r>
        <w:t xml:space="preserve"> </w:t>
      </w:r>
      <w:r>
        <w:t xml:space="preserve">Given these shortcomings, it would be more effective to phase out the current static inventory</w:t>
      </w:r>
      <w:r>
        <w:t xml:space="preserve"> </w:t>
      </w:r>
      <w:r>
        <w:t xml:space="preserve">and replace it with a more dynamic and targeted database. A dynamic database—focused on</w:t>
      </w:r>
      <w:r>
        <w:t xml:space="preserve"> </w:t>
      </w:r>
      <w:r>
        <w:t xml:space="preserve">specific frequency bands—would better identify underutilised spectrum and support more</w:t>
      </w:r>
      <w:r>
        <w:t xml:space="preserve"> </w:t>
      </w:r>
      <w:r>
        <w:t xml:space="preserve">efficient spectrum use and sharing practices.</w:t>
      </w:r>
    </w:p>
    <w:p>
      <w:pPr>
        <w:pStyle w:val="BodyText"/>
      </w:pPr>
      <w:r>
        <w:t xml:space="preserve">453 A static spectrum usage database is a type of database that contains fixed information entries, regarding the</w:t>
      </w:r>
      <w:r>
        <w:t xml:space="preserve"> </w:t>
      </w:r>
      <w:r>
        <w:t xml:space="preserve">allocation, assignment, and utilization of radio frequency spectrum. Typically, the data is periodically</w:t>
      </w:r>
      <w:r>
        <w:t xml:space="preserve"> </w:t>
      </w:r>
      <w:r>
        <w:t xml:space="preserve">updated but do not reflect real-time changes in spectrum usage.</w:t>
      </w:r>
      <w:r>
        <w:t xml:space="preserve"> </w:t>
      </w:r>
      <w:r>
        <w:t xml:space="preserve">454 Between 2019 and 2024, the tool has had very limited use. It was not accessed at all in 2021 and 2024, and</w:t>
      </w:r>
      <w:r>
        <w:t xml:space="preserve"> </w:t>
      </w:r>
      <w:r>
        <w:t xml:space="preserve">in 2019 and 2020, usage remained below five accesses. In 2022, there were approximately 20 accesses,</w:t>
      </w:r>
      <w:r>
        <w:t xml:space="preserve"> </w:t>
      </w:r>
      <w:r>
        <w:t xml:space="preserve">increasing to around 60 in 2023.</w:t>
      </w:r>
      <w:r>
        <w:t xml:space="preserve"> </w:t>
      </w:r>
      <w:r>
        <w:t xml:space="preserve">455 RSPG 2021 opinion on RSPP, p. 14.</w:t>
      </w:r>
      <w:r>
        <w:t xml:space="preserve"> </w:t>
      </w:r>
      <w:r>
        <w:t xml:space="preserve">456 2021 RSPG consultation responses supporting the inventory by the LoRa Alliance and United Wireless. The</w:t>
      </w:r>
      <w:r>
        <w:t xml:space="preserve"> </w:t>
      </w:r>
      <w:r>
        <w:t xml:space="preserve">latter in fact backs the RSPG proposal to concentrate efforts on wireless broadband frequencies.</w:t>
      </w:r>
      <w:r>
        <w:t xml:space="preserve"> </w:t>
      </w:r>
      <w:r>
        <w:t xml:space="preserve">(https://circabc.europa.eu/ui/group/f5b44016-a8c5-4ef6-a0bf-bc8d357debcb/library/fc40afef-626f-40ec-</w:t>
      </w:r>
      <w:r>
        <w:t xml:space="preserve"> </w:t>
      </w:r>
      <w:r>
        <w:t xml:space="preserve">b1d0-874c69095f6a/details?download=true).</w:t>
      </w:r>
    </w:p>
    <w:p>
      <w:pPr>
        <w:pStyle w:val="BodyText"/>
      </w:pPr>
      <w:r>
        <w:t xml:space="preserve">139</w:t>
      </w:r>
    </w:p>
    <w:p>
      <w:pPr>
        <w:pStyle w:val="BodyText"/>
      </w:pPr>
      <w:r>
        <w:t xml:space="preserve">Such a dynamic inventory, could also contribute to the development and implementation of a</w:t>
      </w:r>
      <w:r>
        <w:t xml:space="preserve"> </w:t>
      </w:r>
      <w:r>
        <w:t xml:space="preserve">spectrum roadmap to feed into Europe’s 2030 Digital Decade’s targets. 78.6% of respondents</w:t>
      </w:r>
      <w:r>
        <w:t xml:space="preserve"> </w:t>
      </w:r>
      <w:r>
        <w:t xml:space="preserve">to the 2030 Digital Compass consultation (out of 56 participants) think that an evolving</w:t>
      </w:r>
      <w:r>
        <w:t xml:space="preserve"> </w:t>
      </w:r>
      <w:r>
        <w:t xml:space="preserve">spectrum roadmap as a guiding but non-mandatory monitoring mechanism integrating input</w:t>
      </w:r>
      <w:r>
        <w:t xml:space="preserve"> </w:t>
      </w:r>
      <w:r>
        <w:t xml:space="preserve">from a broad range of relevant stakeholders would increase the efficiency and effectiveness of</w:t>
      </w:r>
      <w:r>
        <w:t xml:space="preserve"> </w:t>
      </w:r>
      <w:r>
        <w:t xml:space="preserve">spectrum management.</w:t>
      </w:r>
      <w:r>
        <w:t xml:space="preserve"> </w:t>
      </w:r>
      <w:r>
        <w:t xml:space="preserve">WHAT KEY OBJECTIVES AND GENERAL PRINCIPLES OF THE RSPP DECISION REMAIN</w:t>
      </w:r>
      <w:r>
        <w:t xml:space="preserve"> </w:t>
      </w:r>
      <w:r>
        <w:t xml:space="preserve">RELEVANT?</w:t>
      </w:r>
      <w:r>
        <w:br/>
      </w:r>
      <w:r>
        <w:t xml:space="preserve">The RSPP Decision contains many key objectives and general principles which remain</w:t>
      </w:r>
      <w:r>
        <w:t xml:space="preserve"> </w:t>
      </w:r>
      <w:r>
        <w:t xml:space="preserve">relevant and which will be taken over and further developed in the policy options of the DNA</w:t>
      </w:r>
      <w:r>
        <w:t xml:space="preserve"> </w:t>
      </w:r>
      <w:r>
        <w:t xml:space="preserve">Impact Assessment. These include:</w:t>
      </w:r>
      <w:r>
        <w:br/>
      </w:r>
      <w:r>
        <w:t xml:space="preserve">applying the least onerous authorisation systems to maximise flexibility and efficiency in</w:t>
      </w:r>
      <w:r>
        <w:t xml:space="preserve"> </w:t>
      </w:r>
      <w:r>
        <w:t xml:space="preserve">spectrum use (Article 2 (1) (a) RSPP Decision). This principle is extended and enhanced by</w:t>
      </w:r>
      <w:r>
        <w:t xml:space="preserve"> </w:t>
      </w:r>
      <w:r>
        <w:t xml:space="preserve">the proposals to promote spectrum sharing and flexible licensing.</w:t>
      </w:r>
      <w:r>
        <w:t xml:space="preserve"> </w:t>
      </w:r>
      <w:r>
        <w:t xml:space="preserve">“fostering development of the internal market by promoting the emergence of future Union-</w:t>
      </w:r>
      <w:r>
        <w:t xml:space="preserve"> </w:t>
      </w:r>
      <w:r>
        <w:t xml:space="preserve">wide digital services” (Article 2 (1) (b) RSPP Decision). The policy proposal on satellites</w:t>
      </w:r>
      <w:r>
        <w:t xml:space="preserve"> </w:t>
      </w:r>
      <w:r>
        <w:t xml:space="preserve">explained in the policy options of the DNA Impact Assessment aims at helping to foster EU-</w:t>
      </w:r>
      <w:r>
        <w:t xml:space="preserve"> </w:t>
      </w:r>
      <w:r>
        <w:t xml:space="preserve">wide digital services.</w:t>
      </w:r>
      <w:r>
        <w:t xml:space="preserve"> </w:t>
      </w:r>
      <w:r>
        <w:t xml:space="preserve">fostering “the collective use of spectrum as well as shared use of spectrum” (Article 4 (1) first</w:t>
      </w:r>
      <w:r>
        <w:t xml:space="preserve"> </w:t>
      </w:r>
      <w:r>
        <w:t xml:space="preserve">subparagraph RSPP Decision) and promoting spectrum sharing (Article 9 (1) (b) and</w:t>
      </w:r>
      <w:r>
        <w:t xml:space="preserve"> </w:t>
      </w:r>
      <w:r>
        <w:t xml:space="preserve">Article 9(1) (d) RSPP Decision).</w:t>
      </w:r>
      <w:r>
        <w:br/>
      </w:r>
      <w:r>
        <w:t xml:space="preserve">assessing the “justification and feasibility of extending the allocations of unlicensed</w:t>
      </w:r>
      <w:r>
        <w:t xml:space="preserve"> </w:t>
      </w:r>
      <w:r>
        <w:t xml:space="preserve">spectrum” (Article 6 (7) RSPP Decision). The policy proposal described in Section 6.2.3.2</w:t>
      </w:r>
      <w:r>
        <w:t xml:space="preserve"> </w:t>
      </w:r>
      <w:r>
        <w:t xml:space="preserve">proposes wide-ranging co-operation between Member States and the European Commission</w:t>
      </w:r>
      <w:r>
        <w:t xml:space="preserve"> </w:t>
      </w:r>
      <w:r>
        <w:t xml:space="preserve">to allocate sufficient spectrum for wireless services, including in the unlicensed bands, as part</w:t>
      </w:r>
      <w:r>
        <w:t xml:space="preserve"> </w:t>
      </w:r>
      <w:r>
        <w:t xml:space="preserve">of an evolving roadmap.</w:t>
      </w:r>
      <w:r>
        <w:t xml:space="preserve"> </w:t>
      </w:r>
      <w:r>
        <w:t xml:space="preserve">promoting competition, innovation and investment (Article 2 (1) (b), Article 2 (1) (c),</w:t>
      </w:r>
      <w:r>
        <w:t xml:space="preserve"> </w:t>
      </w:r>
      <w:r>
        <w:t xml:space="preserve">Article 3 (f), Article 3 (i), Article 4 (4), and Article 9 (1) (d) RSPP Decision).</w:t>
      </w:r>
      <w:r>
        <w:t xml:space="preserve"> </w:t>
      </w:r>
      <w:r>
        <w:t xml:space="preserve">the need to avoid harmful interference: (Article 2 (1) (c), Article 2 (2) (c) and Article 3 (k)</w:t>
      </w:r>
      <w:r>
        <w:t xml:space="preserve"> </w:t>
      </w:r>
      <w:r>
        <w:t xml:space="preserve">RSPP Decision).</w:t>
      </w:r>
      <w:r>
        <w:br/>
      </w:r>
      <w:r>
        <w:t xml:space="preserve">promoting technology and service neutrality in the rights of use of spectrum (Article 2 (1) (e),</w:t>
      </w:r>
      <w:r>
        <w:t xml:space="preserve"> </w:t>
      </w:r>
      <w:r>
        <w:t xml:space="preserve">Article 2 (2) (a) and Article 3 (f)) RSPP Decision).</w:t>
      </w:r>
      <w:r>
        <w:t xml:space="preserve"> </w:t>
      </w:r>
      <w:r>
        <w:t xml:space="preserve">promoting spectrum harmonisation (Article 2 (2) (b) and Article 4 (3) RSPP Decision).</w:t>
      </w:r>
      <w:r>
        <w:t xml:space="preserve"> </w:t>
      </w:r>
      <w:r>
        <w:t xml:space="preserve">upgrading networks to the most efficient technology (Article 6 (3) RSPP Decision).</w:t>
      </w:r>
      <w:r>
        <w:t xml:space="preserve"> </w:t>
      </w:r>
      <w:r>
        <w:t xml:space="preserve">in order to ensure that all citizens have access to advanced digital services including</w:t>
      </w:r>
      <w:r>
        <w:t xml:space="preserve"> </w:t>
      </w:r>
      <w:r>
        <w:t xml:space="preserve">broadband in remote and sparsely populated areas, exploring “the availability of sufficient</w:t>
      </w:r>
      <w:r>
        <w:t xml:space="preserve"> </w:t>
      </w:r>
      <w:r>
        <w:t xml:space="preserve">spectrum for the provision of broadband satellite services enabling internet access” (Article 6</w:t>
      </w:r>
      <w:r>
        <w:t xml:space="preserve"> </w:t>
      </w:r>
      <w:r>
        <w:t xml:space="preserve">(9) RSPP Decision) allocating sufficient and appropriate spectrum in a timely manner to</w:t>
      </w:r>
      <w:r>
        <w:t xml:space="preserve"> </w:t>
      </w:r>
      <w:r>
        <w:t xml:space="preserve">support Union policy objectives and satisfying the increased wireless data traffic (Article 3 (b)</w:t>
      </w:r>
      <w:r>
        <w:t xml:space="preserve"> </w:t>
      </w:r>
      <w:r>
        <w:t xml:space="preserve">RSPP Decision), as part of an evolving spectrum roadmap.</w:t>
      </w:r>
      <w:r>
        <w:br/>
      </w:r>
      <w:r>
        <w:t xml:space="preserve">encouraging efficient management and use of spectrum (Article 3(a) RSPP Decision).</w:t>
      </w:r>
      <w:r>
        <w:br/>
      </w:r>
      <w:r>
        <w:t xml:space="preserve">ensuring sufficient spectrum, harmonised where necessary, for specified uses including:</w:t>
      </w:r>
      <w:r>
        <w:t xml:space="preserve"> </w:t>
      </w:r>
      <w:r>
        <w:t xml:space="preserve">Wireless broadband (Article 6 RSPP Decision),</w:t>
      </w:r>
    </w:p>
    <w:p>
      <w:pPr>
        <w:pStyle w:val="BodyText"/>
      </w:pPr>
      <w:r>
        <w:t xml:space="preserve">140</w:t>
      </w:r>
    </w:p>
    <w:p>
      <w:pPr>
        <w:pStyle w:val="BodyText"/>
      </w:pPr>
      <w:r>
        <w:t xml:space="preserve">Satellite and terrestrial provision of innovative audiovisual services (Article 7 RSPP</w:t>
      </w:r>
      <w:r>
        <w:t xml:space="preserve"> </w:t>
      </w:r>
      <w:r>
        <w:t xml:space="preserve">Decision). The satellite policy options described in Section 6.2.2.1 would benefit these new</w:t>
      </w:r>
      <w:r>
        <w:t xml:space="preserve"> </w:t>
      </w:r>
      <w:r>
        <w:t xml:space="preserve">services,</w:t>
      </w:r>
      <w:r>
        <w:br/>
      </w:r>
      <w:r>
        <w:t xml:space="preserve">Earth monitoring services and transport systems (Article 8 (1) RSPP Decision),</w:t>
      </w:r>
      <w:r>
        <w:t xml:space="preserve"> </w:t>
      </w:r>
      <w:r>
        <w:t xml:space="preserve">Safety of life services (Article 8 (3) RSPP Decision),</w:t>
      </w:r>
      <w:r>
        <w:t xml:space="preserve"> </w:t>
      </w:r>
      <w:r>
        <w:t xml:space="preserve">Scientific services (Article 8 (4) RSPP Decision),</w:t>
      </w:r>
      <w:r>
        <w:t xml:space="preserve"> </w:t>
      </w:r>
      <w:r>
        <w:t xml:space="preserve">PMSE (Article 8 (5) RSPP Decision),</w:t>
      </w:r>
      <w:r>
        <w:t xml:space="preserve"> </w:t>
      </w:r>
      <w:r>
        <w:t xml:space="preserve">IoT services (Article 8 (6) RSPP Decision).</w:t>
      </w:r>
      <w:r>
        <w:t xml:space="preserve"> </w:t>
      </w:r>
      <w:r>
        <w:t xml:space="preserve">The commitment to ensuring sufficient spectrum for specified services would be strengthened</w:t>
      </w:r>
      <w:r>
        <w:t xml:space="preserve"> </w:t>
      </w:r>
      <w:r>
        <w:t xml:space="preserve">by the policy option concerning the establishment of an EU-level spectrum roadmap.</w:t>
      </w:r>
      <w:r>
        <w:br/>
      </w:r>
      <w:r>
        <w:t xml:space="preserve">Article 10 (1) RSPP Decision, which sets out how international spectrum negotiations will be</w:t>
      </w:r>
      <w:r>
        <w:t xml:space="preserve"> </w:t>
      </w:r>
      <w:r>
        <w:t xml:space="preserve">conducted if the subject matter falls within EU or Member State competences remains</w:t>
      </w:r>
      <w:r>
        <w:t xml:space="preserve"> </w:t>
      </w:r>
      <w:r>
        <w:t xml:space="preserve">relevant as these negotiations will continue for the foreseeable future. From a substance point</w:t>
      </w:r>
      <w:r>
        <w:t xml:space="preserve"> </w:t>
      </w:r>
      <w:r>
        <w:t xml:space="preserve">of view, this provision is not obsolete although it would have to be adapted to the 2017</w:t>
      </w:r>
      <w:r>
        <w:t xml:space="preserve"> </w:t>
      </w:r>
      <w:r>
        <w:t xml:space="preserve">European Court of Justice judgement confirming the EU’s role in establishing common</w:t>
      </w:r>
      <w:r>
        <w:t xml:space="preserve"> </w:t>
      </w:r>
      <w:r>
        <w:t xml:space="preserve">positions for ITU World Radio Conferences (WRC)457 and to the established practice</w:t>
      </w:r>
      <w:r>
        <w:t xml:space="preserve"> </w:t>
      </w:r>
      <w:r>
        <w:t xml:space="preserve">illustrated by the recent Council Decisions based on Article 218(9) TFEU of 13 June 2019 for</w:t>
      </w:r>
      <w:r>
        <w:t xml:space="preserve"> </w:t>
      </w:r>
      <w:r>
        <w:t xml:space="preserve">WRC 19 and of 12 September 2023f for WRC 23.</w:t>
      </w:r>
      <w:r>
        <w:t xml:space="preserve"> </w:t>
      </w:r>
      <w:r>
        <w:t xml:space="preserve">Article 10 (2) RSPP Decision which relates to the EU, on request, assisting “Member States</w:t>
      </w:r>
      <w:r>
        <w:t xml:space="preserve"> </w:t>
      </w:r>
      <w:r>
        <w:t xml:space="preserve">with legal, political and technical support to resolve spectrum coordination issues” with</w:t>
      </w:r>
      <w:r>
        <w:t xml:space="preserve"> </w:t>
      </w:r>
      <w:r>
        <w:t xml:space="preserve">neighbouring third countries, is an ongoing issue and therefore still relevant.</w:t>
      </w:r>
      <w:r>
        <w:br/>
      </w:r>
      <w:r>
        <w:t xml:space="preserve">Ensuring appropriate cooperation in spectrum matters between the European Commission</w:t>
      </w:r>
      <w:r>
        <w:t xml:space="preserve"> </w:t>
      </w:r>
      <w:r>
        <w:t xml:space="preserve">(including the Joint Research Centre), Member States and CEPT (Article 11 RSPP Decision).</w:t>
      </w:r>
      <w:r>
        <w:br/>
      </w:r>
      <w:r>
        <w:t xml:space="preserve">KEY RSPP CHALLENGES</w:t>
      </w:r>
      <w:r>
        <w:br/>
      </w:r>
      <w:r>
        <w:t xml:space="preserve">The review of the reports which have assessed the RSPP, relevant RSPG opinions and</w:t>
      </w:r>
      <w:r>
        <w:t xml:space="preserve"> </w:t>
      </w:r>
      <w:r>
        <w:t xml:space="preserve">relevant consultations,458 as well as stakeholder research carried out for the EC study,</w:t>
      </w:r>
      <w:r>
        <w:t xml:space="preserve"> </w:t>
      </w:r>
      <w:r>
        <w:t xml:space="preserve">identifies a set of key challenges moving forward. On a top-level, these challenges are</w:t>
      </w:r>
      <w:r>
        <w:t xml:space="preserve"> </w:t>
      </w:r>
      <w:r>
        <w:t xml:space="preserve">summarised below.</w:t>
      </w:r>
      <w:r>
        <w:t xml:space="preserve"> </w:t>
      </w:r>
      <w:r>
        <w:t xml:space="preserve">Allocating sufficient and appropriate spectrum in a timely manner</w:t>
      </w:r>
      <w:r>
        <w:t xml:space="preserve"> </w:t>
      </w:r>
      <w:r>
        <w:t xml:space="preserve">Allocating sufficient and appropriate spectrum in a timely manner to support Union policy</w:t>
      </w:r>
      <w:r>
        <w:t xml:space="preserve"> </w:t>
      </w:r>
      <w:r>
        <w:t xml:space="preserve">objectives and to meet demand remains an important policy consideration. More than half of</w:t>
      </w:r>
      <w:r>
        <w:t xml:space="preserve"> </w:t>
      </w:r>
      <w:r>
        <w:t xml:space="preserve">stakeholders questioned for a study agreed that updating the approach to establishing future</w:t>
      </w:r>
      <w:r>
        <w:t xml:space="preserve"> </w:t>
      </w:r>
      <w:r>
        <w:t xml:space="preserve">spectrum needs was one of the most important issues related to revising the RSPP.459 The</w:t>
      </w:r>
    </w:p>
    <w:p>
      <w:pPr>
        <w:pStyle w:val="BodyText"/>
      </w:pPr>
      <w:r>
        <w:t xml:space="preserve">457 European Commission v Council of the European Union, C-687/15, ECLI:EU:C:2017:803.</w:t>
      </w:r>
      <w:r>
        <w:t xml:space="preserve"> </w:t>
      </w:r>
      <w:r>
        <w:t xml:space="preserve">458 i.e. Commission’s 2014 general report on the implementation of the RSPP, Commission’s 2014 report on the</w:t>
      </w:r>
      <w:r>
        <w:t xml:space="preserve"> </w:t>
      </w:r>
      <w:r>
        <w:t xml:space="preserve">spectrum</w:t>
      </w:r>
      <w:r>
        <w:t xml:space="preserve"> </w:t>
      </w:r>
      <w:r>
        <w:t xml:space="preserve">inventory,</w:t>
      </w:r>
      <w:r>
        <w:t xml:space="preserve"> </w:t>
      </w:r>
      <w:r>
        <w:t xml:space="preserve">Commission 2016 fitness check accompanying the Code legislative proposal, RSPG 2021 opinion on the</w:t>
      </w:r>
      <w:r>
        <w:t xml:space="preserve"> </w:t>
      </w:r>
      <w:r>
        <w:t xml:space="preserve">RSPP, the 2021 targeted consultation on the 2030 Digital Compass, RSPG 2021 opinion on the targeted</w:t>
      </w:r>
      <w:r>
        <w:t xml:space="preserve"> </w:t>
      </w:r>
      <w:r>
        <w:t xml:space="preserve">consultation on the 2030 Digital Compass, and the 2023 exploratory consultation on the future of the</w:t>
      </w:r>
      <w:r>
        <w:t xml:space="preserve"> </w:t>
      </w:r>
      <w:r>
        <w:t xml:space="preserve">electronic communications sector and its infrastructure, RSPG 2023 opinion on the future of the electronic</w:t>
      </w:r>
      <w:r>
        <w:t xml:space="preserve"> </w:t>
      </w:r>
      <w:r>
        <w:t xml:space="preserve">communications sector and its infrastructure,</w:t>
      </w:r>
      <w:r>
        <w:t xml:space="preserve"> </w:t>
      </w:r>
      <w:r>
        <w:t xml:space="preserve">459 A representative sample of 26 stakeholders were surveyed for this study: more details are given in Annexes 2</w:t>
      </w:r>
      <w:r>
        <w:t xml:space="preserve"> </w:t>
      </w:r>
      <w:r>
        <w:t xml:space="preserve">and 3. When asked “What do you consider to be the most important issues or challenges in view to improve</w:t>
      </w:r>
    </w:p>
    <w:p>
      <w:pPr>
        <w:pStyle w:val="BodyText"/>
      </w:pPr>
      <w:r>
        <w:t xml:space="preserve">141</w:t>
      </w:r>
    </w:p>
    <w:p>
      <w:pPr>
        <w:pStyle w:val="BodyText"/>
      </w:pPr>
      <w:r>
        <w:t xml:space="preserve">RSPG, in its 2021 opinion on the RSPP highlighted the need to make available EU</w:t>
      </w:r>
      <w:r>
        <w:t xml:space="preserve"> </w:t>
      </w:r>
      <w:r>
        <w:t xml:space="preserve">harmonised spectrum to support the development of 6G and other technologies beyond 5G.460</w:t>
      </w:r>
      <w:r>
        <w:t xml:space="preserve"> </w:t>
      </w:r>
      <w:r>
        <w:t xml:space="preserve">Furthermore, the 2023 RSPG response to the European Commission’s exploratory</w:t>
      </w:r>
      <w:r>
        <w:t xml:space="preserve"> </w:t>
      </w:r>
      <w:r>
        <w:t xml:space="preserve">consultation states that further work is needed to provide timely access to harmonised</w:t>
      </w:r>
      <w:r>
        <w:t xml:space="preserve"> </w:t>
      </w:r>
      <w:r>
        <w:t xml:space="preserve">spectrum for verticals,461 with the RSPG’s 2021 opinion on the RSPP saying there is a</w:t>
      </w:r>
      <w:r>
        <w:t xml:space="preserve"> </w:t>
      </w:r>
      <w:r>
        <w:t xml:space="preserve">particular need for this to apply to the mmWave bands462.</w:t>
      </w:r>
      <w:r>
        <w:t xml:space="preserve"> </w:t>
      </w:r>
      <w:r>
        <w:t xml:space="preserve">In this regard, the policy options of the DNA Impact Assessment propose that the</w:t>
      </w:r>
      <w:r>
        <w:t xml:space="preserve"> </w:t>
      </w:r>
      <w:r>
        <w:t xml:space="preserve">Commission, together with the RSPG, develop an evolving roadmap of spectrum needs and</w:t>
      </w:r>
      <w:r>
        <w:t xml:space="preserve"> </w:t>
      </w:r>
      <w:r>
        <w:t xml:space="preserve">that Member States develop national roadmaps which mirror such EU roadmap and adapt it to</w:t>
      </w:r>
      <w:r>
        <w:t xml:space="preserve"> </w:t>
      </w:r>
      <w:r>
        <w:t xml:space="preserve">national circumstances, thus providing regulatory predictability to prospective spectrum users.</w:t>
      </w:r>
      <w:r>
        <w:br/>
      </w:r>
      <w:r>
        <w:t xml:space="preserve">Greater focus on spectrum sharing and flexible licensing solutions</w:t>
      </w:r>
      <w:r>
        <w:t xml:space="preserve"> </w:t>
      </w:r>
      <w:r>
        <w:t xml:space="preserve">The assessment of the RSPP emphasised the need for a greater focus on spectrum sharing and</w:t>
      </w:r>
      <w:r>
        <w:t xml:space="preserve"> </w:t>
      </w:r>
      <w:r>
        <w:t xml:space="preserve">flexible licensing solutions. The 2016 Fitness Check highlighted these as “key issues for the</w:t>
      </w:r>
      <w:r>
        <w:t xml:space="preserve"> </w:t>
      </w:r>
      <w:r>
        <w:t xml:space="preserve">future”.463 In the same way, the more recent RSPG opinions (add sharing opinion and 6G</w:t>
      </w:r>
      <w:r>
        <w:t xml:space="preserve"> </w:t>
      </w:r>
      <w:r>
        <w:t xml:space="preserve">vision) confirm this as a priority.</w:t>
      </w:r>
      <w:r>
        <w:t xml:space="preserve"> </w:t>
      </w:r>
      <w:r>
        <w:t xml:space="preserve">The RSPG 2021 opinion on the RSPP states that, to improve broadband connectivity, it is</w:t>
      </w:r>
      <w:r>
        <w:t xml:space="preserve"> </w:t>
      </w:r>
      <w:r>
        <w:t xml:space="preserve">necessary to ensure availability of spectrum for WAS/RLAN applications and to use shared</w:t>
      </w:r>
      <w:r>
        <w:t xml:space="preserve"> </w:t>
      </w:r>
      <w:r>
        <w:t xml:space="preserve">spectrum including innovative approaches such as automated shared spectrum solutions.464 It</w:t>
      </w:r>
      <w:r>
        <w:t xml:space="preserve"> </w:t>
      </w:r>
      <w:r>
        <w:t xml:space="preserve">also recommends “enhancing flexibility in spectrum access by following the “use-it-or-share-</w:t>
      </w:r>
      <w:r>
        <w:t xml:space="preserve"> </w:t>
      </w:r>
      <w:r>
        <w:t xml:space="preserve">it” principle, and to support the development of spectrum pooling and multi-tiered spectrum</w:t>
      </w:r>
      <w:r>
        <w:t xml:space="preserve"> </w:t>
      </w:r>
      <w:r>
        <w:t xml:space="preserve">access approaches, including those assisted by geolocation databases or other ICT-based</w:t>
      </w:r>
      <w:r>
        <w:t xml:space="preserve"> </w:t>
      </w:r>
      <w:r>
        <w:t xml:space="preserve">solutions.”465</w:t>
      </w:r>
      <w:r>
        <w:br/>
      </w:r>
      <w:r>
        <w:t xml:space="preserve">Supporters of mixed authorisation models also emphasise the efficiency benefits. For</w:t>
      </w:r>
      <w:r>
        <w:t xml:space="preserve"> </w:t>
      </w:r>
      <w:r>
        <w:t xml:space="preserve">example, in its response to the RSPG’s 2021 RSPP consultation, DIGITALEUROPE argues</w:t>
      </w:r>
      <w:r>
        <w:t xml:space="preserve"> </w:t>
      </w:r>
      <w:r>
        <w:t xml:space="preserve">for ensuring “a timely, appropriate and balanced approach enabling access to additional</w:t>
      </w:r>
      <w:r>
        <w:t xml:space="preserve"> </w:t>
      </w:r>
      <w:r>
        <w:t xml:space="preserve">licensed and licence-exempt spectrum to serve businesses and consumers, while working</w:t>
      </w:r>
      <w:r>
        <w:t xml:space="preserve"> </w:t>
      </w:r>
      <w:r>
        <w:t xml:space="preserve">towards greater efficiency and intensity of use in existing and new bands.”466 In its report on</w:t>
      </w:r>
      <w:r>
        <w:t xml:space="preserve"> </w:t>
      </w:r>
      <w:r>
        <w:t xml:space="preserve">6G Strategic vision467 from February 2025, the RSPG recognised the enhanced need from</w:t>
      </w:r>
      <w:r>
        <w:t xml:space="preserve"> </w:t>
      </w:r>
      <w:r>
        <w:t xml:space="preserve">spectrum sharing.</w:t>
      </w:r>
    </w:p>
    <w:p>
      <w:pPr>
        <w:pStyle w:val="BodyText"/>
      </w:pPr>
      <w:r>
        <w:t xml:space="preserve">the current RSPP Decision?”, 14/26 interviewees agreed “updating the approach to establishing future</w:t>
      </w:r>
      <w:r>
        <w:t xml:space="preserve"> </w:t>
      </w:r>
      <w:r>
        <w:t xml:space="preserve">spectrum needs” was one of the most important.</w:t>
      </w:r>
      <w:r>
        <w:t xml:space="preserve"> </w:t>
      </w:r>
      <w:r>
        <w:t xml:space="preserve">460 RSPG 2021 opinion on RSPP, p. 5.</w:t>
      </w:r>
      <w:r>
        <w:t xml:space="preserve"> </w:t>
      </w:r>
      <w:r>
        <w:t xml:space="preserve">461 RSPG opinion on “The future of the electronic communications sector and its infrastructure”, RSPG23-016</w:t>
      </w:r>
      <w:r>
        <w:t xml:space="preserve"> </w:t>
      </w:r>
      <w:r>
        <w:t xml:space="preserve">FINAL,</w:t>
      </w:r>
      <w:r>
        <w:t xml:space="preserve"> </w:t>
      </w:r>
      <w:r>
        <w:t xml:space="preserve">11</w:t>
      </w:r>
      <w:r>
        <w:t xml:space="preserve"> </w:t>
      </w:r>
      <w:r>
        <w:t xml:space="preserve">May</w:t>
      </w:r>
      <w:r>
        <w:t xml:space="preserve"> </w:t>
      </w:r>
      <w:r>
        <w:t xml:space="preserve">2023,</w:t>
      </w:r>
      <w:r>
        <w:t xml:space="preserve"> </w:t>
      </w:r>
      <w:r>
        <w:t xml:space="preserve">p. </w:t>
      </w:r>
      <w:r>
        <w:t xml:space="preserve"> </w:t>
      </w:r>
      <w:r>
        <w:t xml:space="preserve">4</w:t>
      </w:r>
      <w:r>
        <w:t xml:space="preserve"> </w:t>
      </w:r>
      <w:r>
        <w:t xml:space="preserve">(https://radio-spectrum-policy-group.ec.europa.eu/system/files/2023-</w:t>
      </w:r>
      <w:r>
        <w:t xml:space="preserve"> </w:t>
      </w:r>
      <w:r>
        <w:t xml:space="preserve">05/RSPG23-016final-RSPG_Opinion_on_future_of_electronic_networks_and_services.pdf).</w:t>
      </w:r>
      <w:r>
        <w:t xml:space="preserve"> </w:t>
      </w:r>
      <w:r>
        <w:t xml:space="preserve">462 RSPG 2021 opinion on RSPP, p. 6.</w:t>
      </w:r>
      <w:r>
        <w:t xml:space="preserve"> </w:t>
      </w:r>
      <w:r>
        <w:t xml:space="preserve">463 Communication from the Commission to the European Parliament, the Council, the European Economic and</w:t>
      </w:r>
      <w:r>
        <w:t xml:space="preserve"> </w:t>
      </w:r>
      <w:r>
        <w:t xml:space="preserve">Social Committee and the Committee of the Regions, Connectivity for a Competitive Digital Single Market -</w:t>
      </w:r>
      <w:r>
        <w:t xml:space="preserve"> </w:t>
      </w:r>
      <w:r>
        <w:t xml:space="preserve">Towards a European Gigabit Society, COM(2016) 587 of 14.09.2016, (https://eur-lex.europa.eu/legal-</w:t>
      </w:r>
      <w:r>
        <w:t xml:space="preserve"> </w:t>
      </w:r>
      <w:r>
        <w:t xml:space="preserve">content/EN/TXT/PDF/?uri=CELEX:52016DC0587)</w:t>
      </w:r>
      <w:r>
        <w:t xml:space="preserve"> </w:t>
      </w:r>
      <w:r>
        <w:t xml:space="preserve">464 RSPG 2021 opinion on RSPP, p. 6.</w:t>
      </w:r>
      <w:r>
        <w:t xml:space="preserve"> </w:t>
      </w:r>
      <w:r>
        <w:t xml:space="preserve">465 Ibid p3.</w:t>
      </w:r>
      <w:r>
        <w:t xml:space="preserve"> </w:t>
      </w:r>
      <w:r>
        <w:t xml:space="preserve">466 2021 Public consultation on the draft RSPG Opinion on a Radio Spectrum Policy Programme.</w:t>
      </w:r>
      <w:r>
        <w:br/>
      </w:r>
      <w:r>
        <w:t xml:space="preserve">467 RSPG25-006 FINAL report.</w:t>
      </w:r>
    </w:p>
    <w:p>
      <w:pPr>
        <w:pStyle w:val="BodyText"/>
      </w:pPr>
      <w:r>
        <w:t xml:space="preserve">142</w:t>
      </w:r>
    </w:p>
    <w:p>
      <w:pPr>
        <w:pStyle w:val="BodyText"/>
      </w:pPr>
      <w:r>
        <w:t xml:space="preserve">Supporting the development of satellite communications</w:t>
      </w:r>
      <w:r>
        <w:t xml:space="preserve"> </w:t>
      </w:r>
      <w:r>
        <w:t xml:space="preserve">In the assessments, there is a recognition that the commercial and technological developments</w:t>
      </w:r>
      <w:r>
        <w:t xml:space="preserve"> </w:t>
      </w:r>
      <w:r>
        <w:t xml:space="preserve">are transforming the satellite sector in a time of changing national needs and the RSPP needs</w:t>
      </w:r>
      <w:r>
        <w:t xml:space="preserve"> </w:t>
      </w:r>
      <w:r>
        <w:t xml:space="preserve">to support this. In its 2021 opinion on the RSPP, the RSPG considers that spectrum policy</w:t>
      </w:r>
      <w:r>
        <w:t xml:space="preserve"> </w:t>
      </w:r>
      <w:r>
        <w:t xml:space="preserve">should support the development of “an innovative satellite system to achieve EU controlled</w:t>
      </w:r>
      <w:r>
        <w:t xml:space="preserve"> </w:t>
      </w:r>
      <w:r>
        <w:t xml:space="preserve">connectivity and to provide governmental services with reliable, resilient and cost-effective</w:t>
      </w:r>
      <w:r>
        <w:t xml:space="preserve"> </w:t>
      </w:r>
      <w:r>
        <w:t xml:space="preserve">satellite communications services.”468</w:t>
      </w:r>
      <w:r>
        <w:t xml:space="preserve"> </w:t>
      </w:r>
      <w:r>
        <w:t xml:space="preserve">More recently, the RSPG, in its Opinion on satellite Direct-to-Device connectivity and related</w:t>
      </w:r>
      <w:r>
        <w:t xml:space="preserve"> </w:t>
      </w:r>
      <w:r>
        <w:t xml:space="preserve">Single Market issues469 from June 2025, recognised the fragmentation in the authorisation of</w:t>
      </w:r>
      <w:r>
        <w:t xml:space="preserve"> </w:t>
      </w:r>
      <w:r>
        <w:t xml:space="preserve">the use of satellite service spectrum. It proposed to set in the EU law “common requirements”</w:t>
      </w:r>
      <w:r>
        <w:t xml:space="preserve"> </w:t>
      </w:r>
      <w:r>
        <w:t xml:space="preserve">which should be applied by every MS granting access to its / EU market to the satellite</w:t>
      </w:r>
      <w:r>
        <w:t xml:space="preserve"> </w:t>
      </w:r>
      <w:r>
        <w:t xml:space="preserve">operators active on the EU market. The RSPG also identified a need for a mechanism on the</w:t>
      </w:r>
      <w:r>
        <w:t xml:space="preserve"> </w:t>
      </w:r>
      <w:r>
        <w:t xml:space="preserve">EU level for collective reaction on the EU level in the case of non-compliance to such</w:t>
      </w:r>
      <w:r>
        <w:t xml:space="preserve"> </w:t>
      </w:r>
      <w:r>
        <w:t xml:space="preserve">requirements, if it cannot be resolved at national level.</w:t>
      </w:r>
      <w:r>
        <w:br/>
      </w:r>
      <w:r>
        <w:t xml:space="preserve">Supporting efforts to prevent climate change</w:t>
      </w:r>
      <w:r>
        <w:t xml:space="preserve"> </w:t>
      </w:r>
      <w:r>
        <w:t xml:space="preserve">The need to ensure that spectrum is used for environmentally beneficial purposes was a theme</w:t>
      </w:r>
      <w:r>
        <w:t xml:space="preserve"> </w:t>
      </w:r>
      <w:r>
        <w:t xml:space="preserve">in the assessments that have been reviewed. The current RSPP Decision mentions the need to</w:t>
      </w:r>
      <w:r>
        <w:t xml:space="preserve"> </w:t>
      </w:r>
      <w:r>
        <w:t xml:space="preserve">procure and safeguard spectrum for monitoring the Earth’s atmosphere (Article 8 (1) RSPP</w:t>
      </w:r>
      <w:r>
        <w:t xml:space="preserve"> </w:t>
      </w:r>
      <w:r>
        <w:t xml:space="preserve">Decision) as well as studying energy saving mechanisms and making frequencies available</w:t>
      </w:r>
      <w:r>
        <w:t xml:space="preserve"> </w:t>
      </w:r>
      <w:r>
        <w:t xml:space="preserve">for applications such as smart grids (Article 8 (2) RSPP Decision).</w:t>
      </w:r>
      <w:r>
        <w:br/>
      </w:r>
      <w:r>
        <w:t xml:space="preserve">In the stakeholder survey carried out for this study, a respondent from the utility sector argued</w:t>
      </w:r>
      <w:r>
        <w:t xml:space="preserve"> </w:t>
      </w:r>
      <w:r>
        <w:t xml:space="preserve">that the goals of Article 8 (2) RSPP decision have yet to be achieved and they needed more</w:t>
      </w:r>
      <w:r>
        <w:t xml:space="preserve"> </w:t>
      </w:r>
      <w:r>
        <w:t xml:space="preserve">support from spectrum policy to ensure the sector delivered its environmental potential.</w:t>
      </w:r>
      <w:r>
        <w:t xml:space="preserve"> </w:t>
      </w:r>
      <w:r>
        <w:t xml:space="preserve">The 2021 RSPG opinion on the RSPP argues that where there are EU initiatives to combat</w:t>
      </w:r>
      <w:r>
        <w:t xml:space="preserve"> </w:t>
      </w:r>
      <w:r>
        <w:t xml:space="preserve">climate change, adequate spectrum needs to be made available under harmonised conditions</w:t>
      </w:r>
      <w:r>
        <w:t xml:space="preserve"> </w:t>
      </w:r>
      <w:r>
        <w:t xml:space="preserve">to support this. However, where the need for spectrum is worldwide, such as for scientific</w:t>
      </w:r>
      <w:r>
        <w:t xml:space="preserve"> </w:t>
      </w:r>
      <w:r>
        <w:t xml:space="preserve">services, this is best agreed upon through ITU processes.470</w:t>
      </w:r>
      <w:r>
        <w:br/>
      </w:r>
      <w:r>
        <w:t xml:space="preserve">The 2021 RSPG opinion on the RSPP supports the goal of reducing the energy consumption</w:t>
      </w:r>
      <w:r>
        <w:t xml:space="preserve"> </w:t>
      </w:r>
      <w:r>
        <w:t xml:space="preserve">of wireless networks. In terms of policy measures to achieve this, it supports voluntary</w:t>
      </w:r>
      <w:r>
        <w:t xml:space="preserve"> </w:t>
      </w:r>
      <w:r>
        <w:t xml:space="preserve">measures taken by operators and urges that this is taken into account when funding</w:t>
      </w:r>
      <w:r>
        <w:t xml:space="preserve"> </w:t>
      </w:r>
      <w:r>
        <w:t xml:space="preserve">research.471</w:t>
      </w:r>
    </w:p>
    <w:p>
      <w:pPr>
        <w:pStyle w:val="BodyText"/>
      </w:pPr>
      <w:r>
        <w:t xml:space="preserve">468 RSPG 2021 opinion on RSPP, p. 6.</w:t>
      </w:r>
      <w:r>
        <w:t xml:space="preserve"> </w:t>
      </w:r>
      <w:r>
        <w:t xml:space="preserve">469 RSP25-020 FINAL opinion.</w:t>
      </w:r>
      <w:r>
        <w:br/>
      </w:r>
      <w:r>
        <w:t xml:space="preserve">470 Ibid p. 7-8.</w:t>
      </w:r>
      <w:r>
        <w:t xml:space="preserve"> </w:t>
      </w:r>
      <w:r>
        <w:t xml:space="preserve">471 Ibid pp. 12 and 13.</w:t>
      </w:r>
    </w:p>
    <w:p>
      <w:pPr>
        <w:pStyle w:val="BodyText"/>
      </w:pPr>
      <w:r>
        <w:t xml:space="preserve">143</w:t>
      </w:r>
    </w:p>
    <w:p>
      <w:pPr>
        <w:pStyle w:val="BodyText"/>
      </w:pPr>
      <w:r>
        <w:t xml:space="preserve">APPENDIX II B. ADDITIONAL SUPPORTING DATA ON SPECIFIC TOPICS</w:t>
      </w:r>
      <w:r>
        <w:t xml:space="preserve"> </w:t>
      </w:r>
      <w:r>
        <w:t xml:space="preserve">Figure 21: MedUX - 5G QoE Benchmark in Europe: Drive Testing Report published at MWC25</w:t>
      </w:r>
      <w:r>
        <w:t xml:space="preserve"> </w:t>
      </w:r>
      <w:r>
        <w:t xml:space="preserve">(Q42024 data)</w:t>
      </w:r>
    </w:p>
    <w:p>
      <w:pPr>
        <w:pStyle w:val="BodyText"/>
      </w:pPr>
      <w:r>
        <w:t xml:space="preserve">Figure 22: Status of 5G usage in Europe</w:t>
      </w:r>
    </w:p>
    <w:p>
      <w:pPr>
        <w:pStyle w:val="BodyText"/>
      </w:pPr>
      <w:r>
        <w:t xml:space="preserve">144</w:t>
      </w:r>
    </w:p>
    <w:p>
      <w:pPr>
        <w:pStyle w:val="BodyText"/>
      </w:pPr>
      <w:r>
        <w:t xml:space="preserve">Figure 23 :International comparison of 5G usage</w:t>
      </w:r>
    </w:p>
    <w:p>
      <w:pPr>
        <w:pStyle w:val="BodyText"/>
      </w:pPr>
      <w:r>
        <w:t xml:space="preserve">Figure 24: Status of 5G SA usage in Europe</w:t>
      </w:r>
    </w:p>
    <w:p>
      <w:pPr>
        <w:pStyle w:val="BodyText"/>
      </w:pPr>
      <w:r>
        <w:t xml:space="preserve">145</w:t>
      </w:r>
    </w:p>
    <w:p>
      <w:pPr>
        <w:pStyle w:val="BodyText"/>
      </w:pPr>
      <w:r>
        <w:t xml:space="preserve">Figure 25: International comparison of 5G SA usage</w:t>
      </w:r>
    </w:p>
    <w:p>
      <w:pPr>
        <w:pStyle w:val="BodyText"/>
      </w:pPr>
      <w:r>
        <w:t xml:space="preserve">Figure 26: International comparison of average download speed</w:t>
      </w:r>
    </w:p>
    <w:p>
      <w:pPr>
        <w:pStyle w:val="BodyText"/>
      </w:pPr>
      <w:r>
        <w:t xml:space="preserve">146</w:t>
      </w:r>
    </w:p>
    <w:p>
      <w:pPr>
        <w:pStyle w:val="BodyText"/>
      </w:pPr>
      <w:r>
        <w:t xml:space="preserve">Table 1 – ITU Summary of cases of harmful interference concerning space services</w:t>
      </w:r>
    </w:p>
    <w:p>
      <w:pPr>
        <w:pStyle w:val="BodyText"/>
      </w:pPr>
      <w:r>
        <w:t xml:space="preserve">Source: Table 4-3 of the Report of the Director of the ITU Bureau to the Radio Regulation Board in</w:t>
      </w:r>
      <w:r>
        <w:t xml:space="preserve"> </w:t>
      </w:r>
      <w:r>
        <w:t xml:space="preserve">July 2025</w:t>
      </w:r>
    </w:p>
    <w:p>
      <w:pPr>
        <w:pStyle w:val="BodyText"/>
      </w:pPr>
      <w:r>
        <w:t xml:space="preserve">Table 2 How final auction prices differed from the reserve price in EU 5G auctions472</w:t>
      </w:r>
      <w:r>
        <w:t xml:space="preserve"> </w:t>
      </w:r>
      <w:r>
        <w:t xml:space="preserve">Award</w:t>
      </w:r>
      <w:r>
        <w:t xml:space="preserve"> </w:t>
      </w:r>
      <w:r>
        <w:t xml:space="preserve">Reserve as % of EU average</w:t>
      </w:r>
      <w:r>
        <w:t xml:space="preserve"> </w:t>
      </w:r>
      <w:r>
        <w:t xml:space="preserve">band final price</w:t>
      </w:r>
      <w:r>
        <w:t xml:space="preserve"> </w:t>
      </w:r>
      <w:r>
        <w:t xml:space="preserve">Reserve as % of EU average band</w:t>
      </w:r>
      <w:r>
        <w:t xml:space="preserve"> </w:t>
      </w:r>
      <w:r>
        <w:t xml:space="preserve">final price</w:t>
      </w:r>
      <w:r>
        <w:t xml:space="preserve"> </w:t>
      </w:r>
      <w:r>
        <w:t xml:space="preserve">Germany 3.6 GHz 2021</w:t>
      </w:r>
      <w:r>
        <w:t xml:space="preserve"> </w:t>
      </w:r>
      <w:r>
        <w:t xml:space="preserve">85.05</w:t>
      </w:r>
      <w:r>
        <w:t xml:space="preserve"> </w:t>
      </w:r>
      <w:r>
        <w:t xml:space="preserve">3%</w:t>
      </w:r>
      <w:r>
        <w:t xml:space="preserve"> </w:t>
      </w:r>
      <w:r>
        <w:t xml:space="preserve">Latvia 3.6 GHz 2018</w:t>
      </w:r>
      <w:r>
        <w:t xml:space="preserve"> </w:t>
      </w:r>
      <w:r>
        <w:t xml:space="preserve">26.10</w:t>
      </w:r>
      <w:r>
        <w:t xml:space="preserve"> </w:t>
      </w:r>
      <w:r>
        <w:t xml:space="preserve">4%</w:t>
      </w:r>
      <w:r>
        <w:t xml:space="preserve"> </w:t>
      </w:r>
      <w:r>
        <w:t xml:space="preserve">Sweden 700 MHz 2018</w:t>
      </w:r>
      <w:r>
        <w:t xml:space="preserve"> </w:t>
      </w:r>
      <w:r>
        <w:t xml:space="preserve">14.12</w:t>
      </w:r>
      <w:r>
        <w:t xml:space="preserve"> </w:t>
      </w:r>
      <w:r>
        <w:t xml:space="preserve">18%</w:t>
      </w:r>
      <w:r>
        <w:t xml:space="preserve"> </w:t>
      </w:r>
      <w:r>
        <w:t xml:space="preserve">Italy 3.6 GHz 2018</w:t>
      </w:r>
      <w:r>
        <w:t xml:space="preserve"> </w:t>
      </w:r>
      <w:r>
        <w:t xml:space="preserve">11.44</w:t>
      </w:r>
      <w:r>
        <w:t xml:space="preserve"> </w:t>
      </w:r>
      <w:r>
        <w:t xml:space="preserve">49%</w:t>
      </w:r>
      <w:r>
        <w:t xml:space="preserve"> </w:t>
      </w:r>
      <w:r>
        <w:t xml:space="preserve">Estonia 3.6 GHz 2022</w:t>
      </w:r>
      <w:r>
        <w:t xml:space="preserve"> </w:t>
      </w:r>
      <w:r>
        <w:t xml:space="preserve">9.79</w:t>
      </w:r>
      <w:r>
        <w:t xml:space="preserve"> </w:t>
      </w:r>
      <w:r>
        <w:t xml:space="preserve">5%</w:t>
      </w:r>
      <w:r>
        <w:t xml:space="preserve"> </w:t>
      </w:r>
      <w:r>
        <w:t xml:space="preserve">Ireland 3.6 GHz 2017</w:t>
      </w:r>
      <w:r>
        <w:t xml:space="preserve"> </w:t>
      </w:r>
      <w:r>
        <w:t xml:space="preserve">9.75</w:t>
      </w:r>
      <w:r>
        <w:t xml:space="preserve"> </w:t>
      </w:r>
      <w:r>
        <w:t xml:space="preserve">6%</w:t>
      </w:r>
      <w:r>
        <w:t xml:space="preserve"> </w:t>
      </w:r>
      <w:r>
        <w:t xml:space="preserve">Estonia 700 MHz 2022</w:t>
      </w:r>
      <w:r>
        <w:t xml:space="preserve"> </w:t>
      </w:r>
      <w:r>
        <w:t xml:space="preserve">8.85</w:t>
      </w:r>
      <w:r>
        <w:t xml:space="preserve"> </w:t>
      </w:r>
      <w:r>
        <w:t xml:space="preserve">3%</w:t>
      </w:r>
      <w:r>
        <w:t xml:space="preserve"> </w:t>
      </w:r>
      <w:r>
        <w:t xml:space="preserve">Austria3.6 GHz2024</w:t>
      </w:r>
      <w:r>
        <w:t xml:space="preserve"> </w:t>
      </w:r>
      <w:r>
        <w:t xml:space="preserve">8.52</w:t>
      </w:r>
      <w:r>
        <w:t xml:space="preserve"> </w:t>
      </w:r>
      <w:r>
        <w:t xml:space="preserve">6%</w:t>
      </w:r>
      <w:r>
        <w:t xml:space="preserve"> </w:t>
      </w:r>
      <w:r>
        <w:t xml:space="preserve">Czech Republic 3.6 GHz 2017</w:t>
      </w:r>
      <w:r>
        <w:t xml:space="preserve"> </w:t>
      </w:r>
      <w:r>
        <w:t xml:space="preserve">6.82</w:t>
      </w:r>
      <w:r>
        <w:t xml:space="preserve"> </w:t>
      </w:r>
      <w:r>
        <w:t xml:space="preserve">4%</w:t>
      </w:r>
      <w:r>
        <w:t xml:space="preserve"> </w:t>
      </w:r>
      <w:r>
        <w:t xml:space="preserve">Italy 26 GHz 2018</w:t>
      </w:r>
      <w:r>
        <w:t xml:space="preserve"> </w:t>
      </w:r>
      <w:r>
        <w:t xml:space="preserve">5.12</w:t>
      </w:r>
      <w:r>
        <w:t xml:space="preserve"> </w:t>
      </w:r>
      <w:r>
        <w:t xml:space="preserve">39%</w:t>
      </w:r>
      <w:r>
        <w:t xml:space="preserve"> </w:t>
      </w:r>
      <w:r>
        <w:t xml:space="preserve">Spain 3.6 GHz 2018</w:t>
      </w:r>
      <w:r>
        <w:t xml:space="preserve"> </w:t>
      </w:r>
      <w:r>
        <w:t xml:space="preserve">4.37</w:t>
      </w:r>
      <w:r>
        <w:t xml:space="preserve"> </w:t>
      </w:r>
      <w:r>
        <w:t xml:space="preserve">15%</w:t>
      </w:r>
      <w:r>
        <w:t xml:space="preserve"> </w:t>
      </w:r>
      <w:r>
        <w:t xml:space="preserve">Czech Republic 700 MHz 2020</w:t>
      </w:r>
      <w:r>
        <w:t xml:space="preserve"> </w:t>
      </w:r>
      <w:r>
        <w:t xml:space="preserve">4.19</w:t>
      </w:r>
      <w:r>
        <w:t xml:space="preserve"> </w:t>
      </w:r>
      <w:r>
        <w:t xml:space="preserve">22%</w:t>
      </w:r>
      <w:r>
        <w:t xml:space="preserve"> </w:t>
      </w:r>
      <w:r>
        <w:t xml:space="preserve">Portugal 3.6 GHz 2021</w:t>
      </w:r>
      <w:r>
        <w:t xml:space="preserve"> </w:t>
      </w:r>
      <w:r>
        <w:t xml:space="preserve">3.95</w:t>
      </w:r>
      <w:r>
        <w:t xml:space="preserve"> </w:t>
      </w:r>
      <w:r>
        <w:t xml:space="preserve">28%</w:t>
      </w:r>
    </w:p>
    <w:p>
      <w:pPr>
        <w:pStyle w:val="BodyText"/>
      </w:pPr>
      <w:r>
        <w:t xml:space="preserve">472 The table shows only those auctions where the reserve and final price data is available and can be</w:t>
      </w:r>
      <w:r>
        <w:t xml:space="preserve"> </w:t>
      </w:r>
      <w:r>
        <w:t xml:space="preserve">calculated.</w:t>
      </w:r>
    </w:p>
    <w:p>
      <w:pPr>
        <w:pStyle w:val="BodyText"/>
      </w:pPr>
      <w:r>
        <w:t xml:space="preserve">147</w:t>
      </w:r>
    </w:p>
    <w:p>
      <w:pPr>
        <w:pStyle w:val="BodyText"/>
      </w:pPr>
      <w:r>
        <w:t xml:space="preserve">France 3.6 GHz 2020</w:t>
      </w:r>
      <w:r>
        <w:t xml:space="preserve"> </w:t>
      </w:r>
      <w:r>
        <w:t xml:space="preserve">3.05</w:t>
      </w:r>
      <w:r>
        <w:t xml:space="preserve"> </w:t>
      </w:r>
      <w:r>
        <w:t xml:space="preserve">64%</w:t>
      </w:r>
      <w:r>
        <w:t xml:space="preserve"> </w:t>
      </w:r>
      <w:r>
        <w:t xml:space="preserve">Germany 700 MHz 2015</w:t>
      </w:r>
      <w:r>
        <w:t xml:space="preserve"> </w:t>
      </w:r>
      <w:r>
        <w:t xml:space="preserve">2.22</w:t>
      </w:r>
      <w:r>
        <w:t xml:space="preserve"> </w:t>
      </w:r>
      <w:r>
        <w:t xml:space="preserve">34%</w:t>
      </w:r>
      <w:r>
        <w:t xml:space="preserve"> </w:t>
      </w:r>
      <w:r>
        <w:t xml:space="preserve">Latvia 700 MHz 2021</w:t>
      </w:r>
      <w:r>
        <w:t xml:space="preserve"> </w:t>
      </w:r>
      <w:r>
        <w:t xml:space="preserve">2.06</w:t>
      </w:r>
      <w:r>
        <w:t xml:space="preserve"> </w:t>
      </w:r>
      <w:r>
        <w:t xml:space="preserve">17%</w:t>
      </w:r>
      <w:r>
        <w:t xml:space="preserve"> </w:t>
      </w:r>
      <w:r>
        <w:t xml:space="preserve">Greece 700 MHz 2020</w:t>
      </w:r>
      <w:r>
        <w:t xml:space="preserve"> </w:t>
      </w:r>
      <w:r>
        <w:t xml:space="preserve">2.02</w:t>
      </w:r>
      <w:r>
        <w:t xml:space="preserve"> </w:t>
      </w:r>
      <w:r>
        <w:t xml:space="preserve">44%</w:t>
      </w:r>
      <w:r>
        <w:t xml:space="preserve"> </w:t>
      </w:r>
      <w:r>
        <w:t xml:space="preserve">Estonia26 GHz 2023</w:t>
      </w:r>
      <w:r>
        <w:t xml:space="preserve"> </w:t>
      </w:r>
      <w:r>
        <w:t xml:space="preserve">1.88</w:t>
      </w:r>
      <w:r>
        <w:t xml:space="preserve"> </w:t>
      </w:r>
      <w:r>
        <w:t xml:space="preserve">55%</w:t>
      </w:r>
      <w:r>
        <w:t xml:space="preserve"> </w:t>
      </w:r>
      <w:r>
        <w:t xml:space="preserve">Luxembourg 3.6 GHz 2020</w:t>
      </w:r>
      <w:r>
        <w:t xml:space="preserve"> </w:t>
      </w:r>
      <w:r>
        <w:t xml:space="preserve">1.86</w:t>
      </w:r>
      <w:r>
        <w:t xml:space="preserve"> </w:t>
      </w:r>
      <w:r>
        <w:t xml:space="preserve">69%</w:t>
      </w:r>
      <w:r>
        <w:t xml:space="preserve"> </w:t>
      </w:r>
      <w:r>
        <w:t xml:space="preserve">Sweden 3.6 GHz 2021</w:t>
      </w:r>
      <w:r>
        <w:t xml:space="preserve"> </w:t>
      </w:r>
      <w:r>
        <w:t xml:space="preserve">1.29</w:t>
      </w:r>
      <w:r>
        <w:t xml:space="preserve"> </w:t>
      </w:r>
      <w:r>
        <w:t xml:space="preserve">65%</w:t>
      </w:r>
      <w:r>
        <w:t xml:space="preserve"> </w:t>
      </w:r>
      <w:r>
        <w:t xml:space="preserve">Spain 700 MHz 2021</w:t>
      </w:r>
      <w:r>
        <w:t xml:space="preserve"> </w:t>
      </w:r>
      <w:r>
        <w:t xml:space="preserve">1.25</w:t>
      </w:r>
      <w:r>
        <w:t xml:space="preserve"> </w:t>
      </w:r>
      <w:r>
        <w:t xml:space="preserve">107%</w:t>
      </w:r>
      <w:r>
        <w:t xml:space="preserve"> </w:t>
      </w:r>
      <w:r>
        <w:t xml:space="preserve">Finland 3.6 GHz 2018</w:t>
      </w:r>
      <w:r>
        <w:t xml:space="preserve"> </w:t>
      </w:r>
      <w:r>
        <w:t xml:space="preserve">1.20</w:t>
      </w:r>
      <w:r>
        <w:t xml:space="preserve"> </w:t>
      </w:r>
      <w:r>
        <w:t xml:space="preserve">44%</w:t>
      </w:r>
      <w:r>
        <w:t xml:space="preserve"> </w:t>
      </w:r>
      <w:r>
        <w:t xml:space="preserve">Czech Republic 3.6 GHz 2020</w:t>
      </w:r>
      <w:r>
        <w:t xml:space="preserve"> </w:t>
      </w:r>
      <w:r>
        <w:t xml:space="preserve">1.18</w:t>
      </w:r>
      <w:r>
        <w:t xml:space="preserve"> </w:t>
      </w:r>
      <w:r>
        <w:t xml:space="preserve">36%</w:t>
      </w:r>
      <w:r>
        <w:t xml:space="preserve"> </w:t>
      </w:r>
      <w:r>
        <w:t xml:space="preserve">Austria26 GHz2024</w:t>
      </w:r>
      <w:r>
        <w:t xml:space="preserve"> </w:t>
      </w:r>
      <w:r>
        <w:t xml:space="preserve">1.17</w:t>
      </w:r>
      <w:r>
        <w:t xml:space="preserve"> </w:t>
      </w:r>
      <w:r>
        <w:t xml:space="preserve">80%</w:t>
      </w:r>
      <w:r>
        <w:t xml:space="preserve"> </w:t>
      </w:r>
      <w:r>
        <w:t xml:space="preserve">France 700 MHz 2015</w:t>
      </w:r>
      <w:r>
        <w:t xml:space="preserve"> </w:t>
      </w:r>
      <w:r>
        <w:t xml:space="preserve">1.12</w:t>
      </w:r>
      <w:r>
        <w:t xml:space="preserve"> </w:t>
      </w:r>
      <w:r>
        <w:t xml:space="preserve">231%</w:t>
      </w:r>
      <w:r>
        <w:t xml:space="preserve"> </w:t>
      </w:r>
      <w:r>
        <w:t xml:space="preserve">Bulgaria 3.6 GHz 2021</w:t>
      </w:r>
      <w:r>
        <w:t xml:space="preserve"> </w:t>
      </w:r>
      <w:r>
        <w:t xml:space="preserve">1.12</w:t>
      </w:r>
      <w:r>
        <w:t xml:space="preserve"> </w:t>
      </w:r>
      <w:r>
        <w:t xml:space="preserve">10%</w:t>
      </w:r>
      <w:r>
        <w:t xml:space="preserve"> </w:t>
      </w:r>
      <w:r>
        <w:t xml:space="preserve">Croatia 700 MHz 2021</w:t>
      </w:r>
      <w:r>
        <w:t xml:space="preserve"> </w:t>
      </w:r>
      <w:r>
        <w:t xml:space="preserve">1.11</w:t>
      </w:r>
      <w:r>
        <w:t xml:space="preserve"> </w:t>
      </w:r>
      <w:r>
        <w:t xml:space="preserve">28%</w:t>
      </w:r>
      <w:r>
        <w:t xml:space="preserve"> </w:t>
      </w:r>
      <w:r>
        <w:t xml:space="preserve">Slovakia 700 MHz 2020</w:t>
      </w:r>
      <w:r>
        <w:t xml:space="preserve"> </w:t>
      </w:r>
      <w:r>
        <w:t xml:space="preserve">1.02</w:t>
      </w:r>
      <w:r>
        <w:t xml:space="preserve"> </w:t>
      </w:r>
      <w:r>
        <w:t xml:space="preserve">110%</w:t>
      </w:r>
      <w:r>
        <w:t xml:space="preserve"> </w:t>
      </w:r>
      <w:r>
        <w:t xml:space="preserve">Finland 700 MHz 2016</w:t>
      </w:r>
      <w:r>
        <w:t xml:space="preserve"> </w:t>
      </w:r>
      <w:r>
        <w:t xml:space="preserve">1.01</w:t>
      </w:r>
      <w:r>
        <w:t xml:space="preserve"> </w:t>
      </w:r>
      <w:r>
        <w:t xml:space="preserve">75%</w:t>
      </w:r>
      <w:r>
        <w:t xml:space="preserve"> </w:t>
      </w:r>
      <w:r>
        <w:t xml:space="preserve">Finland 26 GHz 2020</w:t>
      </w:r>
      <w:r>
        <w:t xml:space="preserve"> </w:t>
      </w:r>
      <w:r>
        <w:t xml:space="preserve">1.01</w:t>
      </w:r>
      <w:r>
        <w:t xml:space="preserve"> </w:t>
      </w:r>
      <w:r>
        <w:t xml:space="preserve">115%</w:t>
      </w:r>
      <w:r>
        <w:t xml:space="preserve"> </w:t>
      </w:r>
      <w:r>
        <w:t xml:space="preserve">Croatia 26 GHz 2021</w:t>
      </w:r>
      <w:r>
        <w:t xml:space="preserve"> </w:t>
      </w:r>
      <w:r>
        <w:t xml:space="preserve">1.01</w:t>
      </w:r>
      <w:r>
        <w:t xml:space="preserve"> </w:t>
      </w:r>
      <w:r>
        <w:t xml:space="preserve">90%</w:t>
      </w:r>
      <w:r>
        <w:t xml:space="preserve"> </w:t>
      </w:r>
      <w:r>
        <w:t xml:space="preserve">Italy 700 MHz 2018</w:t>
      </w:r>
      <w:r>
        <w:t xml:space="preserve"> </w:t>
      </w:r>
      <w:r>
        <w:t xml:space="preserve">1.00</w:t>
      </w:r>
      <w:r>
        <w:t xml:space="preserve"> </w:t>
      </w:r>
      <w:r>
        <w:t xml:space="preserve">215%</w:t>
      </w:r>
      <w:r>
        <w:t xml:space="preserve"> </w:t>
      </w:r>
      <w:r>
        <w:t xml:space="preserve">Greece 26 GHz 2020</w:t>
      </w:r>
      <w:r>
        <w:t xml:space="preserve"> </w:t>
      </w:r>
      <w:r>
        <w:t xml:space="preserve">1.00</w:t>
      </w:r>
      <w:r>
        <w:t xml:space="preserve"> </w:t>
      </w:r>
      <w:r>
        <w:t xml:space="preserve">110%</w:t>
      </w:r>
      <w:r>
        <w:t xml:space="preserve"> </w:t>
      </w:r>
      <w:r>
        <w:t xml:space="preserve">Luxembourg 700 MHz 2020</w:t>
      </w:r>
      <w:r>
        <w:t xml:space="preserve"> </w:t>
      </w:r>
      <w:r>
        <w:t xml:space="preserve">1.00</w:t>
      </w:r>
      <w:r>
        <w:t xml:space="preserve"> </w:t>
      </w:r>
      <w:r>
        <w:t xml:space="preserve">166%</w:t>
      </w:r>
      <w:r>
        <w:t xml:space="preserve"> </w:t>
      </w:r>
      <w:r>
        <w:t xml:space="preserve">Spain 3.6 GHz 2021</w:t>
      </w:r>
      <w:r>
        <w:t xml:space="preserve"> </w:t>
      </w:r>
      <w:r>
        <w:t xml:space="preserve">1.00</w:t>
      </w:r>
      <w:r>
        <w:t xml:space="preserve"> </w:t>
      </w:r>
      <w:r>
        <w:t xml:space="preserve">65%</w:t>
      </w:r>
      <w:r>
        <w:t xml:space="preserve"> </w:t>
      </w:r>
      <w:r>
        <w:t xml:space="preserve">Portugal 700 MHz 2021</w:t>
      </w:r>
      <w:r>
        <w:t xml:space="preserve"> </w:t>
      </w:r>
      <w:r>
        <w:t xml:space="preserve">1.00</w:t>
      </w:r>
      <w:r>
        <w:t xml:space="preserve"> </w:t>
      </w:r>
      <w:r>
        <w:t xml:space="preserve">70%</w:t>
      </w:r>
      <w:r>
        <w:t xml:space="preserve"> </w:t>
      </w:r>
      <w:r>
        <w:t xml:space="preserve">Romania 3.6 GHz 2021</w:t>
      </w:r>
      <w:r>
        <w:t xml:space="preserve"> </w:t>
      </w:r>
      <w:r>
        <w:t xml:space="preserve">1.00</w:t>
      </w:r>
      <w:r>
        <w:t xml:space="preserve"> </w:t>
      </w:r>
      <w:r>
        <w:t xml:space="preserve">11%</w:t>
      </w:r>
    </w:p>
    <w:p>
      <w:pPr>
        <w:pStyle w:val="BodyText"/>
      </w:pPr>
      <w:r>
        <w:t xml:space="preserve">148</w:t>
      </w:r>
    </w:p>
    <w:p>
      <w:pPr>
        <w:pStyle w:val="BodyText"/>
      </w:pPr>
      <w:r>
        <w:t xml:space="preserve">APPENDIX III EVALUATION OF BEREC AND THE BEREC OFFICE</w:t>
      </w:r>
      <w:r>
        <w:t xml:space="preserve"> </w:t>
      </w:r>
      <w:r>
        <w:t xml:space="preserve">1. INTRODUCTION</w:t>
      </w:r>
      <w:r>
        <w:t xml:space="preserve"> </w:t>
      </w:r>
      <w:r>
        <w:t xml:space="preserve">This report to the European Parliament, the Council and the Management Board outlines the</w:t>
      </w:r>
      <w:r>
        <w:t xml:space="preserve"> </w:t>
      </w:r>
      <w:r>
        <w:t xml:space="preserve">Commission’s findings of the evaluation of the performance of BEREC and the BEREC</w:t>
      </w:r>
      <w:r>
        <w:t xml:space="preserve"> </w:t>
      </w:r>
      <w:r>
        <w:t xml:space="preserve">Office, in accordance with Article 48 of Regulation (EU) 2018/1971 of the European</w:t>
      </w:r>
      <w:r>
        <w:t xml:space="preserve"> </w:t>
      </w:r>
      <w:r>
        <w:t xml:space="preserve">Parliament and of the Council of 11 December 2018 establishing the Body of European</w:t>
      </w:r>
      <w:r>
        <w:t xml:space="preserve"> </w:t>
      </w:r>
      <w:r>
        <w:t xml:space="preserve">Regulators for Electronic Communications (BEREC) and the Agency for Support for BEREC</w:t>
      </w:r>
      <w:r>
        <w:t xml:space="preserve"> </w:t>
      </w:r>
      <w:r>
        <w:t xml:space="preserve">(BEREC Office) 1, hereinafter the ‘BEREC Regulation’. The accompanying staff working</w:t>
      </w:r>
      <w:r>
        <w:t xml:space="preserve"> </w:t>
      </w:r>
      <w:r>
        <w:t xml:space="preserve">document contains more detailed evidence and analysis supporting these findings.</w:t>
      </w:r>
      <w:r>
        <w:br/>
      </w:r>
      <w:r>
        <w:t xml:space="preserve">2. METHOD</w:t>
      </w:r>
      <w:r>
        <w:br/>
      </w:r>
      <w:r>
        <w:t xml:space="preserve">The evaluation was carried out in compliance with the Commission Better Regulation</w:t>
      </w:r>
      <w:r>
        <w:t xml:space="preserve"> </w:t>
      </w:r>
      <w:r>
        <w:t xml:space="preserve">Guidelines2 and builds on the study supporting the evaluation of BEREC and the BEREC</w:t>
      </w:r>
      <w:r>
        <w:t xml:space="preserve"> </w:t>
      </w:r>
      <w:r>
        <w:t xml:space="preserve">Office prepared for the Commission3. While in principle it encompassed the period from 2019</w:t>
      </w:r>
      <w:r>
        <w:t xml:space="preserve"> </w:t>
      </w:r>
      <w:r>
        <w:t xml:space="preserve">to 2023, most relevant developments until mid-2025 are also covered. This report assessed the</w:t>
      </w:r>
      <w:r>
        <w:t xml:space="preserve"> </w:t>
      </w:r>
      <w:r>
        <w:t xml:space="preserve">performance of BEREC and the BEREC Office across the following evaluation criteria:</w:t>
      </w:r>
      <w:r>
        <w:t xml:space="preserve"> </w:t>
      </w:r>
      <w:r>
        <w:t xml:space="preserve">effectiveness, efficiency, relevance, coherence, and EU value added.</w:t>
      </w:r>
      <w:r>
        <w:br/>
      </w:r>
      <w:r>
        <w:t xml:space="preserve">The evaluation support study used several methods of data collection and analysis, including</w:t>
      </w:r>
      <w:r>
        <w:t xml:space="preserve"> </w:t>
      </w:r>
      <w:r>
        <w:t xml:space="preserve">inter alia: desk research, document analysis, surveys for NRAs and for external stakeholders,</w:t>
      </w:r>
      <w:r>
        <w:t xml:space="preserve"> </w:t>
      </w:r>
      <w:r>
        <w:t xml:space="preserve">as well as an interview programme with representatives from stakeholders categories.</w:t>
      </w:r>
      <w:r>
        <w:br/>
      </w:r>
      <w:r>
        <w:t xml:space="preserve">In its evaluation, the Commission has also taken into consideration BEREC own initiative</w:t>
      </w:r>
      <w:r>
        <w:t xml:space="preserve"> </w:t>
      </w:r>
      <w:r>
        <w:t xml:space="preserve">input to the Commission on the functioning of BEREC and the BEREC Office in view of the</w:t>
      </w:r>
      <w:r>
        <w:t xml:space="preserve"> </w:t>
      </w:r>
      <w:r>
        <w:t xml:space="preserve">evaluation under Article 48 of the BEREC Regulation4.</w:t>
      </w:r>
      <w:r>
        <w:br/>
      </w:r>
      <w:r>
        <w:t xml:space="preserve">3. BEREC AND BEREC OFFICE UNDER REGULATION (EU) 2018/1971</w:t>
      </w:r>
      <w:r>
        <w:br/>
      </w:r>
      <w:r>
        <w:t xml:space="preserve">The Body of European Regulators for Electronic Communications as it exists today was</w:t>
      </w:r>
      <w:r>
        <w:t xml:space="preserve"> </w:t>
      </w:r>
      <w:r>
        <w:t xml:space="preserve">established by the BEREC Regulation, together with the Agency for the Support for BEREC.</w:t>
      </w:r>
      <w:r>
        <w:t xml:space="preserve"> </w:t>
      </w:r>
      <w:r>
        <w:t xml:space="preserve">They succeeded the original BEREC and its office, set up by Regulation (EC) No 1211/2009,</w:t>
      </w:r>
      <w:r>
        <w:t xml:space="preserve"> </w:t>
      </w:r>
      <w:r>
        <w:t xml:space="preserve">as part of the 2009 telecoms reforms package, in order to ensure greater harmonisation of</w:t>
      </w:r>
      <w:r>
        <w:t xml:space="preserve"> </w:t>
      </w:r>
      <w:r>
        <w:t xml:space="preserve">practices among the NRAs, promote an effective internal market in this sector, and act as an</w:t>
      </w:r>
      <w:r>
        <w:t xml:space="preserve"> </w:t>
      </w:r>
      <w:r>
        <w:t xml:space="preserve">exclusive forum for cooperation among NRAs, and between the Commission and NRAs. In</w:t>
      </w:r>
      <w:r>
        <w:t xml:space="preserve"> </w:t>
      </w:r>
      <w:r>
        <w:t xml:space="preserve">2018, following the evaluation undertaken under Regulation (EC) No 1211/20095, BEREC’s</w:t>
      </w:r>
      <w:r>
        <w:t xml:space="preserve"> </w:t>
      </w:r>
      <w:r>
        <w:t xml:space="preserve">role was further strengthened by the BEREC Regulation and by the EECC.</w:t>
      </w:r>
      <w:r>
        <w:br/>
      </w:r>
      <w:r>
        <w:t xml:space="preserve">BEREC’s mandate was notably expanded to issue several guidelines to facilitate the</w:t>
      </w:r>
      <w:r>
        <w:t xml:space="preserve"> </w:t>
      </w:r>
      <w:r>
        <w:t xml:space="preserve">harmonised implementation of the EECC, as well as to establish and maintain specific</w:t>
      </w:r>
      <w:r>
        <w:t xml:space="preserve"> </w:t>
      </w:r>
      <w:r>
        <w:t xml:space="preserve">databases, for instance on numbering and general authorisations.</w:t>
      </w:r>
      <w:r>
        <w:br/>
      </w:r>
      <w:r>
        <w:t xml:space="preserve">The two-tier structure of BEREC and the BEREC Office was maintained in 2018 by the co-</w:t>
      </w:r>
      <w:r>
        <w:t xml:space="preserve"> </w:t>
      </w:r>
      <w:r>
        <w:t xml:space="preserve">legislators, while the Commission had initially proposed in 2016 to expand BEREC on the</w:t>
      </w:r>
      <w:r>
        <w:t xml:space="preserve"> </w:t>
      </w:r>
      <w:r>
        <w:t xml:space="preserve">model of a decentralised agency. As a result, only the BEREC Office, which succeeded the</w:t>
      </w:r>
      <w:r>
        <w:t xml:space="preserve"> </w:t>
      </w:r>
      <w:r>
        <w:t xml:space="preserve">Office, is a decentralised EU Agency dedicated to delivering professional and administrative</w:t>
      </w:r>
      <w:r>
        <w:t xml:space="preserve"> </w:t>
      </w:r>
      <w:r>
        <w:t xml:space="preserve">support to BEREC, the body gathering NRAs. The BEREC Office possesses a legal</w:t>
      </w:r>
      <w:r>
        <w:t xml:space="preserve"> </w:t>
      </w:r>
      <w:r>
        <w:t xml:space="preserve">personality and maintains legal, administrative, and financial autonomy.</w:t>
      </w:r>
      <w:r>
        <w:br/>
      </w:r>
      <w:r>
        <w:t xml:space="preserve">Like Member States, including NRAs, as well as the Commission and the Radio Spectrum</w:t>
      </w:r>
      <w:r>
        <w:t xml:space="preserve"> </w:t>
      </w:r>
      <w:r>
        <w:t xml:space="preserve">Policy Group (RSPG), BEREC is pursuing the general objectives set out in Article 3 of the</w:t>
      </w:r>
      <w:r>
        <w:t xml:space="preserve"> </w:t>
      </w:r>
      <w:r>
        <w:t xml:space="preserve">EECC, that is: promoting connectivity and access to very high capacity networks (VHCN);</w:t>
      </w:r>
    </w:p>
    <w:p>
      <w:pPr>
        <w:pStyle w:val="BodyText"/>
      </w:pPr>
      <w:r>
        <w:t xml:space="preserve">149</w:t>
      </w:r>
    </w:p>
    <w:p>
      <w:pPr>
        <w:pStyle w:val="BodyText"/>
      </w:pPr>
      <w:r>
        <w:t xml:space="preserve">promoting competition and efficient investment; contributing to the development of the</w:t>
      </w:r>
      <w:r>
        <w:t xml:space="preserve"> </w:t>
      </w:r>
      <w:r>
        <w:t xml:space="preserve">internal market; promoting the interests of the citizens of the Union. The objective of</w:t>
      </w:r>
      <w:r>
        <w:t xml:space="preserve"> </w:t>
      </w:r>
      <w:r>
        <w:t xml:space="preserve">promoting connectivity was added in the EECC as electronic communications were becoming</w:t>
      </w:r>
      <w:r>
        <w:t xml:space="preserve"> </w:t>
      </w:r>
      <w:r>
        <w:t xml:space="preserve">essential for the economy and the society overall.</w:t>
      </w:r>
      <w:r>
        <w:br/>
      </w:r>
      <w:r>
        <w:t xml:space="preserve">Additionally, BEREC must, according to Article 3 of the BEREC Regulation, ensure - in</w:t>
      </w:r>
      <w:r>
        <w:t xml:space="preserve"> </w:t>
      </w:r>
      <w:r>
        <w:t xml:space="preserve">particular - a consistent implementation of the regulatory framework for electronic</w:t>
      </w:r>
      <w:r>
        <w:t xml:space="preserve"> </w:t>
      </w:r>
      <w:r>
        <w:t xml:space="preserve">communications (EECC, Roaming Regulation7 and Open Internet Regulation8).</w:t>
      </w:r>
      <w:r>
        <w:br/>
      </w:r>
      <w:r>
        <w:t xml:space="preserve">4. MAIN FINDINGS</w:t>
      </w:r>
      <w:r>
        <w:t xml:space="preserve"> </w:t>
      </w:r>
      <w:r>
        <w:t xml:space="preserve">4.1 Effectiveness</w:t>
      </w:r>
      <w:r>
        <w:br/>
      </w:r>
      <w:r>
        <w:t xml:space="preserve">In general, over the period assessed, BEREC has been effective in delivering on its main</w:t>
      </w:r>
      <w:r>
        <w:t xml:space="preserve"> </w:t>
      </w:r>
      <w:r>
        <w:t xml:space="preserve">objectives, i.e. promoting connectivity and access to VHCN; promoting competition and</w:t>
      </w:r>
      <w:r>
        <w:t xml:space="preserve"> </w:t>
      </w:r>
      <w:r>
        <w:t xml:space="preserve">efficient investment; contributing to the development of the internal market; promoting the</w:t>
      </w:r>
      <w:r>
        <w:t xml:space="preserve"> </w:t>
      </w:r>
      <w:r>
        <w:t xml:space="preserve">interests of the citizens of the Union (Article 3 EECC).</w:t>
      </w:r>
      <w:r>
        <w:br/>
      </w:r>
      <w:r>
        <w:t xml:space="preserve">Under EECC BEREC has been tasked with elaboration of 11 guidelines9, on complex</w:t>
      </w:r>
      <w:r>
        <w:t xml:space="preserve"> </w:t>
      </w:r>
      <w:r>
        <w:t xml:space="preserve">technical, economic and legal aspects, aiming to provide guidance to NRAs for more</w:t>
      </w:r>
      <w:r>
        <w:t xml:space="preserve"> </w:t>
      </w:r>
      <w:r>
        <w:t xml:space="preserve">harmonised implementation of the EECC. BEREC devoted significant resources and expertise</w:t>
      </w:r>
      <w:r>
        <w:t xml:space="preserve"> </w:t>
      </w:r>
      <w:r>
        <w:t xml:space="preserve">in elaboration of the guidelines, which in general are perceived as important guidance</w:t>
      </w:r>
      <w:r>
        <w:t xml:space="preserve"> </w:t>
      </w:r>
      <w:r>
        <w:t xml:space="preserve">supporting NRAs common approaches. Yet those guidelines alone were not sufficient to</w:t>
      </w:r>
      <w:r>
        <w:t xml:space="preserve"> </w:t>
      </w:r>
      <w:r>
        <w:t xml:space="preserve">create European single market in the communication sector, as the guidelines always adhere</w:t>
      </w:r>
      <w:r>
        <w:t xml:space="preserve"> </w:t>
      </w:r>
      <w:r>
        <w:t xml:space="preserve">to the principle of NRAs flexibility. In this context, safeguarding BEREC and NRAs</w:t>
      </w:r>
      <w:r>
        <w:t xml:space="preserve"> </w:t>
      </w:r>
      <w:r>
        <w:t xml:space="preserve">independence from political influences and from other stakeholders, has been and remains an</w:t>
      </w:r>
      <w:r>
        <w:t xml:space="preserve"> </w:t>
      </w:r>
      <w:r>
        <w:t xml:space="preserve">important determinant of their effectiveness in implementing the regulatory framework.</w:t>
      </w:r>
      <w:r>
        <w:br/>
      </w:r>
      <w:r>
        <w:t xml:space="preserve">During the period analysed, more complex and interrelated digital markets have led to the</w:t>
      </w:r>
      <w:r>
        <w:t xml:space="preserve"> </w:t>
      </w:r>
      <w:r>
        <w:t xml:space="preserve">enactment of new rules in the digital ecosystem in recent years e.g., the Digital Services Act10,</w:t>
      </w:r>
      <w:r>
        <w:t xml:space="preserve"> </w:t>
      </w:r>
      <w:r>
        <w:t xml:space="preserve">the Digital Markets Act11, the Data Act12 and Data Governance Act13 and the AI Act14. This</w:t>
      </w:r>
      <w:r>
        <w:t xml:space="preserve"> </w:t>
      </w:r>
      <w:r>
        <w:t xml:space="preserve">resulted in new responsibilities assigned to competent authorities in these digital markets.</w:t>
      </w:r>
      <w:r>
        <w:t xml:space="preserve"> </w:t>
      </w:r>
      <w:r>
        <w:t xml:space="preserve">However, in these new fields as well as in cybersecurity or spectrum, these new aspects are</w:t>
      </w:r>
      <w:r>
        <w:t xml:space="preserve"> </w:t>
      </w:r>
      <w:r>
        <w:t xml:space="preserve">not always reflected in BEREC’s mandate. Moreover, since these new responsibilities are not</w:t>
      </w:r>
      <w:r>
        <w:t xml:space="preserve"> </w:t>
      </w:r>
      <w:r>
        <w:t xml:space="preserve">necessarily granted nationally to NRAs, BEREC cannot always rely on the experience of all</w:t>
      </w:r>
      <w:r>
        <w:t xml:space="preserve"> </w:t>
      </w:r>
      <w:r>
        <w:t xml:space="preserve">of its members when implementing (new) tasks entrusted to it or, acting on its own initiative,</w:t>
      </w:r>
      <w:r>
        <w:t xml:space="preserve"> </w:t>
      </w:r>
      <w:r>
        <w:t xml:space="preserve">providing advice or input on these new aspects Therefore, better cooperation with competent</w:t>
      </w:r>
      <w:r>
        <w:t xml:space="preserve"> </w:t>
      </w:r>
      <w:r>
        <w:t xml:space="preserve">authorities other than the NRAs in the field of electronic communications, as well as</w:t>
      </w:r>
      <w:r>
        <w:t xml:space="preserve"> </w:t>
      </w:r>
      <w:r>
        <w:t xml:space="preserve">upskilling of the NRAs, are becoming even more important as digital regulation is extending</w:t>
      </w:r>
      <w:r>
        <w:t xml:space="preserve"> </w:t>
      </w:r>
      <w:r>
        <w:t xml:space="preserve">beyond the traditional telecommunications sector. While more coordination and exchange of</w:t>
      </w:r>
      <w:r>
        <w:t xml:space="preserve"> </w:t>
      </w:r>
      <w:r>
        <w:t xml:space="preserve">information between the NRAs and other competent authorities, or the direct involvement of</w:t>
      </w:r>
      <w:r>
        <w:t xml:space="preserve"> </w:t>
      </w:r>
      <w:r>
        <w:t xml:space="preserve">the latter in the work of BEREC, would further improve its effectiveness, the above also</w:t>
      </w:r>
      <w:r>
        <w:t xml:space="preserve"> </w:t>
      </w:r>
      <w:r>
        <w:t xml:space="preserve">prompts the question whether the scope of BEREC’s tasks should not evolve, to keep up with</w:t>
      </w:r>
      <w:r>
        <w:t xml:space="preserve"> </w:t>
      </w:r>
      <w:r>
        <w:t xml:space="preserve">these regulatory developments.</w:t>
      </w:r>
      <w:r>
        <w:br/>
      </w:r>
      <w:r>
        <w:t xml:space="preserve">Moreover, as also recognised by BEREC and as indicated in the Commission’s White Paper</w:t>
      </w:r>
      <w:r>
        <w:t xml:space="preserve"> </w:t>
      </w:r>
      <w:r>
        <w:t xml:space="preserve">‘How to master Europe’s digital infrastructure needs?’ a virtualisation and softwarisation of</w:t>
      </w:r>
      <w:r>
        <w:t xml:space="preserve"> </w:t>
      </w:r>
      <w:r>
        <w:t xml:space="preserve">electronic communications networks is ongoing, as well as a shifting of network functions to</w:t>
      </w:r>
      <w:r>
        <w:t xml:space="preserve"> </w:t>
      </w:r>
      <w:r>
        <w:t xml:space="preserve">the cloud or the edge15. The convergence of electronic communications networks and services</w:t>
      </w:r>
      <w:r>
        <w:t xml:space="preserve"> </w:t>
      </w:r>
      <w:r>
        <w:t xml:space="preserve">and cloud infrastructures does not only concern the infrastructure layer, but also the service</w:t>
      </w:r>
      <w:r>
        <w:t xml:space="preserve"> </w:t>
      </w:r>
      <w:r>
        <w:t xml:space="preserve">operations. Furthermore, in the last years AI-based applications have profoundly changed the</w:t>
      </w:r>
      <w:r>
        <w:t xml:space="preserve"> </w:t>
      </w:r>
      <w:r>
        <w:t xml:space="preserve">way of life and affected all economic sectors. It is important for BEREC to be able to respond</w:t>
      </w:r>
      <w:r>
        <w:t xml:space="preserve"> </w:t>
      </w:r>
      <w:r>
        <w:t xml:space="preserve">to the convergence of the traditional telecoms market and the wider digital ecosystem to fulfil</w:t>
      </w:r>
    </w:p>
    <w:p>
      <w:pPr>
        <w:pStyle w:val="BodyText"/>
      </w:pPr>
      <w:r>
        <w:t xml:space="preserve">150</w:t>
      </w:r>
    </w:p>
    <w:p>
      <w:pPr>
        <w:pStyle w:val="BodyText"/>
      </w:pPr>
      <w:r>
        <w:t xml:space="preserve">its role, including the increasingly supranational scope of connectivity markets. Should the</w:t>
      </w:r>
      <w:r>
        <w:t xml:space="preserve"> </w:t>
      </w:r>
      <w:r>
        <w:t xml:space="preserve">European dimension of the sector further develop, and with it, scope and objectives of</w:t>
      </w:r>
      <w:r>
        <w:t xml:space="preserve"> </w:t>
      </w:r>
      <w:r>
        <w:t xml:space="preserve">regulatory framework, including regulatory issues such as authorisation, ensuring better</w:t>
      </w:r>
      <w:r>
        <w:t xml:space="preserve"> </w:t>
      </w:r>
      <w:r>
        <w:t xml:space="preserve">functioning of broader connectivity eco system and very importantly resilience and</w:t>
      </w:r>
      <w:r>
        <w:t xml:space="preserve"> </w:t>
      </w:r>
      <w:r>
        <w:t xml:space="preserve">sustainability broader and amore EU-focused governance setup should also be considered.</w:t>
      </w:r>
      <w:r>
        <w:br/>
      </w:r>
      <w:r>
        <w:t xml:space="preserve">When it comes to the BEREC Office, generally speaking, it has been successfully providing</w:t>
      </w:r>
      <w:r>
        <w:t xml:space="preserve"> </w:t>
      </w:r>
      <w:r>
        <w:t xml:space="preserve">support to BEREC, even during periods of increased workload or when having to adapt to</w:t>
      </w:r>
      <w:r>
        <w:t xml:space="preserve"> </w:t>
      </w:r>
      <w:r>
        <w:t xml:space="preserve">significant global events, such as the Russia war of aggression on Ukraine. Nevertheless, the</w:t>
      </w:r>
      <w:r>
        <w:t xml:space="preserve"> </w:t>
      </w:r>
      <w:r>
        <w:t xml:space="preserve">Commission shares the view of many NRAs that the BEREC Office should not only provide</w:t>
      </w:r>
      <w:r>
        <w:t xml:space="preserve"> </w:t>
      </w:r>
      <w:r>
        <w:t xml:space="preserve">administrative support but also additional professional support and, in particular, play a more</w:t>
      </w:r>
      <w:r>
        <w:t xml:space="preserve"> </w:t>
      </w:r>
      <w:r>
        <w:t xml:space="preserve">central role in data collection and analysis. This could be an important development in the</w:t>
      </w:r>
      <w:r>
        <w:t xml:space="preserve"> </w:t>
      </w:r>
      <w:r>
        <w:t xml:space="preserve">BEREC Office’s role, as demand for data analytics, and better understanding of technological</w:t>
      </w:r>
      <w:r>
        <w:t xml:space="preserve"> </w:t>
      </w:r>
      <w:r>
        <w:t xml:space="preserve">trends and their determinants are essential for BEREC to fulfil its role, now and in the</w:t>
      </w:r>
      <w:r>
        <w:t xml:space="preserve"> </w:t>
      </w:r>
      <w:r>
        <w:t xml:space="preserve">foreseeable future. Strengthening the BEREC Office so that it can support BEREC also on</w:t>
      </w:r>
      <w:r>
        <w:t xml:space="preserve"> </w:t>
      </w:r>
      <w:r>
        <w:t xml:space="preserve">substance will allow BEREC deliverables to take more into account EU perspective and better</w:t>
      </w:r>
      <w:r>
        <w:t xml:space="preserve"> </w:t>
      </w:r>
      <w:r>
        <w:t xml:space="preserve">align with EU-level policies.</w:t>
      </w:r>
      <w:r>
        <w:br/>
      </w:r>
      <w:r>
        <w:t xml:space="preserve">4.2. Efficiency</w:t>
      </w:r>
      <w:r>
        <w:br/>
      </w:r>
      <w:r>
        <w:t xml:space="preserve">BEREC is generally considered as an organisation with a clear and straightforward setup,</w:t>
      </w:r>
      <w:r>
        <w:t xml:space="preserve"> </w:t>
      </w:r>
      <w:r>
        <w:t xml:space="preserve">governance and procedures, yet relatively flexible. Nevertheless, the frequent reliance on the</w:t>
      </w:r>
      <w:r>
        <w:t xml:space="preserve"> </w:t>
      </w:r>
      <w:r>
        <w:t xml:space="preserve">bigger NRAs for leading BEREC working groups, the mentioned asymmetry in the NRAs’</w:t>
      </w:r>
      <w:r>
        <w:t xml:space="preserve"> </w:t>
      </w:r>
      <w:r>
        <w:t xml:space="preserve">competences or their related limited knowledge in specific areas might challenge the</w:t>
      </w:r>
      <w:r>
        <w:t xml:space="preserve"> </w:t>
      </w:r>
      <w:r>
        <w:t xml:space="preserve">representativeness of specific BEREC outputs. While the current mandate of the BEREC</w:t>
      </w:r>
      <w:r>
        <w:t xml:space="preserve"> </w:t>
      </w:r>
      <w:r>
        <w:t xml:space="preserve">Office might not provide much margin of manoeuvre, requesting more content-related support</w:t>
      </w:r>
      <w:r>
        <w:t xml:space="preserve"> </w:t>
      </w:r>
      <w:r>
        <w:t xml:space="preserve">from the BEREC Office could improve the situation.</w:t>
      </w:r>
      <w:r>
        <w:br/>
      </w:r>
      <w:r>
        <w:t xml:space="preserve">Moreover, the number of BEREC Working Groups and the delineation of their tasks should</w:t>
      </w:r>
      <w:r>
        <w:t xml:space="preserve"> </w:t>
      </w:r>
      <w:r>
        <w:t xml:space="preserve">be assessed to ensure that developments in the sector are addressed while avoiding possible</w:t>
      </w:r>
      <w:r>
        <w:t xml:space="preserve"> </w:t>
      </w:r>
      <w:r>
        <w:t xml:space="preserve">overlaps or inconsistencies. Finally, as also raised by NRAs/BEREC, better coordination and</w:t>
      </w:r>
      <w:r>
        <w:t xml:space="preserve"> </w:t>
      </w:r>
      <w:r>
        <w:t xml:space="preserve">planning with the EU institutions could enable more effective task delivery regarding ad hoc</w:t>
      </w:r>
      <w:r>
        <w:t xml:space="preserve"> </w:t>
      </w:r>
      <w:r>
        <w:t xml:space="preserve">work requested from BEREC.</w:t>
      </w:r>
      <w:r>
        <w:br/>
      </w:r>
      <w:r>
        <w:t xml:space="preserve">Being among the smallest EU agencies, the BEREC Office strives to provide support to</w:t>
      </w:r>
      <w:r>
        <w:t xml:space="preserve"> </w:t>
      </w:r>
      <w:r>
        <w:t xml:space="preserve">BEREC as efficiently as possible within its budgetary constraints. The BEREC Office – and</w:t>
      </w:r>
      <w:r>
        <w:t xml:space="preserve"> </w:t>
      </w:r>
      <w:r>
        <w:t xml:space="preserve">its Management Board – is, however, regularly deviating from the Commission’s guidance on</w:t>
      </w:r>
      <w:r>
        <w:t xml:space="preserve"> </w:t>
      </w:r>
      <w:r>
        <w:t xml:space="preserve">staff to recruit more colleagues. At the same time, there is currently a relatively high rate of</w:t>
      </w:r>
      <w:r>
        <w:t xml:space="preserve"> </w:t>
      </w:r>
      <w:r>
        <w:t xml:space="preserve">staff turnover at the BEREC Office, mostly visible for external staff dealing with</w:t>
      </w:r>
      <w:r>
        <w:t xml:space="preserve"> </w:t>
      </w:r>
      <w:r>
        <w:t xml:space="preserve">administrative tasks, and reportedly due, in part, to the location of the Agency. This turnover</w:t>
      </w:r>
      <w:r>
        <w:t xml:space="preserve"> </w:t>
      </w:r>
      <w:r>
        <w:t xml:space="preserve">leads to continuity issues, including retaining knowledge.</w:t>
      </w:r>
      <w:r>
        <w:br/>
      </w:r>
      <w:r>
        <w:t xml:space="preserve">The BEREC Office should address these issues in order to be more efficient. This could be</w:t>
      </w:r>
      <w:r>
        <w:t xml:space="preserve"> </w:t>
      </w:r>
      <w:r>
        <w:t xml:space="preserve">done through reorganisation of functions inside the Agency, as well as closer collaboration</w:t>
      </w:r>
      <w:r>
        <w:t xml:space="preserve"> </w:t>
      </w:r>
      <w:r>
        <w:t xml:space="preserve">with Commission services or other decentralised agencies. As a matter of fact, providing more</w:t>
      </w:r>
      <w:r>
        <w:t xml:space="preserve"> </w:t>
      </w:r>
      <w:r>
        <w:t xml:space="preserve">content-related support e.g. on data analysis and report drafting, could make the overall</w:t>
      </w:r>
      <w:r>
        <w:t xml:space="preserve"> </w:t>
      </w:r>
      <w:r>
        <w:t xml:space="preserve">balance between operational staff and administrative support staff more appropriate. This</w:t>
      </w:r>
      <w:r>
        <w:t xml:space="preserve"> </w:t>
      </w:r>
      <w:r>
        <w:t xml:space="preserve">could make the BEREC Office a more attractive employer. Furthermore, the BEREC Office’</w:t>
      </w:r>
      <w:r>
        <w:t xml:space="preserve"> </w:t>
      </w:r>
      <w:r>
        <w:t xml:space="preserve">IT tools could be further improved to make them more straightforward to use, and secure in</w:t>
      </w:r>
      <w:r>
        <w:t xml:space="preserve"> </w:t>
      </w:r>
      <w:r>
        <w:t xml:space="preserve">view of persistent cybersecurity threats (both to the BEREC Office itself, in view of its</w:t>
      </w:r>
      <w:r>
        <w:t xml:space="preserve"> </w:t>
      </w:r>
      <w:r>
        <w:t xml:space="preserve">location, as well as a compromise vector towards EU telecoms operators). In any event, it will</w:t>
      </w:r>
      <w:r>
        <w:t xml:space="preserve"> </w:t>
      </w:r>
      <w:r>
        <w:t xml:space="preserve">be important that the BEREC Management Board addresses human and financial resources</w:t>
      </w:r>
    </w:p>
    <w:p>
      <w:pPr>
        <w:pStyle w:val="BodyText"/>
      </w:pPr>
      <w:r>
        <w:t xml:space="preserve">151</w:t>
      </w:r>
    </w:p>
    <w:p>
      <w:pPr>
        <w:pStyle w:val="BodyText"/>
      </w:pPr>
      <w:r>
        <w:t xml:space="preserve">issues in accordance with the overall framework for European agencies and uses the resources</w:t>
      </w:r>
      <w:r>
        <w:t xml:space="preserve"> </w:t>
      </w:r>
      <w:r>
        <w:t xml:space="preserve">efficiently.</w:t>
      </w:r>
      <w:r>
        <w:br/>
      </w:r>
      <w:r>
        <w:t xml:space="preserve">4.3. Coherence</w:t>
      </w:r>
      <w:r>
        <w:br/>
      </w:r>
      <w:r>
        <w:t xml:space="preserve">More coordination and exchange of information at EU and/or national level, between the</w:t>
      </w:r>
      <w:r>
        <w:t xml:space="preserve"> </w:t>
      </w:r>
      <w:r>
        <w:t xml:space="preserve">NRAs and other competent authorities, or the direct involvement of other competent</w:t>
      </w:r>
      <w:r>
        <w:t xml:space="preserve"> </w:t>
      </w:r>
      <w:r>
        <w:t xml:space="preserve">authorities in BEREC’s work for which NRAs are not all in charge at the national level,</w:t>
      </w:r>
      <w:r>
        <w:t xml:space="preserve"> </w:t>
      </w:r>
      <w:r>
        <w:t xml:space="preserve">would also foster the coherence of certain BEREC outputs. In the Commission’s view,</w:t>
      </w:r>
      <w:r>
        <w:t xml:space="preserve"> </w:t>
      </w:r>
      <w:r>
        <w:t xml:space="preserve">BEREC should in any event adapt its outputs and expertise to relevant emerging topics such</w:t>
      </w:r>
      <w:r>
        <w:t xml:space="preserve"> </w:t>
      </w:r>
      <w:r>
        <w:t xml:space="preserve">as AI, cybersecurity, and other digital matters, and very importantly sustainability and</w:t>
      </w:r>
      <w:r>
        <w:t xml:space="preserve"> </w:t>
      </w:r>
      <w:r>
        <w:t xml:space="preserve">resilience of networks, which are addressed in different EU policies and legal instruments.</w:t>
      </w:r>
      <w:r>
        <w:br/>
      </w:r>
      <w:r>
        <w:t xml:space="preserve">Specific reference should also be made to spectrum matters in this context. While a significant</w:t>
      </w:r>
      <w:r>
        <w:t xml:space="preserve"> </w:t>
      </w:r>
      <w:r>
        <w:t xml:space="preserve">number of BEREC members are responsible for spectrum matters at national level, and both</w:t>
      </w:r>
      <w:r>
        <w:t xml:space="preserve"> </w:t>
      </w:r>
      <w:r>
        <w:t xml:space="preserve">BEREC and the BEREC Office are addressing authorisation issues in a number of ways, they</w:t>
      </w:r>
      <w:r>
        <w:t xml:space="preserve"> </w:t>
      </w:r>
      <w:r>
        <w:t xml:space="preserve">are involved in spectrum matters only in limited instances so far, such as via participation in</w:t>
      </w:r>
      <w:r>
        <w:t xml:space="preserve"> </w:t>
      </w:r>
      <w:r>
        <w:t xml:space="preserve">RSPG peer reviews. Recent developments in the area of satellite-based applications</w:t>
      </w:r>
      <w:r>
        <w:t xml:space="preserve"> </w:t>
      </w:r>
      <w:r>
        <w:t xml:space="preserve">particularly calls for strengthened involvement of BEREC and the BEREC Office in the field</w:t>
      </w:r>
      <w:r>
        <w:t xml:space="preserve"> </w:t>
      </w:r>
      <w:r>
        <w:t xml:space="preserve">of spectrum, in view of inherently pan-European nature of satellite-based services.</w:t>
      </w:r>
      <w:r>
        <w:br/>
      </w:r>
      <w:r>
        <w:t xml:space="preserve">4.4. EU added value</w:t>
      </w:r>
      <w:r>
        <w:br/>
      </w:r>
      <w:r>
        <w:t xml:space="preserve">By bringing together expertise from 27 NRAs, BEREC plays a pivotal role in the</w:t>
      </w:r>
      <w:r>
        <w:t xml:space="preserve"> </w:t>
      </w:r>
      <w:r>
        <w:t xml:space="preserve">implementation of the electronic communications’ regulatory framework, in particular for the</w:t>
      </w:r>
      <w:r>
        <w:t xml:space="preserve"> </w:t>
      </w:r>
      <w:r>
        <w:t xml:space="preserve">NRAs and the EU institutions.</w:t>
      </w:r>
      <w:r>
        <w:br/>
      </w:r>
      <w:r>
        <w:t xml:space="preserve">At the same time, its contribution to fostering regulatory consistency, hence the internal</w:t>
      </w:r>
      <w:r>
        <w:t xml:space="preserve"> </w:t>
      </w:r>
      <w:r>
        <w:t xml:space="preserve">market for electronic communications and end-users, should be further encouraged. In</w:t>
      </w:r>
      <w:r>
        <w:t xml:space="preserve"> </w:t>
      </w:r>
      <w:r>
        <w:t xml:space="preserve">particular, BEREC could play a more active role in promoting a harmonised approach to the</w:t>
      </w:r>
      <w:r>
        <w:t xml:space="preserve"> </w:t>
      </w:r>
      <w:r>
        <w:t xml:space="preserve">implementation of the European regulatory framework for electronic communications in line</w:t>
      </w:r>
      <w:r>
        <w:t xml:space="preserve"> </w:t>
      </w:r>
      <w:r>
        <w:t xml:space="preserve">with Article 3 of the BEREC Regulation, notably through its guidelines. During the</w:t>
      </w:r>
      <w:r>
        <w:t xml:space="preserve"> </w:t>
      </w:r>
      <w:r>
        <w:t xml:space="preserve">evaluation period, BEREC guidelines were instrumental in supporting the harmonisation of</w:t>
      </w:r>
      <w:r>
        <w:t xml:space="preserve"> </w:t>
      </w:r>
      <w:r>
        <w:t xml:space="preserve">NRAs approaches but were not sufficient, among also many other factors not directly related</w:t>
      </w:r>
      <w:r>
        <w:t xml:space="preserve"> </w:t>
      </w:r>
      <w:r>
        <w:t xml:space="preserve">to BEREC, to ultimately lead to the creation of European single market for</w:t>
      </w:r>
      <w:r>
        <w:t xml:space="preserve"> </w:t>
      </w:r>
      <w:r>
        <w:t xml:space="preserve">communication Nevertheless, while BEREC can adopt its opinions by simple majority, in</w:t>
      </w:r>
      <w:r>
        <w:t xml:space="preserve"> </w:t>
      </w:r>
      <w:r>
        <w:t xml:space="preserve">practice it strives to achieve consensus/unanimity and common ground among all involved</w:t>
      </w:r>
      <w:r>
        <w:t xml:space="preserve"> </w:t>
      </w:r>
      <w:r>
        <w:t xml:space="preserve">NRAs. In effect this significantly limits BEREC ability to act with focus on pan-European</w:t>
      </w:r>
      <w:r>
        <w:t xml:space="preserve"> </w:t>
      </w:r>
      <w:r>
        <w:t xml:space="preserve">interests, as opposed to sometimes more conservative and ‘naturally’ more focused on local</w:t>
      </w:r>
      <w:r>
        <w:t xml:space="preserve"> </w:t>
      </w:r>
      <w:r>
        <w:t xml:space="preserve">specificities, national views.</w:t>
      </w:r>
      <w:r>
        <w:br/>
      </w:r>
      <w:r>
        <w:t xml:space="preserve">BEREC’s opinions generally provide valuable inputs to the NRAs and the EU policy process.</w:t>
      </w:r>
      <w:r>
        <w:t xml:space="preserve"> </w:t>
      </w:r>
      <w:r>
        <w:t xml:space="preserve">However, those issued on its own initiative and/or during inter-institutional negotiations could</w:t>
      </w:r>
      <w:r>
        <w:t xml:space="preserve"> </w:t>
      </w:r>
      <w:r>
        <w:t xml:space="preserve">be better coordinated with the Commission and co-legislators to ensure their usefulness in the</w:t>
      </w:r>
      <w:r>
        <w:t xml:space="preserve"> </w:t>
      </w:r>
      <w:r>
        <w:t xml:space="preserve">policymaking process. This would plead for finding the appropriate ways and timing for the</w:t>
      </w:r>
      <w:r>
        <w:t xml:space="preserve"> </w:t>
      </w:r>
      <w:r>
        <w:t xml:space="preserve">Commission or other institutions to collect BEREC’s views, and to clarify BEREC’s current</w:t>
      </w:r>
      <w:r>
        <w:t xml:space="preserve"> </w:t>
      </w:r>
      <w:r>
        <w:t xml:space="preserve">mandate to provide input in relation to the preparation of legislative proposals in the field of</w:t>
      </w:r>
      <w:r>
        <w:t xml:space="preserve"> </w:t>
      </w:r>
      <w:r>
        <w:t xml:space="preserve">electronic communications.</w:t>
      </w:r>
      <w:r>
        <w:br/>
      </w:r>
      <w:r>
        <w:t xml:space="preserve">Moreover, BEREC’s expertise needs to be sustained, deepened and broadened, in view of the</w:t>
      </w:r>
      <w:r>
        <w:t xml:space="preserve"> </w:t>
      </w:r>
      <w:r>
        <w:t xml:space="preserve">rapidly evolving electronic communications and digital markets, and this, despite any</w:t>
      </w:r>
      <w:r>
        <w:t xml:space="preserve"> </w:t>
      </w:r>
      <w:r>
        <w:t xml:space="preserve">diverging powers of its members at national level. In that regard, in its response16 to the Call</w:t>
      </w:r>
      <w:r>
        <w:t xml:space="preserve"> </w:t>
      </w:r>
      <w:r>
        <w:t xml:space="preserve">for Evidence BEREC states that it is keen to assume new institutional responsibilities in view</w:t>
      </w:r>
    </w:p>
    <w:p>
      <w:pPr>
        <w:pStyle w:val="BodyText"/>
      </w:pPr>
      <w:r>
        <w:t xml:space="preserve">152</w:t>
      </w:r>
    </w:p>
    <w:p>
      <w:pPr>
        <w:pStyle w:val="BodyText"/>
      </w:pPr>
      <w:r>
        <w:t xml:space="preserve">of further strengthening the single market dimension and broader digital policy perspective,</w:t>
      </w:r>
      <w:r>
        <w:t xml:space="preserve"> </w:t>
      </w:r>
      <w:r>
        <w:t xml:space="preserve">while such expansion can also work well within its current two-tier structure. Further, BEREC</w:t>
      </w:r>
      <w:r>
        <w:t xml:space="preserve"> </w:t>
      </w:r>
      <w:r>
        <w:t xml:space="preserve">stresses the need to clearly delineate the areas of responsibilities and accountability among</w:t>
      </w:r>
      <w:r>
        <w:t xml:space="preserve"> </w:t>
      </w:r>
      <w:r>
        <w:t xml:space="preserve">various institutional actors, and acknowledges the growing need for structured cooperation</w:t>
      </w:r>
      <w:r>
        <w:t xml:space="preserve"> </w:t>
      </w:r>
      <w:r>
        <w:t xml:space="preserve">with other EU-level bodies overseeing interrelated areas of digital policy, such as data</w:t>
      </w:r>
      <w:r>
        <w:t xml:space="preserve"> </w:t>
      </w:r>
      <w:r>
        <w:t xml:space="preserve">governance, digital services, cybersecurity, and AI.</w:t>
      </w:r>
      <w:r>
        <w:br/>
      </w:r>
      <w:r>
        <w:t xml:space="preserve">Finally, the increasing number of participants from third country NRAs, while helping to</w:t>
      </w:r>
      <w:r>
        <w:t xml:space="preserve"> </w:t>
      </w:r>
      <w:r>
        <w:t xml:space="preserve">promote the EU electronic communication markets and exchange of views and learning from</w:t>
      </w:r>
      <w:r>
        <w:t xml:space="preserve"> </w:t>
      </w:r>
      <w:r>
        <w:t xml:space="preserve">each other, implies reflecting on the respective roles, capacities to make decisions and</w:t>
      </w:r>
      <w:r>
        <w:t xml:space="preserve"> </w:t>
      </w:r>
      <w:r>
        <w:t xml:space="preserve">organisation of BEREC work.</w:t>
      </w:r>
      <w:r>
        <w:br/>
      </w:r>
      <w:r>
        <w:t xml:space="preserve">4.5. Relevance</w:t>
      </w:r>
      <w:r>
        <w:br/>
      </w:r>
      <w:r>
        <w:t xml:space="preserve">Asymmetries in NRAs’ competences in Member States may limit the relevance of BEREC’s</w:t>
      </w:r>
      <w:r>
        <w:t xml:space="preserve"> </w:t>
      </w:r>
      <w:r>
        <w:t xml:space="preserve">work for certain NRAs. This is prompting the question how BEREC could best ‘contribute to</w:t>
      </w:r>
      <w:r>
        <w:t xml:space="preserve"> </w:t>
      </w:r>
      <w:r>
        <w:t xml:space="preserve">the regulatory environment fit for the digital age in the run-up to 2030’, as BEREC puts it in</w:t>
      </w:r>
      <w:r>
        <w:t xml:space="preserve"> </w:t>
      </w:r>
      <w:r>
        <w:t xml:space="preserve">its own input to the evaluation.</w:t>
      </w:r>
      <w:r>
        <w:br/>
      </w:r>
      <w:r>
        <w:t xml:space="preserve">The current governance structure has been conceived for markets which are national in scope,</w:t>
      </w:r>
      <w:r>
        <w:t xml:space="preserve"> </w:t>
      </w:r>
      <w:r>
        <w:t xml:space="preserve">and where ex ante regulation is the main tool in the regulatory toolbox. This is changing,</w:t>
      </w:r>
      <w:r>
        <w:t xml:space="preserve"> </w:t>
      </w:r>
      <w:r>
        <w:t xml:space="preserve">since the European dimension of the sector has been developing, while competitive conditions</w:t>
      </w:r>
      <w:r>
        <w:t xml:space="preserve"> </w:t>
      </w:r>
      <w:r>
        <w:t xml:space="preserve">have evolved. Also, greater potential to rely on symmetric rules means that the scope of ex-</w:t>
      </w:r>
      <w:r>
        <w:t xml:space="preserve"> </w:t>
      </w:r>
      <w:r>
        <w:t xml:space="preserve">ante regulation, based on a regular review of national markets can be progressively reduced.</w:t>
      </w:r>
      <w:r>
        <w:t xml:space="preserve"> </w:t>
      </w:r>
      <w:r>
        <w:t xml:space="preserve">Recent technological changes create various opportunities and challenges for the sector, as</w:t>
      </w:r>
      <w:r>
        <w:t xml:space="preserve"> </w:t>
      </w:r>
      <w:r>
        <w:t xml:space="preserve">indicated in the Commission in the White Paper on digital infrastructure needs, and recent</w:t>
      </w:r>
      <w:r>
        <w:t xml:space="preserve"> </w:t>
      </w:r>
      <w:r>
        <w:t xml:space="preserve">feedback in the Call for evidence accompanying the legislative process for the Digital</w:t>
      </w:r>
      <w:r>
        <w:t xml:space="preserve"> </w:t>
      </w:r>
      <w:r>
        <w:t xml:space="preserve">Networks Act. The draft Strategy recognises the profound changes of the digital technologies</w:t>
      </w:r>
      <w:r>
        <w:t xml:space="preserve"> </w:t>
      </w:r>
      <w:r>
        <w:t xml:space="preserve">and the intertwined/reciprocal nature of electronic communications and digital technologies</w:t>
      </w:r>
      <w:r>
        <w:t xml:space="preserve"> </w:t>
      </w:r>
      <w:r>
        <w:t xml:space="preserve">(AI, data processing, virtualisation, cloud and edge computing). In order to ensure its</w:t>
      </w:r>
      <w:r>
        <w:t xml:space="preserve"> </w:t>
      </w:r>
      <w:r>
        <w:t xml:space="preserve">relevance in the coming years BEREC identifies key priorities, which besides its current focus</w:t>
      </w:r>
      <w:r>
        <w:t xml:space="preserve"> </w:t>
      </w:r>
      <w:r>
        <w:t xml:space="preserve">(connectivity, competition, end user interests), also put emphasis on environmental</w:t>
      </w:r>
      <w:r>
        <w:t xml:space="preserve"> </w:t>
      </w:r>
      <w:r>
        <w:t xml:space="preserve">sustainability, cybersecurity and resilience.</w:t>
      </w:r>
      <w:r>
        <w:br/>
      </w:r>
      <w:r>
        <w:t xml:space="preserve">The currently decentralised governance mechanism and the traditional setup of BEREC might</w:t>
      </w:r>
      <w:r>
        <w:t xml:space="preserve"> </w:t>
      </w:r>
      <w:r>
        <w:t xml:space="preserve">not be sufficient and appropriate to cope with this evolution. Furthermore, the regulatory</w:t>
      </w:r>
      <w:r>
        <w:t xml:space="preserve"> </w:t>
      </w:r>
      <w:r>
        <w:t xml:space="preserve">toolbox might need to be modernised to address the market and technological changes, with</w:t>
      </w:r>
      <w:r>
        <w:t xml:space="preserve"> </w:t>
      </w:r>
      <w:r>
        <w:t xml:space="preserve">possible broader use of harmonised tools (for example access product) and its most rarely (if</w:t>
      </w:r>
      <w:r>
        <w:t xml:space="preserve"> </w:t>
      </w:r>
      <w:r>
        <w:t xml:space="preserve">ever) used tools, such as resolution of cross-border aspects, may gain prominence. In this</w:t>
      </w:r>
      <w:r>
        <w:t xml:space="preserve"> </w:t>
      </w:r>
      <w:r>
        <w:t xml:space="preserve">respect, and while BEREC’s current tasks are mostly of an advisory nature, the question</w:t>
      </w:r>
      <w:r>
        <w:t xml:space="preserve"> </w:t>
      </w:r>
      <w:r>
        <w:t xml:space="preserve">arises how the role and mandate of BEREC and the BEREC Office should possibly be</w:t>
      </w:r>
      <w:r>
        <w:t xml:space="preserve"> </w:t>
      </w:r>
      <w:r>
        <w:t xml:space="preserve">strengthened and adapted to new responsibilities in the broader digital field.</w:t>
      </w:r>
      <w:r>
        <w:br/>
      </w:r>
      <w:r>
        <w:t xml:space="preserve">The current setup also challenges the relevance of BEREC’s work on digital markets for</w:t>
      </w:r>
      <w:r>
        <w:t xml:space="preserve"> </w:t>
      </w:r>
      <w:r>
        <w:t xml:space="preserve">certain industry and consumer representatives. External stakeholders want to engage more</w:t>
      </w:r>
      <w:r>
        <w:t xml:space="preserve"> </w:t>
      </w:r>
      <w:r>
        <w:t xml:space="preserve">with BEREC in virtual events or public consultations, often ask for more time to respond to</w:t>
      </w:r>
      <w:r>
        <w:t xml:space="preserve"> </w:t>
      </w:r>
      <w:r>
        <w:t xml:space="preserve">consultations, and for more transparency on upcoming initiatives. In that regard during 2024</w:t>
      </w:r>
      <w:r>
        <w:t xml:space="preserve"> </w:t>
      </w:r>
      <w:r>
        <w:t xml:space="preserve">and 2025 BEREC has put significant emphasis on improving its effective communication</w:t>
      </w:r>
      <w:r>
        <w:t xml:space="preserve"> </w:t>
      </w:r>
      <w:r>
        <w:t xml:space="preserve">with stakeholders, to ensure transparency, build trust and engage with stakeholders, ensuring</w:t>
      </w:r>
      <w:r>
        <w:t xml:space="preserve"> </w:t>
      </w:r>
      <w:r>
        <w:t xml:space="preserve">that all its outputs remain relevant. This has been underlined as one of the aspects of</w:t>
      </w:r>
      <w:r>
        <w:t xml:space="preserve"> </w:t>
      </w:r>
      <w:r>
        <w:t xml:space="preserve">strengthening BEREC capabilities in its draft Strategy 2026-2030, which aims to set BEREC</w:t>
      </w:r>
      <w:r>
        <w:t xml:space="preserve"> </w:t>
      </w:r>
      <w:r>
        <w:t xml:space="preserve">priorities for the upcoming 5 years.17</w:t>
      </w:r>
    </w:p>
    <w:p>
      <w:pPr>
        <w:pStyle w:val="BodyText"/>
      </w:pPr>
      <w:r>
        <w:t xml:space="preserve">153</w:t>
      </w:r>
    </w:p>
    <w:p>
      <w:pPr>
        <w:pStyle w:val="Compact"/>
        <w:numPr>
          <w:ilvl w:val="0"/>
          <w:numId w:val="1006"/>
        </w:numPr>
      </w:pPr>
      <w:r>
        <w:t xml:space="preserve">CONCLUSION</w:t>
      </w:r>
      <w:r>
        <w:br/>
      </w:r>
      <w:r>
        <w:t xml:space="preserve">This report, and its accompanying Staff Working Document, mainly look backwards, into the</w:t>
      </w:r>
      <w:r>
        <w:t xml:space="preserve"> </w:t>
      </w:r>
      <w:r>
        <w:t xml:space="preserve">performance of BEREC and the BEREC Office over the period 2019-2023, while also taking</w:t>
      </w:r>
      <w:r>
        <w:t xml:space="preserve"> </w:t>
      </w:r>
      <w:r>
        <w:t xml:space="preserve">into account main developments until August 2025. This report draws a number of lessons</w:t>
      </w:r>
      <w:r>
        <w:t xml:space="preserve"> </w:t>
      </w:r>
      <w:r>
        <w:t xml:space="preserve">from this analysis, including on the mandate and the organisation of BEREC and the BEREC</w:t>
      </w:r>
      <w:r>
        <w:t xml:space="preserve"> </w:t>
      </w:r>
      <w:r>
        <w:t xml:space="preserve">Office.</w:t>
      </w:r>
      <w:r>
        <w:br/>
      </w:r>
      <w:r>
        <w:t xml:space="preserve">Overall, BEREC and the BEREC Office have proven to be quite effective in delivering on</w:t>
      </w:r>
      <w:r>
        <w:t xml:space="preserve"> </w:t>
      </w:r>
      <w:r>
        <w:t xml:space="preserve">their main objectives. The contribution of independent NRAs, which share the same</w:t>
      </w:r>
      <w:r>
        <w:t xml:space="preserve"> </w:t>
      </w:r>
      <w:r>
        <w:t xml:space="preserve">objectives, is essential in this respect.</w:t>
      </w:r>
      <w:r>
        <w:br/>
      </w:r>
      <w:r>
        <w:t xml:space="preserve">However, the situation has been developing over the reporting period and continues to evolve</w:t>
      </w:r>
      <w:r>
        <w:t xml:space="preserve"> </w:t>
      </w:r>
      <w:r>
        <w:t xml:space="preserve">significantly. More complex and interrelated digital markets have led to the enactment of new</w:t>
      </w:r>
      <w:r>
        <w:t xml:space="preserve"> </w:t>
      </w:r>
      <w:r>
        <w:t xml:space="preserve">rules and new tasks granted to many BEREC members in e.g. digital markets, cybersecurity,</w:t>
      </w:r>
      <w:r>
        <w:t xml:space="preserve"> </w:t>
      </w:r>
      <w:r>
        <w:t xml:space="preserve">spectrum, data, AI which are not always reflected in BEREC’s mandate. This is increasing the</w:t>
      </w:r>
      <w:r>
        <w:t xml:space="preserve"> </w:t>
      </w:r>
      <w:r>
        <w:t xml:space="preserve">asymmetry between NRAs’ responsibilities at national level, as well as between NRAs’</w:t>
      </w:r>
      <w:r>
        <w:t xml:space="preserve"> </w:t>
      </w:r>
      <w:r>
        <w:t xml:space="preserve">responsibilities and BEREC’s mandate. Moreover, recent market and technological changes</w:t>
      </w:r>
      <w:r>
        <w:t xml:space="preserve"> </w:t>
      </w:r>
      <w:r>
        <w:t xml:space="preserve">are creating opportunities and challenges for the sector, as indicated in the Commission’s</w:t>
      </w:r>
      <w:r>
        <w:t xml:space="preserve"> </w:t>
      </w:r>
      <w:r>
        <w:t xml:space="preserve">White Paper on digital infrastructure needs.</w:t>
      </w:r>
      <w:r>
        <w:br/>
      </w:r>
      <w:r>
        <w:t xml:space="preserve">These developments are pleading for more coordination and exchange of information at</w:t>
      </w:r>
      <w:r>
        <w:t xml:space="preserve"> </w:t>
      </w:r>
      <w:r>
        <w:t xml:space="preserve">national level or the direct involvement other competent authorities in the work of BEREC,</w:t>
      </w:r>
      <w:r>
        <w:t xml:space="preserve"> </w:t>
      </w:r>
      <w:r>
        <w:t xml:space="preserve">which could improve its effectiveness. Moreover, changes occur in the electronic</w:t>
      </w:r>
      <w:r>
        <w:t xml:space="preserve"> </w:t>
      </w:r>
      <w:r>
        <w:t xml:space="preserve">communications sector itself, with evolving competitive conditions and blurring delineation</w:t>
      </w:r>
      <w:r>
        <w:t xml:space="preserve"> </w:t>
      </w:r>
      <w:r>
        <w:t xml:space="preserve">between different aspects of digital networks and electronic communication and digital</w:t>
      </w:r>
      <w:r>
        <w:t xml:space="preserve"> </w:t>
      </w:r>
      <w:r>
        <w:t xml:space="preserve">services. These developments are calling for sustaining and broadening BEREC’s role and</w:t>
      </w:r>
      <w:r>
        <w:t xml:space="preserve"> </w:t>
      </w:r>
      <w:r>
        <w:t xml:space="preserve">expertise, as also recognised by BEREC itself, while underlining the need for clear</w:t>
      </w:r>
      <w:r>
        <w:t xml:space="preserve"> </w:t>
      </w:r>
      <w:r>
        <w:t xml:space="preserve">delineation of new responsibilities and accountability of various institutional actors and</w:t>
      </w:r>
      <w:r>
        <w:t xml:space="preserve"> </w:t>
      </w:r>
      <w:r>
        <w:t xml:space="preserve">preserving BEREC’s and NRA’s independence.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2">
    <w:nsid w:val="00A99732"/>
    <w:multiLevelType w:val="multilevel"/>
    <w:lvl w:ilvl="0">
      <w:start w:val="2"/>
      <w:numFmt w:val="lowerLetter"/>
      <w:lvlText w:val="(%1)"/>
      <w:lvlJc w:val="left"/>
      <w:pPr>
        <w:ind w:left="720" w:hanging="360"/>
      </w:pPr>
    </w:lvl>
    <w:lvl w:ilvl="1">
      <w:start w:val="2"/>
      <w:numFmt w:val="lowerLetter"/>
      <w:lvlText w:val="(%2)"/>
      <w:lvlJc w:val="left"/>
      <w:pPr>
        <w:ind w:left="1440" w:hanging="360"/>
      </w:pPr>
    </w:lvl>
    <w:lvl w:ilvl="2">
      <w:start w:val="2"/>
      <w:numFmt w:val="lowerLetter"/>
      <w:lvlText w:val="(%3)"/>
      <w:lvlJc w:val="left"/>
      <w:pPr>
        <w:ind w:left="2160" w:hanging="360"/>
      </w:pPr>
    </w:lvl>
    <w:lvl w:ilvl="3">
      <w:start w:val="2"/>
      <w:numFmt w:val="lowerLetter"/>
      <w:lvlText w:val="(%4)"/>
      <w:lvlJc w:val="left"/>
      <w:pPr>
        <w:ind w:left="2880" w:hanging="360"/>
      </w:pPr>
    </w:lvl>
    <w:lvl w:ilvl="4">
      <w:start w:val="2"/>
      <w:numFmt w:val="lowerLetter"/>
      <w:lvlText w:val="(%5)"/>
      <w:lvlJc w:val="left"/>
      <w:pPr>
        <w:ind w:left="3600" w:hanging="360"/>
      </w:pPr>
    </w:lvl>
    <w:lvl w:ilvl="5">
      <w:start w:val="2"/>
      <w:numFmt w:val="lowerLetter"/>
      <w:lvlText w:val="(%6)"/>
      <w:lvlJc w:val="left"/>
      <w:pPr>
        <w:ind w:left="4320" w:hanging="360"/>
      </w:pPr>
    </w:lvl>
    <w:lvl w:ilvl="6">
      <w:start w:val="2"/>
      <w:numFmt w:val="lowerLetter"/>
      <w:lvlText w:val="(%7)"/>
      <w:lvlJc w:val="left"/>
      <w:pPr>
        <w:ind w:left="5040" w:hanging="360"/>
      </w:pPr>
    </w:lvl>
    <w:lvl w:ilvl="7">
      <w:start w:val="2"/>
      <w:numFmt w:val="lowerLetter"/>
      <w:lvlText w:val="(%8)"/>
      <w:lvlJc w:val="left"/>
      <w:pPr>
        <w:ind w:left="5760" w:hanging="360"/>
      </w:pPr>
    </w:lvl>
    <w:lvl w:ilvl="8">
      <w:start w:val="2"/>
      <w:numFmt w:val="lowerLetter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2024313">
    <w:nsid w:val="A99412024313"/>
    <w:multiLevelType w:val="multilevel"/>
    <w:lvl w:ilvl="0">
      <w:start w:val="2024313"/>
      <w:numFmt w:val="decimal"/>
      <w:lvlText w:val="%1."/>
      <w:lvlJc w:val="left"/>
      <w:pPr>
        <w:ind w:left="720" w:hanging="360"/>
      </w:pPr>
    </w:lvl>
    <w:lvl w:ilvl="1">
      <w:start w:val="2024313"/>
      <w:numFmt w:val="decimal"/>
      <w:lvlText w:val="%2."/>
      <w:lvlJc w:val="left"/>
      <w:pPr>
        <w:ind w:left="1440" w:hanging="360"/>
      </w:pPr>
    </w:lvl>
    <w:lvl w:ilvl="2">
      <w:start w:val="2024313"/>
      <w:numFmt w:val="decimal"/>
      <w:lvlText w:val="%3."/>
      <w:lvlJc w:val="left"/>
      <w:pPr>
        <w:ind w:left="2160" w:hanging="360"/>
      </w:pPr>
    </w:lvl>
    <w:lvl w:ilvl="3">
      <w:start w:val="2024313"/>
      <w:numFmt w:val="decimal"/>
      <w:lvlText w:val="%4."/>
      <w:lvlJc w:val="left"/>
      <w:pPr>
        <w:ind w:left="2880" w:hanging="360"/>
      </w:pPr>
    </w:lvl>
    <w:lvl w:ilvl="4">
      <w:start w:val="2024313"/>
      <w:numFmt w:val="decimal"/>
      <w:lvlText w:val="%5."/>
      <w:lvlJc w:val="left"/>
      <w:pPr>
        <w:ind w:left="3600" w:hanging="360"/>
      </w:pPr>
    </w:lvl>
    <w:lvl w:ilvl="5">
      <w:start w:val="2024313"/>
      <w:numFmt w:val="decimal"/>
      <w:lvlText w:val="%6."/>
      <w:lvlJc w:val="left"/>
      <w:pPr>
        <w:ind w:left="4320" w:hanging="360"/>
      </w:pPr>
    </w:lvl>
    <w:lvl w:ilvl="6">
      <w:start w:val="2024313"/>
      <w:numFmt w:val="decimal"/>
      <w:lvlText w:val="%7."/>
      <w:lvlJc w:val="left"/>
      <w:pPr>
        <w:ind w:left="5040" w:hanging="360"/>
      </w:pPr>
    </w:lvl>
    <w:lvl w:ilvl="7">
      <w:start w:val="2024313"/>
      <w:numFmt w:val="decimal"/>
      <w:lvlText w:val="%8."/>
      <w:lvlJc w:val="left"/>
      <w:pPr>
        <w:ind w:left="5760" w:hanging="360"/>
      </w:pPr>
    </w:lvl>
    <w:lvl w:ilvl="8">
      <w:start w:val="2024313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1"/>
  </w:num>
  <w:num w:numId="1004">
    <w:abstractNumId w:val="99412024313"/>
    <w:lvlOverride w:ilvl="0">
      <w:startOverride w:val="2024313"/>
    </w:lvlOverride>
    <w:lvlOverride w:ilvl="1">
      <w:startOverride w:val="2024313"/>
    </w:lvlOverride>
    <w:lvlOverride w:ilvl="2">
      <w:startOverride w:val="2024313"/>
    </w:lvlOverride>
    <w:lvlOverride w:ilvl="3">
      <w:startOverride w:val="2024313"/>
    </w:lvlOverride>
    <w:lvlOverride w:ilvl="4">
      <w:startOverride w:val="2024313"/>
    </w:lvlOverride>
    <w:lvlOverride w:ilvl="5">
      <w:startOverride w:val="2024313"/>
    </w:lvlOverride>
    <w:lvlOverride w:ilvl="6">
      <w:startOverride w:val="2024313"/>
    </w:lvlOverride>
    <w:lvlOverride w:ilvl="7">
      <w:startOverride w:val="2024313"/>
    </w:lvlOverride>
    <w:lvlOverride w:ilvl="8">
      <w:startOverride w:val="2024313"/>
    </w:lvlOverride>
  </w:num>
  <w:num w:numId="1005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0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2026-07-31T16:48:43Z</dcterms:created>
  <dcterms:modified xsi:type="dcterms:W3CDTF">2026-07-31T16:48:43Z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