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24.6.2026</w:t>
      </w:r>
      <w:r>
        <w:br/>
      </w:r>
      <w:r>
        <w:t xml:space="preserve">SWD(2026) 165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COUNCIL DIRECTIVE</w:t>
      </w:r>
      <w:r>
        <w:t xml:space="preserve"> </w:t>
      </w:r>
      <w:r>
        <w:t xml:space="preserve">on administrative cooperation in the field of taxation (recast)</w:t>
      </w:r>
      <w:r>
        <w:t xml:space="preserve"> </w:t>
      </w:r>
      <w:r>
        <w:t xml:space="preserve">{COM(2026) 308 final} - {SEC(2026) 186 final} - {SWD(2026) 164 final} -</w:t>
      </w:r>
      <w:r>
        <w:t xml:space="preserve"> </w:t>
      </w:r>
      <w:r>
        <w:t xml:space="preserve">{SWD(2026) 166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5</w:t>
      </w:r>
      <w:r>
        <w:t xml:space="preserve"> </w:t>
      </w:r>
      <w:r>
        <w:t xml:space="preserve">1.1. Political context ……………………………………………………………………………………. 5</w:t>
      </w:r>
      <w:r>
        <w:t xml:space="preserve"> </w:t>
      </w:r>
      <w:r>
        <w:t xml:space="preserve">1.2. Legal context ………………………………………………………………………………………..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10</w:t>
      </w:r>
      <w:r>
        <w:t xml:space="preserve"> </w:t>
      </w:r>
      <w:r>
        <w:t xml:space="preserve">2.1. What are the problems? ……………………………………………………………………….. 11</w:t>
      </w:r>
      <w:r>
        <w:t xml:space="preserve"> </w:t>
      </w:r>
      <w:r>
        <w:t xml:space="preserve">2.2. What are the problem drivers? ……………………………………………………………… 18</w:t>
      </w:r>
      <w:r>
        <w:t xml:space="preserve"> </w:t>
      </w:r>
      <w:r>
        <w:t xml:space="preserve">2.3. How likely is the problem to persist? …………………………………………………….. 20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21</w:t>
      </w:r>
      <w:r>
        <w:t xml:space="preserve"> </w:t>
      </w:r>
      <w:r>
        <w:t xml:space="preserve">3.1. Legal basis …………………………………………………………………………………………. 21</w:t>
      </w:r>
      <w:r>
        <w:t xml:space="preserve"> </w:t>
      </w:r>
      <w:r>
        <w:t xml:space="preserve">3.2. Subsidiarity: Necessity of EU action ……………………………………………………… 21</w:t>
      </w:r>
      <w:r>
        <w:t xml:space="preserve"> </w:t>
      </w:r>
      <w:r>
        <w:t xml:space="preserve">3.3. Proportionality: Added value of EU action …………………………………………….. 22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22</w:t>
      </w:r>
      <w:r>
        <w:t xml:space="preserve"> </w:t>
      </w:r>
      <w:r>
        <w:t xml:space="preserve">4.1 General objectives ………………………………………………………………………………….. 23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23</w:t>
      </w:r>
      <w:r>
        <w:t xml:space="preserve"> </w:t>
      </w:r>
      <w:r>
        <w:t xml:space="preserve">5. WHAT ARE THE AVAILABLE POLICY OPTIONS? ……………………………………………………………….. 24</w:t>
      </w:r>
      <w:r>
        <w:t xml:space="preserve"> </w:t>
      </w:r>
      <w:r>
        <w:t xml:space="preserve">5.1 What is the baseline from which options are assessed? ……………………………….. 24</w:t>
      </w:r>
      <w:r>
        <w:t xml:space="preserve"> </w:t>
      </w:r>
      <w:r>
        <w:t xml:space="preserve">5.2 Description of the policy options ……………………………………………………………… 25</w:t>
      </w:r>
      <w:r>
        <w:t xml:space="preserve"> </w:t>
      </w:r>
      <w:r>
        <w:t xml:space="preserve">5.3 Discarded Options ………………………………………………………………………………… 29</w:t>
      </w:r>
      <w:r>
        <w:t xml:space="preserve"> </w:t>
      </w:r>
      <w:r>
        <w:t xml:space="preserve">6. WHAT ARE THE IMPACTS OF THE POLICY OPTIONS? ……………………………………………………….. 29</w:t>
      </w:r>
      <w:r>
        <w:t xml:space="preserve"> </w:t>
      </w:r>
      <w:r>
        <w:t xml:space="preserve">6.1 Impact on simplification while preserving the policy objectives of the DAC</w:t>
      </w:r>
      <w:r>
        <w:t xml:space="preserve"> </w:t>
      </w:r>
      <w:r>
        <w:t xml:space="preserve">framework (compliance costs and risks assessment) ……………………………….. 30</w:t>
      </w:r>
      <w:r>
        <w:t xml:space="preserve"> </w:t>
      </w:r>
      <w:r>
        <w:t xml:space="preserve">6.2</w:t>
      </w:r>
      <w:r>
        <w:t xml:space="preserve"> </w:t>
      </w:r>
      <w:r>
        <w:t xml:space="preserve">Impact on competitiveness and SME’s ………………………………………………….. 46</w:t>
      </w:r>
      <w:r>
        <w:t xml:space="preserve"> </w:t>
      </w:r>
      <w:r>
        <w:t xml:space="preserve">6.3</w:t>
      </w:r>
      <w:r>
        <w:t xml:space="preserve"> </w:t>
      </w:r>
      <w:r>
        <w:t xml:space="preserve">Other impacts ……………………………………………………………………………………… 47</w:t>
      </w:r>
      <w:r>
        <w:t xml:space="preserve"> </w:t>
      </w:r>
      <w:r>
        <w:t xml:space="preserve">7. HOW DO THE OPTIONS COMPARE? ……………………………………………………………………………………. 49</w:t>
      </w:r>
      <w:r>
        <w:t xml:space="preserve"> </w:t>
      </w:r>
      <w:r>
        <w:t xml:space="preserve">Measure 1 – Ensuring that DAC6 reporting obligations remain proportionate</w:t>
      </w:r>
      <w:r>
        <w:t xml:space="preserve"> </w:t>
      </w:r>
      <w:r>
        <w:t xml:space="preserve">and effective while promoting a more harmonised application of the</w:t>
      </w:r>
      <w:r>
        <w:t xml:space="preserve"> </w:t>
      </w:r>
      <w:r>
        <w:t xml:space="preserve">MBT …………………………………………………………………………………………………. 50</w:t>
      </w:r>
      <w:r>
        <w:t xml:space="preserve"> </w:t>
      </w:r>
      <w:r>
        <w:t xml:space="preserve">Measure 2 – Amending the reporting threshold for activities involving the sale</w:t>
      </w:r>
      <w:r>
        <w:t xml:space="preserve"> </w:t>
      </w:r>
      <w:r>
        <w:t xml:space="preserve">of goods under DAC7 ………………………………………………………………………….. 51</w:t>
      </w:r>
      <w:r>
        <w:t xml:space="preserve"> </w:t>
      </w:r>
      <w:r>
        <w:t xml:space="preserve">Measure 3 – Streamlining notification obligations for MNE group under DAC4</w:t>
      </w:r>
      <w:r>
        <w:t xml:space="preserve"> </w:t>
      </w:r>
      <w:r>
        <w:t xml:space="preserve">and DAC9 ………………………………………………………………………………………….. 53</w:t>
      </w:r>
      <w:r>
        <w:t xml:space="preserve"> </w:t>
      </w:r>
      <w:r>
        <w:t xml:space="preserve">Measure 4 - Improving the verification of TINs ………………………………………………. 55</w:t>
      </w:r>
      <w:r>
        <w:t xml:space="preserve"> </w:t>
      </w:r>
      <w:r>
        <w:t xml:space="preserve">Measure 5 - Improving the completeness of information reported under DAC1 ….. 56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59</w:t>
      </w:r>
      <w:r>
        <w:t xml:space="preserve"> </w:t>
      </w:r>
      <w:r>
        <w:t xml:space="preserve">8.1</w:t>
      </w:r>
      <w:r>
        <w:t xml:space="preserve"> </w:t>
      </w:r>
      <w:r>
        <w:t xml:space="preserve">Preferred policy options and option package ………………………………………….. 59</w:t>
      </w:r>
      <w:r>
        <w:t xml:space="preserve"> </w:t>
      </w:r>
      <w:r>
        <w:t xml:space="preserve">8.2</w:t>
      </w:r>
      <w:r>
        <w:t xml:space="preserve"> </w:t>
      </w:r>
      <w:r>
        <w:t xml:space="preserve">Summary of the preferred policy package ………………………………………………. 62</w:t>
      </w:r>
      <w:r>
        <w:t xml:space="preserve"> </w:t>
      </w:r>
      <w:r>
        <w:t xml:space="preserve">8.3</w:t>
      </w:r>
      <w:r>
        <w:t xml:space="preserve"> </w:t>
      </w:r>
      <w:r>
        <w:t xml:space="preserve">REFIT (simplification and improved efficiency) …………………………………….. 64</w:t>
      </w:r>
      <w:r>
        <w:t xml:space="preserve"> </w:t>
      </w:r>
      <w:r>
        <w:t xml:space="preserve">8.4</w:t>
      </w:r>
      <w:r>
        <w:t xml:space="preserve"> </w:t>
      </w:r>
      <w:r>
        <w:t xml:space="preserve">Application of the ‘one in, one out’ approach …………………………………………. 64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9.1. Monitoring arrangements …………………………………………………………………….. 65</w:t>
      </w:r>
      <w:r>
        <w:t xml:space="preserve"> </w:t>
      </w:r>
      <w:r>
        <w:t xml:space="preserve">ANNEX 1: PROCEDURAL INFORMATION ……………………………………………………………………………….. 69</w:t>
      </w:r>
      <w:r>
        <w:t xml:space="preserve"> </w:t>
      </w:r>
      <w:r>
        <w:t xml:space="preserve">1. LEAD DG, DECIDE PLANNING/CWP REFERENCES …………………………………………………………….. 69</w:t>
      </w:r>
      <w:r>
        <w:t xml:space="preserve"> </w:t>
      </w:r>
      <w:r>
        <w:t xml:space="preserve">2. ORGANISATION AND TIMING …………………………………………………………………………………………….. 69</w:t>
      </w:r>
      <w:r>
        <w:t xml:space="preserve"> </w:t>
      </w:r>
      <w:r>
        <w:t xml:space="preserve">3. CONSULTATION OF THE RSB ……………………………………………………………………………………………… 69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76</w:t>
      </w:r>
      <w:r>
        <w:t xml:space="preserve"> </w:t>
      </w:r>
      <w:r>
        <w:t xml:space="preserve">5.</w:t>
      </w:r>
      <w:r>
        <w:t xml:space="preserve"> </w:t>
      </w:r>
      <w:r>
        <w:t xml:space="preserve">EXTERNAL EXPERTISE …………………………………………………………………………………………………… 76</w:t>
      </w:r>
      <w:r>
        <w:t xml:space="preserve"> </w:t>
      </w:r>
      <w:r>
        <w:t xml:space="preserve">ANNEX 2: STAKEHOLDER CONSULTATION (SYNOPSIS REPORT) ………………………………………… 77</w:t>
      </w:r>
      <w:r>
        <w:t xml:space="preserve"> </w:t>
      </w:r>
      <w:r>
        <w:t xml:space="preserve">1. INTRODUCTION …………………………………………………………………………………………………………………… 77</w:t>
      </w:r>
      <w:r>
        <w:t xml:space="preserve"> </w:t>
      </w:r>
      <w:r>
        <w:t xml:space="preserve">2.</w:t>
      </w:r>
      <w:r>
        <w:t xml:space="preserve"> </w:t>
      </w:r>
      <w:r>
        <w:t xml:space="preserve">RESULTS OF CONSULTATION ACTIVITIES ……………………………………………………………………. 77</w:t>
      </w:r>
      <w:r>
        <w:t xml:space="preserve"> </w:t>
      </w:r>
      <w:r>
        <w:t xml:space="preserve">ANNEX 3: WHO IS AFFECTED AND HOW? ……………………………………………………………………………… 84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84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85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88</w:t>
      </w:r>
      <w:r>
        <w:t xml:space="preserve"> </w:t>
      </w:r>
      <w:r>
        <w:t xml:space="preserve">ANNEX 4: ANALYTICAL METHODS ……………………………………………………………………………………….. 89</w:t>
      </w:r>
      <w:r>
        <w:t xml:space="preserve"> </w:t>
      </w:r>
      <w:r>
        <w:t xml:space="preserve">ANNEX 5: COMPETITIVENESS CHECK …………………………………………………………………………………. 101</w:t>
      </w:r>
      <w:r>
        <w:t xml:space="preserve"> </w:t>
      </w:r>
      <w:r>
        <w:t xml:space="preserve">ANNEX 6: SME CHECK ………………………………………………………………………………………………………….. 103</w:t>
      </w:r>
      <w:r>
        <w:t xml:space="preserve"> </w:t>
      </w:r>
      <w:r>
        <w:t xml:space="preserve">ANNEX 7: OVERVIEW OF SELECTED REPORTING AND EXCHANGE MECHANISMS IN</w:t>
      </w:r>
      <w:r>
        <w:t xml:space="preserve"> </w:t>
      </w:r>
      <w:r>
        <w:t xml:space="preserve">THE DIRECTIVE ON ADMINISTRATIVE COOPERATION (DAC) …………………………………… 106</w:t>
      </w:r>
      <w:r>
        <w:t xml:space="preserve"> </w:t>
      </w:r>
      <w:r>
        <w:t xml:space="preserve">ANNEX 8: PRACTICAL EXAMPLES OF NATIONAL TAXATION RULES FOR THE SALE OF</w:t>
      </w:r>
      <w:r>
        <w:t xml:space="preserve"> </w:t>
      </w:r>
      <w:r>
        <w:t xml:space="preserve">GOODS (DAC7) ………………………………………………………………………………………………………………. 116</w:t>
      </w:r>
      <w:r>
        <w:t xml:space="preserve"> </w:t>
      </w:r>
      <w:r>
        <w:t xml:space="preserve">ANNEX 9: RATIONALE FOR DIVERGING AUTOMATIC MATCHING RATES ………………………… 117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</w:p>
    <w:p>
      <w:pPr>
        <w:pStyle w:val="BodyText"/>
      </w:pP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AEOI</w:t>
      </w:r>
      <w:r>
        <w:t xml:space="preserve"> </w:t>
      </w:r>
      <w:r>
        <w:t xml:space="preserve">Automatic Exchange of Information</w:t>
      </w:r>
      <w:r>
        <w:t xml:space="preserve"> </w:t>
      </w:r>
      <w:r>
        <w:t xml:space="preserve">ATAD</w:t>
      </w:r>
      <w:r>
        <w:t xml:space="preserve"> </w:t>
      </w:r>
      <w:r>
        <w:t xml:space="preserve">Anti-Tax Avoidance Directive</w:t>
      </w:r>
      <w:r>
        <w:t xml:space="preserve"> </w:t>
      </w:r>
      <w:r>
        <w:t xml:space="preserve">AUTOMATIC</w:t>
      </w:r>
      <w:r>
        <w:t xml:space="preserve"> </w:t>
      </w:r>
      <w:r>
        <w:t xml:space="preserve">MATCHING</w:t>
      </w:r>
      <w:r>
        <w:t xml:space="preserve"> </w:t>
      </w:r>
      <w:r>
        <w:t xml:space="preserve">Automatic matching is the automated process of</w:t>
      </w:r>
      <w:r>
        <w:t xml:space="preserve"> </w:t>
      </w:r>
      <w:r>
        <w:t xml:space="preserve">linking information reported under DAC to the relevant</w:t>
      </w:r>
      <w:r>
        <w:t xml:space="preserve"> </w:t>
      </w:r>
      <w:r>
        <w:t xml:space="preserve">taxpayer in the national tax database using identifying</w:t>
      </w:r>
      <w:r>
        <w:t xml:space="preserve"> </w:t>
      </w:r>
      <w:r>
        <w:t xml:space="preserve">information (e.g. TIN).</w:t>
      </w:r>
      <w:r>
        <w:t xml:space="preserve"> </w:t>
      </w:r>
      <w:r>
        <w:t xml:space="preserve">BEPS</w:t>
      </w:r>
      <w:r>
        <w:t xml:space="preserve"> </w:t>
      </w:r>
      <w:r>
        <w:t xml:space="preserve">Base Erosion and Profits Shifting</w:t>
      </w:r>
      <w:r>
        <w:t xml:space="preserve"> </w:t>
      </w:r>
      <w:r>
        <w:t xml:space="preserve">BO</w:t>
      </w:r>
      <w:r>
        <w:t xml:space="preserve"> </w:t>
      </w:r>
      <w:r>
        <w:t xml:space="preserve">Beneficial ownership</w:t>
      </w:r>
      <w:r>
        <w:t xml:space="preserve"> </w:t>
      </w:r>
      <w:r>
        <w:t xml:space="preserve">BRIS</w:t>
      </w:r>
      <w:r>
        <w:t xml:space="preserve"> </w:t>
      </w:r>
      <w:r>
        <w:t xml:space="preserve">Business Registers Interconnection System</w:t>
      </w:r>
      <w:r>
        <w:t xml:space="preserve"> </w:t>
      </w:r>
      <w:r>
        <w:t xml:space="preserve">CbCR</w:t>
      </w:r>
      <w:r>
        <w:t xml:space="preserve"> </w:t>
      </w:r>
      <w:r>
        <w:t xml:space="preserve">Country-by-Country Reporting</w:t>
      </w:r>
      <w:r>
        <w:t xml:space="preserve"> </w:t>
      </w:r>
      <w:r>
        <w:t xml:space="preserve">CfE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DAC</w:t>
      </w:r>
      <w:r>
        <w:t xml:space="preserve"> </w:t>
      </w:r>
      <w:r>
        <w:t xml:space="preserve">Directive on Administrative Cooperation in the field of</w:t>
      </w:r>
      <w:r>
        <w:t xml:space="preserve"> </w:t>
      </w:r>
      <w:r>
        <w:t xml:space="preserve">direct taxation</w:t>
      </w:r>
      <w:r>
        <w:t xml:space="preserve"> </w:t>
      </w:r>
      <w:r>
        <w:t xml:space="preserve">DF</w:t>
      </w:r>
      <w:r>
        <w:t xml:space="preserve"> </w:t>
      </w:r>
      <w:r>
        <w:t xml:space="preserve">Directors’ Fees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t xml:space="preserve"> </w:t>
      </w:r>
      <w:r>
        <w:t xml:space="preserve">GIR</w:t>
      </w:r>
      <w:r>
        <w:t xml:space="preserve"> </w:t>
      </w:r>
      <w:r>
        <w:t xml:space="preserve">GloBE Information Return</w:t>
      </w:r>
      <w:r>
        <w:t xml:space="preserve"> </w:t>
      </w:r>
      <w:r>
        <w:t xml:space="preserve">IE</w:t>
      </w:r>
      <w:r>
        <w:t xml:space="preserve"> </w:t>
      </w:r>
      <w:r>
        <w:t xml:space="preserve">Income from Employment</w:t>
      </w:r>
      <w:r>
        <w:t xml:space="preserve"> </w:t>
      </w:r>
      <w:r>
        <w:t xml:space="preserve">IIR</w:t>
      </w:r>
      <w:r>
        <w:t xml:space="preserve"> </w:t>
      </w:r>
      <w:r>
        <w:t xml:space="preserve">Income Inclusion Rule</w:t>
      </w:r>
      <w:r>
        <w:br/>
      </w:r>
      <w:r>
        <w:t xml:space="preserve">IP</w:t>
      </w:r>
      <w:r>
        <w:t xml:space="preserve"> </w:t>
      </w:r>
      <w:r>
        <w:t xml:space="preserve">Income from immovable property</w:t>
      </w:r>
      <w:r>
        <w:br/>
      </w:r>
      <w:r>
        <w:t xml:space="preserve">LIP</w:t>
      </w:r>
      <w:r>
        <w:t xml:space="preserve"> </w:t>
      </w:r>
      <w:r>
        <w:t xml:space="preserve">Life Insurance Products</w:t>
      </w:r>
      <w:r>
        <w:br/>
      </w:r>
      <w:r>
        <w:t xml:space="preserve">LPP</w:t>
      </w:r>
      <w:r>
        <w:t xml:space="preserve"> </w:t>
      </w:r>
      <w:r>
        <w:t xml:space="preserve">Legal professional privilege</w:t>
      </w:r>
      <w:r>
        <w:t xml:space="preserve"> </w:t>
      </w:r>
      <w:r>
        <w:t xml:space="preserve">MBT</w:t>
      </w:r>
      <w:r>
        <w:t xml:space="preserve"> </w:t>
      </w:r>
      <w:r>
        <w:t xml:space="preserve">Main Benefit Test</w:t>
      </w:r>
      <w:r>
        <w:t xml:space="preserve"> </w:t>
      </w:r>
      <w:r>
        <w:t xml:space="preserve">MCAA</w:t>
      </w:r>
      <w:r>
        <w:t xml:space="preserve"> </w:t>
      </w:r>
      <w:r>
        <w:t xml:space="preserve">Multilateral Competent Authority Agreement</w:t>
      </w:r>
      <w:r>
        <w:t xml:space="preserve"> </w:t>
      </w:r>
      <w:r>
        <w:t xml:space="preserve">MDR</w:t>
      </w:r>
      <w:r>
        <w:t xml:space="preserve"> </w:t>
      </w:r>
      <w:r>
        <w:t xml:space="preserve">Mandatory Disclosure Rules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MNE</w:t>
      </w:r>
      <w:r>
        <w:t xml:space="preserve"> </w:t>
      </w:r>
      <w:r>
        <w:t xml:space="preserve">Multinational Enterprise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OECD MRDP</w:t>
      </w:r>
      <w:r>
        <w:t xml:space="preserve"> </w:t>
      </w:r>
      <w:r>
        <w:t xml:space="preserve">OECD Model Rules for Reporting by Digital Platform</w:t>
      </w:r>
      <w:r>
        <w:t xml:space="preserve"> </w:t>
      </w:r>
      <w:r>
        <w:t xml:space="preserve">Operators</w:t>
      </w:r>
      <w:r>
        <w:t xml:space="preserve"> </w:t>
      </w:r>
      <w:r>
        <w:t xml:space="preserve">PC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PEN</w:t>
      </w:r>
      <w:r>
        <w:t xml:space="preserve"> </w:t>
      </w:r>
      <w:r>
        <w:t xml:space="preserve">Pension Income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QDMTT</w:t>
      </w:r>
      <w:r>
        <w:t xml:space="preserve"> </w:t>
      </w:r>
      <w:r>
        <w:t xml:space="preserve">Qualified Domestic Minimum Top-up Tax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sized enterprise</w:t>
      </w:r>
      <w:r>
        <w:t xml:space="preserve"> </w:t>
      </w:r>
      <w:r>
        <w:t xml:space="preserve">TIN</w:t>
      </w:r>
      <w:r>
        <w:t xml:space="preserve"> </w:t>
      </w:r>
      <w:r>
        <w:t xml:space="preserve">Taxpayer Identification Number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UPE</w:t>
      </w:r>
      <w:r>
        <w:t xml:space="preserve"> </w:t>
      </w:r>
      <w:r>
        <w:t xml:space="preserve">Ultimate Parent Entity</w:t>
      </w:r>
      <w:r>
        <w:br/>
      </w:r>
      <w:r>
        <w:t xml:space="preserve">UTPR</w:t>
      </w:r>
      <w:r>
        <w:t xml:space="preserve"> </w:t>
      </w:r>
      <w:r>
        <w:t xml:space="preserve">Undertaxed Profits Rule</w:t>
      </w:r>
      <w:r>
        <w:br/>
      </w:r>
      <w:r>
        <w:t xml:space="preserve">VIES</w:t>
      </w:r>
      <w:r>
        <w:t xml:space="preserve"> </w:t>
      </w:r>
      <w:r>
        <w:t xml:space="preserve">VAT Information Exchange System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Political Guidelines of the European Commission1 have set the objective of making</w:t>
      </w:r>
      <w:r>
        <w:t xml:space="preserve"> </w:t>
      </w:r>
      <w:r>
        <w:t xml:space="preserve">business easier and faster in Europe by reducing administrative burdens and simplifying</w:t>
      </w:r>
      <w:r>
        <w:t xml:space="preserve"> </w:t>
      </w:r>
      <w:r>
        <w:t xml:space="preserve">implementation, while upholding high standards, with a view to strengthening European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The Competitiveness Compass2 highlighted the need to simplify the regulatory environment</w:t>
      </w:r>
      <w:r>
        <w:t xml:space="preserve"> </w:t>
      </w:r>
      <w:r>
        <w:t xml:space="preserve">and reduce administrative burdens in order to strengthen competitiveness across all sectors.</w:t>
      </w:r>
      <w:r>
        <w:t xml:space="preserve"> </w:t>
      </w:r>
      <w:r>
        <w:t xml:space="preserve">Subsequently, in its Communication on implementation and simplification3, the</w:t>
      </w:r>
      <w:r>
        <w:t xml:space="preserve"> </w:t>
      </w:r>
      <w:r>
        <w:t xml:space="preserve">Commission reiterated the need for a bold approach to enhance EU competitiveness and</w:t>
      </w:r>
      <w:r>
        <w:t xml:space="preserve"> </w:t>
      </w:r>
      <w:r>
        <w:t xml:space="preserve">introduced new targets to reduce administrative burdens. Under the new approach, the</w:t>
      </w:r>
      <w:r>
        <w:t xml:space="preserve"> </w:t>
      </w:r>
      <w:r>
        <w:t xml:space="preserve">burden-reduction targets of at least 25% for all companies and at least 35% for small and</w:t>
      </w:r>
      <w:r>
        <w:t xml:space="preserve"> </w:t>
      </w:r>
      <w:r>
        <w:t xml:space="preserve">medium-sized enterprises (SMEs) will be applied to a baseline covering the full range of</w:t>
      </w:r>
      <w:r>
        <w:t xml:space="preserve"> </w:t>
      </w:r>
      <w:r>
        <w:t xml:space="preserve">administrative costs rather than focusing solely on reporting obligations.</w:t>
      </w:r>
      <w:r>
        <w:br/>
      </w:r>
      <w:r>
        <w:t xml:space="preserve">To achieve these objectives, the Commission committed to prioritise proposals that simplify,</w:t>
      </w:r>
      <w:r>
        <w:t xml:space="preserve"> </w:t>
      </w:r>
      <w:r>
        <w:t xml:space="preserve">consolidate and codify legislation in order to eliminate overlaps and inconsistencies while</w:t>
      </w:r>
      <w:r>
        <w:t xml:space="preserve"> </w:t>
      </w:r>
      <w:r>
        <w:t xml:space="preserve">ensuring that the EU’s priorities continue to be met. The 2025 Commission Work</w:t>
      </w:r>
      <w:r>
        <w:t xml:space="preserve"> </w:t>
      </w:r>
      <w:r>
        <w:t xml:space="preserve">Programme4 therefore placed a stronger focus on simplification than ever before and</w:t>
      </w:r>
      <w:r>
        <w:t xml:space="preserve"> </w:t>
      </w:r>
      <w:r>
        <w:t xml:space="preserve">included a series of omnibus packages and other simplification initiatives addressing priority</w:t>
      </w:r>
      <w:r>
        <w:t xml:space="preserve"> </w:t>
      </w:r>
      <w:r>
        <w:t xml:space="preserve">areas identified with stakeholders.</w:t>
      </w:r>
      <w:r>
        <w:t xml:space="preserve"> </w:t>
      </w:r>
      <w:r>
        <w:t xml:space="preserve">The 2026 Commission Work Programme5 builds on this momentum by including a new</w:t>
      </w:r>
      <w:r>
        <w:t xml:space="preserve"> </w:t>
      </w:r>
      <w:r>
        <w:t xml:space="preserve">cycle of simplification initiatives and omnibus packages aimed at simplifying rules across</w:t>
      </w:r>
      <w:r>
        <w:t xml:space="preserve"> </w:t>
      </w:r>
      <w:r>
        <w:t xml:space="preserve">key policy areas, including taxation. In particular, the Omnibus on Taxation will streamline,</w:t>
      </w:r>
      <w:r>
        <w:t xml:space="preserve"> </w:t>
      </w:r>
      <w:r>
        <w:t xml:space="preserve">simplify and clarify the EU direct tax acquis including the Interest and Royalties Directive6,</w:t>
      </w:r>
      <w:r>
        <w:t xml:space="preserve"> </w:t>
      </w:r>
      <w:r>
        <w:t xml:space="preserve">the Tax Merger Directive7, the Parent-Subsidiary Directive8, the Anti-Tax Avoidance</w:t>
      </w:r>
      <w:r>
        <w:t xml:space="preserve"> </w:t>
      </w:r>
      <w:r>
        <w:t xml:space="preserve">Directive9, the Dispute Resolution Mechanisms Directive10, and the Faster and Safer Relief</w:t>
      </w:r>
      <w:r>
        <w:t xml:space="preserve"> </w:t>
      </w:r>
      <w:r>
        <w:t xml:space="preserve">of Excess Withholding Taxes Directive11 with a view to reducing administrative burdens for</w:t>
      </w:r>
      <w:r>
        <w:t xml:space="preserve"> </w:t>
      </w:r>
      <w:r>
        <w:t xml:space="preserve">businesses and ensuring a level playing field across Member States.</w:t>
      </w:r>
    </w:p>
    <w:p>
      <w:pPr>
        <w:pStyle w:val="BodyText"/>
      </w:pPr>
      <w:r>
        <w:t xml:space="preserve">1European Commission, Political Guidelines for the Next European Commission 2024–2029: Europe’s Choice, July 2024, available at:</w:t>
      </w:r>
      <w:r>
        <w:t xml:space="preserve"> </w:t>
      </w:r>
      <w:r>
        <w:t xml:space="preserve">https://commission.europa.eu/priorities-2024-2029_en</w:t>
      </w:r>
      <w:r>
        <w:br/>
      </w:r>
      <w:r>
        <w:t xml:space="preserve">2 European Commission,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Regions: A Competitiveness Compass for the EU, COM(2025) 30</w:t>
      </w:r>
      <w:r>
        <w:t xml:space="preserve"> </w:t>
      </w:r>
      <w:r>
        <w:t xml:space="preserve">final, 29 January 2025, available at: https://commission.europa.eu/document/download/10017eb1-4722-4333-add2-e0ed18105a34_en</w:t>
      </w:r>
      <w:r>
        <w:t xml:space="preserve"> </w:t>
      </w:r>
      <w:r>
        <w:t xml:space="preserve">3 European Commission, Competitiveness Compass, COM(2025) 30 final.</w:t>
      </w:r>
      <w:r>
        <w:t xml:space="preserve"> </w:t>
      </w:r>
      <w:r>
        <w:t xml:space="preserve">4 European Commission,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Regions: Commission Work Programme 2025 – Moving forward together: A Bolder, Simpler,</w:t>
      </w:r>
      <w:r>
        <w:t xml:space="preserve"> </w:t>
      </w:r>
      <w:r>
        <w:t xml:space="preserve">Faster Union, COM(2025) 45 final, 11 February 2025, available at: EUR-Lex - 52025DC0045 - EN - EUR-Lex</w:t>
      </w:r>
      <w:r>
        <w:t xml:space="preserve"> </w:t>
      </w:r>
      <w:r>
        <w:t xml:space="preserve">5 European Commission, Communication from the Commission: Commission Work Programme 2026 – Europe’s Independence Moment,</w:t>
      </w:r>
      <w:r>
        <w:t xml:space="preserve"> </w:t>
      </w:r>
      <w:r>
        <w:t xml:space="preserve">21</w:t>
      </w:r>
      <w:r>
        <w:t xml:space="preserve"> </w:t>
      </w:r>
      <w:r>
        <w:t xml:space="preserve">October</w:t>
      </w:r>
      <w:r>
        <w:t xml:space="preserve"> </w:t>
      </w:r>
      <w:r>
        <w:t xml:space="preserve">2025,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https://commission.europa.eu/strategy-and-policy/strategy-documents/commission-work-</w:t>
      </w:r>
      <w:r>
        <w:t xml:space="preserve"> </w:t>
      </w:r>
      <w:r>
        <w:t xml:space="preserve">programme/commission-work-programme-2026_en</w:t>
      </w:r>
      <w:r>
        <w:t xml:space="preserve"> </w:t>
      </w:r>
      <w:r>
        <w:t xml:space="preserve">6 Council Directive 2003/49/EC of 3 June 2003 on a common system of taxation applicable to interest and royalty payments made between</w:t>
      </w:r>
      <w:r>
        <w:t xml:space="preserve"> </w:t>
      </w:r>
      <w:r>
        <w:t xml:space="preserve">associated companies of different Member States, OJ L 157</w:t>
      </w:r>
      <w:r>
        <w:t xml:space="preserve"> </w:t>
      </w:r>
      <w:r>
        <w:t xml:space="preserve">7 Council Directive 2009/133/EC of 19 October 2009 on the common system of taxation applicable to mergers, divisions, partial divisions,</w:t>
      </w:r>
      <w:r>
        <w:t xml:space="preserve"> </w:t>
      </w:r>
      <w:r>
        <w:t xml:space="preserve">transfers of assets and exchanges of shares concerning companies of different Member States and to the transfer of the registered office</w:t>
      </w:r>
      <w:r>
        <w:t xml:space="preserve"> </w:t>
      </w:r>
      <w:r>
        <w:t xml:space="preserve">of an SE or SCE between Member States, OJ L 310</w:t>
      </w:r>
      <w:r>
        <w:t xml:space="preserve"> </w:t>
      </w:r>
      <w:r>
        <w:t xml:space="preserve">8 Council Directive 2011/96/EU of 30 November 2011 on the common system of taxation applicable in the case of parent companies and</w:t>
      </w:r>
      <w:r>
        <w:t xml:space="preserve"> </w:t>
      </w:r>
      <w:r>
        <w:t xml:space="preserve">subsidiaries of different Member States (recast), OJ L 345</w:t>
      </w:r>
      <w:r>
        <w:t xml:space="preserve"> </w:t>
      </w:r>
      <w:r>
        <w:t xml:space="preserve">9 Council Directive (EU) 2016/1164 of 12 July 2016 laying down rules against tax avoidance practices that directly affect the functioning</w:t>
      </w:r>
      <w:r>
        <w:t xml:space="preserve"> </w:t>
      </w:r>
      <w:r>
        <w:t xml:space="preserve">of the internal market, OJ L 193</w:t>
      </w:r>
      <w:r>
        <w:t xml:space="preserve"> </w:t>
      </w:r>
      <w:r>
        <w:t xml:space="preserve">10 Council Directive (EU) 2017/1852 of 10 October 2017 on tax dispute resolution mechanisms in the European Union, OJ L 265</w:t>
      </w:r>
      <w:r>
        <w:t xml:space="preserve"> </w:t>
      </w:r>
      <w:r>
        <w:t xml:space="preserve">11 Council Directive (EU) 2025/50 of 10 December 2024 on Faster and Safer Relief of Excess Withholding Taxes (FASTER), OJ L,</w:t>
      </w:r>
      <w:r>
        <w:t xml:space="preserve"> </w:t>
      </w:r>
      <w:r>
        <w:t xml:space="preserve">2025/50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The proposal to recast the Directive on administrative cooperation in the field of direct</w:t>
      </w:r>
      <w:r>
        <w:t xml:space="preserve"> </w:t>
      </w:r>
      <w:r>
        <w:t xml:space="preserve">taxation (DAC)12 will complement these simplification efforts by clarifying, streamlining</w:t>
      </w:r>
      <w:r>
        <w:t xml:space="preserve"> </w:t>
      </w:r>
      <w:r>
        <w:t xml:space="preserve">and improving the functioning of the EU framework for administrative cooperation in direct</w:t>
      </w:r>
      <w:r>
        <w:t xml:space="preserve"> </w:t>
      </w:r>
      <w:r>
        <w:t xml:space="preserve">taxation. The objective is to reduce the administrative burden on businesses while increasing</w:t>
      </w:r>
      <w:r>
        <w:t xml:space="preserve"> </w:t>
      </w:r>
      <w:r>
        <w:t xml:space="preserve">the efficiency of tax administration without undermining the overarching policy objective</w:t>
      </w:r>
      <w:r>
        <w:t xml:space="preserve"> </w:t>
      </w:r>
      <w:r>
        <w:t xml:space="preserve">of combating tax fraud, evasion and avoidance.</w:t>
      </w:r>
      <w:r>
        <w:t xml:space="preserve"> </w:t>
      </w:r>
      <w:r>
        <w:t xml:space="preserve">Member States unanimously support simplification in the field of direct taxation and on 20</w:t>
      </w:r>
      <w:r>
        <w:t xml:space="preserve"> </w:t>
      </w:r>
      <w:r>
        <w:t xml:space="preserve">March 2025, adopted Council Conclusions13 calling for efforts at EU, national and regional</w:t>
      </w:r>
      <w:r>
        <w:t xml:space="preserve"> </w:t>
      </w:r>
      <w:r>
        <w:t xml:space="preserve">levels to ensure a clear, simple and smart regulatory framework that reduces administrative,</w:t>
      </w:r>
      <w:r>
        <w:t xml:space="preserve"> </w:t>
      </w:r>
      <w:r>
        <w:t xml:space="preserve">regulatory and reporting burdens for businesses and public administrations without</w:t>
      </w:r>
      <w:r>
        <w:t xml:space="preserve"> </w:t>
      </w:r>
      <w:r>
        <w:t xml:space="preserve">undermining the policy goals.</w:t>
      </w:r>
      <w:r>
        <w:br/>
      </w:r>
      <w:r>
        <w:t xml:space="preserve">This initiative is consistent with the recent proposal for a regulation on the 28th Regime</w:t>
      </w:r>
      <w:r>
        <w:t xml:space="preserve"> </w:t>
      </w:r>
      <w:r>
        <w:t xml:space="preserve">Corporate Legal Framework – EU Inc14, which includes the “once-only” principle for the</w:t>
      </w:r>
      <w:r>
        <w:t xml:space="preserve"> </w:t>
      </w:r>
      <w:r>
        <w:t xml:space="preserve">submission of information, as well as with the FASTER Directive, which simplifies</w:t>
      </w:r>
      <w:r>
        <w:t xml:space="preserve"> </w:t>
      </w:r>
      <w:r>
        <w:t xml:space="preserve">procedures for claiming relief of excess withholding taxes while, at the same time, providing</w:t>
      </w:r>
      <w:r>
        <w:t xml:space="preserve"> </w:t>
      </w:r>
      <w:r>
        <w:t xml:space="preserve">for reporting obligations to increase transparency. The DAC, once recast, will continue to</w:t>
      </w:r>
      <w:r>
        <w:t xml:space="preserve"> </w:t>
      </w:r>
      <w:r>
        <w:t xml:space="preserve">be coherent and complementary with the EU Accounting Directive15 which intends to</w:t>
      </w:r>
      <w:r>
        <w:t xml:space="preserve"> </w:t>
      </w:r>
      <w:r>
        <w:t xml:space="preserve">promote the public transparency of the MNE group.</w:t>
      </w:r>
      <w:r>
        <w:t xml:space="preserve"> </w:t>
      </w:r>
      <w:r>
        <w:t xml:space="preserve">In addition, the DAC recast initiative is consistent with the Union’s commitment to the</w:t>
      </w:r>
      <w:r>
        <w:t xml:space="preserve"> </w:t>
      </w:r>
      <w:r>
        <w:t xml:space="preserve">United Nations 2030 Agenda for Sustainable Development16. It contributes in particular to</w:t>
      </w:r>
      <w:r>
        <w:t xml:space="preserve"> </w:t>
      </w:r>
      <w:r>
        <w:t xml:space="preserve">Sustainable Development Goal (SDG) 8 (Decent Work and Economic Growth), SDG 9</w:t>
      </w:r>
      <w:r>
        <w:t xml:space="preserve"> </w:t>
      </w:r>
      <w:r>
        <w:t xml:space="preserve">(Industry, Innovation and Infrastructure), SDG 10 (Reduced Inequalities), SDG 16 (Peace,</w:t>
      </w:r>
      <w:r>
        <w:t xml:space="preserve"> </w:t>
      </w:r>
      <w:r>
        <w:t xml:space="preserve">Justice and Strong Institutions) and SDG 17 (Partnerships for the Goals). A more detailed</w:t>
      </w:r>
      <w:r>
        <w:t xml:space="preserve"> </w:t>
      </w:r>
      <w:r>
        <w:t xml:space="preserve">analysis of these aspects is included in Annex 3.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DAC is the main piece of EU legislation governing administrative cooperation in direct</w:t>
      </w:r>
      <w:r>
        <w:t xml:space="preserve"> </w:t>
      </w:r>
      <w:r>
        <w:t xml:space="preserve">taxation. It provides harmonised tools such as exchange of information (on request,</w:t>
      </w:r>
      <w:r>
        <w:t xml:space="preserve"> </w:t>
      </w:r>
      <w:r>
        <w:t xml:space="preserve">automatic and spontaneous) as well as other cooperation instruments (presence in</w:t>
      </w:r>
      <w:r>
        <w:t xml:space="preserve"> </w:t>
      </w:r>
      <w:r>
        <w:t xml:space="preserve">administrative offices or during administrative enquiries, simultaneous controls and joint</w:t>
      </w:r>
      <w:r>
        <w:t xml:space="preserve"> </w:t>
      </w:r>
      <w:r>
        <w:t xml:space="preserve">audits). These mechanisms enable Member States’ tax authorities to cooperate efficiently in</w:t>
      </w:r>
      <w:r>
        <w:t xml:space="preserve"> </w:t>
      </w:r>
      <w:r>
        <w:t xml:space="preserve">combating tax fraud, evasion and avoidance. By increasing tax transparency, the DAC helps</w:t>
      </w:r>
      <w:r>
        <w:t xml:space="preserve"> </w:t>
      </w:r>
      <w:r>
        <w:t xml:space="preserve">protect the financial interests of Member States and the EU, ensures the proper functioning</w:t>
      </w:r>
      <w:r>
        <w:t xml:space="preserve"> </w:t>
      </w:r>
      <w:r>
        <w:t xml:space="preserve">of the internal market and contributes to a fairer taxation system.</w:t>
      </w:r>
      <w:r>
        <w:t xml:space="preserve"> </w:t>
      </w:r>
      <w:r>
        <w:t xml:space="preserve">The most impactful cooperation tool under the DAC is the automatic exchange of</w:t>
      </w:r>
      <w:r>
        <w:t xml:space="preserve"> </w:t>
      </w:r>
      <w:r>
        <w:t xml:space="preserve">information (AEOI). In most cases, this mechanism operates through a two-step process: i)</w:t>
      </w:r>
      <w:r>
        <w:t xml:space="preserve"> </w:t>
      </w:r>
      <w:r>
        <w:t xml:space="preserve">reporting to the tax authorities by the taxpayer or a third-party (e.g. financial institutions)</w:t>
      </w:r>
    </w:p>
    <w:p>
      <w:pPr>
        <w:pStyle w:val="BodyText"/>
      </w:pPr>
      <w:r>
        <w:t xml:space="preserve">12 Council Directive 2011/16/EU of 15 February 2011 on administrative cooperation in the field of taxation and repealing Directive</w:t>
      </w:r>
      <w:r>
        <w:t xml:space="preserve"> </w:t>
      </w:r>
      <w:r>
        <w:t xml:space="preserve">77/799/EEC, OJ L 64</w:t>
      </w:r>
      <w:r>
        <w:t xml:space="preserve"> </w:t>
      </w:r>
      <w:r>
        <w:t xml:space="preserve">13 European Council, European Council conclusions, 20 March 2025, EUCO 1/25, 20 March 2025, available at:</w:t>
      </w:r>
      <w:r>
        <w:t xml:space="preserve"> </w:t>
      </w:r>
      <w:r>
        <w:t xml:space="preserve">https://www.consilium.europa.eu/media/viyhc2m4/20250320-european-council-conclusions-en.pdf</w:t>
      </w:r>
      <w:r>
        <w:t xml:space="preserve"> </w:t>
      </w:r>
      <w:r>
        <w:t xml:space="preserve">14 European Commission, Proposal for a Regulation on the 28th Regime Corporate Legal Framework – ‘EU Inc.’, COM(2026) 321 final,</w:t>
      </w:r>
      <w:r>
        <w:t xml:space="preserve"> </w:t>
      </w:r>
      <w:r>
        <w:t xml:space="preserve">18 March 2026</w:t>
      </w:r>
      <w:r>
        <w:t xml:space="preserve"> </w:t>
      </w:r>
      <w:r>
        <w:t xml:space="preserve">15 Directive (EU) 2021/2101 of the European Parliament and of the Council of 24 November 2021 amending Directive 2013/34/EU as</w:t>
      </w:r>
      <w:r>
        <w:t xml:space="preserve"> </w:t>
      </w:r>
      <w:r>
        <w:t xml:space="preserve">regards disclosure of income tax information by certain undertakings and branches; OJ L 429, 1.12.2021, pp. 1–14, ELI:</w:t>
      </w:r>
      <w:r>
        <w:t xml:space="preserve"> </w:t>
      </w:r>
      <w:r>
        <w:t xml:space="preserve">http://data.europa.eu/eli/dir/2021/2101/oj.</w:t>
      </w:r>
      <w:r>
        <w:t xml:space="preserve"> </w:t>
      </w:r>
      <w:r>
        <w:t xml:space="preserve">16 United Nations, Transforming our world: the 2030 Agenda for Sustainable Development, Resolution adopted by the General</w:t>
      </w:r>
      <w:r>
        <w:t xml:space="preserve"> </w:t>
      </w:r>
      <w:r>
        <w:t xml:space="preserve">Assembly on 25 September 2015, A/RES/70/1, available at: https://undocs.org/en/A/RES/70/1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and ii) automatic exchange between the tax authorities concerned of the information that has</w:t>
      </w:r>
      <w:r>
        <w:t xml:space="preserve"> </w:t>
      </w:r>
      <w:r>
        <w:t xml:space="preserve">been reported. The scope of AEOI under the DAC has been expanded several times over</w:t>
      </w:r>
      <w:r>
        <w:t xml:space="preserve"> </w:t>
      </w:r>
      <w:r>
        <w:t xml:space="preserve">recent years, in order to respond to emerging challenges and evolving economic realities.</w:t>
      </w:r>
      <w:r>
        <w:t xml:space="preserve"> </w:t>
      </w:r>
      <w:r>
        <w:t xml:space="preserve">While the initial framework covered AEOI on five categories of income and capital (DAC1),</w:t>
      </w:r>
      <w:r>
        <w:t xml:space="preserve"> </w:t>
      </w:r>
      <w:r>
        <w:t xml:space="preserve">the framework was subsequently expanded to provide for third-party reporting and AEOI</w:t>
      </w:r>
      <w:r>
        <w:t xml:space="preserve"> </w:t>
      </w:r>
      <w:r>
        <w:t xml:space="preserve">on financial accounts (DAC2)17, cross-border tax rulings (DAC3)18, country-by country</w:t>
      </w:r>
      <w:r>
        <w:t xml:space="preserve"> </w:t>
      </w:r>
      <w:r>
        <w:t xml:space="preserve">reporting (CbCR) on the activities of multinational enterprise (MNE) groups (DAC4)19,</w:t>
      </w:r>
      <w:r>
        <w:t xml:space="preserve"> </w:t>
      </w:r>
      <w:r>
        <w:t xml:space="preserve">reportable cross-border arrangements (DAC6)20, income earned through digital platforms</w:t>
      </w:r>
      <w:r>
        <w:t xml:space="preserve"> </w:t>
      </w:r>
      <w:r>
        <w:t xml:space="preserve">(DAC7)21, crypto-asset transactions (DAC8)22 and information related to the global</w:t>
      </w:r>
      <w:r>
        <w:t xml:space="preserve"> </w:t>
      </w:r>
      <w:r>
        <w:t xml:space="preserve">minimum tax for MNE groups (DAC9)23. In addition, (DAC5)24 provides access for tax</w:t>
      </w:r>
      <w:r>
        <w:t xml:space="preserve"> </w:t>
      </w:r>
      <w:r>
        <w:t xml:space="preserve">authorities to beneficial ownership registers.</w:t>
      </w:r>
      <w:r>
        <w:t xml:space="preserve"> </w:t>
      </w:r>
      <w:r>
        <w:t xml:space="preserve">Figure 1: Evolution of the DAC</w:t>
      </w:r>
    </w:p>
    <w:p>
      <w:pPr>
        <w:pStyle w:val="BodyText"/>
      </w:pPr>
      <w:r>
        <w:t xml:space="preserve">17 Council Directive (EU) 2014/107 of 9 December 2014 amending Directive 2011/16/EU as regards mandatory automatic exchange of</w:t>
      </w:r>
      <w:r>
        <w:t xml:space="preserve"> </w:t>
      </w:r>
      <w:r>
        <w:t xml:space="preserve">information in the field of taxation, OJ L 359</w:t>
      </w:r>
      <w:r>
        <w:t xml:space="preserve"> </w:t>
      </w:r>
      <w:r>
        <w:t xml:space="preserve">18 Council Directive (EU) 2015/2376 of 8 December 2015 amending Directive 2011/16/EU as regards mandatory automatic exchange of</w:t>
      </w:r>
      <w:r>
        <w:t xml:space="preserve"> </w:t>
      </w:r>
      <w:r>
        <w:t xml:space="preserve">information in the field of taxation, OJ L 332</w:t>
      </w:r>
      <w:r>
        <w:t xml:space="preserve"> </w:t>
      </w:r>
      <w:r>
        <w:t xml:space="preserve">19 Council Directive (EU) 2016/881 of 25 May 2016 amending Directive 2011/16/EU as regards mandatory automatic exchange of</w:t>
      </w:r>
      <w:r>
        <w:t xml:space="preserve"> </w:t>
      </w:r>
      <w:r>
        <w:t xml:space="preserve">information in the field of taxation, OJ L 146</w:t>
      </w:r>
      <w:r>
        <w:t xml:space="preserve"> </w:t>
      </w:r>
      <w:r>
        <w:t xml:space="preserve">20 Council Directive (EU) 2018/822 of 25 May 2018 amending Directive 2011/16/EU as regards mandatory automatic exchange of</w:t>
      </w:r>
      <w:r>
        <w:t xml:space="preserve"> </w:t>
      </w:r>
      <w:r>
        <w:t xml:space="preserve">information in the field of taxation in relation to reportable cross-border arrangements, OJ L 139</w:t>
      </w:r>
      <w:r>
        <w:t xml:space="preserve"> </w:t>
      </w:r>
      <w:r>
        <w:t xml:space="preserve">21 Council Directive (EU) 2021/514 of 22 March 2021 amending Directive 2011/16/EU on administrative cooperation in the field of</w:t>
      </w:r>
      <w:r>
        <w:t xml:space="preserve"> </w:t>
      </w:r>
      <w:r>
        <w:t xml:space="preserve">taxation, OJ L 104</w:t>
      </w:r>
      <w:r>
        <w:t xml:space="preserve"> </w:t>
      </w:r>
      <w:r>
        <w:t xml:space="preserve">22 Council Directive (EU) 2023/2226 of 17 October 2023 amending Directive 2011/16/EU on administrative cooperation in the field of</w:t>
      </w:r>
      <w:r>
        <w:t xml:space="preserve"> </w:t>
      </w:r>
      <w:r>
        <w:t xml:space="preserve">taxation, OJ L 2023/2226</w:t>
      </w:r>
      <w:r>
        <w:t xml:space="preserve"> </w:t>
      </w:r>
      <w:r>
        <w:t xml:space="preserve">23 Council Directive (EU) 2025/872 of 29 April 2024 amending Directive 2011/16/EU on administrative cooperation in the field of</w:t>
      </w:r>
      <w:r>
        <w:t xml:space="preserve"> </w:t>
      </w:r>
      <w:r>
        <w:t xml:space="preserve">taxation, OJ L 2024/1263</w:t>
      </w:r>
      <w:r>
        <w:t xml:space="preserve"> </w:t>
      </w:r>
      <w:r>
        <w:t xml:space="preserve">24 Council Directive (EU) 2016/2258 of 6 December 2016 amending Directive 2011/16/EU as regards access to anti-money-laundering</w:t>
      </w:r>
      <w:r>
        <w:t xml:space="preserve"> </w:t>
      </w:r>
      <w:r>
        <w:t xml:space="preserve">information by tax authorities, OJ L 342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In 2025 the Commission published an evaluation report on the application of the DAC25.The</w:t>
      </w:r>
      <w:r>
        <w:t xml:space="preserve"> </w:t>
      </w:r>
      <w:r>
        <w:t xml:space="preserve">report covers the period from 2018 to 2023 and all amendments up to DAC6. The report is</w:t>
      </w:r>
      <w:r>
        <w:t xml:space="preserve"> </w:t>
      </w:r>
      <w:r>
        <w:t xml:space="preserve">supported by an accompanying staff working document (the SWD)26, which is based inter</w:t>
      </w:r>
      <w:r>
        <w:t xml:space="preserve"> </w:t>
      </w:r>
      <w:r>
        <w:t xml:space="preserve">alia on the findings of an external study27. The evaluation report and SWD concluded that</w:t>
      </w:r>
      <w:r>
        <w:t xml:space="preserve"> </w:t>
      </w:r>
      <w:r>
        <w:t xml:space="preserve">that the DAC provides a robust legal framework that has facilitated the exchange of</w:t>
      </w:r>
      <w:r>
        <w:t xml:space="preserve"> </w:t>
      </w:r>
      <w:r>
        <w:t xml:space="preserve">substantial volumes of information. It also found that there has been a progressive increase</w:t>
      </w:r>
      <w:r>
        <w:t xml:space="preserve"> </w:t>
      </w:r>
      <w:r>
        <w:t xml:space="preserve">in both the matching of information and the use of exchanged information by tax authorities,</w:t>
      </w:r>
      <w:r>
        <w:t xml:space="preserve"> </w:t>
      </w:r>
      <w:r>
        <w:t xml:space="preserve">which has had a positive effect on Member States’ tax bases and revenues28. However, the</w:t>
      </w:r>
      <w:r>
        <w:t xml:space="preserve"> </w:t>
      </w:r>
      <w:r>
        <w:t xml:space="preserve">evaluation also identified several areas for improvement29. In particular, the evaluation</w:t>
      </w:r>
      <w:r>
        <w:t xml:space="preserve"> </w:t>
      </w:r>
      <w:r>
        <w:t xml:space="preserve">concluded that frequent amendments to the DAC since 2011 and the absence of a</w:t>
      </w:r>
      <w:r>
        <w:t xml:space="preserve"> </w:t>
      </w:r>
      <w:r>
        <w:t xml:space="preserve">consolidated legal text have made the framework more complex and less user-friendly. The</w:t>
      </w:r>
      <w:r>
        <w:t xml:space="preserve"> </w:t>
      </w:r>
      <w:r>
        <w:t xml:space="preserve">evaluation also highlighted the need to simplify reporting obligations, in particular under</w:t>
      </w:r>
      <w:r>
        <w:t xml:space="preserve"> </w:t>
      </w:r>
      <w:r>
        <w:t xml:space="preserve">DAC6, to eliminate inefficient reporting practices, thereby reducing administrative burdens</w:t>
      </w:r>
      <w:r>
        <w:t xml:space="preserve"> </w:t>
      </w:r>
      <w:r>
        <w:t xml:space="preserve">for stakeholders. In addition, the evaluation found that, despite progress made, challenges</w:t>
      </w:r>
      <w:r>
        <w:t xml:space="preserve"> </w:t>
      </w:r>
      <w:r>
        <w:t xml:space="preserve">remain with respect to the automatic matching of information and the identification of</w:t>
      </w:r>
      <w:r>
        <w:t xml:space="preserve"> </w:t>
      </w:r>
      <w:r>
        <w:t xml:space="preserve">taxpayers, which increases the burden on tax administrations to cross check the information</w:t>
      </w:r>
      <w:r>
        <w:t xml:space="preserve"> </w:t>
      </w:r>
      <w:r>
        <w:t xml:space="preserve">received.</w:t>
      </w:r>
      <w:r>
        <w:t xml:space="preserve"> </w:t>
      </w:r>
      <w:r>
        <w:t xml:space="preserve">These findings are consistent with the conclusions and recommendations of the European</w:t>
      </w:r>
      <w:r>
        <w:t xml:space="preserve"> </w:t>
      </w:r>
      <w:r>
        <w:t xml:space="preserve">Court of Auditors (ECA) in its 2021 Special Report30 on DAC1 – DAC4 and their 2024</w:t>
      </w:r>
      <w:r>
        <w:t xml:space="preserve"> </w:t>
      </w:r>
      <w:r>
        <w:t xml:space="preserve">Special Report31 on DAC6. The targeted consultations carried out by the Commission</w:t>
      </w:r>
      <w:r>
        <w:t xml:space="preserve"> </w:t>
      </w:r>
      <w:r>
        <w:t xml:space="preserve">services on the simplification of the EU direct tax acquis and the public consultation and</w:t>
      </w:r>
      <w:r>
        <w:t xml:space="preserve"> </w:t>
      </w:r>
      <w:r>
        <w:t xml:space="preserve">call for evidence 32 conducted to inform this impact assessment also confirmed that there are</w:t>
      </w:r>
      <w:r>
        <w:t xml:space="preserve"> </w:t>
      </w:r>
      <w:r>
        <w:t xml:space="preserve">a number of issues related to DAC6 while also identifying further areas for simplification</w:t>
      </w:r>
      <w:r>
        <w:t xml:space="preserve"> </w:t>
      </w:r>
      <w:r>
        <w:t xml:space="preserve">with respect to the interaction of notification obligations to support reporting under DAC4</w:t>
      </w:r>
      <w:r>
        <w:t xml:space="preserve"> </w:t>
      </w:r>
      <w:r>
        <w:t xml:space="preserve">and DAC9 as well as DAC7. No significant issues were identified with respect to DAC2,</w:t>
      </w:r>
      <w:r>
        <w:t xml:space="preserve"> </w:t>
      </w:r>
      <w:r>
        <w:t xml:space="preserve">DAC3, DAC5 and DAC8 (further information is provided in Annex 7). The latter only</w:t>
      </w:r>
      <w:r>
        <w:t xml:space="preserve"> </w:t>
      </w:r>
      <w:r>
        <w:t xml:space="preserve">entered into application on 1 January 2026.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This section describes the problems and tries to estimate their magnitude.</w:t>
      </w:r>
      <w:r>
        <w:br/>
      </w:r>
      <w:r>
        <w:t xml:space="preserve">A problem tree (Figure 2) has been included to visually present the problem, its drivers and</w:t>
      </w:r>
      <w:r>
        <w:t xml:space="preserve"> </w:t>
      </w:r>
      <w:r>
        <w:t xml:space="preserve">consequences.</w:t>
      </w:r>
      <w:r>
        <w:br/>
      </w:r>
      <w:r>
        <w:t xml:space="preserve">Figure 2: Problem tree</w:t>
      </w:r>
    </w:p>
    <w:p>
      <w:pPr>
        <w:pStyle w:val="BodyText"/>
      </w:pPr>
      <w:r>
        <w:t xml:space="preserve">25 European Commission (2025), Report from the Commission to the European Parliament and the Council on the evaluation of Council</w:t>
      </w:r>
      <w:r>
        <w:t xml:space="preserve"> </w:t>
      </w:r>
      <w:r>
        <w:t xml:space="preserve">Directive 2011/16/EU on administrative cooperation in the field of taxation, COM (2025) 695 final, 19 November 2025. Available at:</w:t>
      </w:r>
      <w:r>
        <w:t xml:space="preserve"> </w:t>
      </w:r>
      <w:r>
        <w:t xml:space="preserve">https://taxation-customs.ec.europa.eu/document/download/c24ef108-3dce-4169-84e3-</w:t>
      </w:r>
      <w:r>
        <w:t xml:space="preserve"> </w:t>
      </w:r>
      <w:r>
        <w:t xml:space="preserve">0d024f419efd_en?filename=COM_2025_695_1_EN_ACT_part1_v3.pdf</w:t>
      </w:r>
      <w:r>
        <w:t xml:space="preserve"> </w:t>
      </w:r>
      <w:r>
        <w:t xml:space="preserve">26 European Commission (2025), Commission Staff Working Document accompanying the Report on the evaluation of Council Directive</w:t>
      </w:r>
      <w:r>
        <w:t xml:space="preserve"> </w:t>
      </w:r>
      <w:r>
        <w:t xml:space="preserve">2011/16/EU on administrative cooperation in the field of taxation, SWD(2025) [final], Brussels. Available at: https://taxation-</w:t>
      </w:r>
      <w:r>
        <w:t xml:space="preserve"> </w:t>
      </w:r>
      <w:r>
        <w:t xml:space="preserve">customs.ec.europa.eu/document/download/c1235b9c-8c70-4c36-8270-fc908d3d28fa_en?filename=Soon.pdf</w:t>
      </w:r>
      <w:r>
        <w:t xml:space="preserve"> </w:t>
      </w:r>
      <w:r>
        <w:t xml:space="preserve">27 Ramboll, London School of Economics and Political Science, and Syntesia (2025), Study supporting the evaluation of Directive</w:t>
      </w:r>
      <w:r>
        <w:t xml:space="preserve"> </w:t>
      </w:r>
      <w:r>
        <w:t xml:space="preserve">2011/16/EU</w:t>
      </w:r>
      <w:r>
        <w:t xml:space="preserve"> </w:t>
      </w:r>
      <w:r>
        <w:t xml:space="preserve">(DAC),</w:t>
      </w:r>
      <w:r>
        <w:t xml:space="preserve"> </w:t>
      </w:r>
      <w:r>
        <w:t xml:space="preserve">external</w:t>
      </w:r>
      <w:r>
        <w:t xml:space="preserve"> </w:t>
      </w:r>
      <w:r>
        <w:t xml:space="preserve">study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https://taxation-</w:t>
      </w:r>
      <w:r>
        <w:t xml:space="preserve"> </w:t>
      </w:r>
      <w:r>
        <w:t xml:space="preserve">customs.ec.europa.eu/document/download/2206de45-1576-4eab-826a-4cb22aa7f80d_en?filename=Soon_0.pdf</w:t>
      </w:r>
      <w:r>
        <w:t xml:space="preserve"> </w:t>
      </w:r>
      <w:r>
        <w:t xml:space="preserve">28 See COM(2025) 695 final, pp. 6–8; SWD(2025), pp. 33–40.</w:t>
      </w:r>
      <w:r>
        <w:t xml:space="preserve"> </w:t>
      </w:r>
      <w:r>
        <w:t xml:space="preserve">29 European Commission (2025), COM(2025) 695 final, Section 3</w:t>
      </w:r>
      <w:r>
        <w:t xml:space="preserve"> </w:t>
      </w:r>
      <w:r>
        <w:t xml:space="preserve">30 European Court of Auditors, Special Report 03/2021: Exchanging tax information in the EU: solid foundation, cracks in the</w:t>
      </w:r>
      <w:r>
        <w:t xml:space="preserve"> </w:t>
      </w:r>
      <w:r>
        <w:t xml:space="preserve">implementation, 2021, available at: https://www.eca.europa.eu/en/publications/SR21_03</w:t>
      </w:r>
      <w:r>
        <w:t xml:space="preserve"> </w:t>
      </w:r>
      <w:r>
        <w:t xml:space="preserve">31 European Court of Auditors, Special Report 27/2024: Combatting harmful tax regimes and corporate tax avoidance, 28 November</w:t>
      </w:r>
      <w:r>
        <w:t xml:space="preserve"> </w:t>
      </w:r>
      <w:r>
        <w:t xml:space="preserve">2024, available at: https://www.eca.europa.eu/en/publications/SR-2024-27</w:t>
      </w:r>
      <w:r>
        <w:t xml:space="preserve"> </w:t>
      </w:r>
      <w:r>
        <w:t xml:space="preserve">32 European Commission, EU rules on administrative cooperation in the field of taxation – recast (call for evidence and public</w:t>
      </w:r>
      <w:r>
        <w:t xml:space="preserve"> </w:t>
      </w:r>
      <w:r>
        <w:t xml:space="preserve">consultation), available at: EU rules on administrative cooperation in the field of taxation – recast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 Increasing complexity and insufficient legal clarity and certainty</w:t>
      </w:r>
      <w:r>
        <w:br/>
      </w:r>
      <w:r>
        <w:t xml:space="preserve">The DAC is a patchwork of nine different legal instruments comprised of the initial DAC1,</w:t>
      </w:r>
      <w:r>
        <w:t xml:space="preserve"> </w:t>
      </w:r>
      <w:r>
        <w:t xml:space="preserve">multiple amending directives (DAC2-DAC9) and corresponding annexes. This leads to</w:t>
      </w:r>
      <w:r>
        <w:t xml:space="preserve"> </w:t>
      </w:r>
      <w:r>
        <w:t xml:space="preserve">increased complexity and lack of legal clarity and certainty as tax administrations and</w:t>
      </w:r>
      <w:r>
        <w:t xml:space="preserve"> </w:t>
      </w:r>
      <w:r>
        <w:t xml:space="preserve">reporting entities are often required to interpret and apply provisions that are dispersed</w:t>
      </w:r>
      <w:r>
        <w:t xml:space="preserve"> </w:t>
      </w:r>
      <w:r>
        <w:t xml:space="preserve">across several legal instruments. The DAC evaluation concluded that the frequency of</w:t>
      </w:r>
      <w:r>
        <w:t xml:space="preserve"> </w:t>
      </w:r>
      <w:r>
        <w:t xml:space="preserve">amendments since 2011 has made the legal text more complex and less user-friendly33.</w:t>
      </w:r>
      <w:r>
        <w:t xml:space="preserve"> </w:t>
      </w:r>
      <w:r>
        <w:t xml:space="preserve">These conclusions were corroborated by both Member States and business stakeholders,</w:t>
      </w:r>
      <w:r>
        <w:t xml:space="preserve"> </w:t>
      </w:r>
      <w:r>
        <w:t xml:space="preserve">during the consultation activities. Stakeholders unanimously emphasised that the complexity</w:t>
      </w:r>
      <w:r>
        <w:t xml:space="preserve"> </w:t>
      </w:r>
      <w:r>
        <w:t xml:space="preserve">of the existing acquis has created practical difficulties in understanding, interpreting, and</w:t>
      </w:r>
      <w:r>
        <w:t xml:space="preserve"> </w:t>
      </w:r>
      <w:r>
        <w:t xml:space="preserve">applying the rules consistently across the Union.</w:t>
      </w:r>
    </w:p>
    <w:p>
      <w:pPr>
        <w:pStyle w:val="BodyText"/>
      </w:pPr>
      <w:r>
        <w:t xml:space="preserve">33 See COM(2025) 695 final, pp. 7–9; SWD(2025), pp. 20–24.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2.1.2 Reporting requirements with limited added value for tax administrations</w:t>
      </w:r>
      <w:r>
        <w:t xml:space="preserve"> </w:t>
      </w:r>
      <w:r>
        <w:t xml:space="preserve">The conclusions from the DAC evaluation, recommendations from the 2024 ECA Special</w:t>
      </w:r>
      <w:r>
        <w:t xml:space="preserve"> </w:t>
      </w:r>
      <w:r>
        <w:t xml:space="preserve">Report and outcomes from the targeted consultations highlight that certain aspects of the</w:t>
      </w:r>
      <w:r>
        <w:t xml:space="preserve"> </w:t>
      </w:r>
      <w:r>
        <w:t xml:space="preserve">framework create legal uncertainty and result in reporting/notification outcomes that provide</w:t>
      </w:r>
      <w:r>
        <w:t xml:space="preserve"> </w:t>
      </w:r>
      <w:r>
        <w:t xml:space="preserve">limited added value for tax administrations. These aspects primarily relate to the</w:t>
      </w:r>
      <w:r>
        <w:t xml:space="preserve"> </w:t>
      </w:r>
      <w:r>
        <w:t xml:space="preserve">DAC4/DAC9, DAC6 and DAC7 which have led to disproportionately high volumes of</w:t>
      </w:r>
      <w:r>
        <w:t xml:space="preserve"> </w:t>
      </w:r>
      <w:r>
        <w:t xml:space="preserve">notifications and reporting that are either redundant or do not present a risk of tax fraud,</w:t>
      </w:r>
      <w:r>
        <w:t xml:space="preserve"> </w:t>
      </w:r>
      <w:r>
        <w:t xml:space="preserve">evasion or avoidance. These outcomes limit the effectiveness and efficiency of the DAC, as</w:t>
      </w:r>
      <w:r>
        <w:t xml:space="preserve"> </w:t>
      </w:r>
      <w:r>
        <w:t xml:space="preserve">they create high compliance burdens for business stakeholders and high administrative costs</w:t>
      </w:r>
      <w:r>
        <w:t xml:space="preserve"> </w:t>
      </w:r>
      <w:r>
        <w:t xml:space="preserve">for tax administrations who must process and analyse high volumes of information that</w:t>
      </w:r>
      <w:r>
        <w:t xml:space="preserve"> </w:t>
      </w:r>
      <w:r>
        <w:t xml:space="preserve">provide limited added value in tackling tax fraud, evasion and avoidance.</w:t>
      </w:r>
      <w:r>
        <w:br/>
      </w:r>
      <w:r>
        <w:t xml:space="preserve">a.</w:t>
      </w:r>
      <w:r>
        <w:t xml:space="preserve"> </w:t>
      </w:r>
      <w:r>
        <w:t xml:space="preserve">DAC6</w:t>
      </w:r>
      <w:r>
        <w:t xml:space="preserve"> </w:t>
      </w:r>
      <w:r>
        <w:t xml:space="preserve">DAC6 requires intermediaries (e.g. tax advisers, accountants, financial institutions) or, in</w:t>
      </w:r>
      <w:r>
        <w:t xml:space="preserve"> </w:t>
      </w:r>
      <w:r>
        <w:t xml:space="preserve">some cases the taxpayer to report to the tax authorities of Member States information on</w:t>
      </w:r>
      <w:r>
        <w:t xml:space="preserve"> </w:t>
      </w:r>
      <w:r>
        <w:t xml:space="preserve">certain potentially aggressive cross-border tax arrangements. This information enables tax</w:t>
      </w:r>
      <w:r>
        <w:t xml:space="preserve"> </w:t>
      </w:r>
      <w:r>
        <w:t xml:space="preserve">authorities to react promptly against harmful tax practices by enacting legislation to close</w:t>
      </w:r>
      <w:r>
        <w:t xml:space="preserve"> </w:t>
      </w:r>
      <w:r>
        <w:t xml:space="preserve">loopholes or by undertaking risk assessments or carrying out tax audits. These arrangements</w:t>
      </w:r>
      <w:r>
        <w:t xml:space="preserve"> </w:t>
      </w:r>
      <w:r>
        <w:t xml:space="preserve">must be reported whereupon they meet specific characteristics known as “hallmarks”.</w:t>
      </w:r>
      <w:r>
        <w:t xml:space="preserve"> </w:t>
      </w:r>
      <w:r>
        <w:t xml:space="preserve">These hallmarks serve as indicators of potentially aggressive tax planning arrangements and</w:t>
      </w:r>
      <w:r>
        <w:t xml:space="preserve"> </w:t>
      </w:r>
      <w:r>
        <w:t xml:space="preserve">are grouped into five categories: A (Generic hallmarks), B (Specific hallmarks), C (Specific</w:t>
      </w:r>
      <w:r>
        <w:t xml:space="preserve"> </w:t>
      </w:r>
      <w:r>
        <w:t xml:space="preserve">hallmarks related to cross-border transactions), D (Specific hallmarks concerning exchange</w:t>
      </w:r>
      <w:r>
        <w:t xml:space="preserve"> </w:t>
      </w:r>
      <w:r>
        <w:t xml:space="preserve">of information and beneficial ownership) and E (Specific hallmarks concerning transfer</w:t>
      </w:r>
      <w:r>
        <w:t xml:space="preserve"> </w:t>
      </w:r>
      <w:r>
        <w:t xml:space="preserve">pricing). Reporting requirements under hallmark A, hallmark B and points b(i), (c) and (d)</w:t>
      </w:r>
      <w:r>
        <w:t xml:space="preserve"> </w:t>
      </w:r>
      <w:r>
        <w:t xml:space="preserve">of paragraph 1 of hallmark C are linked to the application of a Main Benefit Test (MBT).</w:t>
      </w:r>
      <w:r>
        <w:t xml:space="preserve"> </w:t>
      </w:r>
      <w:r>
        <w:t xml:space="preserve">The MBT is intended to operate as a filter that reduces reporting volumes as it requires that</w:t>
      </w:r>
      <w:r>
        <w:t xml:space="preserve"> </w:t>
      </w:r>
      <w:r>
        <w:t xml:space="preserve">obtaining a tax advantage must be one of the main benefits that a person can reasonably</w:t>
      </w:r>
      <w:r>
        <w:t xml:space="preserve"> </w:t>
      </w:r>
      <w:r>
        <w:t xml:space="preserve">expect to obtain from an arrangement for that arrangement to be reportable.</w:t>
      </w:r>
      <w:r>
        <w:br/>
      </w:r>
      <w:r>
        <w:t xml:space="preserve">While DAC6 is intended to discourage the use of aggressive tax planning arrangements, it</w:t>
      </w:r>
      <w:r>
        <w:t xml:space="preserve"> </w:t>
      </w:r>
      <w:r>
        <w:t xml:space="preserve">has generated significant volumes of reporting. Since reporting first commenced in 2020</w:t>
      </w:r>
      <w:r>
        <w:t xml:space="preserve"> </w:t>
      </w:r>
      <w:r>
        <w:t xml:space="preserve">more than 60,000 cross-border arrangements comprised of 79,274 disclosure reports have</w:t>
      </w:r>
      <w:r>
        <w:t xml:space="preserve"> </w:t>
      </w:r>
      <w:r>
        <w:t xml:space="preserve">been reported by Member States to the DAC6 Central Directory. While multiple different</w:t>
      </w:r>
      <w:r>
        <w:t xml:space="preserve"> </w:t>
      </w:r>
      <w:r>
        <w:t xml:space="preserve">hallmarks may be reported in each disclosure report, the SWD from the DAC evaluation</w:t>
      </w:r>
      <w:r>
        <w:t xml:space="preserve"> </w:t>
      </w:r>
      <w:r>
        <w:t xml:space="preserve">identified the proportion of reporting under each hallmark as follows34: hallmark A (35%),</w:t>
      </w:r>
      <w:r>
        <w:t xml:space="preserve"> </w:t>
      </w:r>
      <w:r>
        <w:t xml:space="preserve">hallmark B (34%), hallmark C (16%), hallmark D (4%) and hallmark E (12%). These high</w:t>
      </w:r>
      <w:r>
        <w:t xml:space="preserve"> </w:t>
      </w:r>
      <w:r>
        <w:t xml:space="preserve">volumes of reporting underline the importance of ensuring that the information reported</w:t>
      </w:r>
      <w:r>
        <w:t xml:space="preserve"> </w:t>
      </w:r>
      <w:r>
        <w:t xml:space="preserve">remains proportionate and targeted to achieving the objectives of tackling tax fraud, evasion</w:t>
      </w:r>
      <w:r>
        <w:t xml:space="preserve"> </w:t>
      </w:r>
      <w:r>
        <w:t xml:space="preserve">and avoidance.</w:t>
      </w:r>
      <w:r>
        <w:br/>
      </w:r>
      <w:r>
        <w:t xml:space="preserve">Limited tax relevance of DAC6 reporting for MNE Groups within the scope of the Pillar</w:t>
      </w:r>
      <w:r>
        <w:t xml:space="preserve"> </w:t>
      </w:r>
      <w:r>
        <w:t xml:space="preserve">2 Directive</w:t>
      </w:r>
      <w:r>
        <w:t xml:space="preserve"> </w:t>
      </w:r>
      <w:r>
        <w:t xml:space="preserve">Since the adoption of DAC6, the legal environment at both the EU and international level</w:t>
      </w:r>
      <w:r>
        <w:t xml:space="preserve"> </w:t>
      </w:r>
      <w:r>
        <w:t xml:space="preserve">has significantly evolved with the implementation of the Pillar 2 Directive. The Pillar 2</w:t>
      </w:r>
      <w:r>
        <w:t xml:space="preserve"> </w:t>
      </w:r>
      <w:r>
        <w:t xml:space="preserve">Directive prevents base erosion and profit shifting by ensuring that MNE groups in scope</w:t>
      </w:r>
      <w:r>
        <w:t xml:space="preserve"> </w:t>
      </w:r>
      <w:r>
        <w:t xml:space="preserve">pay a minimum effective tax rate of 15% on profits in each jurisdiction that they operate.</w:t>
      </w:r>
    </w:p>
    <w:p>
      <w:pPr>
        <w:pStyle w:val="BodyText"/>
      </w:pPr>
      <w:r>
        <w:t xml:space="preserve">34 See SWD(2025) [final], p. 96.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main mechanism to achieve this objective is an Income Inclusion Rule (IIR) which</w:t>
      </w:r>
      <w:r>
        <w:t xml:space="preserve"> </w:t>
      </w:r>
      <w:r>
        <w:t xml:space="preserve">requires the ultimate parent entity (UPE) of a group to pay an additional amount of tax (</w:t>
      </w:r>
      <w:r>
        <w:t xml:space="preserve">“top-</w:t>
      </w:r>
      <w:r>
        <w:t xml:space="preserve"> </w:t>
      </w:r>
      <w:r>
        <w:t xml:space="preserve">up tax”</w:t>
      </w:r>
      <w:r>
        <w:t xml:space="preserve">) on profits from entities in the group that are subject to an effective tax rate below</w:t>
      </w:r>
      <w:r>
        <w:t xml:space="preserve"> </w:t>
      </w:r>
      <w:r>
        <w:t xml:space="preserve">15%. The rules also include an Undertaxed Profits Rule (UTPR), which is designed to</w:t>
      </w:r>
      <w:r>
        <w:t xml:space="preserve"> </w:t>
      </w:r>
      <w:r>
        <w:t xml:space="preserve">operate as a backstop to the IIR. Finally, the rules allow jurisdictions to collect any top-up</w:t>
      </w:r>
      <w:r>
        <w:t xml:space="preserve"> </w:t>
      </w:r>
      <w:r>
        <w:t xml:space="preserve">tax due from domestic entities before the application of the IIR top-up tax or UTPR top-up</w:t>
      </w:r>
      <w:r>
        <w:t xml:space="preserve"> </w:t>
      </w:r>
      <w:r>
        <w:t xml:space="preserve">tax.</w:t>
      </w:r>
      <w:r>
        <w:br/>
      </w:r>
      <w:r>
        <w:t xml:space="preserve">As the Pillar 2 Directive was only recently transposed by Member States the actual effects</w:t>
      </w:r>
      <w:r>
        <w:t xml:space="preserve"> </w:t>
      </w:r>
      <w:r>
        <w:t xml:space="preserve">of the interaction between the two sets of rules are not yet possible to assess in a reliable</w:t>
      </w:r>
      <w:r>
        <w:t xml:space="preserve"> </w:t>
      </w:r>
      <w:r>
        <w:t xml:space="preserve">manner. That said, the core objective of DAC6 is to target cross-border aggressive tax</w:t>
      </w:r>
      <w:r>
        <w:t xml:space="preserve"> </w:t>
      </w:r>
      <w:r>
        <w:t xml:space="preserve">planning arrangements which are developed to take advantage of disparate national tax rules.</w:t>
      </w:r>
      <w:r>
        <w:t xml:space="preserve"> </w:t>
      </w:r>
      <w:r>
        <w:t xml:space="preserve">However, the introduction of a global minimum effective tax rate has significantly reduced</w:t>
      </w:r>
      <w:r>
        <w:t xml:space="preserve"> </w:t>
      </w:r>
      <w:r>
        <w:t xml:space="preserve">the risk of shifting profit to low tax jurisdictions via these types of tax planning</w:t>
      </w:r>
      <w:r>
        <w:t xml:space="preserve"> </w:t>
      </w:r>
      <w:r>
        <w:t xml:space="preserve">arrangements.</w:t>
      </w:r>
      <w:r>
        <w:br/>
      </w:r>
      <w:r>
        <w:t xml:space="preserve">In their contributions to the public consultation 14 stakeholders expressly highlighted that</w:t>
      </w:r>
      <w:r>
        <w:t xml:space="preserve"> </w:t>
      </w:r>
      <w:r>
        <w:t xml:space="preserve">DAC6 should only focus on high-risk arrangements that are not already covered by other</w:t>
      </w:r>
      <w:r>
        <w:t xml:space="preserve"> </w:t>
      </w:r>
      <w:r>
        <w:t xml:space="preserve">EU rules. Several business stakeholders involved in the targeted consultations called for a</w:t>
      </w:r>
      <w:r>
        <w:t xml:space="preserve"> </w:t>
      </w:r>
      <w:r>
        <w:t xml:space="preserve">complete carve out from DAC6 reporting for MNE groups within the scope of the Pillar 2</w:t>
      </w:r>
      <w:r>
        <w:t xml:space="preserve"> </w:t>
      </w:r>
      <w:r>
        <w:t xml:space="preserve">Directive. Currently there are approximately 4,700 MNE groups with at least one subsidiary</w:t>
      </w:r>
      <w:r>
        <w:t xml:space="preserve"> </w:t>
      </w:r>
      <w:r>
        <w:t xml:space="preserve">in the EU that are within the scope of the Pillar 2 Directive. It is estimated that 3,000 of these</w:t>
      </w:r>
      <w:r>
        <w:t xml:space="preserve"> </w:t>
      </w:r>
      <w:r>
        <w:t xml:space="preserve">MNE groups have a sufficiently large operational footprint in the EU, in particular in terms</w:t>
      </w:r>
      <w:r>
        <w:t xml:space="preserve"> </w:t>
      </w:r>
      <w:r>
        <w:t xml:space="preserve">of multiple subsidiaries and cross-border intra-group transactions, to give rise to DAC6</w:t>
      </w:r>
      <w:r>
        <w:t xml:space="preserve"> </w:t>
      </w:r>
      <w:r>
        <w:t xml:space="preserve">reportable arrangements. Such MNE groups have complex organisational structures and</w:t>
      </w:r>
      <w:r>
        <w:t xml:space="preserve"> </w:t>
      </w:r>
      <w:r>
        <w:t xml:space="preserve">high volumes of cross-border transactions that necessitate dedicated in-house compliance</w:t>
      </w:r>
      <w:r>
        <w:t xml:space="preserve"> </w:t>
      </w:r>
      <w:r>
        <w:t xml:space="preserve">functions for DAC6 purposes, which result in high compliance costs. These groups are</w:t>
      </w:r>
      <w:r>
        <w:t xml:space="preserve"> </w:t>
      </w:r>
      <w:r>
        <w:t xml:space="preserve">estimated to incur compliance costs of around EUR 300 million per year35.</w:t>
      </w:r>
      <w:r>
        <w:t xml:space="preserve"> </w:t>
      </w:r>
      <w:r>
        <w:t xml:space="preserve">Limited tax relevance of certain arrangements reported under Hallmark A</w:t>
      </w:r>
      <w:r>
        <w:t xml:space="preserve"> </w:t>
      </w:r>
      <w:r>
        <w:t xml:space="preserve">The findings from the DAC evaluation report highlighted that business stakeholders and EU</w:t>
      </w:r>
      <w:r>
        <w:t xml:space="preserve"> </w:t>
      </w:r>
      <w:r>
        <w:t xml:space="preserve">tax administrations view certain DAC6 hallmarks as no longer fit for purpose36. Tax</w:t>
      </w:r>
      <w:r>
        <w:t xml:space="preserve"> </w:t>
      </w:r>
      <w:r>
        <w:t xml:space="preserve">administrations highlighted that reporting associated with A1 is frequently precautionary in</w:t>
      </w:r>
      <w:r>
        <w:t xml:space="preserve"> </w:t>
      </w:r>
      <w:r>
        <w:t xml:space="preserve">nature and triggered by standard confidentiality clauses that are not specifically related to</w:t>
      </w:r>
      <w:r>
        <w:t xml:space="preserve"> </w:t>
      </w:r>
      <w:r>
        <w:t xml:space="preserve">tax arrangements. The SWD from the evaluation noted that this practice has led to significant</w:t>
      </w:r>
      <w:r>
        <w:t xml:space="preserve"> </w:t>
      </w:r>
      <w:r>
        <w:t xml:space="preserve">administrative workload without necessarily increasing the value of the reports37 Tax</w:t>
      </w:r>
      <w:r>
        <w:t xml:space="preserve"> </w:t>
      </w:r>
      <w:r>
        <w:t xml:space="preserve">administrations also highlighted that the application of A3 has been problematic due to its</w:t>
      </w:r>
      <w:r>
        <w:t xml:space="preserve"> </w:t>
      </w:r>
      <w:r>
        <w:t xml:space="preserve">broad and ambiguous language and that this has led to excessive reporting38.</w:t>
      </w:r>
      <w:r>
        <w:t xml:space="preserve"> </w:t>
      </w:r>
      <w:r>
        <w:t xml:space="preserve">During the targeted consultations, 4 Member States accounting for 75% of all reporting</w:t>
      </w:r>
      <w:r>
        <w:t xml:space="preserve"> </w:t>
      </w:r>
      <w:r>
        <w:t xml:space="preserve">under DAC6 highlighted that reporting linked to A1, A2 and A3 provides limited added</w:t>
      </w:r>
      <w:r>
        <w:t xml:space="preserve"> </w:t>
      </w:r>
      <w:r>
        <w:t xml:space="preserve">value in identifying tax fraud, avoidance and evasion while creating significant operational</w:t>
      </w:r>
      <w:r>
        <w:t xml:space="preserve"> </w:t>
      </w:r>
      <w:r>
        <w:t xml:space="preserve">processing burdens for tax administrations. The ECA also identified that tax administrations</w:t>
      </w:r>
    </w:p>
    <w:p>
      <w:pPr>
        <w:pStyle w:val="BodyText"/>
      </w:pPr>
      <w:r>
        <w:t xml:space="preserve">35 This estimate is based on approximately 3,000 MNE groups within the scope of Pillar 2 and an average annual compliance cost of EUR</w:t>
      </w:r>
      <w:r>
        <w:t xml:space="preserve"> </w:t>
      </w:r>
      <w:r>
        <w:t xml:space="preserve">100,000 per group, drawing on evidence from the evaluation of the Anti-Tax Avoidance Directive. This results in an aggregate compliance</w:t>
      </w:r>
      <w:r>
        <w:t xml:space="preserve"> </w:t>
      </w:r>
      <w:r>
        <w:t xml:space="preserve">cost of around EUR 300 million per year (see Chapter 6 and Annex 4 for details).</w:t>
      </w:r>
      <w:r>
        <w:t xml:space="preserve"> </w:t>
      </w:r>
      <w:r>
        <w:t xml:space="preserve">36 COM(2025) 695 final, p. 6.</w:t>
      </w:r>
      <w:r>
        <w:t xml:space="preserve"> </w:t>
      </w:r>
      <w:r>
        <w:t xml:space="preserve">37 SWD(2025) 695 final, p. 109</w:t>
      </w:r>
      <w:r>
        <w:t xml:space="preserve"> </w:t>
      </w:r>
      <w:r>
        <w:t xml:space="preserve">38 SWD(2025) 695 final, p. 109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face difficulties filtering and prioritising large volumes of DAC6 information including</w:t>
      </w:r>
      <w:r>
        <w:t xml:space="preserve"> </w:t>
      </w:r>
      <w:r>
        <w:t xml:space="preserve">arrangements that do not necessarily present a substantive tax risk39.</w:t>
      </w:r>
      <w:r>
        <w:t xml:space="preserve"> </w:t>
      </w:r>
      <w:r>
        <w:t xml:space="preserve">In their contribution to the public consultation, 17 business stakeholders expressly</w:t>
      </w:r>
      <w:r>
        <w:br/>
      </w:r>
      <w:r>
        <w:t xml:space="preserve">highlighted the necessity to review and refine the DAC6 hallmarks to better target</w:t>
      </w:r>
      <w:r>
        <w:t xml:space="preserve"> </w:t>
      </w:r>
      <w:r>
        <w:t xml:space="preserve">arrangements that pose a genuine risk of aggressive tax planning. In this respect, they</w:t>
      </w:r>
      <w:r>
        <w:t xml:space="preserve"> </w:t>
      </w:r>
      <w:r>
        <w:t xml:space="preserve">converged on the need to remove hallmark A. In particular they indicated that A1 does not</w:t>
      </w:r>
      <w:r>
        <w:t xml:space="preserve"> </w:t>
      </w:r>
      <w:r>
        <w:t xml:space="preserve">provide any added value for tax administrations, A2 concerns transactions that are already</w:t>
      </w:r>
      <w:r>
        <w:t xml:space="preserve"> </w:t>
      </w:r>
      <w:r>
        <w:t xml:space="preserve">prohibited by law in many Member States and advised that A3 has led to excessive reporting</w:t>
      </w:r>
      <w:r>
        <w:t xml:space="preserve"> </w:t>
      </w:r>
      <w:r>
        <w:t xml:space="preserve">that has negatively impacted on the efficiency and effectiveness of the framework. These</w:t>
      </w:r>
      <w:r>
        <w:t xml:space="preserve"> </w:t>
      </w:r>
      <w:r>
        <w:t xml:space="preserve">findings broadly correspond to those of the targeted consultations of business stakeholders.</w:t>
      </w:r>
      <w:r>
        <w:t xml:space="preserve"> </w:t>
      </w:r>
      <w:r>
        <w:t xml:space="preserve">Since reporting commenced in July 2020, the volumes of reports linked to these hallmarks</w:t>
      </w:r>
      <w:r>
        <w:t xml:space="preserve"> </w:t>
      </w:r>
      <w:r>
        <w:t xml:space="preserve">are as follows, A1 (19,256), A2 (704) and A3 (33,785) representing an annual average of</w:t>
      </w:r>
      <w:r>
        <w:t xml:space="preserve"> </w:t>
      </w:r>
      <w:r>
        <w:t xml:space="preserve">8,300 reports by companies outside of the scope of the Pillar 2 Directive. For these</w:t>
      </w:r>
      <w:r>
        <w:t xml:space="preserve"> </w:t>
      </w:r>
      <w:r>
        <w:t xml:space="preserve">companies, compliance costs are more closely linked to the preparation and submission of</w:t>
      </w:r>
      <w:r>
        <w:t xml:space="preserve"> </w:t>
      </w:r>
      <w:r>
        <w:t xml:space="preserve">individual reports, and they often rely upon external advisory services for these purposes40.</w:t>
      </w:r>
      <w:r>
        <w:t xml:space="preserve"> </w:t>
      </w:r>
      <w:r>
        <w:t xml:space="preserve">Based upon the average cost per report of EUR 5,000, as indicated during stakeholder</w:t>
      </w:r>
      <w:r>
        <w:t xml:space="preserve"> </w:t>
      </w:r>
      <w:r>
        <w:t xml:space="preserve">consultations with tax advisory firms (see Annex 2 for more details on stakeholder</w:t>
      </w:r>
      <w:r>
        <w:t xml:space="preserve"> </w:t>
      </w:r>
      <w:r>
        <w:t xml:space="preserve">consultations), the corresponding total compliance burden is estimated at approximately</w:t>
      </w:r>
      <w:r>
        <w:t xml:space="preserve"> </w:t>
      </w:r>
      <w:r>
        <w:t xml:space="preserve">EUR 41 million per year.</w:t>
      </w:r>
      <w:r>
        <w:br/>
      </w:r>
      <w:r>
        <w:t xml:space="preserve">Divergent interpretation of the Main Benefit Test (MBT)</w:t>
      </w:r>
      <w:r>
        <w:t xml:space="preserve"> </w:t>
      </w:r>
      <w:r>
        <w:t xml:space="preserve">A consistent interpretation and application of the MBT is of critical importance to the</w:t>
      </w:r>
      <w:r>
        <w:t xml:space="preserve"> </w:t>
      </w:r>
      <w:r>
        <w:t xml:space="preserve">effective and efficient functioning of the framework. Reporting requirements under hallmark</w:t>
      </w:r>
      <w:r>
        <w:t xml:space="preserve"> </w:t>
      </w:r>
      <w:r>
        <w:t xml:space="preserve">A, hallmark B and points b(i), (c) and (d) of paragraph 1 of hallmark C are linked to the</w:t>
      </w:r>
      <w:r>
        <w:t xml:space="preserve"> </w:t>
      </w:r>
      <w:r>
        <w:t xml:space="preserve">application of the MBT. The MBT is intended to operate as a filter to reduce reporting</w:t>
      </w:r>
      <w:r>
        <w:t xml:space="preserve"> </w:t>
      </w:r>
      <w:r>
        <w:t xml:space="preserve">volumes, however reports linked to these hallmarks are listed in 77% of all disclosure reports</w:t>
      </w:r>
      <w:r>
        <w:t xml:space="preserve"> </w:t>
      </w:r>
      <w:r>
        <w:t xml:space="preserve">(Annex 7). The findings from the DAC evaluation SWD41 indicate that the MBT is</w:t>
      </w:r>
      <w:r>
        <w:t xml:space="preserve"> </w:t>
      </w:r>
      <w:r>
        <w:t xml:space="preserve">interpreted and applied differently across the Union. These divergent interpretations, which</w:t>
      </w:r>
      <w:r>
        <w:t xml:space="preserve"> </w:t>
      </w:r>
      <w:r>
        <w:t xml:space="preserve">reflect variations in administrative practices and approaches to risk assessment reduce legal</w:t>
      </w:r>
      <w:r>
        <w:t xml:space="preserve"> </w:t>
      </w:r>
      <w:r>
        <w:t xml:space="preserve">certainty for intermediaries and taxpayers that operate cross-border. They also negatively</w:t>
      </w:r>
      <w:r>
        <w:t xml:space="preserve"> </w:t>
      </w:r>
      <w:r>
        <w:t xml:space="preserve">impact on reporting behaviours resulting in inconsistent reporting outcomes across Member</w:t>
      </w:r>
      <w:r>
        <w:t xml:space="preserve"> </w:t>
      </w:r>
      <w:r>
        <w:t xml:space="preserve">States which limits the efficiency and effectiveness of the framework.</w:t>
      </w:r>
      <w:r>
        <w:br/>
      </w:r>
      <w:r>
        <w:t xml:space="preserve">Similar findings were included in the 2024 ECA Report42 where it was identified that there</w:t>
      </w:r>
      <w:r>
        <w:t xml:space="preserve"> </w:t>
      </w:r>
      <w:r>
        <w:t xml:space="preserve">is persistent uncertainty in determining whether obtaining a tax advantage constitutes the</w:t>
      </w:r>
      <w:r>
        <w:t xml:space="preserve"> </w:t>
      </w:r>
      <w:r>
        <w:t xml:space="preserve">main or one of the main benefits of an arrangement, including whether such assessments</w:t>
      </w:r>
      <w:r>
        <w:t xml:space="preserve"> </w:t>
      </w:r>
      <w:r>
        <w:t xml:space="preserve">should rely on a quantitative comparison of expected benefits. Consequentially, the ECA</w:t>
      </w:r>
      <w:r>
        <w:t xml:space="preserve"> </w:t>
      </w:r>
      <w:r>
        <w:t xml:space="preserve">concluded that similar cross-border arrangements may be treated differently across Member</w:t>
      </w:r>
      <w:r>
        <w:t xml:space="preserve"> </w:t>
      </w:r>
      <w:r>
        <w:t xml:space="preserve">States in terms of reportability.</w:t>
      </w:r>
    </w:p>
    <w:p>
      <w:pPr>
        <w:pStyle w:val="BodyText"/>
      </w:pPr>
      <w:r>
        <w:t xml:space="preserve">39 ECA, Special Report 27/2024, paras 59–63</w:t>
      </w:r>
      <w:r>
        <w:t xml:space="preserve"> </w:t>
      </w:r>
      <w:r>
        <w:t xml:space="preserve">40 DAC6 reporting obligations are primarily imposed on intermediaries, which account for approximately two thirds of all disclosures,</w:t>
      </w:r>
      <w:r>
        <w:t xml:space="preserve"> </w:t>
      </w:r>
      <w:r>
        <w:t xml:space="preserve">while the remaining one third are filed directly by taxpayers. For the purpose of this analysis, no distinction is made between intermediary</w:t>
      </w:r>
      <w:r>
        <w:t xml:space="preserve"> </w:t>
      </w:r>
      <w:r>
        <w:t xml:space="preserve">and taxpayer filed reports, as the associated compliance costs are assumed to be broadly comparable. In practice, costs incurred by</w:t>
      </w:r>
      <w:r>
        <w:t xml:space="preserve"> </w:t>
      </w:r>
      <w:r>
        <w:t xml:space="preserve">intermediaries are typically passed on to the underlying taxpayer, such that the overall economic burden is borne by companies irrespective</w:t>
      </w:r>
      <w:r>
        <w:t xml:space="preserve"> </w:t>
      </w:r>
      <w:r>
        <w:t xml:space="preserve">of the reporting channel.</w:t>
      </w:r>
      <w:r>
        <w:t xml:space="preserve"> </w:t>
      </w:r>
      <w:r>
        <w:t xml:space="preserve">41 See SWD (2025), pp. 118–128; COM (2025) 695 final, pp. 8–9.</w:t>
      </w:r>
      <w:r>
        <w:t xml:space="preserve"> </w:t>
      </w:r>
      <w:r>
        <w:t xml:space="preserve">42 ECA, Special Report 27/2024, paras 59–63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b.</w:t>
      </w:r>
      <w:r>
        <w:t xml:space="preserve"> </w:t>
      </w:r>
      <w:r>
        <w:t xml:space="preserve">DAC7</w:t>
      </w:r>
      <w:r>
        <w:t xml:space="preserve"> </w:t>
      </w:r>
      <w:r>
        <w:t xml:space="preserve">Limited tax relevance of certain sellers reported in relation to the sale of goods</w:t>
      </w:r>
      <w:r>
        <w:t xml:space="preserve"> </w:t>
      </w:r>
      <w:r>
        <w:t xml:space="preserve">DAC7 introduced reporting obligations for digital platform operators to improve tax</w:t>
      </w:r>
      <w:r>
        <w:t xml:space="preserve"> </w:t>
      </w:r>
      <w:r>
        <w:t xml:space="preserve">transparency and tax compliance in the platform economy. Platform operators must collect</w:t>
      </w:r>
      <w:r>
        <w:t xml:space="preserve"> </w:t>
      </w:r>
      <w:r>
        <w:t xml:space="preserve">and report information on sellers engaging in activities such as selling goods, providing</w:t>
      </w:r>
      <w:r>
        <w:t xml:space="preserve"> </w:t>
      </w:r>
      <w:r>
        <w:t xml:space="preserve">personal services or renting immovable property or means of transport. This information is</w:t>
      </w:r>
      <w:r>
        <w:t xml:space="preserve"> </w:t>
      </w:r>
      <w:r>
        <w:t xml:space="preserve">then automatically exchanged with the Member State where the seller is resident and where</w:t>
      </w:r>
      <w:r>
        <w:t xml:space="preserve"> </w:t>
      </w:r>
      <w:r>
        <w:t xml:space="preserve">the immovable property is located. Under the current rules and with respect to activities</w:t>
      </w:r>
      <w:r>
        <w:t xml:space="preserve"> </w:t>
      </w:r>
      <w:r>
        <w:t xml:space="preserve">involving the sale of goods, sellers carrying out fewer than 30 transactions not exceeding</w:t>
      </w:r>
      <w:r>
        <w:t xml:space="preserve"> </w:t>
      </w:r>
      <w:r>
        <w:t xml:space="preserve">EUR 2,000 in a calendar year are excluded from reporting. Consequentially the reporting</w:t>
      </w:r>
      <w:r>
        <w:t xml:space="preserve"> </w:t>
      </w:r>
      <w:r>
        <w:t xml:space="preserve">obligation will apply even where the monetary value of transactions is minimal e.g. a seller</w:t>
      </w:r>
      <w:r>
        <w:t xml:space="preserve"> </w:t>
      </w:r>
      <w:r>
        <w:t xml:space="preserve">carrying out 30 transactions with a value of EUR 1 each would still be reportable.</w:t>
      </w:r>
      <w:r>
        <w:t xml:space="preserve"> </w:t>
      </w:r>
      <w:r>
        <w:t xml:space="preserve">In their response to the public consultation 6 business stakeholders, mainly online platform</w:t>
      </w:r>
      <w:r>
        <w:t xml:space="preserve"> </w:t>
      </w:r>
      <w:r>
        <w:t xml:space="preserve">associations, expressly highlighted issues concerning the current threshold for the sale of</w:t>
      </w:r>
      <w:r>
        <w:t xml:space="preserve"> </w:t>
      </w:r>
      <w:r>
        <w:t xml:space="preserve">goods. These respondents considered this current threshold as too low and proposed</w:t>
      </w:r>
      <w:r>
        <w:t xml:space="preserve"> </w:t>
      </w:r>
      <w:r>
        <w:t xml:space="preserve">amendments including raising the monetary threshold (e.g. to EUR 5,000) and removing the</w:t>
      </w:r>
      <w:r>
        <w:t xml:space="preserve"> </w:t>
      </w:r>
      <w:r>
        <w:t xml:space="preserve">transaction threshold. These views are largely consistent with those expressed by business</w:t>
      </w:r>
      <w:r>
        <w:t xml:space="preserve"> </w:t>
      </w:r>
      <w:r>
        <w:t xml:space="preserve">stakeholders during targeted consultations where platform operators indicated that the</w:t>
      </w:r>
      <w:r>
        <w:t xml:space="preserve"> </w:t>
      </w:r>
      <w:r>
        <w:t xml:space="preserve">current threshold is leading to the reporting of many non-professional sellers that carry out</w:t>
      </w:r>
      <w:r>
        <w:t xml:space="preserve"> </w:t>
      </w:r>
      <w:r>
        <w:t xml:space="preserve">many transactions for minimal income and that this is particularly prevalent in the second-</w:t>
      </w:r>
      <w:r>
        <w:t xml:space="preserve"> </w:t>
      </w:r>
      <w:r>
        <w:t xml:space="preserve">hand goods market. They also indicated that the current thresholds discourage private</w:t>
      </w:r>
      <w:r>
        <w:t xml:space="preserve"> </w:t>
      </w:r>
      <w:r>
        <w:t xml:space="preserve">individuals from selling their second-hand goods with many of these individuals concerned</w:t>
      </w:r>
      <w:r>
        <w:t xml:space="preserve"> </w:t>
      </w:r>
      <w:r>
        <w:t xml:space="preserve">by the requirement to provide their TIN. According to them, this has reduced the number of</w:t>
      </w:r>
      <w:r>
        <w:t xml:space="preserve"> </w:t>
      </w:r>
      <w:r>
        <w:t xml:space="preserve">sales of second-hand goods, conflicting with the broader Union objective of promoting the</w:t>
      </w:r>
      <w:r>
        <w:t xml:space="preserve"> </w:t>
      </w:r>
      <w:r>
        <w:t xml:space="preserve">circular economy43.</w:t>
      </w:r>
      <w:r>
        <w:t xml:space="preserve"> </w:t>
      </w:r>
      <w:r>
        <w:t xml:space="preserve">Sixteen out of 19 Member States that expressed a view highlighted that the current threshold</w:t>
      </w:r>
      <w:r>
        <w:t xml:space="preserve"> </w:t>
      </w:r>
      <w:r>
        <w:t xml:space="preserve">is not sufficiently proportionate and is leading to the reporting of information that is of</w:t>
      </w:r>
      <w:r>
        <w:t xml:space="preserve"> </w:t>
      </w:r>
      <w:r>
        <w:t xml:space="preserve">limited value from a tax perspective, as under national tax rules income from the occasional</w:t>
      </w:r>
      <w:r>
        <w:t xml:space="preserve"> </w:t>
      </w:r>
      <w:r>
        <w:t xml:space="preserve">sale of personal goods is generally not taxable. Moreover, the reporting of large volumes of</w:t>
      </w:r>
      <w:r>
        <w:t xml:space="preserve"> </w:t>
      </w:r>
      <w:r>
        <w:t xml:space="preserve">low-value transactions that do not present a tax risk creates operational challenges and</w:t>
      </w:r>
      <w:r>
        <w:t xml:space="preserve"> </w:t>
      </w:r>
      <w:r>
        <w:t xml:space="preserve">resourcing costs for tax administrations. Seven out of 12 Member States that expressed more</w:t>
      </w:r>
      <w:r>
        <w:t xml:space="preserve"> </w:t>
      </w:r>
      <w:r>
        <w:t xml:space="preserve">specific views supported removing the activity threshold while there were diverging views</w:t>
      </w:r>
      <w:r>
        <w:t xml:space="preserve"> </w:t>
      </w:r>
      <w:r>
        <w:t xml:space="preserve">on the appropriate level for the monetary threshold, with 2 supporting the retention of EUR</w:t>
      </w:r>
      <w:r>
        <w:t xml:space="preserve"> </w:t>
      </w:r>
      <w:r>
        <w:t xml:space="preserve">2,000, 3 favouring a threshold of between EUR 3,000 and EUR 5,000 and 2 supporting a</w:t>
      </w:r>
      <w:r>
        <w:t xml:space="preserve"> </w:t>
      </w:r>
      <w:r>
        <w:t xml:space="preserve">threshold above EUR 5,000. Since these views were expressed all relevant jurisdictions and</w:t>
      </w:r>
      <w:r>
        <w:t xml:space="preserve"> </w:t>
      </w:r>
      <w:r>
        <w:t xml:space="preserve">26 Member States reached a provisional agreement at technical level at the OECD, to</w:t>
      </w:r>
      <w:r>
        <w:t xml:space="preserve"> </w:t>
      </w:r>
      <w:r>
        <w:t xml:space="preserve">remove the activity threshold and increase the monetary threshold to EUR 3,000. in relation</w:t>
      </w:r>
      <w:r>
        <w:t xml:space="preserve"> </w:t>
      </w:r>
      <w:r>
        <w:t xml:space="preserve">to the Model Rules for Digital Platform Operators (MRDP), which are implemented in the</w:t>
      </w:r>
      <w:r>
        <w:t xml:space="preserve"> </w:t>
      </w:r>
      <w:r>
        <w:t xml:space="preserve">EU through DAC7. This provisional technical agreement is reflective of the fact that</w:t>
      </w:r>
      <w:r>
        <w:t xml:space="preserve"> </w:t>
      </w:r>
      <w:r>
        <w:t xml:space="preserve">Member States do not view an increase of the threshold as negatively impacting on their</w:t>
      </w:r>
      <w:r>
        <w:t xml:space="preserve"> </w:t>
      </w:r>
      <w:r>
        <w:t xml:space="preserve">ability to effectively apply their national taxation rules. While the application of national</w:t>
      </w:r>
    </w:p>
    <w:p>
      <w:pPr>
        <w:pStyle w:val="BodyText"/>
      </w:pPr>
      <w:r>
        <w:t xml:space="preserve">43 European Commission, A new Circular Economy Action Plan: For a cleaner and more competitive Europe, COM(2020) 98 final, 11</w:t>
      </w:r>
      <w:r>
        <w:t xml:space="preserve"> </w:t>
      </w:r>
      <w:r>
        <w:t xml:space="preserve">March 2020, available at: Circular Economy Action Plan (COM(2020) 98)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taxation rules is dependent on specific personal circumstances e.g. entitlement to tax credits</w:t>
      </w:r>
      <w:r>
        <w:t xml:space="preserve"> </w:t>
      </w:r>
      <w:r>
        <w:t xml:space="preserve">and allowances based on marital and parental status, general case study examples of national</w:t>
      </w:r>
      <w:r>
        <w:t xml:space="preserve"> </w:t>
      </w:r>
      <w:r>
        <w:t xml:space="preserve">taxation rules are included at Annex 8.</w:t>
      </w:r>
      <w:r>
        <w:t xml:space="preserve"> </w:t>
      </w:r>
      <w:r>
        <w:t xml:space="preserve">DAC7 reporting has reached a significant scale across the Union. According to statistics</w:t>
      </w:r>
      <w:r>
        <w:t xml:space="preserve"> </w:t>
      </w:r>
      <w:r>
        <w:t xml:space="preserve">made available by the Member States to the Commission services approximately 52,000</w:t>
      </w:r>
      <w:r>
        <w:t xml:space="preserve"> </w:t>
      </w:r>
      <w:r>
        <w:t xml:space="preserve">platform operators were active in the EU in 2024. These operators reported information on</w:t>
      </w:r>
      <w:r>
        <w:t xml:space="preserve"> </w:t>
      </w:r>
      <w:r>
        <w:t xml:space="preserve">approximately 13.5 million sellers out of an estimated total seller base of approximately 71</w:t>
      </w:r>
      <w:r>
        <w:t xml:space="preserve"> </w:t>
      </w:r>
      <w:r>
        <w:t xml:space="preserve">million individuals engaged in platform-based activities. According to information provided</w:t>
      </w:r>
      <w:r>
        <w:t xml:space="preserve"> </w:t>
      </w:r>
      <w:r>
        <w:t xml:space="preserve">by major platform operators in the EU almost 80% of sellers reported for activities involving</w:t>
      </w:r>
      <w:r>
        <w:t xml:space="preserve"> </w:t>
      </w:r>
      <w:r>
        <w:t xml:space="preserve">the sale of goods consist of those exceeding the activity threshold of 30 transactions but</w:t>
      </w:r>
      <w:r>
        <w:t xml:space="preserve"> </w:t>
      </w:r>
      <w:r>
        <w:t xml:space="preserve">remaining below the EUR 2,000 monetary threshold. Platforms operators incur the</w:t>
      </w:r>
      <w:r>
        <w:t xml:space="preserve"> </w:t>
      </w:r>
      <w:r>
        <w:t xml:space="preserve">compliance costs associated with reporting these low value sellers, which are estimated at</w:t>
      </w:r>
      <w:r>
        <w:t xml:space="preserve"> </w:t>
      </w:r>
      <w:r>
        <w:t xml:space="preserve">approximately EUR 640 million per year across all platform operators. At the same time,</w:t>
      </w:r>
      <w:r>
        <w:t xml:space="preserve"> </w:t>
      </w:r>
      <w:r>
        <w:t xml:space="preserve">tax administrations are required to process and analyse large volumes of information that</w:t>
      </w:r>
      <w:r>
        <w:t xml:space="preserve"> </w:t>
      </w:r>
      <w:r>
        <w:t xml:space="preserve">are of limited relevance for assessing tax liabilities, which reduces the overall effectiveness</w:t>
      </w:r>
      <w:r>
        <w:t xml:space="preserve"> </w:t>
      </w:r>
      <w:r>
        <w:t xml:space="preserve">and efficiency of their risk analysis and enforcement activities.</w:t>
      </w:r>
      <w:r>
        <w:t xml:space="preserve"> </w:t>
      </w:r>
      <w:r>
        <w:t xml:space="preserve">c. </w:t>
      </w:r>
      <w:r>
        <w:t xml:space="preserve"> </w:t>
      </w:r>
      <w:r>
        <w:t xml:space="preserve">DAC4/DAC9</w:t>
      </w:r>
      <w:r>
        <w:t xml:space="preserve"> </w:t>
      </w:r>
      <w:r>
        <w:t xml:space="preserve">Duplication of notification obligations</w:t>
      </w:r>
      <w:r>
        <w:t xml:space="preserve"> </w:t>
      </w:r>
      <w:r>
        <w:t xml:space="preserve">DAC4 requires certain MNE groups to file a country-by-country report (CbCR) with the</w:t>
      </w:r>
      <w:r>
        <w:t xml:space="preserve"> </w:t>
      </w:r>
      <w:r>
        <w:t xml:space="preserve">relevant tax authorities of Member States. CbCR applies to MNE Groups with an annual</w:t>
      </w:r>
      <w:r>
        <w:t xml:space="preserve"> </w:t>
      </w:r>
      <w:r>
        <w:t xml:space="preserve">consolidated group revenue of EUR 750 million or more in the preceding fiscal years. The</w:t>
      </w:r>
      <w:r>
        <w:t xml:space="preserve"> </w:t>
      </w:r>
      <w:r>
        <w:t xml:space="preserve">report includes information on revenue, profits, income tax paid, number of employees, etc.</w:t>
      </w:r>
      <w:r>
        <w:t xml:space="preserve"> </w:t>
      </w:r>
      <w:r>
        <w:t xml:space="preserve">Tax authorities can use this information to perform high-level transfer pricing risk</w:t>
      </w:r>
      <w:r>
        <w:t xml:space="preserve"> </w:t>
      </w:r>
      <w:r>
        <w:t xml:space="preserve">assessments, evaluate other BEPS related risks and for economic and statistical analysis.</w:t>
      </w:r>
      <w:r>
        <w:t xml:space="preserve"> </w:t>
      </w:r>
      <w:r>
        <w:t xml:space="preserve">DAC4 requires entities of the MNE group to notify the tax authorities of the entity</w:t>
      </w:r>
      <w:r>
        <w:t xml:space="preserve"> </w:t>
      </w:r>
      <w:r>
        <w:t xml:space="preserve">responsible for reporting for the group. DAC9, which also applies to MNE groups with an</w:t>
      </w:r>
      <w:r>
        <w:t xml:space="preserve"> </w:t>
      </w:r>
      <w:r>
        <w:t xml:space="preserve">annual consolidated revenue of EUR 750 million or more, enables central filing of the</w:t>
      </w:r>
      <w:r>
        <w:t xml:space="preserve"> </w:t>
      </w:r>
      <w:r>
        <w:t xml:space="preserve">GloBE Information Return (GIR). However, each entity of the MNE group is required to</w:t>
      </w:r>
      <w:r>
        <w:t xml:space="preserve"> </w:t>
      </w:r>
      <w:r>
        <w:t xml:space="preserve">notify the tax authorities of the entity responsible for reporting for the group</w:t>
      </w:r>
      <w:r>
        <w:t xml:space="preserve"> </w:t>
      </w:r>
      <w:r>
        <w:t xml:space="preserve">While the content of these notifications are not directly aligned, they do contain duplicate</w:t>
      </w:r>
      <w:r>
        <w:t xml:space="preserve"> </w:t>
      </w:r>
      <w:r>
        <w:t xml:space="preserve">informational requirements. With respect to the filing deadline for these notifications, DAC4</w:t>
      </w:r>
      <w:r>
        <w:t xml:space="preserve"> </w:t>
      </w:r>
      <w:r>
        <w:t xml:space="preserve">requires that the filing should take place before the last day of the reporting fiscal year of</w:t>
      </w:r>
      <w:r>
        <w:t xml:space="preserve"> </w:t>
      </w:r>
      <w:r>
        <w:t xml:space="preserve">the MNE group, however there is no such filing deadline prescribed for the notification</w:t>
      </w:r>
      <w:r>
        <w:t xml:space="preserve"> </w:t>
      </w:r>
      <w:r>
        <w:t xml:space="preserve">obligations which support the DAC9 reporting requirements. This has led to diverging filing</w:t>
      </w:r>
      <w:r>
        <w:t xml:space="preserve"> </w:t>
      </w:r>
      <w:r>
        <w:t xml:space="preserve">deadlines across the Union.</w:t>
      </w:r>
      <w:r>
        <w:br/>
      </w:r>
      <w:r>
        <w:t xml:space="preserve">In their response to the public consultation, 12 stakeholders expressly highlighted the need</w:t>
      </w:r>
      <w:r>
        <w:t xml:space="preserve"> </w:t>
      </w:r>
      <w:r>
        <w:t xml:space="preserve">for a centralised Union wide system for such notifications. Ten of these stakeholders</w:t>
      </w:r>
      <w:r>
        <w:t xml:space="preserve"> </w:t>
      </w:r>
      <w:r>
        <w:t xml:space="preserve">supported a single DAC4/DAC9 group level notification in tandem with a ‘change only’</w:t>
      </w:r>
      <w:r>
        <w:t xml:space="preserve"> </w:t>
      </w:r>
      <w:r>
        <w:t xml:space="preserve">approach, standardised template and EU wide harmonised filing deadline. These</w:t>
      </w:r>
      <w:r>
        <w:t xml:space="preserve"> </w:t>
      </w:r>
      <w:r>
        <w:t xml:space="preserve">respondents highlighted that the absence of standardised notification procedures and</w:t>
      </w:r>
      <w:r>
        <w:t xml:space="preserve"> </w:t>
      </w:r>
      <w:r>
        <w:t xml:space="preserve">templates has led to divergent approaches across the Union which increases the compliance</w:t>
      </w:r>
      <w:r>
        <w:t xml:space="preserve"> </w:t>
      </w:r>
      <w:r>
        <w:t xml:space="preserve">burden for MNE groups.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According to Orbis there are approximately 4,700 MNE groups comprised of around</w:t>
      </w:r>
      <w:r>
        <w:t xml:space="preserve"> </w:t>
      </w:r>
      <w:r>
        <w:t xml:space="preserve">109,000 constituent entities with activities in the Union. These entities are subject to</w:t>
      </w:r>
      <w:r>
        <w:t xml:space="preserve"> </w:t>
      </w:r>
      <w:r>
        <w:t xml:space="preserve">notification obligations under both DAC4 and DAC9. Groups that are subject to the existing</w:t>
      </w:r>
      <w:r>
        <w:t xml:space="preserve"> </w:t>
      </w:r>
      <w:r>
        <w:t xml:space="preserve">notification obligations under DAC4 estimate that the associated administrative costs of</w:t>
      </w:r>
      <w:r>
        <w:t xml:space="preserve"> </w:t>
      </w:r>
      <w:r>
        <w:t xml:space="preserve">compliance are approximately EUR 135 million per year. In the absence of streamlining, the</w:t>
      </w:r>
      <w:r>
        <w:t xml:space="preserve"> </w:t>
      </w:r>
      <w:r>
        <w:t xml:space="preserve">combined compliance costs for DAC4 and DAC9 could reach around EUR 270 million per</w:t>
      </w:r>
      <w:r>
        <w:t xml:space="preserve"> </w:t>
      </w:r>
      <w:r>
        <w:t xml:space="preserve">year.</w:t>
      </w:r>
      <w:r>
        <w:br/>
      </w:r>
      <w:r>
        <w:t xml:space="preserve">2.1.2. Member States limited in their ability to maximise the benefits of the DAC</w:t>
      </w:r>
      <w:r>
        <w:t xml:space="preserve"> </w:t>
      </w:r>
      <w:r>
        <w:t xml:space="preserve">Limited automatic identification of reported taxpayers in national tax systems reducing</w:t>
      </w:r>
      <w:r>
        <w:t xml:space="preserve"> </w:t>
      </w:r>
      <w:r>
        <w:t xml:space="preserve">the effective use of reported information</w:t>
      </w:r>
      <w:r>
        <w:t xml:space="preserve"> </w:t>
      </w:r>
      <w:r>
        <w:t xml:space="preserve">The TIN is a unique identifier issued by public authorities to taxpayers to facilitate the</w:t>
      </w:r>
      <w:r>
        <w:t xml:space="preserve"> </w:t>
      </w:r>
      <w:r>
        <w:t xml:space="preserve">administration of their national tax affairs. The TIN is a fundamental element of the DAC</w:t>
      </w:r>
      <w:r>
        <w:t xml:space="preserve"> </w:t>
      </w:r>
      <w:r>
        <w:t xml:space="preserve">framework as it ensures that information exchanged between tax authorities can be</w:t>
      </w:r>
      <w:r>
        <w:t xml:space="preserve"> </w:t>
      </w:r>
      <w:r>
        <w:t xml:space="preserve">accurately matched to the correct taxpayers, thereby facilitating the correct assessment of</w:t>
      </w:r>
      <w:r>
        <w:t xml:space="preserve"> </w:t>
      </w:r>
      <w:r>
        <w:t xml:space="preserve">tax obligations. Under the DAC, the TIN and other information is collected and reported by</w:t>
      </w:r>
      <w:r>
        <w:t xml:space="preserve"> </w:t>
      </w:r>
      <w:r>
        <w:t xml:space="preserve">the relevant reporting entity to the relevant tax administration. The information is then</w:t>
      </w:r>
      <w:r>
        <w:t xml:space="preserve"> </w:t>
      </w:r>
      <w:r>
        <w:t xml:space="preserve">automatically exchanged with the tax administrations of other Member States. The</w:t>
      </w:r>
      <w:r>
        <w:t xml:space="preserve"> </w:t>
      </w:r>
      <w:r>
        <w:t xml:space="preserve">evaluation SWD44 identified weaknesses in the completeness and quality of reported TINs</w:t>
      </w:r>
      <w:r>
        <w:t xml:space="preserve"> </w:t>
      </w:r>
      <w:r>
        <w:t xml:space="preserve">and highlighted that automatic matching rates remain relatively low for certain categories of</w:t>
      </w:r>
      <w:r>
        <w:t xml:space="preserve"> </w:t>
      </w:r>
      <w:r>
        <w:t xml:space="preserve">exchanged information. In some cases, the automatic matching rate is below 30% (Figure</w:t>
      </w:r>
      <w:r>
        <w:t xml:space="preserve"> </w:t>
      </w:r>
      <w:r>
        <w:t xml:space="preserve">3 below), a detailed rationale for the diverging automatic matching rates between DAC1 -</w:t>
      </w:r>
      <w:r>
        <w:t xml:space="preserve"> </w:t>
      </w:r>
      <w:r>
        <w:t xml:space="preserve">DAC7 is included at Annex 9.</w:t>
      </w:r>
    </w:p>
    <w:p>
      <w:pPr>
        <w:pStyle w:val="BodyText"/>
      </w:pPr>
      <w:r>
        <w:t xml:space="preserve">Figure 3: Average automatic matching rates for TIN for 2025</w:t>
      </w:r>
      <w:r>
        <w:t xml:space="preserve"> </w:t>
      </w:r>
      <w:r>
        <w:t xml:space="preserve">DAC1</w:t>
      </w:r>
      <w:r>
        <w:t xml:space="preserve"> </w:t>
      </w:r>
      <w:r>
        <w:t xml:space="preserve">IE</w:t>
      </w:r>
      <w:r>
        <w:t xml:space="preserve"> </w:t>
      </w:r>
      <w:r>
        <w:t xml:space="preserve">DAC1</w:t>
      </w:r>
      <w:r>
        <w:t xml:space="preserve"> </w:t>
      </w:r>
      <w:r>
        <w:t xml:space="preserve">DF</w:t>
      </w:r>
      <w:r>
        <w:t xml:space="preserve"> </w:t>
      </w:r>
      <w:r>
        <w:t xml:space="preserve">DAC1</w:t>
      </w:r>
      <w:r>
        <w:t xml:space="preserve"> </w:t>
      </w:r>
      <w:r>
        <w:t xml:space="preserve">PEN</w:t>
      </w:r>
      <w:r>
        <w:t xml:space="preserve"> </w:t>
      </w:r>
      <w:r>
        <w:t xml:space="preserve">DAC1</w:t>
      </w:r>
      <w:r>
        <w:t xml:space="preserve"> </w:t>
      </w:r>
      <w:r>
        <w:t xml:space="preserve">LIP</w:t>
      </w:r>
      <w:r>
        <w:t xml:space="preserve"> </w:t>
      </w:r>
      <w:r>
        <w:t xml:space="preserve">DAC1</w:t>
      </w:r>
      <w:r>
        <w:t xml:space="preserve"> </w:t>
      </w:r>
      <w:r>
        <w:t xml:space="preserve">IP</w:t>
      </w:r>
      <w:r>
        <w:br/>
      </w:r>
      <w:r>
        <w:t xml:space="preserve">DAC2 DAC3 DAC4</w:t>
      </w:r>
      <w:r>
        <w:t xml:space="preserve"> </w:t>
      </w:r>
      <w:r>
        <w:t xml:space="preserve">DAC6 DAC7</w:t>
      </w:r>
      <w:r>
        <w:t xml:space="preserve"> </w:t>
      </w:r>
      <w:r>
        <w:t xml:space="preserve">39.3%</w:t>
      </w:r>
      <w:r>
        <w:t xml:space="preserve"> </w:t>
      </w:r>
      <w:r>
        <w:t xml:space="preserve">41.6%</w:t>
      </w:r>
      <w:r>
        <w:t xml:space="preserve"> </w:t>
      </w:r>
      <w:r>
        <w:t xml:space="preserve">46.9% 24.2%</w:t>
      </w:r>
      <w:r>
        <w:t xml:space="preserve"> </w:t>
      </w:r>
      <w:r>
        <w:t xml:space="preserve">35%</w:t>
      </w:r>
      <w:r>
        <w:t xml:space="preserve"> </w:t>
      </w:r>
      <w:r>
        <w:t xml:space="preserve">67.9%</w:t>
      </w:r>
      <w:r>
        <w:t xml:space="preserve"> </w:t>
      </w:r>
      <w:r>
        <w:t xml:space="preserve">27.3%</w:t>
      </w:r>
      <w:r>
        <w:t xml:space="preserve"> </w:t>
      </w:r>
      <w:r>
        <w:t xml:space="preserve">81.5%</w:t>
      </w:r>
      <w:r>
        <w:t xml:space="preserve"> </w:t>
      </w:r>
      <w:r>
        <w:t xml:space="preserve">56.8% 69.7%</w:t>
      </w:r>
      <w:r>
        <w:t xml:space="preserve"> </w:t>
      </w:r>
      <w:r>
        <w:t xml:space="preserve">Source: European Commission statistics</w:t>
      </w:r>
      <w:r>
        <w:br/>
      </w:r>
      <w:r>
        <w:t xml:space="preserve">Legend: Income from employment (IE), directors’ fees (DF), pension income (PEN), life insurance products</w:t>
      </w:r>
      <w:r>
        <w:t xml:space="preserve"> </w:t>
      </w:r>
      <w:r>
        <w:t xml:space="preserve">(LIP), income from immovable property (IP)</w:t>
      </w:r>
      <w:r>
        <w:t xml:space="preserve"> </w:t>
      </w:r>
      <w:r>
        <w:t xml:space="preserve">The inaccurate reporting of TINs constrains the ability of tax administrations to</w:t>
      </w:r>
      <w:r>
        <w:t xml:space="preserve"> </w:t>
      </w:r>
      <w:r>
        <w:t xml:space="preserve">automatically reconcile data received from other Member States with national taxpayer</w:t>
      </w:r>
      <w:r>
        <w:t xml:space="preserve"> </w:t>
      </w:r>
      <w:r>
        <w:t xml:space="preserve">databases. This constraint inhibits effective risk assessment and follow-up compliance</w:t>
      </w:r>
      <w:r>
        <w:t xml:space="preserve"> </w:t>
      </w:r>
      <w:r>
        <w:t xml:space="preserve">actions and substantially increases reliance on manual processing and follow up requests,</w:t>
      </w:r>
      <w:r>
        <w:t xml:space="preserve"> </w:t>
      </w:r>
      <w:r>
        <w:t xml:space="preserve">which in turn increases administrative costs and burden for tax administrations. This</w:t>
      </w:r>
      <w:r>
        <w:t xml:space="preserve"> </w:t>
      </w:r>
      <w:r>
        <w:t xml:space="preserve">assessment is corroborated by the findings of the 2021 ECA Special Report45, which</w:t>
      </w:r>
      <w:r>
        <w:t xml:space="preserve"> </w:t>
      </w:r>
      <w:r>
        <w:t xml:space="preserve">identified that matching performance (automatic and manual) varies significantly across</w:t>
      </w:r>
      <w:r>
        <w:t xml:space="preserve"> </w:t>
      </w:r>
      <w:r>
        <w:t xml:space="preserve">Member States and that unmatched information cannot be readily used for compliance</w:t>
      </w:r>
      <w:r>
        <w:t xml:space="preserve"> </w:t>
      </w:r>
      <w:r>
        <w:t xml:space="preserve">purposes.</w:t>
      </w:r>
    </w:p>
    <w:p>
      <w:pPr>
        <w:pStyle w:val="BodyText"/>
      </w:pPr>
      <w:r>
        <w:t xml:space="preserve">44 See SWD(2025), pp. 95–97</w:t>
      </w:r>
      <w:r>
        <w:t xml:space="preserve"> </w:t>
      </w:r>
      <w:r>
        <w:t xml:space="preserve">45 ECA, Special Report 03/2021, paras 57–63.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Where information cannot be automatically matched this reduces the scope for tax</w:t>
      </w:r>
      <w:r>
        <w:t xml:space="preserve"> </w:t>
      </w:r>
      <w:r>
        <w:t xml:space="preserve">administrations to automate and digitalise their processes for using information.</w:t>
      </w:r>
      <w:r>
        <w:t xml:space="preserve"> </w:t>
      </w:r>
      <w:r>
        <w:t xml:space="preserve">Simultaneously operational costs increase due to the necessity to manually match</w:t>
      </w:r>
      <w:r>
        <w:t xml:space="preserve"> </w:t>
      </w:r>
      <w:r>
        <w:t xml:space="preserve">information and submit follow up requests for information to the tax administration that</w:t>
      </w:r>
      <w:r>
        <w:t xml:space="preserve"> </w:t>
      </w:r>
      <w:r>
        <w:t xml:space="preserve">exchanged the information. This limits the effective use of all information by tax authorities</w:t>
      </w:r>
      <w:r>
        <w:t xml:space="preserve"> </w:t>
      </w:r>
      <w:r>
        <w:t xml:space="preserve">and negatively impacts on the efficiency and effectiveness of the framework. In their</w:t>
      </w:r>
      <w:r>
        <w:t xml:space="preserve"> </w:t>
      </w:r>
      <w:r>
        <w:t xml:space="preserve">response to the public consultation 7 stakeholders expressly highlighted the necessity for a</w:t>
      </w:r>
      <w:r>
        <w:t xml:space="preserve"> </w:t>
      </w:r>
      <w:r>
        <w:t xml:space="preserve">centralised TIN verification system.</w:t>
      </w:r>
    </w:p>
    <w:p>
      <w:pPr>
        <w:pStyle w:val="Compact"/>
        <w:numPr>
          <w:ilvl w:val="0"/>
          <w:numId w:val="1001"/>
        </w:numPr>
      </w:pPr>
      <w:r>
        <w:t xml:space="preserve">DAC1</w:t>
      </w:r>
      <w:r>
        <w:t xml:space="preserve"> </w:t>
      </w:r>
      <w:r>
        <w:t xml:space="preserve">Incomplete reporting across categories and limitations in the information available for</w:t>
      </w:r>
      <w:r>
        <w:t xml:space="preserve"> </w:t>
      </w:r>
      <w:r>
        <w:t xml:space="preserve">reporting</w:t>
      </w:r>
      <w:r>
        <w:t xml:space="preserve"> </w:t>
      </w:r>
      <w:r>
        <w:t xml:space="preserve">Under DAC1 Member States must exchange information that is “available” in their tax files</w:t>
      </w:r>
      <w:r>
        <w:t xml:space="preserve"> </w:t>
      </w:r>
      <w:r>
        <w:t xml:space="preserve">on at least 5 of the 7 DAC1 income categories. The evaluation SWD identified significant</w:t>
      </w:r>
      <w:r>
        <w:t xml:space="preserve"> </w:t>
      </w:r>
      <w:r>
        <w:t xml:space="preserve">differences between Member States in the number and type of income categories exchanged</w:t>
      </w:r>
      <w:r>
        <w:t xml:space="preserve"> </w:t>
      </w:r>
      <w:r>
        <w:t xml:space="preserve">under DAC146 (see figure 4). Furthermore, the ECA in their 2021 Special Report also</w:t>
      </w:r>
      <w:r>
        <w:t xml:space="preserve"> </w:t>
      </w:r>
      <w:r>
        <w:t xml:space="preserve">highlighted the large differences between the number of categories reported and exchanged</w:t>
      </w:r>
      <w:r>
        <w:t xml:space="preserve"> </w:t>
      </w:r>
      <w:r>
        <w:t xml:space="preserve">by Member States and that this may contribute to situations where income is not taxed in</w:t>
      </w:r>
      <w:r>
        <w:t xml:space="preserve"> </w:t>
      </w:r>
      <w:r>
        <w:t xml:space="preserve">the Member State of residence of the taxpayer because the relevant information is not</w:t>
      </w:r>
      <w:r>
        <w:t xml:space="preserve"> </w:t>
      </w:r>
      <w:r>
        <w:t xml:space="preserve">exchanged47. These structural limitations reduce the effectiveness of the administrative</w:t>
      </w:r>
      <w:r>
        <w:t xml:space="preserve"> </w:t>
      </w:r>
      <w:r>
        <w:t xml:space="preserve">cooperation framework, in particular, where the information is already held at national level</w:t>
      </w:r>
      <w:r>
        <w:t xml:space="preserve"> </w:t>
      </w:r>
      <w:r>
        <w:t xml:space="preserve">but not made available to tax administrations, thereby further constraining the ability of tax</w:t>
      </w:r>
      <w:r>
        <w:t xml:space="preserve"> </w:t>
      </w:r>
      <w:r>
        <w:t xml:space="preserve">administrations to maximise the benefits of the DAC.</w:t>
      </w:r>
      <w:r>
        <w:br/>
      </w:r>
      <w:r>
        <w:t xml:space="preserve">Figure 4: Categories of information exchanged by Member States</w:t>
      </w:r>
      <w:r>
        <w:t xml:space="preserve"> </w:t>
      </w:r>
      <w:r>
        <w:t xml:space="preserve">Category of Income and Capital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exchanging information</w:t>
      </w:r>
      <w:r>
        <w:t xml:space="preserve"> </w:t>
      </w:r>
      <w:r>
        <w:t xml:space="preserve">Income from employment</w:t>
      </w:r>
      <w:r>
        <w:t xml:space="preserve"> </w:t>
      </w:r>
      <w:r>
        <w:t xml:space="preserve">26</w:t>
      </w:r>
      <w:r>
        <w:t xml:space="preserve"> </w:t>
      </w:r>
      <w:r>
        <w:t xml:space="preserve">Directors Fees</w:t>
      </w:r>
      <w:r>
        <w:t xml:space="preserve"> </w:t>
      </w:r>
      <w:r>
        <w:t xml:space="preserve">23</w:t>
      </w:r>
      <w:r>
        <w:t xml:space="preserve"> </w:t>
      </w:r>
      <w:r>
        <w:t xml:space="preserve">Income from life insurance products</w:t>
      </w:r>
      <w:r>
        <w:t xml:space="preserve"> </w:t>
      </w:r>
      <w:r>
        <w:t xml:space="preserve">10</w:t>
      </w:r>
      <w:r>
        <w:t xml:space="preserve"> </w:t>
      </w:r>
      <w:r>
        <w:t xml:space="preserve">Pensions</w:t>
      </w:r>
      <w:r>
        <w:t xml:space="preserve"> </w:t>
      </w:r>
      <w:r>
        <w:t xml:space="preserve">25</w:t>
      </w:r>
      <w:r>
        <w:t xml:space="preserve"> </w:t>
      </w:r>
      <w:r>
        <w:t xml:space="preserve">Ownership and income from immovable property</w:t>
      </w:r>
      <w:r>
        <w:br/>
      </w:r>
      <w:r>
        <w:t xml:space="preserve">24</w:t>
      </w:r>
      <w:r>
        <w:t xml:space="preserve"> </w:t>
      </w:r>
      <w:r>
        <w:t xml:space="preserve">Royalties</w:t>
      </w:r>
      <w:r>
        <w:t xml:space="preserve"> </w:t>
      </w:r>
      <w:r>
        <w:t xml:space="preserve">18</w:t>
      </w:r>
      <w:r>
        <w:t xml:space="preserve"> </w:t>
      </w:r>
      <w:r>
        <w:t xml:space="preserve">Non-custodial dividend income</w:t>
      </w:r>
      <w:r>
        <w:t xml:space="preserve"> </w:t>
      </w:r>
      <w:r>
        <w:t xml:space="preserve">AEOI will start in 2027</w:t>
      </w:r>
      <w:r>
        <w:t xml:space="preserve"> </w:t>
      </w:r>
      <w:r>
        <w:t xml:space="preserve">Source: European Commission statistics</w:t>
      </w:r>
      <w:r>
        <w:br/>
      </w:r>
      <w:r>
        <w:t xml:space="preserve">In particular, income from life insurance products (LIP) is exchanged by only 10 Member</w:t>
      </w:r>
      <w:r>
        <w:t xml:space="preserve"> </w:t>
      </w:r>
      <w:r>
        <w:t xml:space="preserve">States and represents less than 1% of both the number of taxpayers and the total value of</w:t>
      </w:r>
      <w:r>
        <w:t xml:space="preserve"> </w:t>
      </w:r>
      <w:r>
        <w:t xml:space="preserve">income exchanged under DAC1. This limited use partly reflects the fact that several Member</w:t>
      </w:r>
      <w:r>
        <w:t xml:space="preserve"> </w:t>
      </w:r>
      <w:r>
        <w:t xml:space="preserve">States do not hold relevant information in their tax files due to the absence of national tax</w:t>
      </w:r>
      <w:r>
        <w:t xml:space="preserve"> </w:t>
      </w:r>
      <w:r>
        <w:t xml:space="preserve">provisions applicable to LIP. Moreover, certain LIP are already covered by exchanges under</w:t>
      </w:r>
    </w:p>
    <w:p>
      <w:pPr>
        <w:pStyle w:val="FirstParagraph"/>
      </w:pPr>
      <w:r>
        <w:t xml:space="preserve">46 See SWD(2025), pp. 45–49</w:t>
      </w:r>
      <w:r>
        <w:t xml:space="preserve"> </w:t>
      </w:r>
      <w:r>
        <w:t xml:space="preserve">47 ECA, Special Report 03/2021, para. VIII; see also paras 29–33, 108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DAC2. This overlap arises because certain LIP are treated as financial accounts and are</w:t>
      </w:r>
      <w:r>
        <w:t xml:space="preserve"> </w:t>
      </w:r>
      <w:r>
        <w:t xml:space="preserve">therefore reported by financial institutions under the DAC2 framework.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br/>
      </w:r>
      <w:r>
        <w:t xml:space="preserve">Fragmentation of the legal framework due to numerous amending legal instruments</w:t>
      </w:r>
      <w:r>
        <w:t xml:space="preserve"> </w:t>
      </w:r>
      <w:r>
        <w:t xml:space="preserve">Since its first adoption in 2011, the DAC has been amended 8 times to introduce new</w:t>
      </w:r>
      <w:r>
        <w:t xml:space="preserve"> </w:t>
      </w:r>
      <w:r>
        <w:t xml:space="preserve">reporting requirements and administrative cooperation mechanisms. While these</w:t>
      </w:r>
      <w:r>
        <w:t xml:space="preserve"> </w:t>
      </w:r>
      <w:r>
        <w:t xml:space="preserve">amendments have progressively expanded the scope of administrative cooperation,</w:t>
      </w:r>
      <w:r>
        <w:t xml:space="preserve"> </w:t>
      </w:r>
      <w:r>
        <w:t xml:space="preserve">particularly AEOI, they have also resulted in a fragmented legal framework that must be</w:t>
      </w:r>
      <w:r>
        <w:t xml:space="preserve"> </w:t>
      </w:r>
      <w:r>
        <w:t xml:space="preserve">read and interpreted together. This has increased the complexity of the legal framework and</w:t>
      </w:r>
      <w:r>
        <w:t xml:space="preserve"> </w:t>
      </w:r>
      <w:r>
        <w:t xml:space="preserve">has contributed to challenges in ensuring consistent interpretation and implementation of the</w:t>
      </w:r>
      <w:r>
        <w:t xml:space="preserve"> </w:t>
      </w:r>
      <w:r>
        <w:t xml:space="preserve">DAC across the Union.</w:t>
      </w:r>
      <w:r>
        <w:br/>
      </w:r>
      <w:r>
        <w:t xml:space="preserve">Evolution of tax compliance risks faced by tax administrations</w:t>
      </w:r>
      <w:r>
        <w:t xml:space="preserve"> </w:t>
      </w:r>
      <w:r>
        <w:t xml:space="preserve">The compliance risks faced by tax administrations have evolved significantly since 2011,</w:t>
      </w:r>
      <w:r>
        <w:t xml:space="preserve"> </w:t>
      </w:r>
      <w:r>
        <w:t xml:space="preserve">due to increased cross-border economic activity, digitalisation and the growing complexity</w:t>
      </w:r>
      <w:r>
        <w:t xml:space="preserve"> </w:t>
      </w:r>
      <w:r>
        <w:t xml:space="preserve">of MNE structures. In response, the administrative cooperation framework has expanded to</w:t>
      </w:r>
      <w:r>
        <w:t xml:space="preserve"> </w:t>
      </w:r>
      <w:r>
        <w:t xml:space="preserve">include additional reporting obligations under instruments such as DAC4 for MNE groups,</w:t>
      </w:r>
      <w:r>
        <w:t xml:space="preserve"> </w:t>
      </w:r>
      <w:r>
        <w:t xml:space="preserve">DAC6 for cross-border tax arrangements and DAC7 for activities carried out through digital</w:t>
      </w:r>
      <w:r>
        <w:t xml:space="preserve"> </w:t>
      </w:r>
      <w:r>
        <w:t xml:space="preserve">platforms. While these instruments were introduced to address specific tax compliance risks,</w:t>
      </w:r>
      <w:r>
        <w:t xml:space="preserve"> </w:t>
      </w:r>
      <w:r>
        <w:t xml:space="preserve">the cumulative expansion of reporting obligations has also increased the complexity and</w:t>
      </w:r>
      <w:r>
        <w:t xml:space="preserve"> </w:t>
      </w:r>
      <w:r>
        <w:t xml:space="preserve">compliance costs associated with the framework.</w:t>
      </w:r>
      <w:r>
        <w:br/>
      </w:r>
      <w:r>
        <w:t xml:space="preserve">Certain tax compliance risks that were once prevalent have now significantly reduced</w:t>
      </w:r>
      <w:r>
        <w:t xml:space="preserve"> </w:t>
      </w:r>
      <w:r>
        <w:t xml:space="preserve">particularly since the introduction of the Pillar 2 Directive (which was adopted in 2022) and</w:t>
      </w:r>
      <w:r>
        <w:t xml:space="preserve"> </w:t>
      </w:r>
      <w:r>
        <w:t xml:space="preserve">which has established a comprehensive framework for ensuring a minimum effective level</w:t>
      </w:r>
      <w:r>
        <w:t xml:space="preserve"> </w:t>
      </w:r>
      <w:r>
        <w:t xml:space="preserve">of taxation for MNE groups in each jurisdiction they operate. Simultaneously, the evolution</w:t>
      </w:r>
      <w:r>
        <w:t xml:space="preserve"> </w:t>
      </w:r>
      <w:r>
        <w:t xml:space="preserve">of tax compliance risks in other areas such as activities carried out via digital platforms</w:t>
      </w:r>
      <w:r>
        <w:t xml:space="preserve"> </w:t>
      </w:r>
      <w:r>
        <w:t xml:space="preserve">means that certain reported information may now be of limited value for tax administrations.</w:t>
      </w:r>
      <w:r>
        <w:t xml:space="preserve"> </w:t>
      </w:r>
      <w:r>
        <w:t xml:space="preserve">This affects the efficiency and proportionality of the reporting system and increases</w:t>
      </w:r>
      <w:r>
        <w:t xml:space="preserve"> </w:t>
      </w:r>
      <w:r>
        <w:t xml:space="preserve">administrative burdens for both tax administrations and reporting entities.</w:t>
      </w:r>
      <w:r>
        <w:t xml:space="preserve"> </w:t>
      </w:r>
      <w:r>
        <w:t xml:space="preserve">Inaccurate reporting of the TIN and limitations in the legislative reporting framework</w:t>
      </w:r>
      <w:r>
        <w:t xml:space="preserve"> </w:t>
      </w:r>
      <w:r>
        <w:t xml:space="preserve">The DAC evaluation identified that weaknesses remain in the accurate reporting of TINs.</w:t>
      </w:r>
      <w:r>
        <w:t xml:space="preserve"> </w:t>
      </w:r>
      <w:r>
        <w:t xml:space="preserve">While the DAC requires reporting entities to validate the TIN of the reported taxpayer, it</w:t>
      </w:r>
      <w:r>
        <w:t xml:space="preserve"> </w:t>
      </w:r>
      <w:r>
        <w:t xml:space="preserve">does not prescribe the method by which the TIN should be validated. At present there is no</w:t>
      </w:r>
      <w:r>
        <w:t xml:space="preserve"> </w:t>
      </w:r>
      <w:r>
        <w:t xml:space="preserve">centralised system for reporting entities and tax administrations to validate that a TIN is</w:t>
      </w:r>
      <w:r>
        <w:t xml:space="preserve"> </w:t>
      </w:r>
      <w:r>
        <w:t xml:space="preserve">correct and that it corresponds to the relevant taxpayer. The Commission has developed an</w:t>
      </w:r>
      <w:r>
        <w:t xml:space="preserve"> </w:t>
      </w:r>
      <w:r>
        <w:t xml:space="preserve">online tool (i.e. the TIN-on-the Web module48). However, the tool is limited to verifying</w:t>
      </w:r>
      <w:r>
        <w:t xml:space="preserve"> </w:t>
      </w:r>
      <w:r>
        <w:t xml:space="preserve">whether the structure of the TIN is valid (types and number of characters i.e. syntax).</w:t>
      </w:r>
      <w:r>
        <w:br/>
      </w:r>
      <w:r>
        <w:t xml:space="preserve">Moreover, and as highlighted by the ECA in their 2021 Special Report, there are structural</w:t>
      </w:r>
      <w:r>
        <w:t xml:space="preserve"> </w:t>
      </w:r>
      <w:r>
        <w:t xml:space="preserve">limitations in the design of the legal framework governing the exchange of information</w:t>
      </w:r>
      <w:r>
        <w:t xml:space="preserve"> </w:t>
      </w:r>
      <w:r>
        <w:t xml:space="preserve">under DAC149. Member States are required to exchange information on at least five of the</w:t>
      </w:r>
    </w:p>
    <w:p>
      <w:pPr>
        <w:pStyle w:val="BodyText"/>
      </w:pPr>
      <w:r>
        <w:t xml:space="preserve">48 European Commission, TIN on the Web (Taxpayer Identification Number), available at: TIN on the Web</w:t>
      </w:r>
      <w:r>
        <w:t xml:space="preserve"> </w:t>
      </w:r>
      <w:r>
        <w:t xml:space="preserve">49 ECA, Special Report 03/2021, para. VIII; see also paras 29–33, 108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seven DAC1 income categories. In addition, only information that is “available” in the tax</w:t>
      </w:r>
      <w:r>
        <w:t xml:space="preserve"> </w:t>
      </w:r>
      <w:r>
        <w:t xml:space="preserve">files of the competent tax authority must be exchanged, meaning that if relevant information</w:t>
      </w:r>
      <w:r>
        <w:t xml:space="preserve"> </w:t>
      </w:r>
      <w:r>
        <w:t xml:space="preserve">exists within a Member State’s public administration but is not recorded in the tax</w:t>
      </w:r>
      <w:r>
        <w:t xml:space="preserve"> </w:t>
      </w:r>
      <w:r>
        <w:t xml:space="preserve">administration’s databases, Member States are not obliged to exchange this information. For</w:t>
      </w:r>
      <w:r>
        <w:t xml:space="preserve"> </w:t>
      </w:r>
      <w:r>
        <w:t xml:space="preserve">example, information on ownership of immovable property may be held by a land registry</w:t>
      </w:r>
      <w:r>
        <w:t xml:space="preserve"> </w:t>
      </w:r>
      <w:r>
        <w:t xml:space="preserve">or another public authority but not systematically captured in the tax authority’s records.</w:t>
      </w:r>
      <w:r>
        <w:t xml:space="preserve"> </w:t>
      </w:r>
      <w:r>
        <w:t xml:space="preserve">Where such information is not available in the tax administration’s files, it is not considered</w:t>
      </w:r>
      <w:r>
        <w:t xml:space="preserve"> </w:t>
      </w:r>
      <w:r>
        <w:t xml:space="preserve">“available” for the purposes of DAC1 and is therefore not exchanged. This “availability”</w:t>
      </w:r>
      <w:r>
        <w:t xml:space="preserve"> </w:t>
      </w:r>
      <w:r>
        <w:t xml:space="preserve">provision substantially limits the scope of information exchanged between Member States.</w:t>
      </w:r>
      <w:r>
        <w:br/>
      </w:r>
      <w:r>
        <w:t xml:space="preserve">2.3.</w:t>
      </w:r>
      <w:r>
        <w:t xml:space="preserve"> </w:t>
      </w:r>
      <w:r>
        <w:t xml:space="preserve">How likely is the problem to persist?</w:t>
      </w:r>
      <w:r>
        <w:br/>
      </w:r>
      <w:r>
        <w:t xml:space="preserve">The DAC and its subsequent amendments constitute Union legal acts intended to ensure that</w:t>
      </w:r>
      <w:r>
        <w:t xml:space="preserve"> </w:t>
      </w:r>
      <w:r>
        <w:t xml:space="preserve">there is a coherent and comprehensive framework for administrative cooperation within the</w:t>
      </w:r>
      <w:r>
        <w:t xml:space="preserve"> </w:t>
      </w:r>
      <w:r>
        <w:t xml:space="preserve">Internal Market. To this end the DAC establishes harmonised reporting and exchange of</w:t>
      </w:r>
      <w:r>
        <w:t xml:space="preserve"> </w:t>
      </w:r>
      <w:r>
        <w:t xml:space="preserve">information requirements across Member States.</w:t>
      </w:r>
      <w:r>
        <w:t xml:space="preserve"> </w:t>
      </w:r>
      <w:r>
        <w:t xml:space="preserve">In the absence of amendments to the existing Union acquis, the problems identified are</w:t>
      </w:r>
      <w:r>
        <w:t xml:space="preserve"> </w:t>
      </w:r>
      <w:r>
        <w:t xml:space="preserve">expected to persist and, in several areas, intensify over time. The complexity of the current</w:t>
      </w:r>
      <w:r>
        <w:t xml:space="preserve"> </w:t>
      </w:r>
      <w:r>
        <w:t xml:space="preserve">legal framework stems from the cumulative development of the DAC through successive</w:t>
      </w:r>
      <w:r>
        <w:t xml:space="preserve"> </w:t>
      </w:r>
      <w:r>
        <w:t xml:space="preserve">amendments. Without EU action, tax administrations and reporting entities would continue</w:t>
      </w:r>
      <w:r>
        <w:t xml:space="preserve"> </w:t>
      </w:r>
      <w:r>
        <w:t xml:space="preserve">to interpret and apply provisions dispersed across several legislative instruments. Divergent</w:t>
      </w:r>
      <w:r>
        <w:t xml:space="preserve"> </w:t>
      </w:r>
      <w:r>
        <w:t xml:space="preserve">interpretations of certain provisions across Member States would therefore likely remain,</w:t>
      </w:r>
      <w:r>
        <w:t xml:space="preserve"> </w:t>
      </w:r>
      <w:r>
        <w:t xml:space="preserve">creating legal uncertainty for businesses operating cross-border and potentially affecting the</w:t>
      </w:r>
      <w:r>
        <w:t xml:space="preserve"> </w:t>
      </w:r>
      <w:r>
        <w:t xml:space="preserve">level playing field.</w:t>
      </w:r>
      <w:r>
        <w:t xml:space="preserve"> </w:t>
      </w:r>
      <w:r>
        <w:t xml:space="preserve">At the same time, available evidence points to a continued increase in the volume of</w:t>
      </w:r>
      <w:r>
        <w:t xml:space="preserve"> </w:t>
      </w:r>
      <w:r>
        <w:t xml:space="preserve">information exchanged under the DAC framework. For example, under DAC1, between</w:t>
      </w:r>
      <w:r>
        <w:t xml:space="preserve"> </w:t>
      </w:r>
      <w:r>
        <w:t xml:space="preserve">2018 and mid-2022, Member States exchanged information covering approximately 36.7</w:t>
      </w:r>
      <w:r>
        <w:t xml:space="preserve"> </w:t>
      </w:r>
      <w:r>
        <w:t xml:space="preserve">million taxpayers and EUR 239.5 billion in income. On an annual basis (2018–2021), this</w:t>
      </w:r>
      <w:r>
        <w:t xml:space="preserve"> </w:t>
      </w:r>
      <w:r>
        <w:t xml:space="preserve">corresponds to around 8.6 million taxpayers and EUR 54.8 billion in income exchanged,</w:t>
      </w:r>
      <w:r>
        <w:t xml:space="preserve"> </w:t>
      </w:r>
      <w:r>
        <w:t xml:space="preserve">with a clear upward trend compared to earlier periods (50). In the absence of reform, this</w:t>
      </w:r>
      <w:r>
        <w:t xml:space="preserve"> </w:t>
      </w:r>
      <w:r>
        <w:t xml:space="preserve">trend is expected to continue, further increasing the volume of data handled by tax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At the same time, the evolution of reporting obligations introduced under different DAC</w:t>
      </w:r>
      <w:r>
        <w:t xml:space="preserve"> </w:t>
      </w:r>
      <w:r>
        <w:t xml:space="preserve">instruments would continue to generate situations where certain notification obligations</w:t>
      </w:r>
      <w:r>
        <w:t xml:space="preserve"> </w:t>
      </w:r>
      <w:r>
        <w:t xml:space="preserve">overlap and reporting requirements result in the reporting of large volumes of information</w:t>
      </w:r>
      <w:r>
        <w:t xml:space="preserve"> </w:t>
      </w:r>
      <w:r>
        <w:t xml:space="preserve">that may be of limited added value for tax administrations. This is particularly evident in</w:t>
      </w:r>
      <w:r>
        <w:t xml:space="preserve"> </w:t>
      </w:r>
      <w:r>
        <w:t xml:space="preserve">the case of DAC6, where stakeholder consultations indicate that continued reporting at</w:t>
      </w:r>
      <w:r>
        <w:t xml:space="preserve"> </w:t>
      </w:r>
      <w:r>
        <w:t xml:space="preserve">current levels would generate substantial volumes of disclosures, a significant share of</w:t>
      </w:r>
      <w:r>
        <w:t xml:space="preserve"> </w:t>
      </w:r>
      <w:r>
        <w:t xml:space="preserve">which are considered to have limited tax relevance (“noise”).</w:t>
      </w:r>
      <w:r>
        <w:br/>
      </w:r>
      <w:r>
        <w:t xml:space="preserve">This assessment is substantiated by the fact that during the targeted consultations, 4 Member</w:t>
      </w:r>
      <w:r>
        <w:t xml:space="preserve"> </w:t>
      </w:r>
      <w:r>
        <w:t xml:space="preserve">States accounting for 75% of all reporting under DAC6 highlighted that reporting linked to</w:t>
      </w:r>
      <w:r>
        <w:t xml:space="preserve"> </w:t>
      </w:r>
      <w:r>
        <w:t xml:space="preserve">A1, A2 and A3 provides limited added value in identifying tax fraud, avoidance and evasion</w:t>
      </w:r>
      <w:r>
        <w:t xml:space="preserve"> </w:t>
      </w:r>
      <w:r>
        <w:t xml:space="preserve">while creating significant operational processing burdens for tax administrations. This</w:t>
      </w:r>
      <w:r>
        <w:t xml:space="preserve"> </w:t>
      </w:r>
      <w:r>
        <w:t xml:space="preserve">concern is reinforced by observed trends since the introduction of DAC6, with more than</w:t>
      </w:r>
    </w:p>
    <w:p>
      <w:pPr>
        <w:pStyle w:val="Compact"/>
        <w:numPr>
          <w:ilvl w:val="0"/>
          <w:numId w:val="1002"/>
        </w:numPr>
      </w:pPr>
      <w:r>
        <w:t xml:space="preserve">Evaluation of the Directive 2011/16 and its amendments, Final Report, 2025, Figure 5.</w:t>
      </w:r>
    </w:p>
    <w:p>
      <w:pPr>
        <w:pStyle w:val="FirstParagraph"/>
      </w:pPr>
      <w:r>
        <w:t xml:space="preserve">19</w:t>
      </w:r>
      <w:r>
        <w:t xml:space="preserve"> </w:t>
      </w:r>
      <w:r>
        <w:t xml:space="preserve">60,000 arrangements reported between mid-2020 and 2025. In the absence of reform, these</w:t>
      </w:r>
      <w:r>
        <w:t xml:space="preserve"> </w:t>
      </w:r>
      <w:r>
        <w:t xml:space="preserve">volumes are expected to remain high or increase further, thereby exacerbating administrative</w:t>
      </w:r>
      <w:r>
        <w:t xml:space="preserve"> </w:t>
      </w:r>
      <w:r>
        <w:t xml:space="preserve">burdens and reducing the capacity of tax administrations to focus on high-risk cases.</w:t>
      </w:r>
      <w:r>
        <w:t xml:space="preserve"> </w:t>
      </w:r>
      <w:r>
        <w:t xml:space="preserve">Similarly, for DAC7, while time series data are still limited, broader economic developments</w:t>
      </w:r>
      <w:r>
        <w:t xml:space="preserve"> </w:t>
      </w:r>
      <w:r>
        <w:t xml:space="preserve">such as the continued expansion of the platform economy and increasing digitalisation</w:t>
      </w:r>
      <w:r>
        <w:t xml:space="preserve"> </w:t>
      </w:r>
      <w:r>
        <w:t xml:space="preserve">suggest that the number of platform users and transactions will continue to grow. This is</w:t>
      </w:r>
      <w:r>
        <w:t xml:space="preserve"> </w:t>
      </w:r>
      <w:r>
        <w:t xml:space="preserve">expected to translate into a rising number of reportable sellers and corresponding reporting</w:t>
      </w:r>
      <w:r>
        <w:t xml:space="preserve"> </w:t>
      </w:r>
      <w:r>
        <w:t xml:space="preserve">obligations over time.</w:t>
      </w:r>
      <w:r>
        <w:t xml:space="preserve"> </w:t>
      </w:r>
      <w:r>
        <w:t xml:space="preserve">In the absence of legislative amendments, compliance costs would continue not to be</w:t>
      </w:r>
      <w:r>
        <w:t xml:space="preserve"> </w:t>
      </w:r>
      <w:r>
        <w:t xml:space="preserve">proportionate to the contribution of these obligations to the underlying policy objectives.</w:t>
      </w:r>
      <w:r>
        <w:t xml:space="preserve"> </w:t>
      </w:r>
      <w:r>
        <w:t xml:space="preserve">More generally, the combination of increasing reporting volumes and overlapping</w:t>
      </w:r>
      <w:r>
        <w:t xml:space="preserve"> </w:t>
      </w:r>
      <w:r>
        <w:t xml:space="preserve">obligations is expected to lead to rising compliance costs for both businesses and tax</w:t>
      </w:r>
      <w:r>
        <w:t xml:space="preserve"> </w:t>
      </w:r>
      <w:r>
        <w:t xml:space="preserve">administrations, as also evidenced in the DAC evaluation.</w:t>
      </w:r>
      <w:r>
        <w:t xml:space="preserve"> </w:t>
      </w:r>
      <w:r>
        <w:t xml:space="preserve">Limitations affecting the completeness and use of exchanged information would also persist.</w:t>
      </w:r>
      <w:r>
        <w:t xml:space="preserve"> </w:t>
      </w:r>
      <w:r>
        <w:t xml:space="preserve">In particular, the optionality associated with certain reporting requirements under DAC1 and</w:t>
      </w:r>
      <w:r>
        <w:t xml:space="preserve"> </w:t>
      </w:r>
      <w:r>
        <w:t xml:space="preserve">the obligation to exchange only information available in the tax files of the competent</w:t>
      </w:r>
      <w:r>
        <w:t xml:space="preserve"> </w:t>
      </w:r>
      <w:r>
        <w:t xml:space="preserve">authority would continue to result in differences in the scope of information exchanged</w:t>
      </w:r>
      <w:r>
        <w:t xml:space="preserve"> </w:t>
      </w:r>
      <w:r>
        <w:t xml:space="preserve">across Member States. In addition, challenges related to the accurate identification of</w:t>
      </w:r>
      <w:r>
        <w:t xml:space="preserve"> </w:t>
      </w:r>
      <w:r>
        <w:t xml:space="preserve">taxpayers would remain as weaknesses in the verification of TINs would continue to limit</w:t>
      </w:r>
      <w:r>
        <w:t xml:space="preserve"> </w:t>
      </w:r>
      <w:r>
        <w:t xml:space="preserve">the ability of tax administrations to automatically match exchanged information with</w:t>
      </w:r>
      <w:r>
        <w:t xml:space="preserve"> </w:t>
      </w:r>
      <w:r>
        <w:t xml:space="preserve">national taxpayer databases and, therefore, to effectively and efficiently use exchanged</w:t>
      </w:r>
      <w:r>
        <w:t xml:space="preserve"> </w:t>
      </w:r>
      <w:r>
        <w:t xml:space="preserve">information for risk assessment and compliance purposes.</w:t>
      </w:r>
      <w:r>
        <w:br/>
      </w:r>
      <w:r>
        <w:t xml:space="preserve">These trends indicate that, in the absence of policy intervention, the current challenges</w:t>
      </w:r>
      <w:r>
        <w:t xml:space="preserve"> </w:t>
      </w:r>
      <w:r>
        <w:t xml:space="preserve">related to complexity, fragmentation, data quality and administrative burden are likely not</w:t>
      </w:r>
      <w:r>
        <w:t xml:space="preserve"> </w:t>
      </w:r>
      <w:r>
        <w:t xml:space="preserve">only to persist but to become more pronounced over time, driven by increasing volumes of</w:t>
      </w:r>
      <w:r>
        <w:t xml:space="preserve"> </w:t>
      </w:r>
      <w:r>
        <w:t xml:space="preserve">exchanged information and the evolving economic environment.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of DAC relies on Articles 113 and 115 of the Treaty on the Functioning of</w:t>
      </w:r>
      <w:r>
        <w:t xml:space="preserve"> </w:t>
      </w:r>
      <w:r>
        <w:t xml:space="preserve">the European Union (TFEU). Article 113 of the TFEU provides a legal basis for the</w:t>
      </w:r>
      <w:r>
        <w:t xml:space="preserve"> </w:t>
      </w:r>
      <w:r>
        <w:t xml:space="preserve">harmonisation of indirect tax systems of Member States, as far as is needed to ensure the</w:t>
      </w:r>
      <w:r>
        <w:t xml:space="preserve"> </w:t>
      </w:r>
      <w:r>
        <w:t xml:space="preserve">functioning of the Internal Market and to avoid distortion of competition. Article 115 of the</w:t>
      </w:r>
      <w:r>
        <w:t xml:space="preserve"> </w:t>
      </w:r>
      <w:r>
        <w:t xml:space="preserve">TFEU provides for the approximation of such laws, regulations or administrative provisions</w:t>
      </w:r>
      <w:r>
        <w:t xml:space="preserve"> </w:t>
      </w:r>
      <w:r>
        <w:t xml:space="preserve">of the Member States, which directly affect the establishment or functioning of the Internal</w:t>
      </w:r>
      <w:r>
        <w:t xml:space="preserve"> </w:t>
      </w:r>
      <w:r>
        <w:t xml:space="preserve">Market and make the approximation of laws necessary. The key objective of the DAC is to</w:t>
      </w:r>
      <w:r>
        <w:t xml:space="preserve"> </w:t>
      </w:r>
      <w:r>
        <w:t xml:space="preserve">ensure that there is a robust legal instrument based on uniform conditions and harmonised</w:t>
      </w:r>
      <w:r>
        <w:t xml:space="preserve"> </w:t>
      </w:r>
      <w:r>
        <w:t xml:space="preserve">practices to facilitate administrative cooperation and exchange of information in the field of</w:t>
      </w:r>
      <w:r>
        <w:t xml:space="preserve"> </w:t>
      </w:r>
      <w:r>
        <w:t xml:space="preserve">direct taxation. This is necessary to ensure the proper functioning of the Internal Market and</w:t>
      </w:r>
      <w:r>
        <w:t xml:space="preserve"> </w:t>
      </w:r>
      <w:r>
        <w:t xml:space="preserve">reduce the negative effects of tax fraud, evasion and avoidance in the EU.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DAC and its 8 amendments are legal acts of the EU. The political objectives of</w:t>
      </w:r>
      <w:r>
        <w:t xml:space="preserve"> </w:t>
      </w:r>
      <w:r>
        <w:t xml:space="preserve">simplification necessitate proposals to codify, simplify and clarify the existing framework</w:t>
      </w:r>
      <w:r>
        <w:t xml:space="preserve"> </w:t>
      </w:r>
      <w:r>
        <w:t xml:space="preserve">to eliminate any overlaps and contradictions, cut unnecessary and low-value reporting and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ensure consistent implementation, while not undermining the policy objectives of the</w:t>
      </w:r>
      <w:r>
        <w:t xml:space="preserve"> </w:t>
      </w:r>
      <w:r>
        <w:t xml:space="preserve">legislation. Given the need to act and the nature and extent of the problem as set out in</w:t>
      </w:r>
      <w:r>
        <w:t xml:space="preserve"> </w:t>
      </w:r>
      <w:r>
        <w:t xml:space="preserve">chapter 2, an EU approach is the only option to ensure that there is a comprehensive and</w:t>
      </w:r>
      <w:r>
        <w:t xml:space="preserve"> </w:t>
      </w:r>
      <w:r>
        <w:t xml:space="preserve">uniform solution that conforms with EU law, does not distort competition and maintains the</w:t>
      </w:r>
      <w:r>
        <w:t xml:space="preserve"> </w:t>
      </w:r>
      <w:r>
        <w:t xml:space="preserve">level playing field. Individual actions taken by Member States could not achieve these</w:t>
      </w:r>
      <w:r>
        <w:t xml:space="preserve"> </w:t>
      </w:r>
      <w:r>
        <w:t xml:space="preserve">objectives. At the same time, the current inefficiencies in the effective functioning of the</w:t>
      </w:r>
      <w:r>
        <w:t xml:space="preserve"> </w:t>
      </w:r>
      <w:r>
        <w:t xml:space="preserve">DAC acquis, as identified in the DAC evaluation and the Special Reports of the ECA are</w:t>
      </w:r>
      <w:r>
        <w:t xml:space="preserve"> </w:t>
      </w:r>
      <w:r>
        <w:t xml:space="preserve">linked to several existing reporting and exchange obligations contained in the DAC, which</w:t>
      </w:r>
      <w:r>
        <w:t xml:space="preserve"> </w:t>
      </w:r>
      <w:r>
        <w:t xml:space="preserve">can only be comprehensively and uniformly addressed by an EU legislative initiative.</w:t>
      </w:r>
      <w:r>
        <w:br/>
      </w:r>
      <w:r>
        <w:t xml:space="preserve">3.3.</w:t>
      </w:r>
      <w:r>
        <w:t xml:space="preserve"> </w:t>
      </w:r>
      <w:r>
        <w:t xml:space="preserve">Proportionality: Added value of EU action</w:t>
      </w:r>
      <w:r>
        <w:t xml:space="preserve"> </w:t>
      </w:r>
      <w:r>
        <w:t xml:space="preserve">The added value of EU action is that it ensures that there is a coherent, uniform and complete</w:t>
      </w:r>
      <w:r>
        <w:t xml:space="preserve"> </w:t>
      </w:r>
      <w:r>
        <w:t xml:space="preserve">solution at EU level, which achieves the targeted reductions in reporting burdens and</w:t>
      </w:r>
      <w:r>
        <w:t xml:space="preserve"> </w:t>
      </w:r>
      <w:r>
        <w:t xml:space="preserve">associated administrative costs for EU businesses, and which could not be achieved by</w:t>
      </w:r>
      <w:r>
        <w:t xml:space="preserve"> </w:t>
      </w:r>
      <w:r>
        <w:t xml:space="preserve">individual actions taken by Member States. At the same time, EU action will</w:t>
      </w:r>
      <w:r>
        <w:t xml:space="preserve"> </w:t>
      </w:r>
      <w:r>
        <w:t xml:space="preserve">comprehensively address the current identified inefficiencies in the functioning of the DAC</w:t>
      </w:r>
      <w:r>
        <w:t xml:space="preserve"> </w:t>
      </w:r>
      <w:r>
        <w:t xml:space="preserve">with targeted improvements to the existing acquis ensuring that tax administrations,</w:t>
      </w:r>
      <w:r>
        <w:t xml:space="preserve"> </w:t>
      </w:r>
      <w:r>
        <w:t xml:space="preserve">reporting entities and taxpayers benefit from a more efficient and effective functioning of</w:t>
      </w:r>
      <w:r>
        <w:t xml:space="preserve"> </w:t>
      </w:r>
      <w:r>
        <w:t xml:space="preserve">the DAC. More specifically, these uniform and coherent enhancements will support</w:t>
      </w:r>
      <w:r>
        <w:t xml:space="preserve"> </w:t>
      </w:r>
      <w:r>
        <w:t xml:space="preserve">improvements in data completeness, data quality and use of information and therein advance</w:t>
      </w:r>
      <w:r>
        <w:t xml:space="preserve"> </w:t>
      </w:r>
      <w:r>
        <w:t xml:space="preserve">the capabilities of the tax authorities of Member States to effectively tackle tax fraud,</w:t>
      </w:r>
      <w:r>
        <w:t xml:space="preserve"> </w:t>
      </w:r>
      <w:r>
        <w:t xml:space="preserve">avoidance and evasion.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Figure 5: Intervention logic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4.1 General objectives</w:t>
      </w:r>
      <w:r>
        <w:t xml:space="preserve"> </w:t>
      </w:r>
      <w:r>
        <w:t xml:space="preserve">In response to the problems identified, the general objectives of this initiative are to</w:t>
      </w:r>
      <w:r>
        <w:t xml:space="preserve"> </w:t>
      </w:r>
      <w:r>
        <w:t xml:space="preserve">contribute to strengthening the competitiveness of EU businesses and to enhance the</w:t>
      </w:r>
      <w:r>
        <w:t xml:space="preserve"> </w:t>
      </w:r>
      <w:r>
        <w:t xml:space="preserve">functioning of the Internal Market. These objectives are consistent with the priorities set</w:t>
      </w:r>
      <w:r>
        <w:t xml:space="preserve"> </w:t>
      </w:r>
      <w:r>
        <w:t xml:space="preserve">out in the Competitiveness Compass51 and the 2025 Single Market Strategy52, which</w:t>
      </w:r>
      <w:r>
        <w:t xml:space="preserve"> </w:t>
      </w:r>
      <w:r>
        <w:t xml:space="preserve">emphasise the importance of regulatory efficiency as a means of supporting competitiveness</w:t>
      </w:r>
      <w:r>
        <w:t xml:space="preserve"> </w:t>
      </w:r>
      <w:r>
        <w:t xml:space="preserve">and economic resilience.</w:t>
      </w:r>
      <w:r>
        <w:t xml:space="preserve"> </w:t>
      </w:r>
      <w:r>
        <w:t xml:space="preserve">At the same time, the initiative aims to continue to effectively support the Union’s efforts</w:t>
      </w:r>
      <w:r>
        <w:t xml:space="preserve"> </w:t>
      </w:r>
      <w:r>
        <w:t xml:space="preserve">to fight against tax fraud, evasion and avoidance with a view to safeguarding Member</w:t>
      </w:r>
      <w:r>
        <w:t xml:space="preserve"> </w:t>
      </w:r>
      <w:r>
        <w:t xml:space="preserve">States’ tax bases, ensuring fair taxation, and maintaining a level playing field within the</w:t>
      </w:r>
      <w:r>
        <w:t xml:space="preserve"> </w:t>
      </w:r>
      <w:r>
        <w:t xml:space="preserve">Single Market. A key objective of the DAC is to ensure that Member States receive</w:t>
      </w:r>
      <w:r>
        <w:t xml:space="preserve"> </w:t>
      </w:r>
      <w:r>
        <w:t xml:space="preserve">information, which enables their tax administrations to effectively enforce their national tax</w:t>
      </w:r>
      <w:r>
        <w:t xml:space="preserve"> </w:t>
      </w:r>
      <w:r>
        <w:t xml:space="preserve">rules. The information is intended to support compliance and effectively address non-</w:t>
      </w:r>
      <w:r>
        <w:t xml:space="preserve"> </w:t>
      </w:r>
      <w:r>
        <w:t xml:space="preserve">compliance. In certain instances, non-compliance may take the form of tax fraud or tax</w:t>
      </w:r>
      <w:r>
        <w:t xml:space="preserve"> </w:t>
      </w:r>
      <w:r>
        <w:t xml:space="preserve">evasion both of which are illegal activities. In other instances, non-compliance may take the</w:t>
      </w:r>
      <w:r>
        <w:t xml:space="preserve"> </w:t>
      </w:r>
      <w:r>
        <w:t xml:space="preserve">form of tax avoidance, which is not by its nature an illegal activity, but is an activity that is</w:t>
      </w:r>
      <w:r>
        <w:t xml:space="preserve"> </w:t>
      </w:r>
      <w:r>
        <w:t xml:space="preserve">usually contrary to the intention of the legislation. Attaining these objectives requires that</w:t>
      </w:r>
      <w:r>
        <w:t xml:space="preserve"> </w:t>
      </w:r>
      <w:r>
        <w:t xml:space="preserve">Member States’ tax administrations remain equipped with effective and proportionate tools</w:t>
      </w:r>
      <w:r>
        <w:t xml:space="preserve"> </w:t>
      </w:r>
      <w:r>
        <w:t xml:space="preserve">to detect, assess, and address non-compliance with tax obligations.</w:t>
      </w:r>
      <w:r>
        <w:t xml:space="preserve"> </w:t>
      </w:r>
      <w:r>
        <w:t xml:space="preserve">4.2 Specific objectives</w:t>
      </w:r>
      <w:r>
        <w:t xml:space="preserve"> </w:t>
      </w:r>
      <w:r>
        <w:t xml:space="preserve">Reducing complexity and improving legal clarity and legal certainty for all stakeholders</w:t>
      </w:r>
      <w:r>
        <w:t xml:space="preserve"> </w:t>
      </w:r>
      <w:r>
        <w:t xml:space="preserve">This objective addresses the fragmentation resulting from successive amendments to the</w:t>
      </w:r>
      <w:r>
        <w:t xml:space="preserve"> </w:t>
      </w:r>
      <w:r>
        <w:t xml:space="preserve">DAC and aims to improve legal clarity and certainty for tax administrations, reporting</w:t>
      </w:r>
      <w:r>
        <w:t xml:space="preserve"> </w:t>
      </w:r>
      <w:r>
        <w:t xml:space="preserve">entities and taxpayers by consolidating the Directive into one legal text. Greater clarity will</w:t>
      </w:r>
      <w:r>
        <w:t xml:space="preserve"> </w:t>
      </w:r>
      <w:r>
        <w:t xml:space="preserve">facilitate easier readability and usability thus facilitating more consistent implementation of</w:t>
      </w:r>
      <w:r>
        <w:t xml:space="preserve"> </w:t>
      </w:r>
      <w:r>
        <w:t xml:space="preserve">reporting obligations across the Union and supporting a more predictable, streamlined and</w:t>
      </w:r>
      <w:r>
        <w:t xml:space="preserve"> </w:t>
      </w:r>
      <w:r>
        <w:t xml:space="preserve">cost-efficient compliance environment for stakeholders.</w:t>
      </w:r>
      <w:r>
        <w:t xml:space="preserve"> </w:t>
      </w:r>
      <w:r>
        <w:t xml:space="preserve">Ensuring reporting and notification obligations are proportionate and better targeted</w:t>
      </w:r>
      <w:r>
        <w:t xml:space="preserve"> </w:t>
      </w:r>
      <w:r>
        <w:t xml:space="preserve">while preserving the policy objectives</w:t>
      </w:r>
      <w:r>
        <w:t xml:space="preserve"> </w:t>
      </w:r>
      <w:r>
        <w:t xml:space="preserve">This objective seeks to reduce reporting requirements and notification obligations that</w:t>
      </w:r>
      <w:r>
        <w:t xml:space="preserve"> </w:t>
      </w:r>
      <w:r>
        <w:t xml:space="preserve">generate limited added value for tax administrations while preserving and upholding the</w:t>
      </w:r>
      <w:r>
        <w:t xml:space="preserve"> </w:t>
      </w:r>
      <w:r>
        <w:t xml:space="preserve">policy objectives of tackling tax fraud, evasion and avoidance. Aligning reporting</w:t>
      </w:r>
      <w:r>
        <w:t xml:space="preserve"> </w:t>
      </w:r>
      <w:r>
        <w:t xml:space="preserve">requirements and notification obligations with the tax compliance risks that they are</w:t>
      </w:r>
      <w:r>
        <w:t xml:space="preserve"> </w:t>
      </w:r>
      <w:r>
        <w:t xml:space="preserve">intended to address will improve the relevance of the information collected, reported and</w:t>
      </w:r>
      <w:r>
        <w:t xml:space="preserve"> </w:t>
      </w:r>
      <w:r>
        <w:t xml:space="preserve">exchanged under the framework thereby ensuring that the framework remains proportionate,</w:t>
      </w:r>
      <w:r>
        <w:t xml:space="preserve"> </w:t>
      </w:r>
      <w:r>
        <w:t xml:space="preserve">efficient and effective.</w:t>
      </w:r>
    </w:p>
    <w:p>
      <w:pPr>
        <w:pStyle w:val="BodyText"/>
      </w:pPr>
      <w:r>
        <w:t xml:space="preserve">51 European Commission, Competitiveness Compass, available at:</w:t>
      </w:r>
      <w:r>
        <w:t xml:space="preserve"> </w:t>
      </w:r>
      <w:r>
        <w:t xml:space="preserve">https://commission.europa.eu/topics/competitiveness/competitiveness-compass_en</w:t>
      </w:r>
      <w:r>
        <w:t xml:space="preserve"> </w:t>
      </w:r>
      <w:r>
        <w:t xml:space="preserve">52 European Commission, The Single Market: our European home market in an uncertain world – A Strategy for making the Single</w:t>
      </w:r>
      <w:r>
        <w:t xml:space="preserve"> </w:t>
      </w:r>
      <w:r>
        <w:t xml:space="preserve">Market simple, seamless and strong, COM(2025) 500 final, 21 May 2025, available at: https://eur-lex.europa.eu/legal-</w:t>
      </w:r>
      <w:r>
        <w:t xml:space="preserve"> </w:t>
      </w:r>
      <w:r>
        <w:t xml:space="preserve">content/EN/TXT/?uri=celex%3A52025DC0500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Improving the effectiveness and usability of exchanged information</w:t>
      </w:r>
      <w:r>
        <w:t xml:space="preserve"> </w:t>
      </w:r>
      <w:r>
        <w:t xml:space="preserve">This objective focuses on improving the completeness, accuracy, and usability of exchanged</w:t>
      </w:r>
      <w:r>
        <w:t xml:space="preserve"> </w:t>
      </w:r>
      <w:r>
        <w:t xml:space="preserve">data, including the automatic identification of taxpayers via their TIN. This will enhance the</w:t>
      </w:r>
      <w:r>
        <w:t xml:space="preserve"> </w:t>
      </w:r>
      <w:r>
        <w:t xml:space="preserve">ability of tax administrations to automatically identify taxpayers and effectively use all</w:t>
      </w:r>
      <w:r>
        <w:t xml:space="preserve"> </w:t>
      </w:r>
      <w:r>
        <w:t xml:space="preserve">exchanged information for risk assessment and compliance purposes. The objective also</w:t>
      </w:r>
      <w:r>
        <w:t xml:space="preserve"> </w:t>
      </w:r>
      <w:r>
        <w:t xml:space="preserve">seeks to address the current limitations in the legislative framework that are leading to</w:t>
      </w:r>
      <w:r>
        <w:t xml:space="preserve"> </w:t>
      </w:r>
      <w:r>
        <w:t xml:space="preserve">incomplete and fragmented reporting under DAC1.</w:t>
      </w:r>
      <w:r>
        <w:br/>
      </w:r>
      <w:r>
        <w:t xml:space="preserve">5. WHAT ARE THE AVAILABLE POLICY OPTIONS?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The policy options are assessed against a baseline scenario in which no Union level action</w:t>
      </w:r>
      <w:r>
        <w:t xml:space="preserve"> </w:t>
      </w:r>
      <w:r>
        <w:t xml:space="preserve">is taken to amend the existing acquis under the DAC. Under this baseline, the current</w:t>
      </w:r>
      <w:r>
        <w:t xml:space="preserve"> </w:t>
      </w:r>
      <w:r>
        <w:t xml:space="preserve">legislative framework, consisting of 9 separate legal instruments, would remain unchanged.</w:t>
      </w:r>
      <w:r>
        <w:t xml:space="preserve"> </w:t>
      </w:r>
      <w:r>
        <w:t xml:space="preserve">Tax administrations and reporting entities would therefore continue to operate under the</w:t>
      </w:r>
      <w:r>
        <w:t xml:space="preserve"> </w:t>
      </w:r>
      <w:r>
        <w:t xml:space="preserve">existing notification, reporting and automatic exchange of information obligations</w:t>
      </w:r>
      <w:r>
        <w:t xml:space="preserve"> </w:t>
      </w:r>
      <w:r>
        <w:t xml:space="preserve">established under the DAC.</w:t>
      </w:r>
      <w:r>
        <w:t xml:space="preserve"> </w:t>
      </w:r>
      <w:r>
        <w:t xml:space="preserve">Under DAC6, the reporting framework for cross-border arrangements would remain</w:t>
      </w:r>
      <w:r>
        <w:t xml:space="preserve"> </w:t>
      </w:r>
      <w:r>
        <w:t xml:space="preserve">unchanged, including the existing scope of reportable arrangements and the application of</w:t>
      </w:r>
      <w:r>
        <w:t xml:space="preserve"> </w:t>
      </w:r>
      <w:r>
        <w:t xml:space="preserve">the MBT. Since the reporting regime became operational in 2020, more than 60,000 cross-</w:t>
      </w:r>
      <w:r>
        <w:t xml:space="preserve"> </w:t>
      </w:r>
      <w:r>
        <w:t xml:space="preserve">border arrangements and over 79,000 disclosure reports have been reported through the</w:t>
      </w:r>
      <w:r>
        <w:t xml:space="preserve"> </w:t>
      </w:r>
      <w:r>
        <w:t xml:space="preserve">DAC6 Central Directory. Approximately 35% of all reporting is attributable to Hallmark A,</w:t>
      </w:r>
      <w:r>
        <w:t xml:space="preserve"> </w:t>
      </w:r>
      <w:r>
        <w:t xml:space="preserve">while around 8% of total disclosure reports are filed by MNE groups within the scope of the</w:t>
      </w:r>
      <w:r>
        <w:t xml:space="preserve"> </w:t>
      </w:r>
      <w:r>
        <w:t xml:space="preserve">Pillar 2 Directive.</w:t>
      </w:r>
      <w:r>
        <w:t xml:space="preserve"> </w:t>
      </w:r>
      <w:r>
        <w:t xml:space="preserve">Under DAC7, platform operators would continue to report information on sellers in</w:t>
      </w:r>
      <w:r>
        <w:t xml:space="preserve"> </w:t>
      </w:r>
      <w:r>
        <w:t xml:space="preserve">accordance with the existing thresholds for the sale of goods. In the baseline scenario, it is</w:t>
      </w:r>
      <w:r>
        <w:t xml:space="preserve"> </w:t>
      </w:r>
      <w:r>
        <w:t xml:space="preserve">estimated that approximately 13.5 million sellers in the EU are currently reportable</w:t>
      </w:r>
      <w:r>
        <w:t xml:space="preserve"> </w:t>
      </w:r>
      <w:r>
        <w:t xml:space="preserve">corresponding to around 20% of all individuals engaged in platform-based selling activities.</w:t>
      </w:r>
      <w:r>
        <w:br/>
      </w:r>
      <w:r>
        <w:t xml:space="preserve">Under DAC4 and DAC9, entities of MNE groups would continue to be subject to multiple</w:t>
      </w:r>
      <w:r>
        <w:t xml:space="preserve"> </w:t>
      </w:r>
      <w:r>
        <w:t xml:space="preserve">duplicative notification obligations across Member States. In the baseline scenario,</w:t>
      </w:r>
      <w:r>
        <w:t xml:space="preserve"> </w:t>
      </w:r>
      <w:r>
        <w:t xml:space="preserve">approximately 4,700 MNE Groups and 109,000 constituent entities are subject to these</w:t>
      </w:r>
      <w:r>
        <w:t xml:space="preserve"> </w:t>
      </w:r>
      <w:r>
        <w:t xml:space="preserve">notification obligations.</w:t>
      </w:r>
      <w:r>
        <w:t xml:space="preserve"> </w:t>
      </w:r>
      <w:r>
        <w:t xml:space="preserve">As regards TINs, the baseline is reflected in the current automatic matching rates achieved</w:t>
      </w:r>
      <w:r>
        <w:t xml:space="preserve"> </w:t>
      </w:r>
      <w:r>
        <w:t xml:space="preserve">by the receiving tax administrations when linking exchanged information with national</w:t>
      </w:r>
      <w:r>
        <w:t xml:space="preserve"> </w:t>
      </w:r>
      <w:r>
        <w:t xml:space="preserve">taxpayer databases. These automatic matching rates represent the baseline performance of</w:t>
      </w:r>
      <w:r>
        <w:t xml:space="preserve"> </w:t>
      </w:r>
      <w:r>
        <w:t xml:space="preserve">the system across the Union (see figure 3). Available administrative data indicates that a</w:t>
      </w:r>
      <w:r>
        <w:t xml:space="preserve"> </w:t>
      </w:r>
      <w:r>
        <w:t xml:space="preserve">share of exchanged records cannot be automatically matched to national taxpayer databases</w:t>
      </w:r>
      <w:r>
        <w:t xml:space="preserve"> </w:t>
      </w:r>
      <w:r>
        <w:t xml:space="preserve">due to incorrect or inconsistent taxpayer identification information (including invalid or</w:t>
      </w:r>
      <w:r>
        <w:t xml:space="preserve"> </w:t>
      </w:r>
      <w:r>
        <w:t xml:space="preserve">mismatched TINs). This necessitates manual verification or follow-up requests between tax</w:t>
      </w:r>
      <w:r>
        <w:t xml:space="preserve"> </w:t>
      </w:r>
      <w:r>
        <w:t xml:space="preserve">administrations.</w:t>
      </w:r>
    </w:p>
    <w:p>
      <w:pPr>
        <w:pStyle w:val="BodyText"/>
      </w:pPr>
      <w:r>
        <w:t xml:space="preserve">Finally, under DAC1, Member States would continue to exchange information on five</w:t>
      </w:r>
      <w:r>
        <w:t xml:space="preserve"> </w:t>
      </w:r>
      <w:r>
        <w:t xml:space="preserve">categories of income and capital and only where such information is “available” in the tax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files of the competent authority. As a result, differences in the scope and completeness of</w:t>
      </w:r>
      <w:r>
        <w:t xml:space="preserve"> </w:t>
      </w:r>
      <w:r>
        <w:t xml:space="preserve">the information exchanged across Member States would remain under the baseline scenario.</w:t>
      </w:r>
      <w:r>
        <w:t xml:space="preserve"> </w:t>
      </w:r>
      <w:r>
        <w:t xml:space="preserve">5.2 Description of the policy options</w:t>
      </w:r>
      <w:r>
        <w:t xml:space="preserve"> </w:t>
      </w:r>
      <w:r>
        <w:t xml:space="preserve">As regards the legislative approach it is proposed to recast the DAC to simplify and reduce</w:t>
      </w:r>
      <w:r>
        <w:t xml:space="preserve"> </w:t>
      </w:r>
      <w:r>
        <w:t xml:space="preserve">the complexity of the acquis, to enhance legal clarity of the provisions and to provide legal</w:t>
      </w:r>
      <w:r>
        <w:t xml:space="preserve"> </w:t>
      </w:r>
      <w:r>
        <w:t xml:space="preserve">certainty for all stakeholders. The recast of the DAC will: (i) codify the initial legal act</w:t>
      </w:r>
      <w:r>
        <w:t xml:space="preserve"> </w:t>
      </w:r>
      <w:r>
        <w:t xml:space="preserve">(DAC1) and all its subsequent amendments (DAC2-DAC9) by bringing them together, into</w:t>
      </w:r>
      <w:r>
        <w:t xml:space="preserve"> </w:t>
      </w:r>
      <w:r>
        <w:t xml:space="preserve">a single, legally binding act; and (ii) introduce new substantive changes, in line with the</w:t>
      </w:r>
      <w:r>
        <w:t xml:space="preserve"> </w:t>
      </w:r>
      <w:r>
        <w:t xml:space="preserve">preferred policy options stemming from measures 1 to 5 below. The new text of the DAC</w:t>
      </w:r>
      <w:r>
        <w:t xml:space="preserve"> </w:t>
      </w:r>
      <w:r>
        <w:t xml:space="preserve">will repeal and replace all earlier versions.</w:t>
      </w:r>
      <w:r>
        <w:t xml:space="preserve"> </w:t>
      </w:r>
      <w:r>
        <w:t xml:space="preserve">Measure 1 - Ensuring that DAC6 reporting obligations remain proportionate and</w:t>
      </w:r>
      <w:r>
        <w:t xml:space="preserve"> </w:t>
      </w:r>
      <w:r>
        <w:t xml:space="preserve">effective while promoting a more harmonised application of the MBT</w:t>
      </w:r>
      <w:r>
        <w:t xml:space="preserve"> </w:t>
      </w:r>
      <w:r>
        <w:t xml:space="preserve">The policy options aim to ensure that reporting obligations under DAC6 remain</w:t>
      </w:r>
      <w:r>
        <w:t xml:space="preserve"> </w:t>
      </w:r>
      <w:r>
        <w:t xml:space="preserve">proportionate and effective in supporting the overarching aims of tackling tax fraud, evasion</w:t>
      </w:r>
      <w:r>
        <w:t xml:space="preserve"> </w:t>
      </w:r>
      <w:r>
        <w:t xml:space="preserve">and avoidance. At the same time, they are intended to improve legal certainty and achieve a</w:t>
      </w:r>
      <w:r>
        <w:t xml:space="preserve"> </w:t>
      </w:r>
      <w:r>
        <w:t xml:space="preserve">more harmonised application of the MBT, which will in turn contribute to strengthening the</w:t>
      </w:r>
      <w:r>
        <w:t xml:space="preserve"> </w:t>
      </w:r>
      <w:r>
        <w:t xml:space="preserve">competitiveness of EU businesses and enhancing the functioning of the Internal Market.</w:t>
      </w:r>
      <w:r>
        <w:t xml:space="preserve"> </w:t>
      </w:r>
      <w:r>
        <w:t xml:space="preserve">Measure 1</w:t>
      </w:r>
      <w:r>
        <w:t xml:space="preserve"> </w:t>
      </w:r>
      <w:r>
        <w:t xml:space="preserve">Baseline (Status Quo)</w:t>
      </w:r>
      <w:r>
        <w:br/>
      </w:r>
      <w:r>
        <w:t xml:space="preserve">Policy Option 1a</w:t>
      </w:r>
      <w:r>
        <w:br/>
      </w:r>
      <w:r>
        <w:t xml:space="preserve">Policy Option 1b</w:t>
      </w:r>
      <w:r>
        <w:br/>
      </w:r>
      <w:r>
        <w:t xml:space="preserve">Policy Option 1c</w:t>
      </w:r>
      <w:r>
        <w:t xml:space="preserve"> </w:t>
      </w:r>
      <w:r>
        <w:t xml:space="preserve">Intermediaries and, in</w:t>
      </w:r>
      <w:r>
        <w:t xml:space="preserve"> </w:t>
      </w:r>
      <w:r>
        <w:t xml:space="preserve">certain instances, relevant</w:t>
      </w:r>
      <w:r>
        <w:t xml:space="preserve"> </w:t>
      </w:r>
      <w:r>
        <w:t xml:space="preserve">taxpayers are required to</w:t>
      </w:r>
      <w:r>
        <w:t xml:space="preserve"> </w:t>
      </w:r>
      <w:r>
        <w:t xml:space="preserve">report information on</w:t>
      </w:r>
      <w:r>
        <w:t xml:space="preserve"> </w:t>
      </w:r>
      <w:r>
        <w:t xml:space="preserve">cross-border arrangements</w:t>
      </w:r>
      <w:r>
        <w:t xml:space="preserve"> </w:t>
      </w:r>
      <w:r>
        <w:t xml:space="preserve">based on hallmarks with</w:t>
      </w:r>
      <w:r>
        <w:t xml:space="preserve"> </w:t>
      </w:r>
      <w:r>
        <w:t xml:space="preserve">reportability for certain</w:t>
      </w:r>
      <w:r>
        <w:t xml:space="preserve"> </w:t>
      </w:r>
      <w:r>
        <w:t xml:space="preserve">hallmarks conditional on</w:t>
      </w:r>
      <w:r>
        <w:t xml:space="preserve"> </w:t>
      </w:r>
      <w:r>
        <w:t xml:space="preserve">the MBT being met.</w:t>
      </w:r>
      <w:r>
        <w:br/>
      </w:r>
      <w:r>
        <w:t xml:space="preserve">Excluding all</w:t>
      </w:r>
      <w:r>
        <w:t xml:space="preserve"> </w:t>
      </w:r>
      <w:r>
        <w:t xml:space="preserve">companies within</w:t>
      </w:r>
      <w:r>
        <w:t xml:space="preserve"> </w:t>
      </w:r>
      <w:r>
        <w:t xml:space="preserve">the scope of Pillar 2</w:t>
      </w:r>
      <w:r>
        <w:t xml:space="preserve"> </w:t>
      </w:r>
      <w:r>
        <w:t xml:space="preserve">from the reporting</w:t>
      </w:r>
      <w:r>
        <w:t xml:space="preserve"> </w:t>
      </w:r>
      <w:r>
        <w:t xml:space="preserve">under DAC6.</w:t>
      </w:r>
    </w:p>
    <w:p>
      <w:pPr>
        <w:pStyle w:val="BodyText"/>
      </w:pPr>
      <w:r>
        <w:t xml:space="preserve">Policy Option 1a +</w:t>
      </w:r>
      <w:r>
        <w:br/>
      </w:r>
      <w:r>
        <w:t xml:space="preserve">Removing all reporting</w:t>
      </w:r>
      <w:r>
        <w:t xml:space="preserve"> </w:t>
      </w:r>
      <w:r>
        <w:t xml:space="preserve">requirements related to</w:t>
      </w:r>
      <w:r>
        <w:t xml:space="preserve"> </w:t>
      </w:r>
      <w:r>
        <w:t xml:space="preserve">hallmark A</w:t>
      </w:r>
      <w:r>
        <w:t xml:space="preserve"> </w:t>
      </w:r>
      <w:r>
        <w:t xml:space="preserve">+</w:t>
      </w:r>
      <w:r>
        <w:t xml:space="preserve"> </w:t>
      </w:r>
      <w:r>
        <w:t xml:space="preserve">Issuing guidance on</w:t>
      </w:r>
      <w:r>
        <w:t xml:space="preserve"> </w:t>
      </w:r>
      <w:r>
        <w:t xml:space="preserve">application of the MBT</w:t>
      </w:r>
      <w:r>
        <w:t xml:space="preserve"> </w:t>
      </w:r>
      <w:r>
        <w:t xml:space="preserve">to remaining hallmarks</w:t>
      </w:r>
      <w:r>
        <w:t xml:space="preserve"> </w:t>
      </w:r>
      <w:r>
        <w:t xml:space="preserve">subject to the test.</w:t>
      </w:r>
      <w:r>
        <w:t xml:space="preserve"> </w:t>
      </w:r>
      <w:r>
        <w:t xml:space="preserve">Policy Option 1a +</w:t>
      </w:r>
      <w:r>
        <w:t xml:space="preserve"> </w:t>
      </w:r>
      <w:r>
        <w:t xml:space="preserve">Removing all reporting</w:t>
      </w:r>
      <w:r>
        <w:t xml:space="preserve"> </w:t>
      </w:r>
      <w:r>
        <w:t xml:space="preserve">requirements related to</w:t>
      </w:r>
      <w:r>
        <w:t xml:space="preserve"> </w:t>
      </w:r>
      <w:r>
        <w:t xml:space="preserve">hallmark A</w:t>
      </w:r>
      <w:r>
        <w:t xml:space="preserve"> </w:t>
      </w:r>
      <w:r>
        <w:t xml:space="preserve">+</w:t>
      </w:r>
      <w:r>
        <w:t xml:space="preserve"> </w:t>
      </w:r>
      <w:r>
        <w:t xml:space="preserve">Removing the MBT +</w:t>
      </w:r>
      <w:r>
        <w:t xml:space="preserve"> </w:t>
      </w:r>
      <w:r>
        <w:t xml:space="preserve">revising the remaining</w:t>
      </w:r>
      <w:r>
        <w:t xml:space="preserve"> </w:t>
      </w:r>
      <w:r>
        <w:t xml:space="preserve">hallmarks previously</w:t>
      </w:r>
      <w:r>
        <w:t xml:space="preserve"> </w:t>
      </w:r>
      <w:r>
        <w:t xml:space="preserve">subject to the test</w:t>
      </w:r>
      <w:r>
        <w:br/>
      </w:r>
      <w:r>
        <w:t xml:space="preserve">Policy Option 1a would exclude all companies within the scope of the Pillar 2 Directive</w:t>
      </w:r>
      <w:r>
        <w:t xml:space="preserve"> </w:t>
      </w:r>
      <w:r>
        <w:t xml:space="preserve">from reporting under DAC6. Policy Option 1b would build on Option 1a and would also</w:t>
      </w:r>
      <w:r>
        <w:t xml:space="preserve"> </w:t>
      </w:r>
      <w:r>
        <w:t xml:space="preserve">remove all reporting obligations related to hallmark A for all other companies and</w:t>
      </w:r>
      <w:r>
        <w:t xml:space="preserve"> </w:t>
      </w:r>
      <w:r>
        <w:t xml:space="preserve">intermediaries within the scope of DAC6. In addition, the Commission services would issue</w:t>
      </w:r>
      <w:r>
        <w:t xml:space="preserve"> </w:t>
      </w:r>
      <w:r>
        <w:t xml:space="preserve">guidance to support a more harmonised interpretation and application of the MBT with</w:t>
      </w:r>
      <w:r>
        <w:t xml:space="preserve"> </w:t>
      </w:r>
      <w:r>
        <w:t xml:space="preserve">respect to the remaining hallmarks subject to the test (hallmark B and C(1)(b)(i), C(1)(c)</w:t>
      </w:r>
      <w:r>
        <w:t xml:space="preserve"> </w:t>
      </w:r>
      <w:r>
        <w:t xml:space="preserve">and C(1)(d)). Policy Option 1c would build on Option 1a and on Option 1b and in addition</w:t>
      </w:r>
      <w:r>
        <w:t xml:space="preserve"> </w:t>
      </w:r>
      <w:r>
        <w:t xml:space="preserve">would remove the MBT from the remaining hallmarks currently subject to the test (hallmark</w:t>
      </w:r>
      <w:r>
        <w:t xml:space="preserve"> </w:t>
      </w:r>
      <w:r>
        <w:t xml:space="preserve">B and C(1)(b)(i), C(1)(c) and C(1)(d)). These hallmarks would be revised to make them fit</w:t>
      </w:r>
      <w:r>
        <w:t xml:space="preserve"> </w:t>
      </w:r>
      <w:r>
        <w:t xml:space="preserve">for purpose without the MBT.</w:t>
      </w:r>
      <w:r>
        <w:t xml:space="preserve"> </w:t>
      </w:r>
      <w:r>
        <w:t xml:space="preserve">Measure 2 - Amending the reporting threshold for activities involving the sale of goods</w:t>
      </w:r>
      <w:r>
        <w:t xml:space="preserve"> </w:t>
      </w:r>
      <w:r>
        <w:t xml:space="preserve">under DAC7</w:t>
      </w:r>
      <w:r>
        <w:br/>
      </w:r>
      <w:r>
        <w:t xml:space="preserve">The proposed policy options aim to ensure that the information reported and exchanged in</w:t>
      </w:r>
      <w:r>
        <w:t xml:space="preserve"> </w:t>
      </w:r>
      <w:r>
        <w:t xml:space="preserve">relation to activities involving the sale of goods remains proportionate and relevant for tax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authorities in supporting the policy objectives of tackling tax fraud, evasion and avoidance.</w:t>
      </w:r>
      <w:r>
        <w:t xml:space="preserve"> </w:t>
      </w:r>
      <w:r>
        <w:t xml:space="preserve">This will in turn contribute to strengthening the competitiveness of EU businesses and</w:t>
      </w:r>
      <w:r>
        <w:t xml:space="preserve"> </w:t>
      </w:r>
      <w:r>
        <w:t xml:space="preserve">enhancing the functioning of the Internal Market. The options also seek to ensure coherence</w:t>
      </w:r>
      <w:r>
        <w:t xml:space="preserve"> </w:t>
      </w:r>
      <w:r>
        <w:t xml:space="preserve">with the OECD Model Rules for Reporting by Digital Platform Operators (OECD MRDP)</w:t>
      </w:r>
      <w:r>
        <w:t xml:space="preserve"> </w:t>
      </w:r>
      <w:r>
        <w:t xml:space="preserve">and with broader Union policy objectives that promote longer product lifetimes under the</w:t>
      </w:r>
      <w:r>
        <w:t xml:space="preserve"> </w:t>
      </w:r>
      <w:r>
        <w:t xml:space="preserve">Commission’s Circular Economy Action Plan53.</w:t>
      </w:r>
      <w:r>
        <w:br/>
      </w:r>
      <w:r>
        <w:t xml:space="preserve">Measure 2</w:t>
      </w:r>
      <w:r>
        <w:br/>
      </w:r>
      <w:r>
        <w:t xml:space="preserve">Baseline (Status Quo)</w:t>
      </w:r>
      <w:r>
        <w:t xml:space="preserve"> </w:t>
      </w:r>
      <w:r>
        <w:t xml:space="preserve">Policy Option 2a</w:t>
      </w:r>
      <w:r>
        <w:t xml:space="preserve"> </w:t>
      </w:r>
      <w:r>
        <w:t xml:space="preserve">Policy Option 2b</w:t>
      </w:r>
      <w:r>
        <w:t xml:space="preserve"> </w:t>
      </w:r>
      <w:r>
        <w:t xml:space="preserve">Policy Option 2c</w:t>
      </w:r>
      <w:r>
        <w:t xml:space="preserve"> </w:t>
      </w:r>
      <w:r>
        <w:t xml:space="preserve">Platform operators</w:t>
      </w:r>
      <w:r>
        <w:t xml:space="preserve"> </w:t>
      </w:r>
      <w:r>
        <w:t xml:space="preserve">report information on</w:t>
      </w:r>
      <w:r>
        <w:t xml:space="preserve"> </w:t>
      </w:r>
      <w:r>
        <w:t xml:space="preserve">sellers who carry out 30</w:t>
      </w:r>
      <w:r>
        <w:t xml:space="preserve"> </w:t>
      </w:r>
      <w:r>
        <w:t xml:space="preserve">or more activities or</w:t>
      </w:r>
      <w:r>
        <w:t xml:space="preserve"> </w:t>
      </w:r>
      <w:r>
        <w:t xml:space="preserve">receive income of EUR</w:t>
      </w:r>
      <w:r>
        <w:t xml:space="preserve"> </w:t>
      </w:r>
      <w:r>
        <w:t xml:space="preserve">2,000 or more during the</w:t>
      </w:r>
      <w:r>
        <w:t xml:space="preserve"> </w:t>
      </w:r>
      <w:r>
        <w:t xml:space="preserve">calendar year.</w:t>
      </w:r>
      <w:r>
        <w:t xml:space="preserve"> </w:t>
      </w:r>
      <w:r>
        <w:t xml:space="preserve">Removing the activity</w:t>
      </w:r>
      <w:r>
        <w:t xml:space="preserve"> </w:t>
      </w:r>
      <w:r>
        <w:t xml:space="preserve">threshold of 30</w:t>
      </w:r>
      <w:r>
        <w:t xml:space="preserve"> </w:t>
      </w:r>
      <w:r>
        <w:t xml:space="preserve">transactions and</w:t>
      </w:r>
      <w:r>
        <w:t xml:space="preserve"> </w:t>
      </w:r>
      <w:r>
        <w:t xml:space="preserve">retaining the monetary</w:t>
      </w:r>
      <w:r>
        <w:t xml:space="preserve"> </w:t>
      </w:r>
      <w:r>
        <w:t xml:space="preserve">threshold of EUR 2,000.</w:t>
      </w:r>
      <w:r>
        <w:br/>
      </w:r>
      <w:r>
        <w:t xml:space="preserve">Removing the activity</w:t>
      </w:r>
      <w:r>
        <w:t xml:space="preserve"> </w:t>
      </w:r>
      <w:r>
        <w:t xml:space="preserve">threshold of 30</w:t>
      </w:r>
      <w:r>
        <w:t xml:space="preserve"> </w:t>
      </w:r>
      <w:r>
        <w:t xml:space="preserve">transaction and</w:t>
      </w:r>
      <w:r>
        <w:t xml:space="preserve"> </w:t>
      </w:r>
      <w:r>
        <w:t xml:space="preserve">increasing the monetary</w:t>
      </w:r>
      <w:r>
        <w:t xml:space="preserve"> </w:t>
      </w:r>
      <w:r>
        <w:t xml:space="preserve">threshold to EUR 3,000.</w:t>
      </w:r>
      <w:r>
        <w:t xml:space="preserve"> </w:t>
      </w:r>
      <w:r>
        <w:t xml:space="preserve">Removing the activity</w:t>
      </w:r>
      <w:r>
        <w:t xml:space="preserve"> </w:t>
      </w:r>
      <w:r>
        <w:t xml:space="preserve">threshold of 30</w:t>
      </w:r>
      <w:r>
        <w:t xml:space="preserve"> </w:t>
      </w:r>
      <w:r>
        <w:t xml:space="preserve">transaction and</w:t>
      </w:r>
      <w:r>
        <w:t xml:space="preserve"> </w:t>
      </w:r>
      <w:r>
        <w:t xml:space="preserve">increasing the monetary</w:t>
      </w:r>
      <w:r>
        <w:t xml:space="preserve"> </w:t>
      </w:r>
      <w:r>
        <w:t xml:space="preserve">threshold to EUR 5,000.</w:t>
      </w:r>
      <w:r>
        <w:t xml:space="preserve"> </w:t>
      </w:r>
      <w:r>
        <w:t xml:space="preserve">Policy Option 2a would remove the current activity-based threshold of 30 transactions and</w:t>
      </w:r>
      <w:r>
        <w:t xml:space="preserve"> </w:t>
      </w:r>
      <w:r>
        <w:t xml:space="preserve">retain only the existing monetary threshold of EUR 2,000. Under this option, the number of</w:t>
      </w:r>
      <w:r>
        <w:t xml:space="preserve"> </w:t>
      </w:r>
      <w:r>
        <w:t xml:space="preserve">activities carried out by a seller would no longer be relevant for reporting purposes. A seller</w:t>
      </w:r>
      <w:r>
        <w:t xml:space="preserve"> </w:t>
      </w:r>
      <w:r>
        <w:t xml:space="preserve">would be reportable only where the total consideration received during the calendar year</w:t>
      </w:r>
      <w:r>
        <w:t xml:space="preserve"> </w:t>
      </w:r>
      <w:r>
        <w:t xml:space="preserve">reaches or exceeds EUR 2,000. Policy Option 2b would also remove the activity-based</w:t>
      </w:r>
      <w:r>
        <w:t xml:space="preserve"> </w:t>
      </w:r>
      <w:r>
        <w:t xml:space="preserve">threshold and, in addition, increase the monetary threshold to EUR 3,000, in line with the</w:t>
      </w:r>
      <w:r>
        <w:t xml:space="preserve"> </w:t>
      </w:r>
      <w:r>
        <w:t xml:space="preserve">approach agreed at technical level at the OECD in relation to the MRDP, which are</w:t>
      </w:r>
      <w:r>
        <w:t xml:space="preserve"> </w:t>
      </w:r>
      <w:r>
        <w:t xml:space="preserve">implemented in the EU through DAC7. Under this option, the number of activities carried</w:t>
      </w:r>
      <w:r>
        <w:t xml:space="preserve"> </w:t>
      </w:r>
      <w:r>
        <w:t xml:space="preserve">out by a seller would no longer be relevant for reporting purposes and a seller would be</w:t>
      </w:r>
      <w:r>
        <w:t xml:space="preserve"> </w:t>
      </w:r>
      <w:r>
        <w:t xml:space="preserve">reportable only where the total consideration received during the calendar year reaches or</w:t>
      </w:r>
      <w:r>
        <w:t xml:space="preserve"> </w:t>
      </w:r>
      <w:r>
        <w:t xml:space="preserve">exceeds EUR 3,000. Policy Option 2c would also remove the activity-based threshold and</w:t>
      </w:r>
      <w:r>
        <w:t xml:space="preserve"> </w:t>
      </w:r>
      <w:r>
        <w:t xml:space="preserve">in addition, increase the monetary threshold to EUR 5,000. This option would implement a</w:t>
      </w:r>
      <w:r>
        <w:t xml:space="preserve"> </w:t>
      </w:r>
      <w:r>
        <w:t xml:space="preserve">more ambitious adjustment of the monetary threshold, as suggested by some Member States</w:t>
      </w:r>
      <w:r>
        <w:t xml:space="preserve"> </w:t>
      </w:r>
      <w:r>
        <w:t xml:space="preserve">and business stakeholders, to further reduce the reporting of low-value transactions.</w:t>
      </w:r>
    </w:p>
    <w:p>
      <w:pPr>
        <w:pStyle w:val="BodyText"/>
      </w:pPr>
      <w:r>
        <w:t xml:space="preserve">Measure 3 - Streamlining notification obligations for MNE groups under DAC4 and</w:t>
      </w:r>
      <w:r>
        <w:t xml:space="preserve"> </w:t>
      </w:r>
      <w:r>
        <w:t xml:space="preserve">DAC9</w:t>
      </w:r>
      <w:r>
        <w:t xml:space="preserve"> </w:t>
      </w:r>
      <w:r>
        <w:t xml:space="preserve">The proposed policy options aim to streamline the notification obligations applicable to</w:t>
      </w:r>
      <w:r>
        <w:t xml:space="preserve"> </w:t>
      </w:r>
      <w:r>
        <w:t xml:space="preserve">MNE groups under DAC4 and DAC9 to ensure that they are proportionate and better</w:t>
      </w:r>
      <w:r>
        <w:t xml:space="preserve"> </w:t>
      </w:r>
      <w:r>
        <w:t xml:space="preserve">targeted to achieving the policy objectives of tackling tax fraud, evasion and avoidance. This</w:t>
      </w:r>
      <w:r>
        <w:t xml:space="preserve"> </w:t>
      </w:r>
      <w:r>
        <w:t xml:space="preserve">will in turn contribute to strengthening the competitiveness of EU businesses and enhancing</w:t>
      </w:r>
      <w:r>
        <w:t xml:space="preserve"> </w:t>
      </w:r>
      <w:r>
        <w:t xml:space="preserve">the functioning of the Internal Market. The notifications are an important preliminary step</w:t>
      </w:r>
      <w:r>
        <w:t xml:space="preserve"> </w:t>
      </w:r>
      <w:r>
        <w:t xml:space="preserve">to inform tax authorities of the relevant reporting entity for the group.</w:t>
      </w:r>
      <w:r>
        <w:t xml:space="preserve"> </w:t>
      </w:r>
      <w:r>
        <w:t xml:space="preserve">Measure 3</w:t>
      </w:r>
      <w:r>
        <w:t xml:space="preserve"> </w:t>
      </w:r>
      <w:r>
        <w:t xml:space="preserve">Baseline (Status Quo)</w:t>
      </w:r>
      <w:r>
        <w:t xml:space="preserve"> </w:t>
      </w:r>
      <w:r>
        <w:t xml:space="preserve">Policy Option 3a</w:t>
      </w:r>
      <w:r>
        <w:t xml:space="preserve"> </w:t>
      </w:r>
      <w:r>
        <w:t xml:space="preserve">Policy Option 3b</w:t>
      </w:r>
    </w:p>
    <w:p>
      <w:pPr>
        <w:pStyle w:val="BodyText"/>
      </w:pPr>
      <w:r>
        <w:t xml:space="preserve">53 European Commission, A new Circular Economy Action Plan, COM (2020) 98 final; see also ongoing work on a Circular Economy</w:t>
      </w:r>
      <w:r>
        <w:t xml:space="preserve"> </w:t>
      </w:r>
      <w:r>
        <w:t xml:space="preserve">Act (2025–2026)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Each entity of the MNE</w:t>
      </w:r>
      <w:r>
        <w:t xml:space="preserve"> </w:t>
      </w:r>
      <w:r>
        <w:t xml:space="preserve">group is required to submit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notification</w:t>
      </w:r>
      <w:r>
        <w:t xml:space="preserve"> </w:t>
      </w:r>
      <w:r>
        <w:t xml:space="preserve">under DAC4 and DAC9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responsible for filing the</w:t>
      </w:r>
      <w:r>
        <w:t xml:space="preserve"> </w:t>
      </w:r>
      <w:r>
        <w:t xml:space="preserve">relevant</w:t>
      </w:r>
      <w:r>
        <w:t xml:space="preserve"> </w:t>
      </w:r>
      <w:r>
        <w:t xml:space="preserve">group-level</w:t>
      </w:r>
      <w:r>
        <w:t xml:space="preserve"> </w:t>
      </w:r>
      <w:r>
        <w:t xml:space="preserve">report, without harmonised</w:t>
      </w:r>
      <w:r>
        <w:t xml:space="preserve"> </w:t>
      </w:r>
      <w:r>
        <w:t xml:space="preserve">deadlines or notification</w:t>
      </w:r>
      <w:r>
        <w:t xml:space="preserve"> </w:t>
      </w:r>
      <w:r>
        <w:t xml:space="preserve">template.</w:t>
      </w:r>
      <w:r>
        <w:t xml:space="preserve"> </w:t>
      </w:r>
      <w:r>
        <w:t xml:space="preserve">Introducing a single</w:t>
      </w:r>
      <w:r>
        <w:t xml:space="preserve"> </w:t>
      </w:r>
      <w:r>
        <w:t xml:space="preserve">notification obligation</w:t>
      </w:r>
      <w:r>
        <w:t xml:space="preserve"> </w:t>
      </w:r>
      <w:r>
        <w:t xml:space="preserve">covering both DAC4 and</w:t>
      </w:r>
      <w:r>
        <w:t xml:space="preserve"> </w:t>
      </w:r>
      <w:r>
        <w:t xml:space="preserve">DAC9 including a harmonised</w:t>
      </w:r>
      <w:r>
        <w:t xml:space="preserve"> </w:t>
      </w:r>
      <w:r>
        <w:t xml:space="preserve">filing deadline and a common</w:t>
      </w:r>
      <w:r>
        <w:t xml:space="preserve"> </w:t>
      </w:r>
      <w:r>
        <w:t xml:space="preserve">notification template.</w:t>
      </w:r>
      <w:r>
        <w:t xml:space="preserve"> </w:t>
      </w:r>
      <w:r>
        <w:t xml:space="preserve">Policy Option 3a +</w:t>
      </w:r>
    </w:p>
    <w:p>
      <w:pPr>
        <w:pStyle w:val="BodyText"/>
      </w:pPr>
      <w:r>
        <w:t xml:space="preserve">Introducing central filing of the single</w:t>
      </w:r>
      <w:r>
        <w:t xml:space="preserve"> </w:t>
      </w:r>
      <w:r>
        <w:t xml:space="preserve">notification in one Member State by one</w:t>
      </w:r>
      <w:r>
        <w:t xml:space="preserve"> </w:t>
      </w:r>
      <w:r>
        <w:t xml:space="preserve">entity of the MNE group, followed by</w:t>
      </w:r>
      <w:r>
        <w:t xml:space="preserve"> </w:t>
      </w:r>
      <w:r>
        <w:t xml:space="preserve">exchange of the notification information</w:t>
      </w:r>
      <w:r>
        <w:t xml:space="preserve"> </w:t>
      </w:r>
      <w:r>
        <w:t xml:space="preserve">between Member States.</w:t>
      </w:r>
      <w:r>
        <w:br/>
      </w:r>
      <w:r>
        <w:t xml:space="preserve">Policy Option 3a would introduce a single notification obligation covering both DAC4 and</w:t>
      </w:r>
      <w:r>
        <w:t xml:space="preserve"> </w:t>
      </w:r>
      <w:r>
        <w:t xml:space="preserve">DAC9 for entities of the MNE group. Under the single notification obligation, each entity</w:t>
      </w:r>
      <w:r>
        <w:t xml:space="preserve"> </w:t>
      </w:r>
      <w:r>
        <w:t xml:space="preserve">would submit this information only once, and it would be accompanied by a common</w:t>
      </w:r>
      <w:r>
        <w:t xml:space="preserve"> </w:t>
      </w:r>
      <w:r>
        <w:t xml:space="preserve">notification template and a harmonised filing deadline. Policy Option 3b would build on</w:t>
      </w:r>
      <w:r>
        <w:t xml:space="preserve"> </w:t>
      </w:r>
      <w:r>
        <w:t xml:space="preserve">Policy Option 3a with the introduction of central filing of the notification. Under this</w:t>
      </w:r>
      <w:r>
        <w:t xml:space="preserve"> </w:t>
      </w:r>
      <w:r>
        <w:t xml:space="preserve">approach, only one entity within the MNE group would submit the single notification</w:t>
      </w:r>
      <w:r>
        <w:t xml:space="preserve"> </w:t>
      </w:r>
      <w:r>
        <w:t xml:space="preserve">covering both DAC4 and DAC9 on behalf of the entire group. The information contained in</w:t>
      </w:r>
      <w:r>
        <w:t xml:space="preserve"> </w:t>
      </w:r>
      <w:r>
        <w:t xml:space="preserve">the notification would subsequently be exchanged between Member States through the</w:t>
      </w:r>
      <w:r>
        <w:t xml:space="preserve"> </w:t>
      </w:r>
      <w:r>
        <w:t xml:space="preserve">existing administrative cooperation framework.</w:t>
      </w:r>
      <w:r>
        <w:t xml:space="preserve"> </w:t>
      </w:r>
      <w:r>
        <w:t xml:space="preserve">Measure 4 - Improving the accuracy of reported TINs</w:t>
      </w:r>
      <w:r>
        <w:t xml:space="preserve"> </w:t>
      </w:r>
      <w:r>
        <w:t xml:space="preserve">The proposed policy options aim to address the current limitations in the verification of TINs</w:t>
      </w:r>
      <w:r>
        <w:t xml:space="preserve"> </w:t>
      </w:r>
      <w:r>
        <w:t xml:space="preserve">that prevent automatic matching of the information by tax administrations. Therein these</w:t>
      </w:r>
      <w:r>
        <w:t xml:space="preserve"> </w:t>
      </w:r>
      <w:r>
        <w:t xml:space="preserve">options are designed to improve the use of exchanged information and effectively support</w:t>
      </w:r>
      <w:r>
        <w:t xml:space="preserve"> </w:t>
      </w:r>
      <w:r>
        <w:t xml:space="preserve">the fight against tax fraud, avoidance and evasion.</w:t>
      </w:r>
      <w:r>
        <w:br/>
      </w:r>
      <w:r>
        <w:t xml:space="preserve">Measure 4</w:t>
      </w:r>
      <w:r>
        <w:t xml:space="preserve"> </w:t>
      </w:r>
      <w:r>
        <w:t xml:space="preserve">Baseline (Status Quo)</w:t>
      </w:r>
      <w:r>
        <w:t xml:space="preserve"> </w:t>
      </w:r>
      <w:r>
        <w:t xml:space="preserve">Policy Option 4a</w:t>
      </w:r>
      <w:r>
        <w:t xml:space="preserve"> </w:t>
      </w:r>
      <w:r>
        <w:t xml:space="preserve">Policy Option 4b</w:t>
      </w:r>
      <w:r>
        <w:t xml:space="preserve"> </w:t>
      </w:r>
      <w:r>
        <w:t xml:space="preserve">There is no centralised system</w:t>
      </w:r>
      <w:r>
        <w:t xml:space="preserve"> </w:t>
      </w:r>
      <w:r>
        <w:t xml:space="preserve">for reporting entities and tax</w:t>
      </w:r>
      <w:r>
        <w:t xml:space="preserve"> </w:t>
      </w:r>
      <w:r>
        <w:t xml:space="preserve">administrations to validate the</w:t>
      </w:r>
      <w:r>
        <w:t xml:space="preserve"> </w:t>
      </w:r>
      <w:r>
        <w:t xml:space="preserve">accuracy of the TINs.</w:t>
      </w:r>
      <w:r>
        <w:br/>
      </w:r>
      <w:r>
        <w:t xml:space="preserve">Introducing a centralised TIN</w:t>
      </w:r>
      <w:r>
        <w:t xml:space="preserve"> </w:t>
      </w:r>
      <w:r>
        <w:t xml:space="preserve">verification system, accessible</w:t>
      </w:r>
      <w:r>
        <w:t xml:space="preserve"> </w:t>
      </w:r>
      <w:r>
        <w:t xml:space="preserve">only to Member States tax</w:t>
      </w:r>
      <w:r>
        <w:t xml:space="preserve"> </w:t>
      </w:r>
      <w:r>
        <w:t xml:space="preserve">administrations.</w:t>
      </w:r>
      <w:r>
        <w:br/>
      </w:r>
      <w:r>
        <w:t xml:space="preserve">Introducing a centralised TIN</w:t>
      </w:r>
      <w:r>
        <w:t xml:space="preserve"> </w:t>
      </w:r>
      <w:r>
        <w:t xml:space="preserve">verification system, accessible to</w:t>
      </w:r>
      <w:r>
        <w:t xml:space="preserve"> </w:t>
      </w:r>
      <w:r>
        <w:t xml:space="preserve">both Member States tax</w:t>
      </w:r>
      <w:r>
        <w:t xml:space="preserve"> </w:t>
      </w:r>
      <w:r>
        <w:t xml:space="preserve">administrations and reporting</w:t>
      </w:r>
      <w:r>
        <w:t xml:space="preserve"> </w:t>
      </w:r>
      <w:r>
        <w:t xml:space="preserve">entities.</w:t>
      </w:r>
      <w:r>
        <w:br/>
      </w:r>
      <w:r>
        <w:t xml:space="preserve">Policy Option 4a would introduce a centralised TIN verification system at Union level.</w:t>
      </w:r>
      <w:r>
        <w:t xml:space="preserve"> </w:t>
      </w:r>
      <w:r>
        <w:t xml:space="preserve">Access to the system would be limited to tax administrations and would allow them to verify</w:t>
      </w:r>
      <w:r>
        <w:t xml:space="preserve"> </w:t>
      </w:r>
      <w:r>
        <w:t xml:space="preserve">whether a reported TIN corresponds to an identifiable taxpayer in the relevant Member</w:t>
      </w:r>
      <w:r>
        <w:t xml:space="preserve"> </w:t>
      </w:r>
      <w:r>
        <w:t xml:space="preserve">State. Under this option, the sending Member State would verify the TIN before transmitting</w:t>
      </w:r>
      <w:r>
        <w:t xml:space="preserve"> </w:t>
      </w:r>
      <w:r>
        <w:t xml:space="preserve">information to the receiving Member State. Where a TIN cannot be verified, the sending tax</w:t>
      </w:r>
      <w:r>
        <w:t xml:space="preserve"> </w:t>
      </w:r>
      <w:r>
        <w:t xml:space="preserve">administration would revert to the reporting entity to obtain corrected information from the</w:t>
      </w:r>
      <w:r>
        <w:t xml:space="preserve"> </w:t>
      </w:r>
      <w:r>
        <w:t xml:space="preserve">taxpayer. Policy Option 4b would also introduce a centralised TIN verification system at</w:t>
      </w:r>
      <w:r>
        <w:t xml:space="preserve"> </w:t>
      </w:r>
      <w:r>
        <w:t xml:space="preserve">Union level but would extend access to reporting entities. Under this option, reporting</w:t>
      </w:r>
      <w:r>
        <w:t xml:space="preserve"> </w:t>
      </w:r>
      <w:r>
        <w:t xml:space="preserve">entities may on a voluntary basis also use the centralised TIN verification system to verify</w:t>
      </w:r>
      <w:r>
        <w:t xml:space="preserve"> </w:t>
      </w:r>
      <w:r>
        <w:t xml:space="preserve">TINs before submitting information to tax administrations, allowing incorrect TINs to be</w:t>
      </w:r>
      <w:r>
        <w:t xml:space="preserve"> </w:t>
      </w:r>
      <w:r>
        <w:t xml:space="preserve">corrected at source. As a result, tax administrations would receive information that has</w:t>
      </w:r>
      <w:r>
        <w:t xml:space="preserve"> </w:t>
      </w:r>
      <w:r>
        <w:t xml:space="preserve">already been verified.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Measure 5 - Improving the completeness of information exchanged under DAC1</w:t>
      </w:r>
      <w:r>
        <w:t xml:space="preserve"> </w:t>
      </w:r>
      <w:r>
        <w:t xml:space="preserve">The proposed policy options aim to address limitations in the current DAC1 legislative</w:t>
      </w:r>
      <w:r>
        <w:t xml:space="preserve"> </w:t>
      </w:r>
      <w:r>
        <w:t xml:space="preserve">framework that contribute to incomplete reporting and differences in the scope of</w:t>
      </w:r>
      <w:r>
        <w:t xml:space="preserve"> </w:t>
      </w:r>
      <w:r>
        <w:t xml:space="preserve">information exchanged between Member States. Therein these options are designed to</w:t>
      </w:r>
      <w:r>
        <w:t xml:space="preserve"> </w:t>
      </w:r>
      <w:r>
        <w:t xml:space="preserve">improve the use of exchanged information and effectively support the fight against tax fraud,</w:t>
      </w:r>
      <w:r>
        <w:t xml:space="preserve"> </w:t>
      </w:r>
      <w:r>
        <w:t xml:space="preserve">evasion and avoidance. The policy options focus on adjustments to the scope of income</w:t>
      </w:r>
      <w:r>
        <w:t xml:space="preserve"> </w:t>
      </w:r>
      <w:r>
        <w:t xml:space="preserve">categories exchanged and the sources from which information may be obtained by tax</w:t>
      </w:r>
      <w:r>
        <w:t xml:space="preserve"> </w:t>
      </w:r>
      <w:r>
        <w:t xml:space="preserve">administrations for reporting purposes. Moreover, the proposed policy options aim to</w:t>
      </w:r>
      <w:r>
        <w:t xml:space="preserve"> </w:t>
      </w:r>
      <w:r>
        <w:t xml:space="preserve">address the current duplicate reporting issues associated with the category of life insurance</w:t>
      </w:r>
      <w:r>
        <w:t xml:space="preserve"> </w:t>
      </w:r>
      <w:r>
        <w:t xml:space="preserve">products (LIP).</w:t>
      </w:r>
      <w:r>
        <w:t xml:space="preserve"> </w:t>
      </w:r>
      <w:r>
        <w:t xml:space="preserve">Measure 5</w:t>
      </w:r>
      <w:r>
        <w:t xml:space="preserve"> </w:t>
      </w:r>
      <w:r>
        <w:t xml:space="preserve">Baseline</w:t>
      </w:r>
      <w:r>
        <w:br/>
      </w:r>
      <w:r>
        <w:t xml:space="preserve">(Status Quo)</w:t>
      </w:r>
      <w:r>
        <w:t xml:space="preserve"> </w:t>
      </w:r>
      <w:r>
        <w:t xml:space="preserve">Policy Option 5a</w:t>
      </w:r>
      <w:r>
        <w:t xml:space="preserve"> </w:t>
      </w:r>
      <w:r>
        <w:t xml:space="preserve">Policy Option 5b</w:t>
      </w:r>
      <w:r>
        <w:t xml:space="preserve"> </w:t>
      </w:r>
      <w:r>
        <w:t xml:space="preserve">Policy Option 5c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automatically</w:t>
      </w:r>
      <w:r>
        <w:t xml:space="preserve"> </w:t>
      </w:r>
      <w:r>
        <w:t xml:space="preserve">exchange information</w:t>
      </w:r>
      <w:r>
        <w:t xml:space="preserve"> </w:t>
      </w:r>
      <w:r>
        <w:t xml:space="preserve">available in their tax</w:t>
      </w:r>
      <w:r>
        <w:t xml:space="preserve"> </w:t>
      </w:r>
      <w:r>
        <w:t xml:space="preserve">files on at least five</w:t>
      </w:r>
      <w:r>
        <w:t xml:space="preserve"> </w:t>
      </w:r>
      <w:r>
        <w:t xml:space="preserve">out of seven DAC1</w:t>
      </w:r>
      <w:r>
        <w:t xml:space="preserve"> </w:t>
      </w:r>
      <w:r>
        <w:t xml:space="preserve">categories. Member</w:t>
      </w:r>
      <w:r>
        <w:t xml:space="preserve"> </w:t>
      </w:r>
      <w:r>
        <w:t xml:space="preserve">States may choose</w:t>
      </w:r>
      <w:r>
        <w:t xml:space="preserve"> </w:t>
      </w:r>
      <w:r>
        <w:t xml:space="preserve">which categories to</w:t>
      </w:r>
      <w:r>
        <w:t xml:space="preserve"> </w:t>
      </w:r>
      <w:r>
        <w:t xml:space="preserve">exchange.</w:t>
      </w:r>
      <w:r>
        <w:t xml:space="preserve"> </w:t>
      </w:r>
      <w:r>
        <w:t xml:space="preserve">The life insurance</w:t>
      </w:r>
      <w:r>
        <w:t xml:space="preserve"> </w:t>
      </w:r>
      <w:r>
        <w:t xml:space="preserve">products (LIP)</w:t>
      </w:r>
      <w:r>
        <w:t xml:space="preserve"> </w:t>
      </w:r>
      <w:r>
        <w:t xml:space="preserve">category is removed.</w:t>
      </w:r>
      <w:r>
        <w:br/>
      </w:r>
      <w:r>
        <w:t xml:space="preserve">Policy Option 5a +</w:t>
      </w:r>
      <w:r>
        <w:t xml:space="preserve"> </w:t>
      </w:r>
      <w:r>
        <w:t xml:space="preserve">Member States are</w:t>
      </w:r>
      <w:r>
        <w:t xml:space="preserve"> </w:t>
      </w:r>
      <w:r>
        <w:t xml:space="preserve">required to automatically</w:t>
      </w:r>
      <w:r>
        <w:t xml:space="preserve"> </w:t>
      </w:r>
      <w:r>
        <w:t xml:space="preserve">exchange information</w:t>
      </w:r>
      <w:r>
        <w:t xml:space="preserve"> </w:t>
      </w:r>
      <w:r>
        <w:t xml:space="preserve">available in their tax files</w:t>
      </w:r>
      <w:r>
        <w:t xml:space="preserve"> </w:t>
      </w:r>
      <w:r>
        <w:t xml:space="preserve">on all remaining six</w:t>
      </w:r>
      <w:r>
        <w:t xml:space="preserve"> </w:t>
      </w:r>
      <w:r>
        <w:t xml:space="preserve">categories of income and</w:t>
      </w:r>
      <w:r>
        <w:t xml:space="preserve"> </w:t>
      </w:r>
      <w:r>
        <w:t xml:space="preserve">capital.</w:t>
      </w:r>
      <w:r>
        <w:br/>
      </w:r>
      <w:r>
        <w:t xml:space="preserve">Policy option 5a +</w:t>
      </w:r>
      <w:r>
        <w:t xml:space="preserve"> </w:t>
      </w:r>
      <w:r>
        <w:t xml:space="preserve">Member States are</w:t>
      </w:r>
      <w:r>
        <w:t xml:space="preserve"> </w:t>
      </w:r>
      <w:r>
        <w:t xml:space="preserve">required to</w:t>
      </w:r>
      <w:r>
        <w:t xml:space="preserve"> </w:t>
      </w:r>
      <w:r>
        <w:t xml:space="preserve">automatically exchange</w:t>
      </w:r>
      <w:r>
        <w:t xml:space="preserve"> </w:t>
      </w:r>
      <w:r>
        <w:t xml:space="preserve">information available to</w:t>
      </w:r>
      <w:r>
        <w:t xml:space="preserve"> </w:t>
      </w:r>
      <w:r>
        <w:t xml:space="preserve">relevant public</w:t>
      </w:r>
      <w:r>
        <w:t xml:space="preserve"> </w:t>
      </w:r>
      <w:r>
        <w:t xml:space="preserve">authorities on all</w:t>
      </w:r>
      <w:r>
        <w:t xml:space="preserve"> </w:t>
      </w:r>
      <w:r>
        <w:t xml:space="preserve">remaining six categories</w:t>
      </w:r>
      <w:r>
        <w:t xml:space="preserve"> </w:t>
      </w:r>
      <w:r>
        <w:t xml:space="preserve">of income and capital.</w:t>
      </w:r>
      <w:r>
        <w:t xml:space="preserve"> </w:t>
      </w:r>
      <w:r>
        <w:t xml:space="preserve">Policy Option 5a would remove the requirement to exchange information on the category</w:t>
      </w:r>
      <w:r>
        <w:t xml:space="preserve"> </w:t>
      </w:r>
      <w:r>
        <w:t xml:space="preserve">of LIP. Consequently, Member States would continue to be required to automatically</w:t>
      </w:r>
      <w:r>
        <w:t xml:space="preserve"> </w:t>
      </w:r>
      <w:r>
        <w:t xml:space="preserve">exchange information on at least five of the remaining six categories of income and capital,</w:t>
      </w:r>
      <w:r>
        <w:t xml:space="preserve"> </w:t>
      </w:r>
      <w:r>
        <w:t xml:space="preserve">while retaining the flexibility to choose which categories to exchange. Within each category,</w:t>
      </w:r>
      <w:r>
        <w:t xml:space="preserve"> </w:t>
      </w:r>
      <w:r>
        <w:t xml:space="preserve">only information that is “available” in the tax files would be exchanged. Policy Option 5b</w:t>
      </w:r>
      <w:r>
        <w:t xml:space="preserve"> </w:t>
      </w:r>
      <w:r>
        <w:t xml:space="preserve">would also remove the requirement for AEOI on the category of LIP. In addition, Member</w:t>
      </w:r>
      <w:r>
        <w:t xml:space="preserve"> </w:t>
      </w:r>
      <w:r>
        <w:t xml:space="preserve">States would be required to automatically exchange information for all six remaining</w:t>
      </w:r>
      <w:r>
        <w:t xml:space="preserve"> </w:t>
      </w:r>
      <w:r>
        <w:t xml:space="preserve">categories of income and capital. Within each category, only information that is available in</w:t>
      </w:r>
      <w:r>
        <w:t xml:space="preserve"> </w:t>
      </w:r>
      <w:r>
        <w:t xml:space="preserve">the tax files would be exchanged. Policy Option 5c would also remove the requirement for</w:t>
      </w:r>
      <w:r>
        <w:t xml:space="preserve"> </w:t>
      </w:r>
      <w:r>
        <w:t xml:space="preserve">AEOI on the category of LIP. Moreover, under this option Member States would be required</w:t>
      </w:r>
      <w:r>
        <w:t xml:space="preserve"> </w:t>
      </w:r>
      <w:r>
        <w:t xml:space="preserve">to automatically exchange information available not only in their tax files but also in the</w:t>
      </w:r>
      <w:r>
        <w:t xml:space="preserve"> </w:t>
      </w:r>
      <w:r>
        <w:t xml:space="preserve">files of other relevant public authorities in respect of all six remaining categories of income</w:t>
      </w:r>
      <w:r>
        <w:t xml:space="preserve"> </w:t>
      </w:r>
      <w:r>
        <w:t xml:space="preserve">and capital.</w:t>
      </w:r>
      <w:r>
        <w:t xml:space="preserve"> </w:t>
      </w:r>
      <w:r>
        <w:t xml:space="preserve">5.3 Discarded Options</w:t>
      </w:r>
      <w:r>
        <w:t xml:space="preserve"> </w:t>
      </w:r>
      <w:r>
        <w:t xml:space="preserve">During the preparation of this initiative, stakeholders suggested additional measures that</w:t>
      </w:r>
      <w:r>
        <w:t xml:space="preserve"> </w:t>
      </w:r>
      <w:r>
        <w:t xml:space="preserve">were considered but not retained for further analysis. These options were assessed against</w:t>
      </w:r>
      <w:r>
        <w:t xml:space="preserve"> </w:t>
      </w:r>
      <w:r>
        <w:t xml:space="preserve">the specific objectives of this initiative, alignment with existing international standards and</w:t>
      </w:r>
      <w:r>
        <w:t xml:space="preserve"> </w:t>
      </w:r>
      <w:r>
        <w:t xml:space="preserve">the policy objectives of the DAC in tackling tax fraud, evasion and avoidance.</w:t>
      </w:r>
      <w:r>
        <w:t xml:space="preserve"> </w:t>
      </w:r>
      <w:r>
        <w:t xml:space="preserve">Repeal of DAC6</w:t>
      </w:r>
      <w:r>
        <w:t xml:space="preserve"> </w:t>
      </w:r>
      <w:r>
        <w:t xml:space="preserve">Some business stakeholders proposed a repeal of DAC6 in its entirety. This option was not</w:t>
      </w:r>
      <w:r>
        <w:t xml:space="preserve"> </w:t>
      </w:r>
      <w:r>
        <w:t xml:space="preserve">considered appropriate. DAC6 constitutes an important component of the EU administrative</w:t>
      </w:r>
      <w:r>
        <w:t xml:space="preserve"> </w:t>
      </w:r>
      <w:r>
        <w:t xml:space="preserve">cooperation framework by requiring the early disclosure of potentially aggressive cross-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border tax arrangements. In doing so, DAC6 provides a strong dissuasive effect that</w:t>
      </w:r>
      <w:r>
        <w:t xml:space="preserve"> </w:t>
      </w:r>
      <w:r>
        <w:t xml:space="preserve">effectively discourages aggressive tax planning arrangements. Removing this reporting</w:t>
      </w:r>
      <w:r>
        <w:t xml:space="preserve"> </w:t>
      </w:r>
      <w:r>
        <w:t xml:space="preserve">obligation would significantly reduce the ability of tax administrations to identify and</w:t>
      </w:r>
      <w:r>
        <w:t xml:space="preserve"> </w:t>
      </w:r>
      <w:r>
        <w:t xml:space="preserve">address risks related to tax fraud, evasion and avoidance involving cross-border tax</w:t>
      </w:r>
      <w:r>
        <w:t xml:space="preserve"> </w:t>
      </w:r>
      <w:r>
        <w:t xml:space="preserve">arrangements. The repeal of DAC6 would therefore undermine the effectiveness of the</w:t>
      </w:r>
      <w:r>
        <w:t xml:space="preserve"> </w:t>
      </w:r>
      <w:r>
        <w:t xml:space="preserve">Union framework for combating harmful tax practices and would remove the dissuasive</w:t>
      </w:r>
      <w:r>
        <w:t xml:space="preserve"> </w:t>
      </w:r>
      <w:r>
        <w:t xml:space="preserve">effects of the instrument.</w:t>
      </w:r>
      <w:r>
        <w:br/>
      </w:r>
      <w:r>
        <w:t xml:space="preserve">Carve-out from DAC4 reporting for groups reporting under DAC9</w:t>
      </w:r>
      <w:r>
        <w:t xml:space="preserve"> </w:t>
      </w:r>
      <w:r>
        <w:t xml:space="preserve">Stakeholders also suggested introducing a full carve-out from CbCR obligations under</w:t>
      </w:r>
      <w:r>
        <w:t xml:space="preserve"> </w:t>
      </w:r>
      <w:r>
        <w:t xml:space="preserve">DAC4 for MNE groups that are already subject to reporting under DAC9. This option was</w:t>
      </w:r>
      <w:r>
        <w:t xml:space="preserve"> </w:t>
      </w:r>
      <w:r>
        <w:t xml:space="preserve">not retained for further consideration as DAC4 provides tax administrations with important</w:t>
      </w:r>
      <w:r>
        <w:t xml:space="preserve"> </w:t>
      </w:r>
      <w:r>
        <w:t xml:space="preserve">information on the global allocation of income, taxes and economic activity within MNE</w:t>
      </w:r>
      <w:r>
        <w:t xml:space="preserve"> </w:t>
      </w:r>
      <w:r>
        <w:t xml:space="preserve">groups, which is used in particular for transfer pricing risk assessment. Reporting under</w:t>
      </w:r>
      <w:r>
        <w:t xml:space="preserve"> </w:t>
      </w:r>
      <w:r>
        <w:t xml:space="preserve">DAC9 does not cover this specific category of information.</w:t>
      </w:r>
      <w:r>
        <w:br/>
      </w:r>
      <w:r>
        <w:t xml:space="preserve">Excluding DAC4 MNE groups that report under DAC9 would therefore lead to the loss of</w:t>
      </w:r>
      <w:r>
        <w:t xml:space="preserve"> </w:t>
      </w:r>
      <w:r>
        <w:t xml:space="preserve">valuable transfer pricing information for tax administrations and consequently lower the</w:t>
      </w:r>
      <w:r>
        <w:t xml:space="preserve"> </w:t>
      </w:r>
      <w:r>
        <w:t xml:space="preserve">current level of protection against tax fraud, evasion and avoidance. In addition, such a</w:t>
      </w:r>
      <w:r>
        <w:t xml:space="preserve"> </w:t>
      </w:r>
      <w:r>
        <w:t xml:space="preserve">carve-out would create inconsistencies with the OECD BEPS Action 13 standard on CbCR</w:t>
      </w:r>
      <w:r>
        <w:t xml:space="preserve"> </w:t>
      </w:r>
      <w:r>
        <w:t xml:space="preserve">with which DAC4 is aligned. Maintaining alignment with this international standard is</w:t>
      </w:r>
      <w:r>
        <w:t xml:space="preserve"> </w:t>
      </w:r>
      <w:r>
        <w:t xml:space="preserve">essential for ensuring the effectiveness, comparability and international consistency of the</w:t>
      </w:r>
      <w:r>
        <w:t xml:space="preserve"> </w:t>
      </w:r>
      <w:r>
        <w:t xml:space="preserve">information exchanged.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Chapter assesses the impacts of the policy options identified under each measure</w:t>
      </w:r>
      <w:r>
        <w:t xml:space="preserve"> </w:t>
      </w:r>
      <w:r>
        <w:t xml:space="preserve">compared with the baseline scenario. The assessment focuses on how the policy options</w:t>
      </w:r>
      <w:r>
        <w:t xml:space="preserve"> </w:t>
      </w:r>
      <w:r>
        <w:t xml:space="preserve">would affect reporting volumes, compliance costs, administrative burden, legal certainty and</w:t>
      </w:r>
      <w:r>
        <w:t xml:space="preserve"> </w:t>
      </w:r>
      <w:r>
        <w:t xml:space="preserve">the effectiveness of administrative cooperation compared with the current framework.</w:t>
      </w:r>
      <w:r>
        <w:t xml:space="preserve"> </w:t>
      </w:r>
      <w:r>
        <w:t xml:space="preserve">In line with the Better Regulation Guidelines, the analysis considers economic, social,</w:t>
      </w:r>
      <w:r>
        <w:t xml:space="preserve"> </w:t>
      </w:r>
      <w:r>
        <w:t xml:space="preserve">environmental and fundamental rights impacts, as well as the effects on competitiveness,</w:t>
      </w:r>
      <w:r>
        <w:t xml:space="preserve"> </w:t>
      </w:r>
      <w:r>
        <w:t xml:space="preserve">SMEs and digitalisation. Given that the DAC primarily establishes reporting obligations and</w:t>
      </w:r>
      <w:r>
        <w:t xml:space="preserve"> </w:t>
      </w:r>
      <w:r>
        <w:t xml:space="preserve">information exchange mechanisms between economic operators and tax administrations, the</w:t>
      </w:r>
      <w:r>
        <w:t xml:space="preserve"> </w:t>
      </w:r>
      <w:r>
        <w:t xml:space="preserve">most significant impacts are expected to arise in the form of economic and administrative</w:t>
      </w:r>
      <w:r>
        <w:t xml:space="preserve"> </w:t>
      </w:r>
      <w:r>
        <w:t xml:space="preserve">burden reduction. These relate mainly to compliance costs for reporting entities and tax</w:t>
      </w:r>
      <w:r>
        <w:t xml:space="preserve"> </w:t>
      </w:r>
      <w:r>
        <w:t xml:space="preserve">authorities.</w:t>
      </w:r>
      <w:r>
        <w:t xml:space="preserve"> </w:t>
      </w:r>
      <w:r>
        <w:t xml:space="preserve">Methodology and analytical approach</w:t>
      </w:r>
      <w:r>
        <w:t xml:space="preserve"> </w:t>
      </w:r>
      <w:r>
        <w:t xml:space="preserve">The assessment combines quantitative estimates and qualitative analysis drawing on several</w:t>
      </w:r>
      <w:r>
        <w:t xml:space="preserve"> </w:t>
      </w:r>
      <w:r>
        <w:t xml:space="preserve">sources of evidence. These include the DAC evaluation (published in 2025), statistical</w:t>
      </w:r>
      <w:r>
        <w:t xml:space="preserve"> </w:t>
      </w:r>
      <w:r>
        <w:t xml:space="preserve">information reported by Member States through DAC reporting systems, available</w:t>
      </w:r>
      <w:r>
        <w:t xml:space="preserve"> </w:t>
      </w:r>
      <w:r>
        <w:t xml:space="preserve">analytical studies and extensive stakeholder consultation activities with business</w:t>
      </w:r>
      <w:r>
        <w:t xml:space="preserve"> </w:t>
      </w:r>
      <w:r>
        <w:t xml:space="preserve">stakeholders and Member States. In the latter context targeted consultations were carried out</w:t>
      </w:r>
      <w:r>
        <w:t xml:space="preserve"> </w:t>
      </w:r>
      <w:r>
        <w:t xml:space="preserve">with stakeholders in 2025 with a public consultation and call for evidence carried out</w:t>
      </w:r>
      <w:r>
        <w:t xml:space="preserve"> </w:t>
      </w:r>
      <w:r>
        <w:t xml:space="preserve">between the 16 December 2025 and 10 February 2026.</w:t>
      </w:r>
      <w:r>
        <w:br/>
      </w:r>
      <w:r>
        <w:t xml:space="preserve">Where sufficient data were available, impacts were quantified using reporting volumes,</w:t>
      </w:r>
      <w:r>
        <w:t xml:space="preserve"> </w:t>
      </w:r>
      <w:r>
        <w:t xml:space="preserve">compliance cost estimates and administrative workload indicators. Where reliable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quantification was not possible, impacts were assessed qualitatively, based on the</w:t>
      </w:r>
      <w:r>
        <w:t xml:space="preserve"> </w:t>
      </w:r>
      <w:r>
        <w:t xml:space="preserve">stakeholders’ inputs and indicating the expected direction and relative magnitude of effects.</w:t>
      </w:r>
      <w:r>
        <w:t xml:space="preserve"> </w:t>
      </w:r>
      <w:r>
        <w:t xml:space="preserve">The quantification relies on several simplifying assumptions, including the use of average</w:t>
      </w:r>
      <w:r>
        <w:t xml:space="preserve"> </w:t>
      </w:r>
      <w:r>
        <w:t xml:space="preserve">compliance cost estimates derived from evaluation evidence and stakeholder input, and the</w:t>
      </w:r>
      <w:r>
        <w:t xml:space="preserve"> </w:t>
      </w:r>
      <w:r>
        <w:t xml:space="preserve">use of recent reporting statistics as proxies for future reporting volumes. Further details on</w:t>
      </w:r>
      <w:r>
        <w:t xml:space="preserve"> </w:t>
      </w:r>
      <w:r>
        <w:t xml:space="preserve">the methodology, assumptions and sensitivity analysis are provided in Annex 4 (Analytical</w:t>
      </w:r>
      <w:r>
        <w:t xml:space="preserve"> </w:t>
      </w:r>
      <w:r>
        <w:t xml:space="preserve">Methods). In the case of DAC, the costs associated with regulatory obligations (i.e. </w:t>
      </w:r>
      <w:r>
        <w:t xml:space="preserve"> </w:t>
      </w:r>
      <w:r>
        <w:t xml:space="preserve">adjustment costs) are by nature, administrative. As a result, compliance costs overlap with</w:t>
      </w:r>
      <w:r>
        <w:t xml:space="preserve"> </w:t>
      </w:r>
      <w:r>
        <w:t xml:space="preserve">administrative costs unless otherwise specified.</w:t>
      </w:r>
      <w:r>
        <w:t xml:space="preserve"> </w:t>
      </w:r>
      <w:r>
        <w:t xml:space="preserve">6.1 Impact on simplification while preserving the policy objectives of the DAC</w:t>
      </w:r>
      <w:r>
        <w:t xml:space="preserve"> </w:t>
      </w:r>
      <w:r>
        <w:t xml:space="preserve">framework (compliance costs and risks assessment)</w:t>
      </w:r>
      <w:r>
        <w:t xml:space="preserve"> </w:t>
      </w:r>
      <w:r>
        <w:t xml:space="preserve">Policy options under Measure 1 – Ensuring that DAC6 reporting obligations remain</w:t>
      </w:r>
      <w:r>
        <w:t xml:space="preserve"> </w:t>
      </w:r>
      <w:r>
        <w:t xml:space="preserve">proportionate and effective while promoting a more harmonised application of the MBT</w:t>
      </w:r>
      <w:r>
        <w:t xml:space="preserve"> </w:t>
      </w:r>
      <w:r>
        <w:t xml:space="preserve">Baseline: Intermediaries and, in certain instances, relevant taxpayers are required to report information on</w:t>
      </w:r>
      <w:r>
        <w:t xml:space="preserve"> </w:t>
      </w:r>
      <w:r>
        <w:t xml:space="preserve">cross-border arrangements based on predefined hallmark criteria, with reportability for certain hallmarks</w:t>
      </w:r>
      <w:r>
        <w:t xml:space="preserve"> </w:t>
      </w:r>
      <w:r>
        <w:t xml:space="preserve">conditional on the MBT being met.</w:t>
      </w:r>
      <w:r>
        <w:t xml:space="preserve"> </w:t>
      </w:r>
      <w:r>
        <w:t xml:space="preserve">PO1a: Excluding all companies within the scope of Pillar 2 from the reporting under DAC6.</w:t>
      </w:r>
      <w:r>
        <w:t xml:space="preserve"> </w:t>
      </w:r>
      <w:r>
        <w:t xml:space="preserve">PO1b: PO1a + removing reporting requirements related to generic hallmarks (category A) and issuing guidance</w:t>
      </w:r>
      <w:r>
        <w:t xml:space="preserve"> </w:t>
      </w:r>
      <w:r>
        <w:t xml:space="preserve">on application of the MBT to remaining hallmarks subject the test.</w:t>
      </w:r>
      <w:r>
        <w:t xml:space="preserve"> </w:t>
      </w:r>
      <w:r>
        <w:t xml:space="preserve">PO1c: PO1a + removing reporting requirements related to generic hallmarks (category A) + removing the</w:t>
      </w:r>
      <w:r>
        <w:t xml:space="preserve"> </w:t>
      </w:r>
      <w:r>
        <w:t xml:space="preserve">MBT and revising the remaining hallmarks previously subject to the MBT.</w:t>
      </w:r>
      <w:r>
        <w:t xml:space="preserve"> </w:t>
      </w:r>
      <w:r>
        <w:t xml:space="preserve">All policy options have a direct and increasing impact on improving the proportionality of</w:t>
      </w:r>
      <w:r>
        <w:t xml:space="preserve"> </w:t>
      </w:r>
      <w:r>
        <w:t xml:space="preserve">the framework by ensuring that reporting obligations are better targeted to compliance risks.</w:t>
      </w:r>
      <w:r>
        <w:t xml:space="preserve"> </w:t>
      </w:r>
      <w:r>
        <w:t xml:space="preserve">Therein the options presented are intended to ensure that there is a much greater alignment</w:t>
      </w:r>
      <w:r>
        <w:t xml:space="preserve"> </w:t>
      </w:r>
      <w:r>
        <w:t xml:space="preserve">between the reporting requirements and the associated compliance costs for business and</w:t>
      </w:r>
      <w:r>
        <w:t xml:space="preserve"> </w:t>
      </w:r>
      <w:r>
        <w:t xml:space="preserve">tax administrations and the information that is necessary for tax administrations to tackle tax</w:t>
      </w:r>
      <w:r>
        <w:t xml:space="preserve"> </w:t>
      </w:r>
      <w:r>
        <w:t xml:space="preserve">fraud, evasion and avoidance. Therefore, the analysis estimates the cost savings resulting</w:t>
      </w:r>
      <w:r>
        <w:t xml:space="preserve"> </w:t>
      </w:r>
      <w:r>
        <w:t xml:space="preserve">from the reduced scope of reporting requirements while also assessing the extent to which</w:t>
      </w:r>
      <w:r>
        <w:t xml:space="preserve"> </w:t>
      </w:r>
      <w:r>
        <w:t xml:space="preserve">these reductions may impact on the policy objectives of the DAC.</w:t>
      </w:r>
      <w:r>
        <w:t xml:space="preserve"> </w:t>
      </w:r>
      <w:r>
        <w:t xml:space="preserve">In assessing the impacts of Measure 1, companies within the scope of the Pillar 2 Directive</w:t>
      </w:r>
      <w:r>
        <w:t xml:space="preserve"> </w:t>
      </w:r>
      <w:r>
        <w:t xml:space="preserve">and those outside its scope are considered separately. This distinction reflects both the</w:t>
      </w:r>
      <w:r>
        <w:t xml:space="preserve"> </w:t>
      </w:r>
      <w:r>
        <w:t xml:space="preserve">different policy treatment envisaged and the underlying differences in their compliance cost</w:t>
      </w:r>
      <w:r>
        <w:t xml:space="preserve"> </w:t>
      </w:r>
      <w:r>
        <w:t xml:space="preserve">structures. MNE groups within the scope of the Pillar 2 Directive would benefit from a full</w:t>
      </w:r>
      <w:r>
        <w:t xml:space="preserve"> </w:t>
      </w:r>
      <w:r>
        <w:t xml:space="preserve">exemption from DAC6 reporting obligations, whereas companies outside this scope would</w:t>
      </w:r>
      <w:r>
        <w:t xml:space="preserve"> </w:t>
      </w:r>
      <w:r>
        <w:t xml:space="preserve">remain subject to DAC6, albeit with a reduced set of reporting requirements. MNE groups</w:t>
      </w:r>
      <w:r>
        <w:t xml:space="preserve"> </w:t>
      </w:r>
      <w:r>
        <w:t xml:space="preserve">typically have a broader operational and tax footprint, as they conduct activities and</w:t>
      </w:r>
      <w:r>
        <w:t xml:space="preserve"> </w:t>
      </w:r>
      <w:r>
        <w:t xml:space="preserve">maintain entities across multiple jurisdictions. Consequentially they engage in a higher</w:t>
      </w:r>
      <w:r>
        <w:t xml:space="preserve"> </w:t>
      </w:r>
      <w:r>
        <w:t xml:space="preserve">volume of transactions across more complex cross-border structures. This necessitates more</w:t>
      </w:r>
      <w:r>
        <w:t xml:space="preserve"> </w:t>
      </w:r>
      <w:r>
        <w:t xml:space="preserve">extensive and dedicated internal resources to identify, assess and document potentially</w:t>
      </w:r>
      <w:r>
        <w:t xml:space="preserve"> </w:t>
      </w:r>
      <w:r>
        <w:t xml:space="preserve">reportable arrangements. As a result, both the baseline compliance costs and the expected</w:t>
      </w:r>
      <w:r>
        <w:t xml:space="preserve"> </w:t>
      </w:r>
      <w:r>
        <w:t xml:space="preserve">cost savings differ significantly between the two groups, justifying a separate assessment.</w:t>
      </w:r>
      <w:r>
        <w:t xml:space="preserve"> </w:t>
      </w:r>
      <w:r>
        <w:t xml:space="preserve">Under Policy Option 1a MNE groups within the scope of the Pillar 2 Directive are exempted</w:t>
      </w:r>
      <w:r>
        <w:t xml:space="preserve"> </w:t>
      </w:r>
      <w:r>
        <w:t xml:space="preserve">from DAC6 reporting obligations. Approximately 3,000 MNE groups in the EU fall within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 scope of Pillar 2 and are considered relevant for this exemption54. As the compliance</w:t>
      </w:r>
      <w:r>
        <w:t xml:space="preserve"> </w:t>
      </w:r>
      <w:r>
        <w:t xml:space="preserve">activities under ATAD and DAC6 can be considered broadly comparable in nature, this</w:t>
      </w:r>
      <w:r>
        <w:t xml:space="preserve"> </w:t>
      </w:r>
      <w:r>
        <w:t xml:space="preserve">assessment draws on evidence from the ATAD evaluation as a benchmark. Both ATAD and</w:t>
      </w:r>
      <w:r>
        <w:t xml:space="preserve"> </w:t>
      </w:r>
      <w:r>
        <w:t xml:space="preserve">DAC6 require companies to continuously monitor and assess cross-border transactions</w:t>
      </w:r>
      <w:r>
        <w:t xml:space="preserve"> </w:t>
      </w:r>
      <w:r>
        <w:t xml:space="preserve">against predefined tax rules, often involving detailed legal and economic analysis, internal</w:t>
      </w:r>
      <w:r>
        <w:t xml:space="preserve"> </w:t>
      </w:r>
      <w:r>
        <w:t xml:space="preserve">coordination across group entities and the application of specialised tax expertise. Based on</w:t>
      </w:r>
      <w:r>
        <w:t xml:space="preserve"> </w:t>
      </w:r>
      <w:r>
        <w:t xml:space="preserve">this parallel, MNE groups are estimated to dedicate around 1.5 FTE staff to DAC6 related</w:t>
      </w:r>
      <w:r>
        <w:t xml:space="preserve"> </w:t>
      </w:r>
      <w:r>
        <w:t xml:space="preserve">administrative work, corresponding to an annual compliance cost of approximately EUR</w:t>
      </w:r>
      <w:r>
        <w:t xml:space="preserve"> </w:t>
      </w:r>
      <w:r>
        <w:t xml:space="preserve">100,000 per group (55). The total compliance cost savings are therefore estimated at</w:t>
      </w:r>
      <w:r>
        <w:t xml:space="preserve"> </w:t>
      </w:r>
      <w:r>
        <w:t xml:space="preserve">approximately EUR 300 million per year.</w:t>
      </w:r>
      <w:r>
        <w:t xml:space="preserve"> </w:t>
      </w:r>
      <w:r>
        <w:t xml:space="preserve">DAC6 obligations are imposed on intermediaries and in certain instances relevant taxpayers</w:t>
      </w:r>
      <w:r>
        <w:t xml:space="preserve"> </w:t>
      </w:r>
      <w:r>
        <w:t xml:space="preserve">meaning that, in principle, each entity within a MNE group could be required to report a</w:t>
      </w:r>
      <w:r>
        <w:t xml:space="preserve"> </w:t>
      </w:r>
      <w:r>
        <w:t xml:space="preserve">relevant arrangement. However, in practice, large MNE groups typically centralise their</w:t>
      </w:r>
      <w:r>
        <w:t xml:space="preserve"> </w:t>
      </w:r>
      <w:r>
        <w:t xml:space="preserve">DAC6 compliance processes within dedicated in-house tax departments. As a result, the</w:t>
      </w:r>
      <w:r>
        <w:t xml:space="preserve"> </w:t>
      </w:r>
      <w:r>
        <w:t xml:space="preserve">incremental compliance burden is not proportional to the number of entities but reflects the</w:t>
      </w:r>
      <w:r>
        <w:t xml:space="preserve"> </w:t>
      </w:r>
      <w:r>
        <w:t xml:space="preserve">overall complexity and volume of cross-border arrangements at group level. Modelling</w:t>
      </w:r>
      <w:r>
        <w:t xml:space="preserve"> </w:t>
      </w:r>
      <w:r>
        <w:t xml:space="preserve">compliance costs on a per-entity basis would therefore risk significantly overstating the</w:t>
      </w:r>
      <w:r>
        <w:t xml:space="preserve"> </w:t>
      </w:r>
      <w:r>
        <w:t xml:space="preserve">actual resource requirements. The present approach accordingly estimates compliance costs</w:t>
      </w:r>
      <w:r>
        <w:t xml:space="preserve"> </w:t>
      </w:r>
      <w:r>
        <w:t xml:space="preserve">at group level, implicitly covering all constituent entities within the group structure.</w:t>
      </w:r>
    </w:p>
    <w:p>
      <w:pPr>
        <w:pStyle w:val="BodyText"/>
      </w:pPr>
      <w:r>
        <w:t xml:space="preserve">Under this option and based on statistical reporting data covering the distribution of</w:t>
      </w:r>
      <w:r>
        <w:t xml:space="preserve"> </w:t>
      </w:r>
      <w:r>
        <w:t xml:space="preserve">disclosure reports across hallmarks combined with company level information on the share</w:t>
      </w:r>
      <w:r>
        <w:t xml:space="preserve"> </w:t>
      </w:r>
      <w:r>
        <w:t xml:space="preserve">of MNE’s within the scope of the Pillar 2 Directive, the number of disclosure reports is</w:t>
      </w:r>
      <w:r>
        <w:t xml:space="preserve"> </w:t>
      </w:r>
      <w:r>
        <w:t xml:space="preserve">estimated to decrease by approximately 2,000 to 3,000 per year.</w:t>
      </w:r>
      <w:r>
        <w:br/>
      </w:r>
      <w:r>
        <w:t xml:space="preserve">This reduction is not expected to impact on the policy objectives of the DAC as MNE groups</w:t>
      </w:r>
      <w:r>
        <w:t xml:space="preserve"> </w:t>
      </w:r>
      <w:r>
        <w:t xml:space="preserve">in scope will be subject to a minimum effective tax rate of 15%. While ex post empirical</w:t>
      </w:r>
      <w:r>
        <w:t xml:space="preserve"> </w:t>
      </w:r>
      <w:r>
        <w:t xml:space="preserve">evidence is not yet available, given that Pillar 2 has only recently been implemented,</w:t>
      </w:r>
      <w:r>
        <w:t xml:space="preserve"> </w:t>
      </w:r>
      <w:r>
        <w:t xml:space="preserve">existing ex ante analyses provide important insights in this respect. Notably, the OECD’s</w:t>
      </w:r>
      <w:r>
        <w:t xml:space="preserve"> </w:t>
      </w:r>
      <w:r>
        <w:t xml:space="preserve">impact assessment finds that the Pillar 2 framework, by ensuring a minimum level of</w:t>
      </w:r>
      <w:r>
        <w:t xml:space="preserve"> </w:t>
      </w:r>
      <w:r>
        <w:t xml:space="preserve">effective taxation (15%) for MNE groups in each jurisdiction in which they operate, is</w:t>
      </w:r>
      <w:r>
        <w:t xml:space="preserve"> </w:t>
      </w:r>
      <w:r>
        <w:t xml:space="preserve">limiting effective tax rate differentials across jurisdictions. Therefore, it is expected to</w:t>
      </w:r>
      <w:r>
        <w:t xml:space="preserve"> </w:t>
      </w:r>
      <w:r>
        <w:t xml:space="preserve">reduce the extent of profit shifting by MNE groups from high-tax to low-tax jurisdictions</w:t>
      </w:r>
      <w:r>
        <w:t xml:space="preserve"> </w:t>
      </w:r>
      <w:r>
        <w:t xml:space="preserve">(56). In this context, the reduction in DAC6 reporting obligations for Pillar 2 in-scope firms</w:t>
      </w:r>
      <w:r>
        <w:t xml:space="preserve"> </w:t>
      </w:r>
      <w:r>
        <w:t xml:space="preserve">is not expected to materially weaken the framework’s effectiveness in addressing tax</w:t>
      </w:r>
      <w:r>
        <w:t xml:space="preserve"> </w:t>
      </w:r>
      <w:r>
        <w:t xml:space="preserve">avoidance risks but rather to remove reporting obligations which have become redundant</w:t>
      </w:r>
    </w:p>
    <w:p>
      <w:pPr>
        <w:pStyle w:val="BodyText"/>
      </w:pPr>
      <w:r>
        <w:t xml:space="preserve">54 Company level data from the ORBIS database indicate that approximately 4,700 multinational enterprise groups worldwide meet the</w:t>
      </w:r>
      <w:r>
        <w:t xml:space="preserve"> </w:t>
      </w:r>
      <w:r>
        <w:t xml:space="preserve">relevant turnover threshold (EUR 750 million) and have a presence in the EU (as of 2024), of which around 1,900 are headquartered</w:t>
      </w:r>
      <w:r>
        <w:t xml:space="preserve"> </w:t>
      </w:r>
      <w:r>
        <w:t xml:space="preserve">within the Union. Given that not all groups with a limited EU presence are equally exposed to DAC6 reporting obligations, a central</w:t>
      </w:r>
      <w:r>
        <w:t xml:space="preserve"> </w:t>
      </w:r>
      <w:r>
        <w:t xml:space="preserve">estimate of 3,000 MNE groups is used as a pragmatic midpoint within this range (see Annex 4 for more details).</w:t>
      </w:r>
      <w:r>
        <w:t xml:space="preserve"> </w:t>
      </w:r>
      <w:r>
        <w:t xml:space="preserve">55 Study prepared for the European Commission to support an evaluation of the Anti-tax Avoidance Directive (ATAD Evaluation), Final</w:t>
      </w:r>
      <w:r>
        <w:t xml:space="preserve"> </w:t>
      </w:r>
      <w:r>
        <w:t xml:space="preserve">Report (2026). Estimates cited in the ATAD evaluation are based on targeted consultations with companies, which indicate that</w:t>
      </w:r>
      <w:r>
        <w:t xml:space="preserve"> </w:t>
      </w:r>
      <w:r>
        <w:t xml:space="preserve">compliance costs vary significantly depending on the size and complexity of the firm. While some MNEs report relatively modest</w:t>
      </w:r>
      <w:r>
        <w:t xml:space="preserve"> </w:t>
      </w:r>
      <w:r>
        <w:t xml:space="preserve">compliance efforts (e.g. below 1 FTE where rules are not binding), costs for large and complex groups are typically higher and often in</w:t>
      </w:r>
      <w:r>
        <w:t xml:space="preserve"> </w:t>
      </w:r>
      <w:r>
        <w:t xml:space="preserve">the range of around EUR 100,000 per year, corresponding to approximately 2–3 FTEs. At the same time, the evaluation acknowledges</w:t>
      </w:r>
      <w:r>
        <w:t xml:space="preserve"> </w:t>
      </w:r>
      <w:r>
        <w:t xml:space="preserve">considerable uncertainty, with some firms reporting even higher costs in specific cases (e.g. related to exit taxation or high reliance on</w:t>
      </w:r>
      <w:r>
        <w:t xml:space="preserve"> </w:t>
      </w:r>
      <w:r>
        <w:t xml:space="preserve">external advisors). To reflect this uncertainty, we have complemented the central estimate with a sensitivity analysis, including alternative</w:t>
      </w:r>
      <w:r>
        <w:t xml:space="preserve"> </w:t>
      </w:r>
      <w:r>
        <w:t xml:space="preserve">low and high-cost scenarios (EUR 75,000 and EUR 125,000 per year) in Annex 4.</w:t>
      </w:r>
      <w:r>
        <w:t xml:space="preserve"> </w:t>
      </w:r>
      <w:r>
        <w:t xml:space="preserve">56 See in particular chapter 3.6 of the impact assessment on the expected impact on profit shifting, which has been singled out as the most</w:t>
      </w:r>
      <w:r>
        <w:t xml:space="preserve"> </w:t>
      </w:r>
      <w:r>
        <w:t xml:space="preserve">substantive risk: OECD (2020), Tax Challenges Arising from Digitalisation – Economic Impact Assessment: Inclusive Framework on</w:t>
      </w:r>
      <w:r>
        <w:t xml:space="preserve"> </w:t>
      </w:r>
      <w:r>
        <w:t xml:space="preserve">BEPS, OECD/G20 Base Erosion and Profit Shifting Project, OECD Publishing, Paris, https://doi.org/10.1787/0e3cc2d4-en.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following the implementation of the Pillar 2 framework. Moreover, MNE groups are subject</w:t>
      </w:r>
      <w:r>
        <w:t xml:space="preserve"> </w:t>
      </w:r>
      <w:r>
        <w:t xml:space="preserve">to extensive cooperative compliance programmes in many Member States of the Union,</w:t>
      </w:r>
      <w:r>
        <w:t xml:space="preserve"> </w:t>
      </w:r>
      <w:r>
        <w:t xml:space="preserve">which ensure that MNE groups are subject to continuous audit interventions and have</w:t>
      </w:r>
      <w:r>
        <w:t xml:space="preserve"> </w:t>
      </w:r>
      <w:r>
        <w:t xml:space="preserve">several dedicated caseworkers from the tax administration assigned to monitor their</w:t>
      </w:r>
      <w:r>
        <w:t xml:space="preserve"> </w:t>
      </w:r>
      <w:r>
        <w:t xml:space="preserve">operations.</w:t>
      </w:r>
      <w:r>
        <w:t xml:space="preserve"> </w:t>
      </w:r>
      <w:r>
        <w:t xml:space="preserve">Policy Option 1b removes selected hallmarks (A1, A2 and A3) affecting approximately</w:t>
      </w:r>
      <w:r>
        <w:t xml:space="preserve"> </w:t>
      </w:r>
      <w:r>
        <w:t xml:space="preserve">8,300 disclosures annually57 all of which were reported by companies outside of the scope</w:t>
      </w:r>
      <w:r>
        <w:t xml:space="preserve"> </w:t>
      </w:r>
      <w:r>
        <w:t xml:space="preserve">of the Pillar 2 Directive. For those companies, compliance costs are approximated on the</w:t>
      </w:r>
      <w:r>
        <w:t xml:space="preserve"> </w:t>
      </w:r>
      <w:r>
        <w:t xml:space="preserve">basis of an average cost per DAC6 disclosure report. Available evidence suggests that the</w:t>
      </w:r>
      <w:r>
        <w:t xml:space="preserve"> </w:t>
      </w:r>
      <w:r>
        <w:t xml:space="preserve">administrative cost of preparing, assessing and submitting a report range between EUR</w:t>
      </w:r>
      <w:r>
        <w:t xml:space="preserve"> </w:t>
      </w:r>
      <w:r>
        <w:t xml:space="preserve">3,000 and EUR 5,000, depending on the complexity of the arrangement. The estimate is</w:t>
      </w:r>
      <w:r>
        <w:t xml:space="preserve"> </w:t>
      </w:r>
      <w:r>
        <w:t xml:space="preserve">based on information obtained through stakeholder consultations, in particular from</w:t>
      </w:r>
      <w:r>
        <w:t xml:space="preserve"> </w:t>
      </w:r>
      <w:r>
        <w:t xml:space="preserve">intermediaries such as tax advisory firms, which are responsible for filing a large share of</w:t>
      </w:r>
      <w:r>
        <w:t xml:space="preserve"> </w:t>
      </w:r>
      <w:r>
        <w:t xml:space="preserve">DAC6 reports. These stakeholders indicated that the costs per report can vary depending on</w:t>
      </w:r>
      <w:r>
        <w:t xml:space="preserve"> </w:t>
      </w:r>
      <w:r>
        <w:t xml:space="preserve">their complexity with higher costs associated with hallmarks requiring more extensive legal</w:t>
      </w:r>
      <w:r>
        <w:t xml:space="preserve"> </w:t>
      </w:r>
      <w:r>
        <w:t xml:space="preserve">and economic analysis, such as those in hallmark A, as compared to the more specific</w:t>
      </w:r>
      <w:r>
        <w:t xml:space="preserve"> </w:t>
      </w:r>
      <w:r>
        <w:t xml:space="preserve">hallmarks that often involve more straightforward assessments. The estimated cost of EUR</w:t>
      </w:r>
      <w:r>
        <w:t xml:space="preserve"> </w:t>
      </w:r>
      <w:r>
        <w:t xml:space="preserve">5,000 per report is consistent with this feedback and is broadly in line with available</w:t>
      </w:r>
      <w:r>
        <w:t xml:space="preserve"> </w:t>
      </w:r>
      <w:r>
        <w:t xml:space="preserve">evidence from the DAC6 evaluation, which reports costs of up to approximately EUR 3,000</w:t>
      </w:r>
      <w:r>
        <w:t xml:space="preserve"> </w:t>
      </w:r>
      <w:r>
        <w:t xml:space="preserve">per report (58). It should be noted that the external DAC6 evaluation is based on evidence</w:t>
      </w:r>
      <w:r>
        <w:t xml:space="preserve"> </w:t>
      </w:r>
      <w:r>
        <w:t xml:space="preserve">collected several years earlier. In this context, the somewhat higher estimate used in the</w:t>
      </w:r>
      <w:r>
        <w:t xml:space="preserve"> </w:t>
      </w:r>
      <w:r>
        <w:t xml:space="preserve">present impact assessment reflects more recent stakeholder evidence and evolving reporting</w:t>
      </w:r>
      <w:r>
        <w:t xml:space="preserve"> </w:t>
      </w:r>
      <w:r>
        <w:t xml:space="preserve">practices. At the same time, both estimates clearly fall within the same overall order of</w:t>
      </w:r>
      <w:r>
        <w:t xml:space="preserve"> </w:t>
      </w:r>
      <w:r>
        <w:t xml:space="preserve">magnitude and should therefore be regarded as broadly consistent.</w:t>
      </w:r>
      <w:r>
        <w:t xml:space="preserve"> </w:t>
      </w:r>
      <w:r>
        <w:t xml:space="preserve">Given that the generic hallmarks covered by this option tend to involve broader and less</w:t>
      </w:r>
      <w:r>
        <w:t xml:space="preserve"> </w:t>
      </w:r>
      <w:r>
        <w:t xml:space="preserve">clearly defined concepts, requiring more extensive analysis and documentation, the upper</w:t>
      </w:r>
      <w:r>
        <w:t xml:space="preserve"> </w:t>
      </w:r>
      <w:r>
        <w:t xml:space="preserve">bound of EUR 5,000 per report is used as the central estimate. The associated compliance</w:t>
      </w:r>
      <w:r>
        <w:t xml:space="preserve"> </w:t>
      </w:r>
      <w:r>
        <w:t xml:space="preserve">cost savings are therefore estimated as EUR 41 million per year, bringing the total savings</w:t>
      </w:r>
      <w:r>
        <w:t xml:space="preserve"> </w:t>
      </w:r>
      <w:r>
        <w:t xml:space="preserve">from this and the previous measure under Policy option 1a to approximately EUR 340</w:t>
      </w:r>
      <w:r>
        <w:t xml:space="preserve"> </w:t>
      </w:r>
      <w:r>
        <w:t xml:space="preserve">million annually. These estimates are indicative, as arrangements may remain reportable</w:t>
      </w:r>
      <w:r>
        <w:t xml:space="preserve"> </w:t>
      </w:r>
      <w:r>
        <w:t xml:space="preserve">under other hallmarks59. Under this option the number of disclosures reports is expected to</w:t>
      </w:r>
      <w:r>
        <w:t xml:space="preserve"> </w:t>
      </w:r>
      <w:r>
        <w:t xml:space="preserve">further decrease by approximately 8,300 per annum. This reduction further improves the</w:t>
      </w:r>
      <w:r>
        <w:t xml:space="preserve"> </w:t>
      </w:r>
      <w:r>
        <w:t xml:space="preserve">proportionality of the framework while not undermining the policy objectives as reporting</w:t>
      </w:r>
      <w:r>
        <w:t xml:space="preserve"> </w:t>
      </w:r>
      <w:r>
        <w:t xml:space="preserve">linked to these hallmarks has provided limited added value for tax administrations. This</w:t>
      </w:r>
      <w:r>
        <w:t xml:space="preserve"> </w:t>
      </w:r>
      <w:r>
        <w:t xml:space="preserve">assessment is supported by the findings from the evaluation, feedback from stakeholders</w:t>
      </w:r>
      <w:r>
        <w:t xml:space="preserve"> </w:t>
      </w:r>
      <w:r>
        <w:t xml:space="preserve">and from the Member States where most of the reporting takes places. In particular, evidence</w:t>
      </w:r>
      <w:r>
        <w:t xml:space="preserve"> </w:t>
      </w:r>
      <w:r>
        <w:t xml:space="preserve">gathered from Member States (i.e. the tax administrations that have used DAC6 information</w:t>
      </w:r>
      <w:r>
        <w:t xml:space="preserve"> </w:t>
      </w:r>
      <w:r>
        <w:t xml:space="preserve">to establish if the reported arrangements pose a risk of tax fraud, evasion or avoidance)</w:t>
      </w:r>
      <w:r>
        <w:t xml:space="preserve"> </w:t>
      </w:r>
      <w:r>
        <w:t xml:space="preserve">provides strong support for concluding that this measure is not expected to have significant</w:t>
      </w:r>
    </w:p>
    <w:p>
      <w:pPr>
        <w:pStyle w:val="BodyText"/>
      </w:pPr>
      <w:r>
        <w:t xml:space="preserve">57 Over the period 2019–2025, the hallmarks linked to category accounted for a significant share of all disclosures (namely, A1: 24.3%,</w:t>
      </w:r>
      <w:r>
        <w:t xml:space="preserve"> </w:t>
      </w:r>
      <w:r>
        <w:t xml:space="preserve">A2: 0.8%, A3: 42.6%). They account for approximately 9,000 disclosures annually in absolute terms. Combined with information from</w:t>
      </w:r>
      <w:r>
        <w:t xml:space="preserve"> </w:t>
      </w:r>
      <w:r>
        <w:t xml:space="preserve">Member States indicating that around 92% of all disclosures are filed by companies outside the scope of Pillar Two, the final number of</w:t>
      </w:r>
      <w:r>
        <w:t xml:space="preserve"> </w:t>
      </w:r>
      <w:r>
        <w:t xml:space="preserve">relevant disclosures is estimated at approximately 8,300 per year. See Annex 4 for further details.</w:t>
      </w:r>
      <w:r>
        <w:t xml:space="preserve"> </w:t>
      </w:r>
      <w:r>
        <w:t xml:space="preserve">(58) See external support study by Ramboll “Evaluation of the Directive 2011/16 and its amendments”, 2024, Table 30.</w:t>
      </w:r>
    </w:p>
    <w:p>
      <w:pPr>
        <w:pStyle w:val="BodyText"/>
      </w:pPr>
      <w:r>
        <w:t xml:space="preserve">59 DAC6 disclosures occasionally refer to more than one hallmark for the same arrangement. As a result, the removal of specific hallmarks</w:t>
      </w:r>
      <w:r>
        <w:t xml:space="preserve"> </w:t>
      </w:r>
      <w:r>
        <w:t xml:space="preserve">does not necessarily imply that all corresponding disclosures would disappear entirely, as some arrangements may remain reportable under</w:t>
      </w:r>
      <w:r>
        <w:t xml:space="preserve"> </w:t>
      </w:r>
      <w:r>
        <w:t xml:space="preserve">other applicable hallmarks (see Annex 4 for a discussion of this aspect).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negative effects on the fight against tax fraud, evasion and avoidance. A broad majority of</w:t>
      </w:r>
      <w:r>
        <w:t xml:space="preserve"> </w:t>
      </w:r>
      <w:r>
        <w:t xml:space="preserve">Member States, particularly high-reporting Member States such as Germany, the</w:t>
      </w:r>
      <w:r>
        <w:t xml:space="preserve"> </w:t>
      </w:r>
      <w:r>
        <w:t xml:space="preserve">Netherlands, Luxembourg and Sweden find that the hallmarks in Category A generate a</w:t>
      </w:r>
      <w:r>
        <w:t xml:space="preserve"> </w:t>
      </w:r>
      <w:r>
        <w:t xml:space="preserve">large volume of disclosure reports with limited tax relevance (“noise”). These disclosure</w:t>
      </w:r>
      <w:r>
        <w:t xml:space="preserve"> </w:t>
      </w:r>
      <w:r>
        <w:t xml:space="preserve">reports are widely seen as imposing significant administrative burdens on both tax</w:t>
      </w:r>
      <w:r>
        <w:t xml:space="preserve"> </w:t>
      </w:r>
      <w:r>
        <w:t xml:space="preserve">administrations and intermediaries without materially contributing to the detection of tax</w:t>
      </w:r>
      <w:r>
        <w:t xml:space="preserve"> </w:t>
      </w:r>
      <w:r>
        <w:t xml:space="preserve">risks.</w:t>
      </w:r>
      <w:r>
        <w:br/>
      </w:r>
      <w:r>
        <w:t xml:space="preserve">Policy Option 1c removes the MBT from the remaining hallmarks currently subject to it</w:t>
      </w:r>
      <w:r>
        <w:t xml:space="preserve"> </w:t>
      </w:r>
      <w:r>
        <w:t xml:space="preserve">(notably those in Category B and certain hallmarks in Category C). The impact of this</w:t>
      </w:r>
      <w:r>
        <w:t xml:space="preserve"> </w:t>
      </w:r>
      <w:r>
        <w:t xml:space="preserve">change on reporting volumes cannot be robustly quantified. This is because there is no</w:t>
      </w:r>
      <w:r>
        <w:t xml:space="preserve"> </w:t>
      </w:r>
      <w:r>
        <w:t xml:space="preserve">historical evidence where identical hallmarks have alternated between being subject to and</w:t>
      </w:r>
      <w:r>
        <w:t xml:space="preserve"> </w:t>
      </w:r>
      <w:r>
        <w:t xml:space="preserve">exempt from the MBT, which would allow isolating its effect on disclosure behaviour. The</w:t>
      </w:r>
      <w:r>
        <w:t xml:space="preserve"> </w:t>
      </w:r>
      <w:r>
        <w:t xml:space="preserve">effect of the MBT is ambiguous. On the one hand, stakeholder consultations indicate that</w:t>
      </w:r>
      <w:r>
        <w:t xml:space="preserve"> </w:t>
      </w:r>
      <w:r>
        <w:t xml:space="preserve">the MBT can provide useful guidance to intermediaries in assessing whether an arrangement</w:t>
      </w:r>
      <w:r>
        <w:t xml:space="preserve"> </w:t>
      </w:r>
      <w:r>
        <w:t xml:space="preserve">is reportable, therefore limiting disclosures by acting as a filter. On the other hand, the MBT</w:t>
      </w:r>
      <w:r>
        <w:t xml:space="preserve"> </w:t>
      </w:r>
      <w:r>
        <w:t xml:space="preserve">may also give rise to defensive reporting, as intermediaries may choose to report in cases of</w:t>
      </w:r>
      <w:r>
        <w:t xml:space="preserve"> </w:t>
      </w:r>
      <w:r>
        <w:t xml:space="preserve">uncertainty, thereby increasing the number of disclosures. In the absence of reliable</w:t>
      </w:r>
      <w:r>
        <w:t xml:space="preserve"> </w:t>
      </w:r>
      <w:r>
        <w:t xml:space="preserve">empirical evidence and given that comparisons across hallmarks with and without the MBT</w:t>
      </w:r>
      <w:r>
        <w:t xml:space="preserve"> </w:t>
      </w:r>
      <w:r>
        <w:t xml:space="preserve">are not informative due to differences in their underlying scope, no quantitative estimate of</w:t>
      </w:r>
      <w:r>
        <w:t xml:space="preserve"> </w:t>
      </w:r>
      <w:r>
        <w:t xml:space="preserve">the impact is provided.</w:t>
      </w:r>
      <w:r>
        <w:t xml:space="preserve"> </w:t>
      </w:r>
      <w:r>
        <w:t xml:space="preserve">The combined costs savings from Policy Options 1a and 1b is approximately EUR 340</w:t>
      </w:r>
      <w:r>
        <w:t xml:space="preserve"> </w:t>
      </w:r>
      <w:r>
        <w:t xml:space="preserve">million per annum, while the impact from Policy Option 1c is not quantifiable. All policy</w:t>
      </w:r>
      <w:r>
        <w:t xml:space="preserve"> </w:t>
      </w:r>
      <w:r>
        <w:t xml:space="preserve">options are not expected to lower the ambition or have any significant negative effect on the</w:t>
      </w:r>
      <w:r>
        <w:t xml:space="preserve"> </w:t>
      </w:r>
      <w:r>
        <w:t xml:space="preserve">fight against tax fraud, evasion and avoidance.</w:t>
      </w:r>
      <w:r>
        <w:br/>
      </w:r>
      <w:r>
        <w:t xml:space="preserve">Finally, concerning the cost savings for tax administrations, the proposed simplifications are</w:t>
      </w:r>
      <w:r>
        <w:t xml:space="preserve"> </w:t>
      </w:r>
      <w:r>
        <w:t xml:space="preserve">expected to result in an overall reduction of administrative costs for tax administrations,</w:t>
      </w:r>
      <w:r>
        <w:t xml:space="preserve"> </w:t>
      </w:r>
      <w:r>
        <w:t xml:space="preserve">primarily through a decrease in the volume and complexity of reported information. The</w:t>
      </w:r>
      <w:r>
        <w:t xml:space="preserve"> </w:t>
      </w:r>
      <w:r>
        <w:t xml:space="preserve">removal of certain generic hallmarks and the clarifications or elimination of the MBT are</w:t>
      </w:r>
      <w:r>
        <w:t xml:space="preserve"> </w:t>
      </w:r>
      <w:r>
        <w:t xml:space="preserve">likely to reduce the number of disclosure reports submitted, in particular those driven by</w:t>
      </w:r>
      <w:r>
        <w:t xml:space="preserve"> </w:t>
      </w:r>
      <w:r>
        <w:t xml:space="preserve">defensive reporting. This would, in turn, lower the resources required for processing,</w:t>
      </w:r>
      <w:r>
        <w:t xml:space="preserve"> </w:t>
      </w:r>
      <w:r>
        <w:t xml:space="preserve">validating, storing and analysing reports, as well as for the exchange of information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In addition to the volume effects, the measures are expected to improve the quality and</w:t>
      </w:r>
      <w:r>
        <w:t xml:space="preserve"> </w:t>
      </w:r>
      <w:r>
        <w:t xml:space="preserve">relevance of reported information. By reducing the reporting of arrangements with limited</w:t>
      </w:r>
      <w:r>
        <w:t xml:space="preserve"> </w:t>
      </w:r>
      <w:r>
        <w:t xml:space="preserve">tax risk relevance, tax administrations may be able to allocate resources more efficiently</w:t>
      </w:r>
      <w:r>
        <w:t xml:space="preserve"> </w:t>
      </w:r>
      <w:r>
        <w:t xml:space="preserve">towards higher-risk cases, thereby improving the effectiveness of risk assessment and audit</w:t>
      </w:r>
      <w:r>
        <w:t xml:space="preserve"> </w:t>
      </w:r>
      <w:r>
        <w:t xml:space="preserve">selection. At the same time, the implementation of the revised framework may entail short-</w:t>
      </w:r>
      <w:r>
        <w:t xml:space="preserve"> </w:t>
      </w:r>
      <w:r>
        <w:t xml:space="preserve">term administrative costs. Tax administrations may need to update IT systems, adapt</w:t>
      </w:r>
      <w:r>
        <w:t xml:space="preserve"> </w:t>
      </w:r>
      <w:r>
        <w:t xml:space="preserve">reporting schemas, revise guidance and provide support to intermediaries and taxpayers</w:t>
      </w:r>
      <w:r>
        <w:t xml:space="preserve"> </w:t>
      </w:r>
      <w:r>
        <w:t xml:space="preserve">during the transition phase. Changes to the interpretation or structure of hallmarks may also</w:t>
      </w:r>
      <w:r>
        <w:t xml:space="preserve"> </w:t>
      </w:r>
      <w:r>
        <w:t xml:space="preserve">require internal training and adjustments to risk assessment tools.</w:t>
      </w:r>
      <w:r>
        <w:t xml:space="preserve"> </w:t>
      </w:r>
      <w:r>
        <w:t xml:space="preserve">At the same time, while the implementation of the revised framework may entail short-term</w:t>
      </w:r>
      <w:r>
        <w:t xml:space="preserve"> </w:t>
      </w:r>
      <w:r>
        <w:t xml:space="preserve">administrative costs (e.g. updates to IT systems, reporting schemas, guidance and training),</w:t>
      </w:r>
      <w:r>
        <w:t xml:space="preserve"> </w:t>
      </w:r>
      <w:r>
        <w:t xml:space="preserve">these costs are expected to be limited and largely marginal in nature. This is because the</w:t>
      </w:r>
      <w:r>
        <w:t xml:space="preserve"> </w:t>
      </w:r>
      <w:r>
        <w:t xml:space="preserve">underlying DAC6 reporting infrastructure is already in place, and the proposed changes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primarily affect the scope and interpretation of reporting obligations rather than requiring</w:t>
      </w:r>
      <w:r>
        <w:t xml:space="preserve"> </w:t>
      </w:r>
      <w:r>
        <w:t xml:space="preserve">the development of new systems. As a result, adjustments are expected to concern</w:t>
      </w:r>
      <w:r>
        <w:t xml:space="preserve"> </w:t>
      </w:r>
      <w:r>
        <w:t xml:space="preserve">incremental modifications (such as updates to reporting templates or system parameters)</w:t>
      </w:r>
      <w:r>
        <w:t xml:space="preserve"> </w:t>
      </w:r>
      <w:r>
        <w:t xml:space="preserve">rather than substantial investments.</w:t>
      </w:r>
      <w:r>
        <w:br/>
      </w:r>
      <w:r>
        <w:t xml:space="preserve">This assessment is supported by stakeholder feedback, which did not identify significant</w:t>
      </w:r>
      <w:r>
        <w:t xml:space="preserve"> </w:t>
      </w:r>
      <w:r>
        <w:t xml:space="preserve">transition costs and generally indicated that the proposed changes would be straightforward</w:t>
      </w:r>
      <w:r>
        <w:t xml:space="preserve"> </w:t>
      </w:r>
      <w:r>
        <w:t xml:space="preserve">to implement. Given their limited scale and the absence of robust and comparable data across</w:t>
      </w:r>
      <w:r>
        <w:t xml:space="preserve"> </w:t>
      </w:r>
      <w:r>
        <w:t xml:space="preserve">Member States, these adjustment costs could not be meaningfully quantified.</w:t>
      </w:r>
      <w:r>
        <w:t xml:space="preserve"> </w:t>
      </w:r>
      <w:r>
        <w:t xml:space="preserve">Overall, while some transitional costs are expected, Measure 1 is likely to generate net</w:t>
      </w:r>
      <w:r>
        <w:t xml:space="preserve"> </w:t>
      </w:r>
      <w:r>
        <w:t xml:space="preserve">administrative savings in the medium to long term, driven by reduced reporting volumes,</w:t>
      </w:r>
      <w:r>
        <w:t xml:space="preserve"> </w:t>
      </w:r>
      <w:r>
        <w:t xml:space="preserve">improved data quality and more targeted use of administrative resources. However, the</w:t>
      </w:r>
      <w:r>
        <w:t xml:space="preserve"> </w:t>
      </w:r>
      <w:r>
        <w:t xml:space="preserve">precise magnitude of these effects cannot be quantified due to differences in national</w:t>
      </w:r>
      <w:r>
        <w:t xml:space="preserve"> </w:t>
      </w:r>
      <w:r>
        <w:t xml:space="preserve">systems and the absence of detailed data on current administrative costs.</w:t>
      </w:r>
      <w:r>
        <w:t xml:space="preserve"> </w:t>
      </w:r>
      <w:r>
        <w:t xml:space="preserve">Quantified Cost Savings under Policy Option 1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Companies</w:t>
      </w:r>
      <w:r>
        <w:t xml:space="preserve"> </w:t>
      </w:r>
      <w:r>
        <w:t xml:space="preserve">EUR 300mn</w:t>
      </w:r>
      <w:r>
        <w:t xml:space="preserve"> </w:t>
      </w:r>
      <w:r>
        <w:t xml:space="preserve">EUR 341mn</w:t>
      </w:r>
      <w:r>
        <w:t xml:space="preserve"> </w:t>
      </w:r>
      <w:r>
        <w:t xml:space="preserve">Not quantifiable</w:t>
      </w:r>
    </w:p>
    <w:p>
      <w:pPr>
        <w:pStyle w:val="BodyText"/>
      </w:pPr>
      <w:r>
        <w:t xml:space="preserve">Policy options under Measure 2 - Amending the reporting threshold for activities</w:t>
      </w:r>
      <w:r>
        <w:t xml:space="preserve"> </w:t>
      </w:r>
      <w:r>
        <w:t xml:space="preserve">involving the sale of goods under DAC7</w:t>
      </w:r>
      <w:r>
        <w:br/>
      </w:r>
      <w:r>
        <w:t xml:space="preserve">Baseline: Digital platform operators are required to report information on sellers who carry out 30 or more activities or receive income of</w:t>
      </w:r>
      <w:r>
        <w:t xml:space="preserve"> </w:t>
      </w:r>
      <w:r>
        <w:t xml:space="preserve">EUR 2000 or more during the calendar year.</w:t>
      </w:r>
    </w:p>
    <w:p>
      <w:pPr>
        <w:pStyle w:val="BodyText"/>
      </w:pPr>
      <w:r>
        <w:t xml:space="preserve">PO2a: Removing the activity threshold of 30 and retaining the monetary threshold of EUR 2,000.</w:t>
      </w:r>
      <w:r>
        <w:t xml:space="preserve"> </w:t>
      </w:r>
      <w:r>
        <w:t xml:space="preserve">PO2b: Removing the activity threshold of 30 and increasing the monetary threshold to EUR 3,000.</w:t>
      </w:r>
      <w:r>
        <w:t xml:space="preserve"> </w:t>
      </w:r>
      <w:r>
        <w:t xml:space="preserve">PO2c: Removal of the activity threshold of 30 and increase of the monetary threshold to EUR 5,000.</w:t>
      </w:r>
      <w:r>
        <w:br/>
      </w:r>
      <w:r>
        <w:t xml:space="preserve">All policy options have a direct and increasing impact on improving the proportionality of</w:t>
      </w:r>
      <w:r>
        <w:t xml:space="preserve"> </w:t>
      </w:r>
      <w:r>
        <w:t xml:space="preserve">the framework by ensuring that reporting obligations are better targeted to compliance risks.</w:t>
      </w:r>
      <w:r>
        <w:t xml:space="preserve"> </w:t>
      </w:r>
      <w:r>
        <w:t xml:space="preserve">Therein the options presented are intended to ensure that there is much greater alignment</w:t>
      </w:r>
      <w:r>
        <w:t xml:space="preserve"> </w:t>
      </w:r>
      <w:r>
        <w:t xml:space="preserve">between the reporting requirements and associated compliance costs for business and the</w:t>
      </w:r>
      <w:r>
        <w:t xml:space="preserve"> </w:t>
      </w:r>
      <w:r>
        <w:t xml:space="preserve">information that is necessary for tax administrations to tackle tax fraud, evasion and</w:t>
      </w:r>
      <w:r>
        <w:t xml:space="preserve"> </w:t>
      </w:r>
      <w:r>
        <w:t xml:space="preserve">avoidance. Therefore, the analysis estimates the cost savings resulting from the reduced</w:t>
      </w:r>
      <w:r>
        <w:t xml:space="preserve"> </w:t>
      </w:r>
      <w:r>
        <w:t xml:space="preserve">scope of reporting requirements while also assessing the extent to which these reductions</w:t>
      </w:r>
      <w:r>
        <w:t xml:space="preserve"> </w:t>
      </w:r>
      <w:r>
        <w:t xml:space="preserve">may impact on the policy objectives of the DAC.</w:t>
      </w:r>
      <w:r>
        <w:t xml:space="preserve"> </w:t>
      </w:r>
      <w:r>
        <w:t xml:space="preserve">Under the current framework, a substantial share of reported sellers consists of individuals</w:t>
      </w:r>
      <w:r>
        <w:t xml:space="preserve"> </w:t>
      </w:r>
      <w:r>
        <w:t xml:space="preserve">with low levels of economic activity. This information is of limited relevance for tax risk</w:t>
      </w:r>
      <w:r>
        <w:t xml:space="preserve"> </w:t>
      </w:r>
      <w:r>
        <w:t xml:space="preserve">assessment yet generates significant data volumes for both platform operators and tax</w:t>
      </w:r>
      <w:r>
        <w:t xml:space="preserve"> </w:t>
      </w:r>
      <w:r>
        <w:t xml:space="preserve">administrations. By narrowing the scope of reportable sellers, the policy options allow tax</w:t>
      </w:r>
      <w:r>
        <w:t xml:space="preserve"> </w:t>
      </w:r>
      <w:r>
        <w:t xml:space="preserve">administrations to focus more effectively on higher-value and higher-risk cases, thereby</w:t>
      </w:r>
      <w:r>
        <w:t xml:space="preserve"> </w:t>
      </w:r>
      <w:r>
        <w:t xml:space="preserve">improving the efficiency of risk analysis and enforcement activities. At the same time, they</w:t>
      </w:r>
      <w:r>
        <w:t xml:space="preserve"> </w:t>
      </w:r>
      <w:r>
        <w:t xml:space="preserve">reduce the administrative burden linked to processing, validating and exchanging large</w:t>
      </w:r>
      <w:r>
        <w:t xml:space="preserve"> </w:t>
      </w:r>
      <w:r>
        <w:t xml:space="preserve">amounts of low-value information without materially undermining the core objective of</w:t>
      </w:r>
      <w:r>
        <w:t xml:space="preserve"> </w:t>
      </w:r>
      <w:r>
        <w:t xml:space="preserve">DAC7. However, as the monetary threshold increases and a larger share of sellers are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excluded from reporting, the overall information available to tax administrations is reduced.</w:t>
      </w:r>
      <w:r>
        <w:t xml:space="preserve"> </w:t>
      </w:r>
      <w:r>
        <w:t xml:space="preserve">While this may improve efficiency, it could also entail a risk of reduced visibility over</w:t>
      </w:r>
      <w:r>
        <w:t xml:space="preserve"> </w:t>
      </w:r>
      <w:r>
        <w:t xml:space="preserve">certain segments of economic activity, potentially limiting the ability to detect non-</w:t>
      </w:r>
      <w:r>
        <w:t xml:space="preserve"> </w:t>
      </w:r>
      <w:r>
        <w:t xml:space="preserve">compliance at the margin.</w:t>
      </w:r>
      <w:r>
        <w:t xml:space="preserve"> </w:t>
      </w:r>
      <w:r>
        <w:t xml:space="preserve">Evidence collected from major EU market participants suggests that annual compliance</w:t>
      </w:r>
      <w:r>
        <w:t xml:space="preserve"> </w:t>
      </w:r>
      <w:r>
        <w:t xml:space="preserve">costs associated with the operation of DAC reporting systems are approximately EUR</w:t>
      </w:r>
      <w:r>
        <w:t xml:space="preserve"> </w:t>
      </w:r>
      <w:r>
        <w:t xml:space="preserve">50,000 per platform. Furthermore, DAC7 statistics indicate that approximately 52,000</w:t>
      </w:r>
      <w:r>
        <w:t xml:space="preserve"> </w:t>
      </w:r>
      <w:r>
        <w:t xml:space="preserve">platforms were operating in the EU in 2024. Taken together, this implies total recurrent</w:t>
      </w:r>
      <w:r>
        <w:t xml:space="preserve"> </w:t>
      </w:r>
      <w:r>
        <w:t xml:space="preserve">reporting costs of around EUR 2.6 billion per year across all reporting and compliance</w:t>
      </w:r>
      <w:r>
        <w:t xml:space="preserve"> </w:t>
      </w:r>
      <w:r>
        <w:t xml:space="preserve">functions supported by these systems, including DAC7 as well as other DAC-related,</w:t>
      </w:r>
      <w:r>
        <w:t xml:space="preserve"> </w:t>
      </w:r>
      <w:r>
        <w:t xml:space="preserve">regulatory and tax reporting obligations.</w:t>
      </w:r>
      <w:r>
        <w:t xml:space="preserve"> </w:t>
      </w:r>
      <w:r>
        <w:t xml:space="preserve">To isolate the DAC7-specific component of these overall system costs, a share of 30% is</w:t>
      </w:r>
      <w:r>
        <w:t xml:space="preserve"> </w:t>
      </w:r>
      <w:r>
        <w:t xml:space="preserve">applied, reflecting the fact that platform operators typically use the same reporting</w:t>
      </w:r>
      <w:r>
        <w:t xml:space="preserve"> </w:t>
      </w:r>
      <w:r>
        <w:t xml:space="preserve">infrastructure for multiple compliance purposes.</w:t>
      </w:r>
      <w:r>
        <w:br/>
      </w:r>
      <w:r>
        <w:t xml:space="preserve">Concretely, DAC7 constitutes the primary and, in many cases, the only EU tax reporting</w:t>
      </w:r>
      <w:r>
        <w:t xml:space="preserve"> </w:t>
      </w:r>
      <w:r>
        <w:t xml:space="preserve">obligation specifically targeting platform operators (60). The chosen 30% share therefore</w:t>
      </w:r>
      <w:r>
        <w:t xml:space="preserve"> </w:t>
      </w:r>
      <w:r>
        <w:t xml:space="preserve">represents a balanced assumption, acknowledging both the multi-purpose nature of reporting</w:t>
      </w:r>
      <w:r>
        <w:t xml:space="preserve"> </w:t>
      </w:r>
      <w:r>
        <w:t xml:space="preserve">systems and the central role of DAC7 in driving compliance costs for platform operators.</w:t>
      </w:r>
      <w:r>
        <w:t xml:space="preserve"> </w:t>
      </w:r>
      <w:r>
        <w:t xml:space="preserve">Therefore, under a simplifying assumption that 30% of total reporting costs relate to DAC7,</w:t>
      </w:r>
      <w:r>
        <w:t xml:space="preserve"> </w:t>
      </w:r>
      <w:r>
        <w:t xml:space="preserve">total DAC7-related compliance costs are estimated at approximately EUR 780 million</w:t>
      </w:r>
      <w:r>
        <w:t xml:space="preserve"> </w:t>
      </w:r>
      <w:r>
        <w:t xml:space="preserve">annually (61).</w:t>
      </w:r>
      <w:r>
        <w:t xml:space="preserve"> </w:t>
      </w:r>
      <w:r>
        <w:t xml:space="preserve">DAC7 statistics made available to the Commission services combined with the feedback</w:t>
      </w:r>
      <w:r>
        <w:t xml:space="preserve"> </w:t>
      </w:r>
      <w:r>
        <w:t xml:space="preserve">from business indicates that approximately 13.5 million sellers in the EU are currently</w:t>
      </w:r>
      <w:r>
        <w:t xml:space="preserve"> </w:t>
      </w:r>
      <w:r>
        <w:t xml:space="preserve">reportable under DAC7, corresponding to around 20% of all individuals engaged in</w:t>
      </w:r>
      <w:r>
        <w:t xml:space="preserve"> </w:t>
      </w:r>
      <w:r>
        <w:t xml:space="preserve">platform-based selling activities while the remaining majority fall below the applicable</w:t>
      </w:r>
      <w:r>
        <w:t xml:space="preserve"> </w:t>
      </w:r>
      <w:r>
        <w:t xml:space="preserve">thresholds62. While DAC7 covers several categories of reportable activities (including</w:t>
      </w:r>
      <w:r>
        <w:t xml:space="preserve"> </w:t>
      </w:r>
      <w:r>
        <w:t xml:space="preserve">immovable property, transport, personal services and the sale of goods), it is not possible to</w:t>
      </w:r>
      <w:r>
        <w:t xml:space="preserve"> </w:t>
      </w:r>
      <w:r>
        <w:t xml:space="preserve">isolate the share of sellers engaged in the sale of goods, to which the reporting threshold</w:t>
      </w:r>
      <w:r>
        <w:t xml:space="preserve"> </w:t>
      </w:r>
      <w:r>
        <w:t xml:space="preserve">applies. Available evidence from France, a relatively service-oriented market (e.g. short-</w:t>
      </w:r>
      <w:r>
        <w:t xml:space="preserve"> </w:t>
      </w:r>
      <w:r>
        <w:t xml:space="preserve">term accommodation platforms), suggests that the split between goods and services is</w:t>
      </w:r>
      <w:r>
        <w:t xml:space="preserve"> </w:t>
      </w:r>
      <w:r>
        <w:t xml:space="preserve">broadly balanced (around 50/50 in value terms) (63). In other Member States, such as</w:t>
      </w:r>
      <w:r>
        <w:t xml:space="preserve"> </w:t>
      </w:r>
      <w:r>
        <w:t xml:space="preserve">Sweden, the composition is expected to be more tilted towards goods-based activities. As a</w:t>
      </w:r>
      <w:r>
        <w:t xml:space="preserve"> </w:t>
      </w:r>
      <w:r>
        <w:t xml:space="preserve">result, the estimates presented should be interpreted as upper-bound approximations.</w:t>
      </w:r>
      <w:r>
        <w:t xml:space="preserve"> </w:t>
      </w:r>
      <w:r>
        <w:t xml:space="preserve">On this basis and using an estimated total annual compliance cost of approximately EUR</w:t>
      </w:r>
      <w:r>
        <w:t xml:space="preserve"> </w:t>
      </w:r>
      <w:r>
        <w:t xml:space="preserve">780 million for platform operators, the average compliance cost per reported seller is</w:t>
      </w:r>
      <w:r>
        <w:t xml:space="preserve"> </w:t>
      </w:r>
      <w:r>
        <w:t xml:space="preserve">estimated at around EUR 60 per seller per year. To reflect uncertainty in both the allocation</w:t>
      </w:r>
    </w:p>
    <w:p>
      <w:pPr>
        <w:pStyle w:val="Compact"/>
        <w:numPr>
          <w:ilvl w:val="0"/>
          <w:numId w:val="1003"/>
        </w:numPr>
      </w:pPr>
      <w:r>
        <w:t xml:space="preserve">This is further corroborated by evidence collected through the call for evidence, where approximately three quarters of responding</w:t>
      </w:r>
      <w:r>
        <w:t xml:space="preserve"> </w:t>
      </w:r>
      <w:r>
        <w:t xml:space="preserve">platform operators indicated that DAC7 constituted the only DAC-related reporting obligation they had filed during the previous year.</w:t>
      </w:r>
      <w:r>
        <w:t xml:space="preserve"> </w:t>
      </w:r>
      <w:r>
        <w:t xml:space="preserve">One quarter of respondents reported that they were also subject to DAC4 and/or DAC6 reporting obligations, suggesting that DAC7</w:t>
      </w:r>
      <w:r>
        <w:t xml:space="preserve"> </w:t>
      </w:r>
      <w:r>
        <w:t xml:space="preserve">represents the primary DAC-related compliance burden for the large majority of platform operators.</w:t>
      </w:r>
      <w:r>
        <w:t xml:space="preserve"> </w:t>
      </w:r>
      <w:r>
        <w:t xml:space="preserve">61 The precise share of total reporting system costs attributable specifically to DAC7 cannot be observed directly and is therefore subject</w:t>
      </w:r>
      <w:r>
        <w:t xml:space="preserve"> </w:t>
      </w:r>
      <w:r>
        <w:t xml:space="preserve">to uncertainty. The 30% assumption is based on stakeholder feedback and the operational characteristics of reporting systems used by</w:t>
      </w:r>
      <w:r>
        <w:t xml:space="preserve"> </w:t>
      </w:r>
      <w:r>
        <w:t xml:space="preserve">platform operators. To account for this uncertainty, the assessment includes robustness checks further below and in Annex 4 using</w:t>
      </w:r>
      <w:r>
        <w:t xml:space="preserve"> </w:t>
      </w:r>
      <w:r>
        <w:t xml:space="preserve">alternative parameter values in order to assess the sensitivity of the estimated compliance costs and cost savings to different assumptions.</w:t>
      </w:r>
      <w:r>
        <w:t xml:space="preserve"> </w:t>
      </w:r>
      <w:r>
        <w:t xml:space="preserve">62 This estimate is based on survey evidence from Sweden on the share of individuals engaging in platform-based selling and the proportion</w:t>
      </w:r>
      <w:r>
        <w:t xml:space="preserve"> </w:t>
      </w:r>
      <w:r>
        <w:t xml:space="preserve">of reportable sellers. The figures are extrapolated to the EU level by adjusting for differences in internet usage across Member States and</w:t>
      </w:r>
      <w:r>
        <w:t xml:space="preserve"> </w:t>
      </w:r>
      <w:r>
        <w:t xml:space="preserve">applying these shares to national population data. See Annex 4 for further details on the methodology and underlying assumptions.</w:t>
      </w:r>
      <w:r>
        <w:t xml:space="preserve"> </w:t>
      </w:r>
      <w:r>
        <w:t xml:space="preserve">63 Statistique publique de la fiscalité, “Près de 40 Md€ de ventes sur les plateformes en 2022 : une diversité de profils de vendeurs”, DGFIP</w:t>
      </w:r>
      <w:r>
        <w:t xml:space="preserve"> </w:t>
      </w:r>
      <w:r>
        <w:t xml:space="preserve">Analyses N° 09.</w:t>
      </w:r>
    </w:p>
    <w:p>
      <w:pPr>
        <w:pStyle w:val="FirstParagraph"/>
      </w:pPr>
      <w:r>
        <w:t xml:space="preserve">34</w:t>
      </w:r>
      <w:r>
        <w:t xml:space="preserve"> </w:t>
      </w:r>
      <w:r>
        <w:t xml:space="preserve">of system costs to DAC7 and the estimation of the reportable seller base, a sensitivity range</w:t>
      </w:r>
      <w:r>
        <w:t xml:space="preserve"> </w:t>
      </w:r>
      <w:r>
        <w:t xml:space="preserve">is applied, resulting in a per-seller cost of EUR 40 (low scenario), EUR 60 (central scenario)</w:t>
      </w:r>
      <w:r>
        <w:t xml:space="preserve"> </w:t>
      </w:r>
      <w:r>
        <w:t xml:space="preserve">and EUR 80 (high scenario).</w:t>
      </w:r>
      <w:r>
        <w:t xml:space="preserve"> </w:t>
      </w:r>
      <w:r>
        <w:t xml:space="preserve">In respect of Policy Option 2a of the 13.5 million sellers that are reported by platform</w:t>
      </w:r>
      <w:r>
        <w:t xml:space="preserve"> </w:t>
      </w:r>
      <w:r>
        <w:t xml:space="preserve">operators, around 79% are reportable solely due to exceeding the 30-transaction threshold</w:t>
      </w:r>
      <w:r>
        <w:t xml:space="preserve"> </w:t>
      </w:r>
      <w:r>
        <w:t xml:space="preserve">while remaining below the EUR 2,000 monetary threshold (64). Applying this share to the</w:t>
      </w:r>
      <w:r>
        <w:t xml:space="preserve"> </w:t>
      </w:r>
      <w:r>
        <w:t xml:space="preserve">total population of 13.5 million reported sellers implies that approximately 10.7 million</w:t>
      </w:r>
      <w:r>
        <w:t xml:space="preserve"> </w:t>
      </w:r>
      <w:r>
        <w:t xml:space="preserve">sellers per year would be removed from scope under this option. The associated compliance</w:t>
      </w:r>
      <w:r>
        <w:t xml:space="preserve"> </w:t>
      </w:r>
      <w:r>
        <w:t xml:space="preserve">cost savings are estimated as follows:</w:t>
      </w:r>
    </w:p>
    <w:p>
      <w:pPr>
        <w:pStyle w:val="BodyText"/>
      </w:pPr>
      <w:r>
        <w:t xml:space="preserve">• Low-cost scenario: 10.7 million sellers × EUR 40 = EUR 428 million</w:t>
      </w:r>
      <w:r>
        <w:t xml:space="preserve"> </w:t>
      </w:r>
      <w:r>
        <w:t xml:space="preserve">• Central scenario :10.7 million sellers × EUR 60 = EUR 642 million</w:t>
      </w:r>
      <w:r>
        <w:t xml:space="preserve"> </w:t>
      </w:r>
      <w:r>
        <w:t xml:space="preserve">• High-cost scenario: 10.7 million sellers × EUR 80 = EUR 856 million</w:t>
      </w:r>
      <w:r>
        <w:t xml:space="preserve"> </w:t>
      </w:r>
      <w:r>
        <w:t xml:space="preserve">In respect of Policy Option 2b, according to platform data on seller income distribution,</w:t>
      </w:r>
      <w:r>
        <w:t xml:space="preserve"> </w:t>
      </w:r>
      <w:r>
        <w:t xml:space="preserve">increasing the monetary threshold to EUR 3,000 is estimated to increase the share of non-</w:t>
      </w:r>
      <w:r>
        <w:t xml:space="preserve"> </w:t>
      </w:r>
      <w:r>
        <w:t xml:space="preserve">reportable sellers by around 16 percentage points compared to the status quo, corresponding</w:t>
      </w:r>
      <w:r>
        <w:t xml:space="preserve"> </w:t>
      </w:r>
      <w:r>
        <w:t xml:space="preserve">to approximately 11.3 million fewer reported sellers per year. The associated compliance</w:t>
      </w:r>
      <w:r>
        <w:t xml:space="preserve"> </w:t>
      </w:r>
      <w:r>
        <w:t xml:space="preserve">cost savings are estimated as follows:</w:t>
      </w:r>
      <w:r>
        <w:t xml:space="preserve"> </w:t>
      </w:r>
      <w:r>
        <w:t xml:space="preserve">• Low-cost scenario: EUR 452 million</w:t>
      </w:r>
      <w:r>
        <w:t xml:space="preserve"> </w:t>
      </w:r>
      <w:r>
        <w:t xml:space="preserve">• Central scenario: EUR 678 million</w:t>
      </w:r>
      <w:r>
        <w:t xml:space="preserve"> </w:t>
      </w:r>
      <w:r>
        <w:t xml:space="preserve">• High-cost scenario: EUR 904 million</w:t>
      </w:r>
      <w:r>
        <w:t xml:space="preserve"> </w:t>
      </w:r>
      <w:r>
        <w:t xml:space="preserve">In respect of Policy Option 2c stakeholder information suggests that this option would</w:t>
      </w:r>
      <w:r>
        <w:t xml:space="preserve"> </w:t>
      </w:r>
      <w:r>
        <w:t xml:space="preserve">increase the share of non-reportable sellers by around 17 percentage points compared to the</w:t>
      </w:r>
      <w:r>
        <w:t xml:space="preserve"> </w:t>
      </w:r>
      <w:r>
        <w:t xml:space="preserve">status quo (65). Applied to the population of 71 million sellers, this corresponds to</w:t>
      </w:r>
      <w:r>
        <w:t xml:space="preserve"> </w:t>
      </w:r>
      <w:r>
        <w:t xml:space="preserve">approximately 12.1 million fewer reported sellers per year. The associated compliance cost</w:t>
      </w:r>
      <w:r>
        <w:t xml:space="preserve"> </w:t>
      </w:r>
      <w:r>
        <w:t xml:space="preserve">savings are estimated as follows:</w:t>
      </w:r>
      <w:r>
        <w:t xml:space="preserve"> </w:t>
      </w:r>
      <w:r>
        <w:t xml:space="preserve">• Low-cost scenario: EUR 484 million</w:t>
      </w:r>
      <w:r>
        <w:t xml:space="preserve"> </w:t>
      </w:r>
      <w:r>
        <w:t xml:space="preserve">• Central scenario: EUR 726 million</w:t>
      </w:r>
      <w:r>
        <w:t xml:space="preserve"> </w:t>
      </w:r>
      <w:r>
        <w:t xml:space="preserve">• High-cost scenario: EUR 968 million</w:t>
      </w:r>
      <w:r>
        <w:t xml:space="preserve"> </w:t>
      </w:r>
      <w:r>
        <w:t xml:space="preserve">Concerning the impact on tax administrations, the proposed changes are strongly expected</w:t>
      </w:r>
      <w:r>
        <w:t xml:space="preserve"> </w:t>
      </w:r>
      <w:r>
        <w:t xml:space="preserve">to reduce administrative costs for tax administrations, primarily through a reduction in the</w:t>
      </w:r>
      <w:r>
        <w:t xml:space="preserve"> </w:t>
      </w:r>
      <w:r>
        <w:t xml:space="preserve">volume of reported sellers and the associated data flows. By removing the activity threshold</w:t>
      </w:r>
      <w:r>
        <w:t xml:space="preserve"> </w:t>
      </w:r>
      <w:r>
        <w:t xml:space="preserve">and increasing the monetary threshold, a significant share of low-value sellers would no</w:t>
      </w:r>
      <w:r>
        <w:t xml:space="preserve"> </w:t>
      </w:r>
      <w:r>
        <w:t xml:space="preserve">longer be reported. This would decrease the amount of data to be processed, validated, stored</w:t>
      </w:r>
      <w:r>
        <w:t xml:space="preserve"> </w:t>
      </w:r>
      <w:r>
        <w:t xml:space="preserve">and exchanged between Member States, thereby lowering the administrative workload.</w:t>
      </w:r>
    </w:p>
    <w:p>
      <w:pPr>
        <w:pStyle w:val="BodyText"/>
      </w:pPr>
      <w:r>
        <w:t xml:space="preserve">64 The estimate is based on evidence collected through stakeholder engagement, in particular input from major platform operators in the</w:t>
      </w:r>
      <w:r>
        <w:t xml:space="preserve"> </w:t>
      </w:r>
      <w:r>
        <w:t xml:space="preserve">EU. These platforms provided detailed simulations on the distribution of sellers across different reporting thresholds, including the share</w:t>
      </w:r>
      <w:r>
        <w:t xml:space="preserve"> </w:t>
      </w:r>
      <w:r>
        <w:t xml:space="preserve">of sellers reportable solely due to the activity threshold.</w:t>
      </w:r>
      <w:r>
        <w:t xml:space="preserve"> </w:t>
      </w:r>
      <w:r>
        <w:t xml:space="preserve">65 This is based on information obtained through stakeholder consultations, in particular from major platform operators in the EU. These</w:t>
      </w:r>
      <w:r>
        <w:t xml:space="preserve"> </w:t>
      </w:r>
      <w:r>
        <w:t xml:space="preserve">operators provided detailed simulations on the distribution of sellers across different thresholds and the corresponding number of sellers</w:t>
      </w:r>
      <w:r>
        <w:t xml:space="preserve"> </w:t>
      </w:r>
      <w:r>
        <w:t xml:space="preserve">that would fall out of scope under alternative policy scenarios. This evidence was used to calibrate the estimates.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In addition to reducing volumes, the measures are expected to improve the relevance of the</w:t>
      </w:r>
      <w:r>
        <w:t xml:space="preserve"> </w:t>
      </w:r>
      <w:r>
        <w:t xml:space="preserve">information collected. In line with the rationale for Measure 1 by focusing reporting on</w:t>
      </w:r>
      <w:r>
        <w:t xml:space="preserve"> </w:t>
      </w:r>
      <w:r>
        <w:t xml:space="preserve">sellers with higher levels of economic activity, tax administrations may be able to conduct</w:t>
      </w:r>
      <w:r>
        <w:t xml:space="preserve"> </w:t>
      </w:r>
      <w:r>
        <w:t xml:space="preserve">more targeted and effective risk assessments, reducing the need to filter large amounts of</w:t>
      </w:r>
      <w:r>
        <w:t xml:space="preserve"> </w:t>
      </w:r>
      <w:r>
        <w:t xml:space="preserve">low-value data. At the same time, some limited one-off administrative costs may arise from</w:t>
      </w:r>
      <w:r>
        <w:t xml:space="preserve"> </w:t>
      </w:r>
      <w:r>
        <w:t xml:space="preserve">adapting IT systems and reporting processes to reflect the revised thresholds. However,</w:t>
      </w:r>
      <w:r>
        <w:t xml:space="preserve"> </w:t>
      </w:r>
      <w:r>
        <w:t xml:space="preserve">these adjustments are expected to be relatively small compared to the ongoing efficiency</w:t>
      </w:r>
      <w:r>
        <w:t xml:space="preserve"> </w:t>
      </w:r>
      <w:r>
        <w:t xml:space="preserve">gains.</w:t>
      </w:r>
      <w:r>
        <w:t xml:space="preserve"> </w:t>
      </w:r>
      <w:r>
        <w:t xml:space="preserve">Overall, Measure 2 is expected to lead to net administrative savings for tax administrations,</w:t>
      </w:r>
      <w:r>
        <w:t xml:space="preserve"> </w:t>
      </w:r>
      <w:r>
        <w:t xml:space="preserve">driven by lower data volumes and improved targeting of enforcement activities, although</w:t>
      </w:r>
      <w:r>
        <w:t xml:space="preserve"> </w:t>
      </w:r>
      <w:r>
        <w:t xml:space="preserve">the exact magnitude of these savings cannot be quantified.</w:t>
      </w:r>
      <w:r>
        <w:t xml:space="preserve"> </w:t>
      </w:r>
      <w:r>
        <w:t xml:space="preserve">Quantified Cost Savings under Policy Option 2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Companies</w:t>
      </w:r>
      <w:r>
        <w:t xml:space="preserve"> </w:t>
      </w:r>
      <w:r>
        <w:t xml:space="preserve">EUR 428mn (low-cost case)</w:t>
      </w:r>
      <w:r>
        <w:t xml:space="preserve"> </w:t>
      </w:r>
      <w:r>
        <w:t xml:space="preserve">EUR 642mn (central case)</w:t>
      </w:r>
      <w:r>
        <w:t xml:space="preserve"> </w:t>
      </w:r>
      <w:r>
        <w:t xml:space="preserve">EUR 856mn (high-cost case)</w:t>
      </w:r>
      <w:r>
        <w:t xml:space="preserve"> </w:t>
      </w:r>
      <w:r>
        <w:t xml:space="preserve">EUR 452mn (low-cost case)</w:t>
      </w:r>
      <w:r>
        <w:t xml:space="preserve"> </w:t>
      </w:r>
      <w:r>
        <w:t xml:space="preserve">EUR 678mn (central case)</w:t>
      </w:r>
      <w:r>
        <w:t xml:space="preserve"> </w:t>
      </w:r>
      <w:r>
        <w:t xml:space="preserve">EUR 904mn (high-cost case)</w:t>
      </w:r>
      <w:r>
        <w:t xml:space="preserve"> </w:t>
      </w:r>
      <w:r>
        <w:t xml:space="preserve">EUR 484mn (low-cost case)</w:t>
      </w:r>
      <w:r>
        <w:t xml:space="preserve"> </w:t>
      </w:r>
      <w:r>
        <w:t xml:space="preserve">EUR 726mn (central case)</w:t>
      </w:r>
      <w:r>
        <w:t xml:space="preserve"> </w:t>
      </w:r>
      <w:r>
        <w:t xml:space="preserve">EUR 968mn (high-cost case)</w:t>
      </w:r>
    </w:p>
    <w:p>
      <w:pPr>
        <w:pStyle w:val="BodyText"/>
      </w:pPr>
      <w:r>
        <w:t xml:space="preserve">Policy options under Measure 3 – Streamlining notification obligations from MNE</w:t>
      </w:r>
      <w:r>
        <w:t xml:space="preserve"> </w:t>
      </w:r>
      <w:r>
        <w:t xml:space="preserve">groups under DAC4 and DAC9</w:t>
      </w:r>
      <w:r>
        <w:t xml:space="preserve"> </w:t>
      </w:r>
      <w:r>
        <w:t xml:space="preserve">Baseline: DAC4 and DAC9 requires each entity of the MNE group to file separate notifications for reporting purposes often under</w:t>
      </w:r>
      <w:r>
        <w:t xml:space="preserve"> </w:t>
      </w:r>
      <w:r>
        <w:t xml:space="preserve">different formats and timelines.</w:t>
      </w:r>
      <w:r>
        <w:br/>
      </w:r>
      <w:r>
        <w:t xml:space="preserve">PO3a: Introduce a single notification obligation for DAC4/DAC9, including a harmonised deadline and a common notification template</w:t>
      </w:r>
      <w:r>
        <w:t xml:space="preserve"> </w:t>
      </w:r>
      <w:r>
        <w:t xml:space="preserve">PO3b: PO3a + central filing of notification followed by exchange of information between Member States.</w:t>
      </w:r>
      <w:r>
        <w:t xml:space="preserve"> </w:t>
      </w:r>
      <w:r>
        <w:t xml:space="preserve">Both policy options have a direct and increasing impact on improving the proportionality of</w:t>
      </w:r>
      <w:r>
        <w:t xml:space="preserve"> </w:t>
      </w:r>
      <w:r>
        <w:t xml:space="preserve">the framework by eliminating duplicative notification requirements without undermining</w:t>
      </w:r>
      <w:r>
        <w:t xml:space="preserve"> </w:t>
      </w:r>
      <w:r>
        <w:t xml:space="preserve">the policy objectives of the DAC. This will be achieved by ensuring that Member States</w:t>
      </w:r>
      <w:r>
        <w:t xml:space="preserve"> </w:t>
      </w:r>
      <w:r>
        <w:t xml:space="preserve">receive the same information in a more streamlined manner, thereby ensuring a much greater</w:t>
      </w:r>
      <w:r>
        <w:t xml:space="preserve"> </w:t>
      </w:r>
      <w:r>
        <w:t xml:space="preserve">alignment between the reporting requirements and associated compliance costs for business</w:t>
      </w:r>
      <w:r>
        <w:t xml:space="preserve"> </w:t>
      </w:r>
      <w:r>
        <w:t xml:space="preserve">and the information that is necessary for tax administrations to tackle tax fraud, evasion and</w:t>
      </w:r>
      <w:r>
        <w:t xml:space="preserve"> </w:t>
      </w:r>
      <w:r>
        <w:t xml:space="preserve">avoidance. Therefore, the analysis estimates the cost savings resulting from the reduced</w:t>
      </w:r>
      <w:r>
        <w:t xml:space="preserve"> </w:t>
      </w:r>
      <w:r>
        <w:t xml:space="preserve">scope of reporting requirements while also assessing the extent to which these reductions</w:t>
      </w:r>
      <w:r>
        <w:t xml:space="preserve"> </w:t>
      </w:r>
      <w:r>
        <w:t xml:space="preserve">may impact on the policy objectives of the DAC.</w:t>
      </w:r>
      <w:r>
        <w:t xml:space="preserve"> </w:t>
      </w:r>
      <w:r>
        <w:t xml:space="preserve">Under the current framework, there are overlapping notification obligations under DAC4</w:t>
      </w:r>
      <w:r>
        <w:t xml:space="preserve"> </w:t>
      </w:r>
      <w:r>
        <w:t xml:space="preserve">and DAC9. The duplication identified does not relate to the substantive reporting obligations</w:t>
      </w:r>
      <w:r>
        <w:t xml:space="preserve"> </w:t>
      </w:r>
      <w:r>
        <w:t xml:space="preserve">under DAC4 and DAC9, which remain distinct, but rather to the notification layer that</w:t>
      </w:r>
      <w:r>
        <w:t xml:space="preserve"> </w:t>
      </w:r>
      <w:r>
        <w:t xml:space="preserve">precedes reporting. While the information included in the notification is limited in scope,</w:t>
      </w:r>
      <w:r>
        <w:t xml:space="preserve"> </w:t>
      </w:r>
      <w:r>
        <w:t xml:space="preserve">the associated compliance effort extends beyond the mere transmission of data. In practice,</w:t>
      </w:r>
      <w:r>
        <w:t xml:space="preserve"> </w:t>
      </w:r>
      <w:r>
        <w:t xml:space="preserve">it requires internal coordination across the group to identify the reporting entity, verification</w:t>
      </w:r>
      <w:r>
        <w:t xml:space="preserve"> </w:t>
      </w:r>
      <w:r>
        <w:t xml:space="preserve">of consistency across jurisdictions, preparation and validation of the notification, and</w:t>
      </w:r>
      <w:r>
        <w:t xml:space="preserve"> </w:t>
      </w:r>
      <w:r>
        <w:t xml:space="preserve">submission in accordance with national formats and timelines. Where these processes must</w:t>
      </w:r>
      <w:r>
        <w:t xml:space="preserve"> </w:t>
      </w:r>
      <w:r>
        <w:t xml:space="preserve">be carried out separately for DAC4 and DAC9, often at different points in time and under</w:t>
      </w:r>
      <w:r>
        <w:t xml:space="preserve"> </w:t>
      </w:r>
      <w:r>
        <w:t xml:space="preserve">non-harmonised requirements businesses may need to replicate these steps, including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internal communication, checks and administrative handling. The resulting duplication</w:t>
      </w:r>
      <w:r>
        <w:t xml:space="preserve"> </w:t>
      </w:r>
      <w:r>
        <w:t xml:space="preserve">therefore arises primarily at the level of processes and workflows, rather than the data</w:t>
      </w:r>
      <w:r>
        <w:t xml:space="preserve"> </w:t>
      </w:r>
      <w:r>
        <w:t xml:space="preserve">content itself. This assessment is supported by stakeholder feedback, including from</w:t>
      </w:r>
      <w:r>
        <w:t xml:space="preserve"> </w:t>
      </w:r>
      <w:r>
        <w:t xml:space="preserve">businesses and national tax administrations, which highlighted the absence of alignment</w:t>
      </w:r>
      <w:r>
        <w:t xml:space="preserve"> </w:t>
      </w:r>
      <w:r>
        <w:t xml:space="preserve">between the two frameworks in practice.</w:t>
      </w:r>
      <w:r>
        <w:t xml:space="preserve"> </w:t>
      </w:r>
      <w:r>
        <w:t xml:space="preserve">The proposed measures aim to streamline these processes and eliminate unnecessary</w:t>
      </w:r>
      <w:r>
        <w:t xml:space="preserve"> </w:t>
      </w:r>
      <w:r>
        <w:t xml:space="preserve">duplication. The analysis therefore focuses on estimating the compliance cost savings</w:t>
      </w:r>
      <w:r>
        <w:t xml:space="preserve"> </w:t>
      </w:r>
      <w:r>
        <w:t xml:space="preserve">resulting from the simplification and consolidation of notification requirements. The</w:t>
      </w:r>
      <w:r>
        <w:t xml:space="preserve"> </w:t>
      </w:r>
      <w:r>
        <w:t xml:space="preserve">estimation is based on the number of MNE groups currently required to submit notifications</w:t>
      </w:r>
      <w:r>
        <w:t xml:space="preserve"> </w:t>
      </w:r>
      <w:r>
        <w:t xml:space="preserve">and assumptions regarding the staff time needed to prepare them.</w:t>
      </w:r>
      <w:r>
        <w:br/>
      </w:r>
      <w:r>
        <w:t xml:space="preserve">Available information from the company level database ORBIS indicates that approximately</w:t>
      </w:r>
      <w:r>
        <w:t xml:space="preserve"> </w:t>
      </w:r>
      <w:r>
        <w:t xml:space="preserve">4,700 MNE groups worldwide meet the relevant requirements under DAC4 and DAC9 and</w:t>
      </w:r>
      <w:r>
        <w:t xml:space="preserve"> </w:t>
      </w:r>
      <w:r>
        <w:t xml:space="preserve">have operations within the EU. As of 2024, these groups collectively account for</w:t>
      </w:r>
      <w:r>
        <w:t xml:space="preserve"> </w:t>
      </w:r>
      <w:r>
        <w:t xml:space="preserve">approximately 109,000 constituent entities (subsidiaries) located in the EU. Under the</w:t>
      </w:r>
      <w:r>
        <w:t xml:space="preserve"> </w:t>
      </w:r>
      <w:r>
        <w:t xml:space="preserve">current framework each of those 109,000 constituent entities is required to submit a DAC4</w:t>
      </w:r>
      <w:r>
        <w:t xml:space="preserve"> </w:t>
      </w:r>
      <w:r>
        <w:t xml:space="preserve">notification. According to information made available by MNE groups, the administrative</w:t>
      </w:r>
      <w:r>
        <w:t xml:space="preserve"> </w:t>
      </w:r>
      <w:r>
        <w:t xml:space="preserve">costs for collecting the relevant information, coordinating within the group and for</w:t>
      </w:r>
      <w:r>
        <w:t xml:space="preserve"> </w:t>
      </w:r>
      <w:r>
        <w:t xml:space="preserve">submitting the notification can be estimated at around 28 hours per entity per year, that</w:t>
      </w:r>
      <w:r>
        <w:t xml:space="preserve"> </w:t>
      </w:r>
      <w:r>
        <w:t xml:space="preserve">results in an overall compliance cost estimate of EUR 135 million per year (66). Assuming</w:t>
      </w:r>
      <w:r>
        <w:t xml:space="preserve"> </w:t>
      </w:r>
      <w:r>
        <w:t xml:space="preserve">similar notification requirements under DAC9 and no operational synergies, the combined</w:t>
      </w:r>
      <w:r>
        <w:t xml:space="preserve"> </w:t>
      </w:r>
      <w:r>
        <w:t xml:space="preserve">annual cost is EUR 135 million × 2 = EUR 270 million per year.</w:t>
      </w:r>
      <w:r>
        <w:br/>
      </w:r>
      <w:r>
        <w:t xml:space="preserve">Under Policy Option 3a, a single harmonised notification (based on a common template</w:t>
      </w:r>
      <w:r>
        <w:t xml:space="preserve"> </w:t>
      </w:r>
      <w:r>
        <w:t xml:space="preserve">and common deadline) would replace the current separate notification obligations under</w:t>
      </w:r>
      <w:r>
        <w:t xml:space="preserve"> </w:t>
      </w:r>
      <w:r>
        <w:t xml:space="preserve">DAC4 and DAC9. This would streamline reporting for each entity in the group without</w:t>
      </w:r>
      <w:r>
        <w:t xml:space="preserve"> </w:t>
      </w:r>
      <w:r>
        <w:t xml:space="preserve">affecting the content of the information provided to tax authorities. In practice, under the</w:t>
      </w:r>
      <w:r>
        <w:t xml:space="preserve"> </w:t>
      </w:r>
      <w:r>
        <w:t xml:space="preserve">current framework, the ultimate parent entity (UPE) or designated reporting entity must first</w:t>
      </w:r>
      <w:r>
        <w:t xml:space="preserve"> </w:t>
      </w:r>
      <w:r>
        <w:t xml:space="preserve">collect and coordinate relevant group-level information and subsequently disseminate this</w:t>
      </w:r>
      <w:r>
        <w:t xml:space="preserve"> </w:t>
      </w:r>
      <w:r>
        <w:t xml:space="preserve">information to all constituent entities, which then submit separate notifications, to support</w:t>
      </w:r>
      <w:r>
        <w:t xml:space="preserve"> </w:t>
      </w:r>
      <w:r>
        <w:t xml:space="preserve">the reporting requirements under the DAC4 and the DAC9 framework using different</w:t>
      </w:r>
      <w:r>
        <w:t xml:space="preserve"> </w:t>
      </w:r>
      <w:r>
        <w:t xml:space="preserve">templates and timelines. Under Policy Option 3a, these notification requirements would be</w:t>
      </w:r>
      <w:r>
        <w:t xml:space="preserve"> </w:t>
      </w:r>
      <w:r>
        <w:t xml:space="preserve">aligned and standardised, thereby eliminating duplication related to the preparation,</w:t>
      </w:r>
      <w:r>
        <w:t xml:space="preserve"> </w:t>
      </w:r>
      <w:r>
        <w:t xml:space="preserve">coordination and submission of notifications across the two frameworks. Consequentially</w:t>
      </w:r>
      <w:r>
        <w:t xml:space="preserve"> </w:t>
      </w:r>
      <w:r>
        <w:t xml:space="preserve">duplicative administrative processes would be effectively eliminated leading to estimated</w:t>
      </w:r>
      <w:r>
        <w:t xml:space="preserve"> </w:t>
      </w:r>
      <w:r>
        <w:t xml:space="preserve">compliance cost savings of approximately EUR 135 million per year for affected businesses.</w:t>
      </w:r>
      <w:r>
        <w:t xml:space="preserve"> </w:t>
      </w:r>
      <w:r>
        <w:t xml:space="preserve">These savings arise primarily from the elimination of duplicative notifications across</w:t>
      </w:r>
      <w:r>
        <w:t xml:space="preserve"> </w:t>
      </w:r>
      <w:r>
        <w:t xml:space="preserve">constituent entities.</w:t>
      </w:r>
      <w:r>
        <w:br/>
      </w:r>
      <w:r>
        <w:t xml:space="preserve">Policy Option 3b builds on Option 3a by introducing central filing, whereby a single entity</w:t>
      </w:r>
      <w:r>
        <w:t xml:space="preserve"> </w:t>
      </w:r>
      <w:r>
        <w:t xml:space="preserve">submits the notification on behalf of the entire MNE group, instead of each entity of the</w:t>
      </w:r>
      <w:r>
        <w:t xml:space="preserve"> </w:t>
      </w:r>
      <w:r>
        <w:t xml:space="preserve">MNE group. This would further reduce duplicative filings and allow groups to centralise</w:t>
      </w:r>
      <w:r>
        <w:t xml:space="preserve"> </w:t>
      </w:r>
      <w:r>
        <w:t xml:space="preserve">compliance processes, while ensuring that all relevant tax administrations continue to</w:t>
      </w:r>
      <w:r>
        <w:t xml:space="preserve"> </w:t>
      </w:r>
      <w:r>
        <w:t xml:space="preserve">receive the necessary information through automatic exchange. Under the current system,</w:t>
      </w:r>
      <w:r>
        <w:t xml:space="preserve"> </w:t>
      </w:r>
      <w:r>
        <w:t xml:space="preserve">each constituent entity is required to submit a notification to its domestic tax authority</w:t>
      </w:r>
      <w:r>
        <w:t xml:space="preserve"> </w:t>
      </w:r>
      <w:r>
        <w:t xml:space="preserve">containing largely identical information on the reporting entity, the fiscal year and group</w:t>
      </w:r>
      <w:r>
        <w:t xml:space="preserve"> </w:t>
      </w:r>
      <w:r>
        <w:t xml:space="preserve">affiliation. This requires the dissemination of centrally held information throughout the</w:t>
      </w:r>
    </w:p>
    <w:p>
      <w:pPr>
        <w:pStyle w:val="BodyText"/>
      </w:pPr>
      <w:r>
        <w:t xml:space="preserve">66 Applying average EU labour costs for the sector “Accounting, bookkeeping and auditing activities; tax consultancy”, the cost per</w:t>
      </w:r>
      <w:r>
        <w:t xml:space="preserve"> </w:t>
      </w:r>
      <w:r>
        <w:t xml:space="preserve">notification is estimated at EUR 1,270 per entity.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group and the coordination of multiple entity-level filings. Under Policy Option 3b, these</w:t>
      </w:r>
      <w:r>
        <w:t xml:space="preserve"> </w:t>
      </w:r>
      <w:r>
        <w:t xml:space="preserve">separate filings would be replaced by a single notification submitted centrally by the UPE</w:t>
      </w:r>
      <w:r>
        <w:t xml:space="preserve"> </w:t>
      </w:r>
      <w:r>
        <w:t xml:space="preserve">or another designated entity using one harmonised template and timeline applicable to both</w:t>
      </w:r>
      <w:r>
        <w:t xml:space="preserve"> </w:t>
      </w:r>
      <w:r>
        <w:t xml:space="preserve">DAC4 and DAC9 obligations.</w:t>
      </w:r>
      <w:r>
        <w:t xml:space="preserve"> </w:t>
      </w:r>
      <w:r>
        <w:t xml:space="preserve">Importantly, the proposed centralisation would not materially affect the internal collection</w:t>
      </w:r>
      <w:r>
        <w:t xml:space="preserve"> </w:t>
      </w:r>
      <w:r>
        <w:t xml:space="preserve">and analysis of information within MNE groups, which would largely remain necessary</w:t>
      </w:r>
      <w:r>
        <w:t xml:space="preserve"> </w:t>
      </w:r>
      <w:r>
        <w:t xml:space="preserve">irrespective of the reporting channel. The main savings instead arise from eliminating the</w:t>
      </w:r>
      <w:r>
        <w:t xml:space="preserve"> </w:t>
      </w:r>
      <w:r>
        <w:t xml:space="preserve">repeated dissemination, coordination and submission of notifications by individual</w:t>
      </w:r>
      <w:r>
        <w:t xml:space="preserve"> </w:t>
      </w:r>
      <w:r>
        <w:t xml:space="preserve">constituent entities. Instead of entity-level notifications, one notification would be submitted</w:t>
      </w:r>
      <w:r>
        <w:t xml:space="preserve"> </w:t>
      </w:r>
      <w:r>
        <w:t xml:space="preserve">per MNE group. The annual compliance cost would therefore be 4,700 × EUR 1,270 = EUR</w:t>
      </w:r>
      <w:r>
        <w:t xml:space="preserve"> </w:t>
      </w:r>
      <w:r>
        <w:t xml:space="preserve">6 million per year. The resulting compliance cost savings are therefore EUR 270 million −</w:t>
      </w:r>
      <w:r>
        <w:t xml:space="preserve"> </w:t>
      </w:r>
      <w:r>
        <w:t xml:space="preserve">EUR 6 million = EUR 264 million per year.</w:t>
      </w:r>
      <w:r>
        <w:t xml:space="preserve"> </w:t>
      </w:r>
      <w:r>
        <w:t xml:space="preserve">As only one Member State would receive the notification, the information would need to be</w:t>
      </w:r>
      <w:r>
        <w:t xml:space="preserve"> </w:t>
      </w:r>
      <w:r>
        <w:t xml:space="preserve">exchanged with other Member States. This would require the development of an appropriate</w:t>
      </w:r>
      <w:r>
        <w:t xml:space="preserve"> </w:t>
      </w:r>
      <w:r>
        <w:t xml:space="preserve">IT exchange schema and the establishment of an exchange channel. The adjustment costs</w:t>
      </w:r>
      <w:r>
        <w:t xml:space="preserve"> </w:t>
      </w:r>
      <w:r>
        <w:t xml:space="preserve">linked to this investment are expected to be limited, as tax administrations can build upon</w:t>
      </w:r>
      <w:r>
        <w:t xml:space="preserve"> </w:t>
      </w:r>
      <w:r>
        <w:t xml:space="preserve">the existing secure communication infrastructure under the DAC framework. At the same</w:t>
      </w:r>
      <w:r>
        <w:t xml:space="preserve"> </w:t>
      </w:r>
      <w:r>
        <w:t xml:space="preserve">time, the streamlining of notification requirements is expected to generate efficiency gains</w:t>
      </w:r>
      <w:r>
        <w:t xml:space="preserve"> </w:t>
      </w:r>
      <w:r>
        <w:t xml:space="preserve">by reducing duplicative submissions and simplifying administrative processes across</w:t>
      </w:r>
      <w:r>
        <w:t xml:space="preserve"> </w:t>
      </w:r>
      <w:r>
        <w:t xml:space="preserve">Member States. Fewer notifications and more harmonised formats would lower the need for</w:t>
      </w:r>
      <w:r>
        <w:t xml:space="preserve"> </w:t>
      </w:r>
      <w:r>
        <w:t xml:space="preserve">data validation, reconciliation and manual processing, while improving the consistency and</w:t>
      </w:r>
      <w:r>
        <w:t xml:space="preserve"> </w:t>
      </w:r>
      <w:r>
        <w:t xml:space="preserve">usability of the information received. Overall, while some limited one-off implementation</w:t>
      </w:r>
      <w:r>
        <w:t xml:space="preserve"> </w:t>
      </w:r>
      <w:r>
        <w:t xml:space="preserve">costs are expected, the measure is likely to result in net administrative savings for tax</w:t>
      </w:r>
      <w:r>
        <w:t xml:space="preserve"> </w:t>
      </w:r>
      <w:r>
        <w:t xml:space="preserve">administrations in the medium to long term, although their precise magnitude cannot be</w:t>
      </w:r>
      <w:r>
        <w:t xml:space="preserve"> </w:t>
      </w:r>
      <w:r>
        <w:t xml:space="preserve">quantified.</w:t>
      </w:r>
      <w:r>
        <w:t xml:space="preserve"> </w:t>
      </w:r>
      <w:r>
        <w:t xml:space="preserve">Quantified Cost Savings under Policy Option 3</w:t>
      </w:r>
    </w:p>
    <w:p>
      <w:pPr>
        <w:pStyle w:val="BodyText"/>
      </w:pP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Companies</w:t>
      </w:r>
      <w:r>
        <w:t xml:space="preserve"> </w:t>
      </w:r>
      <w:r>
        <w:t xml:space="preserve">EUR 135mn</w:t>
      </w:r>
      <w:r>
        <w:t xml:space="preserve"> </w:t>
      </w:r>
      <w:r>
        <w:t xml:space="preserve">EUR 264mn</w:t>
      </w:r>
    </w:p>
    <w:p>
      <w:pPr>
        <w:pStyle w:val="BodyText"/>
      </w:pPr>
      <w:r>
        <w:t xml:space="preserve">Policy Options under measure 4 – Improving the verification of the taxpayer identification</w:t>
      </w:r>
      <w:r>
        <w:t xml:space="preserve"> </w:t>
      </w:r>
      <w:r>
        <w:t xml:space="preserve">number</w:t>
      </w:r>
      <w:r>
        <w:t xml:space="preserve"> </w:t>
      </w:r>
      <w:r>
        <w:t xml:space="preserve">Baseline: No centralised system for reporting entities and tax administrations to validate accuracy of TINs.</w:t>
      </w:r>
    </w:p>
    <w:p>
      <w:pPr>
        <w:pStyle w:val="BodyText"/>
      </w:pPr>
      <w:r>
        <w:t xml:space="preserve">PO4a: Introduce a centralised TIN verification system accessible only to the Member States tax administrations.</w:t>
      </w:r>
      <w:r>
        <w:t xml:space="preserve"> </w:t>
      </w:r>
      <w:r>
        <w:t xml:space="preserve">PO4b: Introduce a centralised TIN verification system accessible to both Member States tax administrations and reporting entities.</w:t>
      </w:r>
      <w:r>
        <w:t xml:space="preserve"> </w:t>
      </w:r>
      <w:r>
        <w:t xml:space="preserve">Policy Option 4a would introduce a centralised TIN verification system accessible to the</w:t>
      </w:r>
      <w:r>
        <w:t xml:space="preserve"> </w:t>
      </w:r>
      <w:r>
        <w:t xml:space="preserve">tax administrations of Member States. The tool would allow tax administrations to verify</w:t>
      </w:r>
      <w:r>
        <w:t xml:space="preserve"> </w:t>
      </w:r>
      <w:r>
        <w:t xml:space="preserve">whether a reported TIN corresponds to the indicated taxpayer before transmitting</w:t>
      </w:r>
      <w:r>
        <w:t xml:space="preserve"> </w:t>
      </w:r>
      <w:r>
        <w:t xml:space="preserve">information to another Member State.</w:t>
      </w:r>
      <w:r>
        <w:br/>
      </w:r>
      <w:r>
        <w:t xml:space="preserve">Compared with the baseline scenario, this option is expected to improve the verification of</w:t>
      </w:r>
      <w:r>
        <w:t xml:space="preserve"> </w:t>
      </w:r>
      <w:r>
        <w:t xml:space="preserve">TINs prior to the exchange of information which would, in turn, reduce the need for post-</w:t>
      </w:r>
      <w:r>
        <w:t xml:space="preserve"> </w:t>
      </w:r>
      <w:r>
        <w:t xml:space="preserve">exchange correction procedures and the associated administrative workload. In particular,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the tax administration of the sending Member State would be able to detect inconsistencies</w:t>
      </w:r>
      <w:r>
        <w:t xml:space="preserve"> </w:t>
      </w:r>
      <w:r>
        <w:t xml:space="preserve">between reported TINs and taxpayer identities before the information is exchanged. This</w:t>
      </w:r>
      <w:r>
        <w:t xml:space="preserve"> </w:t>
      </w:r>
      <w:r>
        <w:t xml:space="preserve">would reduce the number of follow-up requests and corrections required after the exchange</w:t>
      </w:r>
      <w:r>
        <w:t xml:space="preserve"> </w:t>
      </w:r>
      <w:r>
        <w:t xml:space="preserve">of information. For the tax administration of the receiving Member State, the receipt of</w:t>
      </w:r>
      <w:r>
        <w:t xml:space="preserve"> </w:t>
      </w:r>
      <w:r>
        <w:t xml:space="preserve">information that has already been verified by the sending Member State would improve the</w:t>
      </w:r>
      <w:r>
        <w:t xml:space="preserve"> </w:t>
      </w:r>
      <w:r>
        <w:t xml:space="preserve">automatic matching of exchanged data with national taxpayer records, thereby reducing the</w:t>
      </w:r>
      <w:r>
        <w:t xml:space="preserve"> </w:t>
      </w:r>
      <w:r>
        <w:t xml:space="preserve">need for manual verification procedures and follow-up actions. Therefore, when the TIN has</w:t>
      </w:r>
      <w:r>
        <w:t xml:space="preserve"> </w:t>
      </w:r>
      <w:r>
        <w:t xml:space="preserve">been verified, tax administrations can use the information much more effectively and</w:t>
      </w:r>
      <w:r>
        <w:t xml:space="preserve"> </w:t>
      </w:r>
      <w:r>
        <w:t xml:space="preserve">efficiently and in a manner that maximises the benefits of the framework. The administrative</w:t>
      </w:r>
      <w:r>
        <w:t xml:space="preserve"> </w:t>
      </w:r>
      <w:r>
        <w:t xml:space="preserve">burden for reporting entities would not change significantly compared with the baseline</w:t>
      </w:r>
      <w:r>
        <w:t xml:space="preserve"> </w:t>
      </w:r>
      <w:r>
        <w:t xml:space="preserve">scenario, as reporting entities would continue to provide identification information as</w:t>
      </w:r>
      <w:r>
        <w:t xml:space="preserve"> </w:t>
      </w:r>
      <w:r>
        <w:t xml:space="preserve">currently required under DAC. However, earlier detection of inconsistencies may reduce</w:t>
      </w:r>
      <w:r>
        <w:t xml:space="preserve"> </w:t>
      </w:r>
      <w:r>
        <w:t xml:space="preserve">delays in the overall exchange process.</w:t>
      </w:r>
      <w:r>
        <w:t xml:space="preserve"> </w:t>
      </w:r>
      <w:r>
        <w:t xml:space="preserve">The implementation of this option would entail initial development and recurrent operational</w:t>
      </w:r>
      <w:r>
        <w:t xml:space="preserve"> </w:t>
      </w:r>
      <w:r>
        <w:t xml:space="preserve">costs for the Commission, related to the creation and maintenance of the centralised TIN</w:t>
      </w:r>
      <w:r>
        <w:t xml:space="preserve"> </w:t>
      </w:r>
      <w:r>
        <w:t xml:space="preserve">verification system, and for Member States’ tax administrations, related to the development</w:t>
      </w:r>
      <w:r>
        <w:t xml:space="preserve"> </w:t>
      </w:r>
      <w:r>
        <w:t xml:space="preserve">of national access points and the integration with the central system. At EU level, the</w:t>
      </w:r>
      <w:r>
        <w:t xml:space="preserve"> </w:t>
      </w:r>
      <w:r>
        <w:t xml:space="preserve">development of the central component, including IT infrastructure, common specifications</w:t>
      </w:r>
      <w:r>
        <w:t xml:space="preserve"> </w:t>
      </w:r>
      <w:r>
        <w:t xml:space="preserve">and training, is estimated to generate one-off costs in the range of approximately EUR 0.5</w:t>
      </w:r>
      <w:r>
        <w:t xml:space="preserve"> </w:t>
      </w:r>
      <w:r>
        <w:t xml:space="preserve">million to EUR 0.9 million. In addition, recurrent operational, maintenance and technical</w:t>
      </w:r>
      <w:r>
        <w:t xml:space="preserve"> </w:t>
      </w:r>
      <w:r>
        <w:t xml:space="preserve">assistance costs are expected to amount to around EUR 0.6 million per year67.</w:t>
      </w:r>
      <w:r>
        <w:t xml:space="preserve"> </w:t>
      </w:r>
      <w:r>
        <w:t xml:space="preserve">At national level, tax administrations would incur one-off costs related to the development</w:t>
      </w:r>
      <w:r>
        <w:t xml:space="preserve"> </w:t>
      </w:r>
      <w:r>
        <w:t xml:space="preserve">of national access points and integration with the central system. These costs are estimated</w:t>
      </w:r>
      <w:r>
        <w:t xml:space="preserve"> </w:t>
      </w:r>
      <w:r>
        <w:t xml:space="preserve">at approximately EUR 11 million across the EU. Recurrent costs would include both system</w:t>
      </w:r>
      <w:r>
        <w:t xml:space="preserve"> </w:t>
      </w:r>
      <w:r>
        <w:t xml:space="preserve">maintenance and administrative costs associated with the validation of TINs. Maintenance</w:t>
      </w:r>
      <w:r>
        <w:t xml:space="preserve"> </w:t>
      </w:r>
      <w:r>
        <w:t xml:space="preserve">costs are estimated at around EUR 1.4 to 2 million annually across Member States. In</w:t>
      </w:r>
      <w:r>
        <w:t xml:space="preserve"> </w:t>
      </w:r>
      <w:r>
        <w:t xml:space="preserve">addition, the administrative burden linked to TIN validation activities, including the</w:t>
      </w:r>
      <w:r>
        <w:t xml:space="preserve"> </w:t>
      </w:r>
      <w:r>
        <w:t xml:space="preserve">handling of mismatches and follow-up procedures, is not expected to exceed EUR 10 million</w:t>
      </w:r>
      <w:r>
        <w:t xml:space="preserve"> </w:t>
      </w:r>
      <w:r>
        <w:t xml:space="preserve">per year at EU level. While tax administrations would need to process a large volume of</w:t>
      </w:r>
      <w:r>
        <w:t xml:space="preserve"> </w:t>
      </w:r>
      <w:r>
        <w:t xml:space="preserve">TIN validations, a high degree of automation and economies of scale are expected to</w:t>
      </w:r>
      <w:r>
        <w:t xml:space="preserve"> </w:t>
      </w:r>
      <w:r>
        <w:t xml:space="preserve">significantly limit the marginal cost of processing additional records. No significant</w:t>
      </w:r>
      <w:r>
        <w:t xml:space="preserve"> </w:t>
      </w:r>
      <w:r>
        <w:t xml:space="preserve">additional costs are expected for reporting entities under this option, as the responsibility for</w:t>
      </w:r>
      <w:r>
        <w:t xml:space="preserve"> </w:t>
      </w:r>
      <w:r>
        <w:t xml:space="preserve">TIN verification would remain entirely with tax administrations.</w:t>
      </w:r>
      <w:r>
        <w:t xml:space="preserve"> </w:t>
      </w:r>
      <w:r>
        <w:t xml:space="preserve">Policy Option 4b would extend access to the centralised TIN verification system to</w:t>
      </w:r>
      <w:r>
        <w:t xml:space="preserve"> </w:t>
      </w:r>
      <w:r>
        <w:t xml:space="preserve">reporting entities. Under this option, reporting entities would, on a voluntary basis, be able</w:t>
      </w:r>
      <w:r>
        <w:t xml:space="preserve"> </w:t>
      </w:r>
      <w:r>
        <w:t xml:space="preserve">to verify whether a collected TIN corresponds to the indicated taxpayer before submitting</w:t>
      </w:r>
      <w:r>
        <w:t xml:space="preserve"> </w:t>
      </w:r>
      <w:r>
        <w:t xml:space="preserve">information to the tax authority of the sending Member State.</w:t>
      </w:r>
      <w:r>
        <w:t xml:space="preserve"> </w:t>
      </w:r>
      <w:r>
        <w:t xml:space="preserve">This option is expected to further improve the quality and reliability of information</w:t>
      </w:r>
      <w:r>
        <w:t xml:space="preserve"> </w:t>
      </w:r>
      <w:r>
        <w:t xml:space="preserve">transmitted under DAC, as inaccuracies could be detected and corrected directly at source.</w:t>
      </w:r>
      <w:r>
        <w:t xml:space="preserve"> </w:t>
      </w:r>
      <w:r>
        <w:t xml:space="preserve">Reporting entities would be able to identify incorrect or incomplete TIN information before</w:t>
      </w:r>
      <w:r>
        <w:t xml:space="preserve"> </w:t>
      </w:r>
      <w:r>
        <w:t xml:space="preserve">submitting reports, thereby significantly reducing the number of correction requests initiated</w:t>
      </w:r>
      <w:r>
        <w:t xml:space="preserve"> </w:t>
      </w:r>
      <w:r>
        <w:t xml:space="preserve">by tax administrations. In addition, this option will reduce the need for reporting entities to</w:t>
      </w:r>
    </w:p>
    <w:p>
      <w:pPr>
        <w:pStyle w:val="BodyText"/>
      </w:pPr>
      <w:r>
        <w:t xml:space="preserve">67 These estimates are based on cost benchmarks from comparable EU-level IT systems developed under the DAC and VAT frameworks.</w:t>
      </w:r>
      <w:r>
        <w:t xml:space="preserve"> </w:t>
      </w:r>
      <w:r>
        <w:t xml:space="preserve">They draw in particular on experience with the development of common specifications, validation tools and training activities under</w:t>
      </w:r>
      <w:r>
        <w:t xml:space="preserve"> </w:t>
      </w:r>
      <w:r>
        <w:t xml:space="preserve">programmes such as Fiscalis, as well as on the operational costs of existing central systems (e.g. the Excise Movement and Control System</w:t>
      </w:r>
      <w:r>
        <w:t xml:space="preserve"> </w:t>
      </w:r>
      <w:r>
        <w:t xml:space="preserve">(EMCS), the VAT Information Exchange System (VIES) and DAC-related infrastructures). The figures should be understood as indicative</w:t>
      </w:r>
      <w:r>
        <w:t xml:space="preserve"> </w:t>
      </w:r>
      <w:r>
        <w:t xml:space="preserve">and limited to the central EU component, excluding national implementation costs (see Annex 4 for details).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collect and report additional identification information, such as date of birth or other</w:t>
      </w:r>
      <w:r>
        <w:t xml:space="preserve"> </w:t>
      </w:r>
      <w:r>
        <w:t xml:space="preserve">supplementary identifiers, which are used by tax administrations to compensate for missing</w:t>
      </w:r>
      <w:r>
        <w:t xml:space="preserve"> </w:t>
      </w:r>
      <w:r>
        <w:t xml:space="preserve">or inaccurate TINs. By allowing reporting entities to confirm the validity of TINs at the</w:t>
      </w:r>
      <w:r>
        <w:t xml:space="preserve"> </w:t>
      </w:r>
      <w:r>
        <w:t xml:space="preserve">point of reporting, this option will simplify data collection requirements and generate</w:t>
      </w:r>
      <w:r>
        <w:t xml:space="preserve"> </w:t>
      </w:r>
      <w:r>
        <w:t xml:space="preserve">administrative savings for reporting entities over time from a reduction of data collection</w:t>
      </w:r>
      <w:r>
        <w:t xml:space="preserve"> </w:t>
      </w:r>
      <w:r>
        <w:t xml:space="preserve">points (e.g. date of birth). While these administrative savings are expected to be significant,</w:t>
      </w:r>
      <w:r>
        <w:t xml:space="preserve"> </w:t>
      </w:r>
      <w:r>
        <w:t xml:space="preserve">they cannot be quantified.</w:t>
      </w:r>
      <w:r>
        <w:t xml:space="preserve"> </w:t>
      </w:r>
      <w:r>
        <w:t xml:space="preserve">Similar to Policy Option 4a for tax administrations in both the sending and receiving</w:t>
      </w:r>
      <w:r>
        <w:t xml:space="preserve"> </w:t>
      </w:r>
      <w:r>
        <w:t xml:space="preserve">Member States, this option is expected to further increase automatic matching rates, reduce</w:t>
      </w:r>
      <w:r>
        <w:t xml:space="preserve"> </w:t>
      </w:r>
      <w:r>
        <w:t xml:space="preserve">manual validation procedures and improve the efficiency of information exchange and risk</w:t>
      </w:r>
      <w:r>
        <w:t xml:space="preserve"> </w:t>
      </w:r>
      <w:r>
        <w:t xml:space="preserve">analysis in a manner that maximises the benefits of the framework. Extending access to the</w:t>
      </w:r>
      <w:r>
        <w:t xml:space="preserve"> </w:t>
      </w:r>
      <w:r>
        <w:t xml:space="preserve">verification tool will require additional system development and access arrangements, and</w:t>
      </w:r>
      <w:r>
        <w:t xml:space="preserve"> </w:t>
      </w:r>
      <w:r>
        <w:t xml:space="preserve">reporting entities may need to adapt their internal systems and processes in order to use the</w:t>
      </w:r>
      <w:r>
        <w:t xml:space="preserve"> </w:t>
      </w:r>
      <w:r>
        <w:t xml:space="preserve">tool. These adjustments will generate adjustment costs for reporting entities, although these</w:t>
      </w:r>
      <w:r>
        <w:t xml:space="preserve"> </w:t>
      </w:r>
      <w:r>
        <w:t xml:space="preserve">costs may be partly offset over time by reductions in correction requests and compliance</w:t>
      </w:r>
      <w:r>
        <w:t xml:space="preserve"> </w:t>
      </w:r>
      <w:r>
        <w:t xml:space="preserve">risks linked to incorrect reporting of the TIN.</w:t>
      </w:r>
      <w:r>
        <w:t xml:space="preserve"> </w:t>
      </w:r>
      <w:r>
        <w:t xml:space="preserve">Under Policy Option 4b the main costs arise from extending access to the centralised TIN</w:t>
      </w:r>
      <w:r>
        <w:t xml:space="preserve"> </w:t>
      </w:r>
      <w:r>
        <w:t xml:space="preserve">verification system to reporting entities. At EU level, one-off costs would arise for</w:t>
      </w:r>
      <w:r>
        <w:t xml:space="preserve"> </w:t>
      </w:r>
      <w:r>
        <w:t xml:space="preserve">developing the central component of the system, drafting common specifications and access</w:t>
      </w:r>
      <w:r>
        <w:t xml:space="preserve"> </w:t>
      </w:r>
      <w:r>
        <w:t xml:space="preserve">rules, and training tax administrations. These one-off costs are estimated at approximately</w:t>
      </w:r>
      <w:r>
        <w:t xml:space="preserve"> </w:t>
      </w:r>
      <w:r>
        <w:t xml:space="preserve">EUR 1.0 to 1.8 million in total. In addition, recurrent EU-level IT costs for infrastructure,</w:t>
      </w:r>
      <w:r>
        <w:t xml:space="preserve"> </w:t>
      </w:r>
      <w:r>
        <w:t xml:space="preserve">operations, maintenance and technical support are estimated at around EUR 1.8 to 2.4</w:t>
      </w:r>
      <w:r>
        <w:t xml:space="preserve"> </w:t>
      </w:r>
      <w:r>
        <w:t xml:space="preserve">million per year. These costs are higher than under the tax-administration only option</w:t>
      </w:r>
      <w:r>
        <w:t xml:space="preserve"> </w:t>
      </w:r>
      <w:r>
        <w:t xml:space="preserve">because the system development would need to accommodate access by a potentially very</w:t>
      </w:r>
      <w:r>
        <w:t xml:space="preserve"> </w:t>
      </w:r>
      <w:r>
        <w:t xml:space="preserve">large number of private users. At national level, tax administrations would incur one-off</w:t>
      </w:r>
      <w:r>
        <w:t xml:space="preserve"> </w:t>
      </w:r>
      <w:r>
        <w:t xml:space="preserve">costs related to the development of national access points, system integration and the</w:t>
      </w:r>
      <w:r>
        <w:t xml:space="preserve"> </w:t>
      </w:r>
      <w:r>
        <w:t xml:space="preserve">implementation of access management arrangements for reporting entities. These one-off</w:t>
      </w:r>
      <w:r>
        <w:t xml:space="preserve"> </w:t>
      </w:r>
      <w:r>
        <w:t xml:space="preserve">costs are estimated at around EUR 15 to 25 million across the EU. Recurrent national IT</w:t>
      </w:r>
      <w:r>
        <w:t xml:space="preserve"> </w:t>
      </w:r>
      <w:r>
        <w:t xml:space="preserve">costs, including maintenance of national access points and user support, are estimated at</w:t>
      </w:r>
      <w:r>
        <w:t xml:space="preserve"> </w:t>
      </w:r>
      <w:r>
        <w:t xml:space="preserve">approximately EUR 4.5 to 12 million per year EU-wide.</w:t>
      </w:r>
      <w:r>
        <w:t xml:space="preserve"> </w:t>
      </w:r>
      <w:r>
        <w:t xml:space="preserve">For reporting entities, access to the validation tool would be entirely voluntary and therefore</w:t>
      </w:r>
      <w:r>
        <w:t xml:space="preserve"> </w:t>
      </w:r>
      <w:r>
        <w:t xml:space="preserve">would not give rise to mandatory compliance costs. While companies choosing to use the</w:t>
      </w:r>
      <w:r>
        <w:t xml:space="preserve"> </w:t>
      </w:r>
      <w:r>
        <w:t xml:space="preserve">tool may incur certain adjustment and operational costs (e.g. related to IT integration and</w:t>
      </w:r>
      <w:r>
        <w:t xml:space="preserve"> </w:t>
      </w:r>
      <w:r>
        <w:t xml:space="preserve">process adaptation), these would be offset, at least in part, by reductions in other data</w:t>
      </w:r>
      <w:r>
        <w:t xml:space="preserve"> </w:t>
      </w:r>
      <w:r>
        <w:t xml:space="preserve">collection and verification requirements, such as the need to obtain and report additional</w:t>
      </w:r>
      <w:r>
        <w:t xml:space="preserve"> </w:t>
      </w:r>
      <w:r>
        <w:t xml:space="preserve">identifiers (e.g. date of birth or address) to compensate for missing or inaccurate TINs. Given</w:t>
      </w:r>
      <w:r>
        <w:t xml:space="preserve"> </w:t>
      </w:r>
      <w:r>
        <w:t xml:space="preserve">the voluntary nature of the measure and the interplay between additional costs and expected</w:t>
      </w:r>
      <w:r>
        <w:t xml:space="preserve"> </w:t>
      </w:r>
      <w:r>
        <w:t xml:space="preserve">savings, it is not possible to derive a robust ex ante estimate of the net cost impact for</w:t>
      </w:r>
      <w:r>
        <w:t xml:space="preserve"> </w:t>
      </w:r>
      <w:r>
        <w:t xml:space="preserve">reporting entities. Overall, while upfront costs are expected, the measure is expected to</w:t>
      </w:r>
      <w:r>
        <w:t xml:space="preserve"> </w:t>
      </w:r>
      <w:r>
        <w:t xml:space="preserve">deliver net administrative savings over time through improved data quality, and use of</w:t>
      </w:r>
      <w:r>
        <w:t xml:space="preserve"> </w:t>
      </w:r>
      <w:r>
        <w:t xml:space="preserve">information and reduced correction and validation efforts, although the precise magnitude</w:t>
      </w:r>
      <w:r>
        <w:t xml:space="preserve"> </w:t>
      </w:r>
      <w:r>
        <w:t xml:space="preserve">of these effects cannot be quantified at this stage.</w:t>
      </w:r>
      <w:r>
        <w:br/>
      </w:r>
      <w:r>
        <w:t xml:space="preserve">The cost estimates of both Policy Option 4a and 4b should be assessed against the costs of</w:t>
      </w:r>
      <w:r>
        <w:t xml:space="preserve"> </w:t>
      </w:r>
      <w:r>
        <w:t xml:space="preserve">alternative approaches that would achieve a comparable level of TIN matching in the</w:t>
      </w:r>
      <w:r>
        <w:t xml:space="preserve"> </w:t>
      </w:r>
      <w:r>
        <w:t xml:space="preserve">absence of ex ante validation. In particular, under the current system, inconsistencies in TIN</w:t>
      </w:r>
      <w:r>
        <w:t xml:space="preserve"> </w:t>
      </w:r>
      <w:r>
        <w:t xml:space="preserve">data are often identified only after the exchange of information, requiring follow-up</w:t>
      </w:r>
      <w:r>
        <w:t xml:space="preserve"> </w:t>
      </w:r>
      <w:r>
        <w:t xml:space="preserve">procedures between Member States and reporting entities. According to DAC2 statistics,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approximately 64 million financial accounts were reported in 2024, of which around 73%</w:t>
      </w:r>
      <w:r>
        <w:t xml:space="preserve"> </w:t>
      </w:r>
      <w:r>
        <w:t xml:space="preserve">(i.e. approximately 47 million accounts) included a TIN that would be subject to validation.</w:t>
      </w:r>
      <w:r>
        <w:t xml:space="preserve"> </w:t>
      </w:r>
      <w:r>
        <w:t xml:space="preserve">Assuming that 10% to 20% of these records require follow-up, this would correspond to</w:t>
      </w:r>
      <w:r>
        <w:t xml:space="preserve"> </w:t>
      </w:r>
      <w:r>
        <w:t xml:space="preserve">approximately 4.7 to 9.4 million cases across the EU. In practice, this implies that, following</w:t>
      </w:r>
      <w:r>
        <w:t xml:space="preserve"> </w:t>
      </w:r>
      <w:r>
        <w:t xml:space="preserve">an initial automatic matching exercise, the receiving Member State requests clarification</w:t>
      </w:r>
      <w:r>
        <w:t xml:space="preserve"> </w:t>
      </w:r>
      <w:r>
        <w:t xml:space="preserve">from the sending Member State, which in turn must contact the reporting entity to verify or</w:t>
      </w:r>
      <w:r>
        <w:t xml:space="preserve"> </w:t>
      </w:r>
      <w:r>
        <w:t xml:space="preserve">complete the information. These processes often involve multiple jurisdictions and require</w:t>
      </w:r>
      <w:r>
        <w:t xml:space="preserve"> </w:t>
      </w:r>
      <w:r>
        <w:t xml:space="preserve">manual, case-by-case handling. Assuming that around 1 million such cases arise annually</w:t>
      </w:r>
      <w:r>
        <w:t xml:space="preserve"> </w:t>
      </w:r>
      <w:r>
        <w:t xml:space="preserve">and that resolving each case requires approximately 1.5 hours of combined effort across the</w:t>
      </w:r>
      <w:r>
        <w:t xml:space="preserve"> </w:t>
      </w:r>
      <w:r>
        <w:t xml:space="preserve">relevant stakeholders, the associated administrative costs would amount to up to</w:t>
      </w:r>
      <w:r>
        <w:t xml:space="preserve"> </w:t>
      </w:r>
      <w:r>
        <w:t xml:space="preserve">approximately EUR 70 million per year (based on average EU labour costs for financial and</w:t>
      </w:r>
      <w:r>
        <w:t xml:space="preserve"> </w:t>
      </w:r>
      <w:r>
        <w:t xml:space="preserve">tax specialists). This illustrates that, while the introduction of a TIN validation tool entails</w:t>
      </w:r>
      <w:r>
        <w:t xml:space="preserve"> </w:t>
      </w:r>
      <w:r>
        <w:t xml:space="preserve">upfront and operational costs, it will also generate significant savings by reducing the need</w:t>
      </w:r>
      <w:r>
        <w:t xml:space="preserve"> </w:t>
      </w:r>
      <w:r>
        <w:t xml:space="preserve">for resource-intensive ex post correction procedures.</w:t>
      </w:r>
      <w:r>
        <w:t xml:space="preserve"> </w:t>
      </w:r>
      <w:r>
        <w:t xml:space="preserve">Policy Options under measure 5 - Improving the completeness of information reported</w:t>
      </w:r>
      <w:r>
        <w:t xml:space="preserve"> </w:t>
      </w:r>
      <w:r>
        <w:t xml:space="preserve">under DAC1</w:t>
      </w:r>
      <w:r>
        <w:t xml:space="preserve"> </w:t>
      </w:r>
      <w:r>
        <w:t xml:space="preserve">Baseline: Member States exchange information available in their tax files on at least five out of seven categories of income and capital.</w:t>
      </w:r>
    </w:p>
    <w:p>
      <w:pPr>
        <w:pStyle w:val="BodyText"/>
      </w:pPr>
      <w:r>
        <w:t xml:space="preserve">PO5a: The category of life insurance products (LIP) is removed.</w:t>
      </w:r>
      <w:r>
        <w:br/>
      </w:r>
      <w:r>
        <w:t xml:space="preserve">PO5b: PO5a + Member States are required to automatically exchange information “available” in their tax files on all six remaining</w:t>
      </w:r>
      <w:r>
        <w:t xml:space="preserve"> </w:t>
      </w:r>
      <w:r>
        <w:t xml:space="preserve">categories of income and capital.</w:t>
      </w:r>
      <w:r>
        <w:t xml:space="preserve"> </w:t>
      </w:r>
      <w:r>
        <w:t xml:space="preserve">PO5c: PO5a + Member States are required to automatically exchange information available to relevant public authorities in the Member</w:t>
      </w:r>
      <w:r>
        <w:t xml:space="preserve"> </w:t>
      </w:r>
      <w:r>
        <w:t xml:space="preserve">States with respect to all six remaining categories of income and capital.</w:t>
      </w:r>
      <w:r>
        <w:t xml:space="preserve"> </w:t>
      </w:r>
      <w:r>
        <w:t xml:space="preserve">This measure aims to address the structural limitations of the framework and enhance the</w:t>
      </w:r>
      <w:r>
        <w:t xml:space="preserve"> </w:t>
      </w:r>
      <w:r>
        <w:t xml:space="preserve">effective functioning and efficiency of DAC1. Firstly, the measure seeks to improve the</w:t>
      </w:r>
      <w:r>
        <w:t xml:space="preserve"> </w:t>
      </w:r>
      <w:r>
        <w:t xml:space="preserve">proportionality of the reporting framework by removing reporting requirements that are</w:t>
      </w:r>
      <w:r>
        <w:t xml:space="preserve"> </w:t>
      </w:r>
      <w:r>
        <w:t xml:space="preserve">duplicate and of limited value for tax administrations. Secondly, the measure also seeks to</w:t>
      </w:r>
      <w:r>
        <w:t xml:space="preserve"> </w:t>
      </w:r>
      <w:r>
        <w:t xml:space="preserve">enhance the scope and completeness of income categories that are subject to AEOI under</w:t>
      </w:r>
      <w:r>
        <w:t xml:space="preserve"> </w:t>
      </w:r>
      <w:r>
        <w:t xml:space="preserve">DAC1. By removing categories of limited added value and where appropriate, enhancing</w:t>
      </w:r>
      <w:r>
        <w:t xml:space="preserve"> </w:t>
      </w:r>
      <w:r>
        <w:t xml:space="preserve">the completeness and accessibility of relevant information, the measure aims to ensure that</w:t>
      </w:r>
      <w:r>
        <w:t xml:space="preserve"> </w:t>
      </w:r>
      <w:r>
        <w:t xml:space="preserve">administrative resources are focused on data that is more effective in identifying non-</w:t>
      </w:r>
      <w:r>
        <w:t xml:space="preserve"> </w:t>
      </w:r>
      <w:r>
        <w:t xml:space="preserve">compliance, while avoiding unnecessary processing and exchange of low-value information.</w:t>
      </w:r>
      <w:r>
        <w:t xml:space="preserve"> </w:t>
      </w:r>
      <w:r>
        <w:t xml:space="preserve">The main impact of Policy Option 5a is the simplification of the existing framework</w:t>
      </w:r>
      <w:r>
        <w:t xml:space="preserve"> </w:t>
      </w:r>
      <w:r>
        <w:t xml:space="preserve">stemming from the removal of the LIP category. 68Given the limited use of the LIP category</w:t>
      </w:r>
      <w:r>
        <w:t xml:space="preserve"> </w:t>
      </w:r>
      <w:r>
        <w:t xml:space="preserve">and its partial overlap with information exchanged under DAC2, removing this category is</w:t>
      </w:r>
      <w:r>
        <w:t xml:space="preserve"> </w:t>
      </w:r>
      <w:r>
        <w:t xml:space="preserve">expected to have minimal impact on the effectiveness of administrative cooperation, while</w:t>
      </w:r>
      <w:r>
        <w:t xml:space="preserve"> </w:t>
      </w:r>
      <w:r>
        <w:t xml:space="preserve">slightly reducing the administrative workload associated with processing and exchanging</w:t>
      </w:r>
      <w:r>
        <w:t xml:space="preserve"> </w:t>
      </w:r>
      <w:r>
        <w:t xml:space="preserve">information that appears to have limited operational relevance.</w:t>
      </w:r>
      <w:r>
        <w:t xml:space="preserve"> </w:t>
      </w:r>
      <w:r>
        <w:t xml:space="preserve">Policy Option 5b would, in addition to Policy Option 5a, require Member States to</w:t>
      </w:r>
      <w:r>
        <w:t xml:space="preserve"> </w:t>
      </w:r>
      <w:r>
        <w:t xml:space="preserve">exchange information “available” in their tax files for all six remaining income categories.</w:t>
      </w:r>
      <w:r>
        <w:t xml:space="preserve"> </w:t>
      </w:r>
      <w:r>
        <w:t xml:space="preserve">Compared with the baseline, this option is expected to improve the consistency and</w:t>
      </w:r>
      <w:r>
        <w:t xml:space="preserve"> </w:t>
      </w:r>
      <w:r>
        <w:t xml:space="preserve">comparability of information exchanged across Member States, thereby strengthening the</w:t>
      </w:r>
      <w:r>
        <w:t xml:space="preserve"> </w:t>
      </w:r>
      <w:r>
        <w:t xml:space="preserve">level playing field within the Union and reinforcing the overarching objective of tackling</w:t>
      </w:r>
      <w:r>
        <w:t xml:space="preserve"> </w:t>
      </w:r>
      <w:r>
        <w:t xml:space="preserve">tax fraud, evasion and avoidance. Moreover, more complete exchanges of information</w:t>
      </w:r>
    </w:p>
    <w:p>
      <w:pPr>
        <w:pStyle w:val="BodyText"/>
      </w:pPr>
      <w:r>
        <w:t xml:space="preserve">68 According to the DAC Statistics, the LIP category is exchanged only by 10 Member States and represents less than 1% of both the</w:t>
      </w:r>
      <w:r>
        <w:t xml:space="preserve"> </w:t>
      </w:r>
      <w:r>
        <w:t xml:space="preserve">number of taxpayer and the total value of income exchanges under DAC1.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improve the effectiveness of risk analysis and enforcement activities carried out by tax</w:t>
      </w:r>
      <w:r>
        <w:t xml:space="preserve"> </w:t>
      </w:r>
      <w:r>
        <w:t xml:space="preserve">administrations in relation to taxpayers.</w:t>
      </w:r>
      <w:r>
        <w:t xml:space="preserve"> </w:t>
      </w:r>
      <w:r>
        <w:t xml:space="preserve">The main impacts would arise for tax administrations that currently exchange information</w:t>
      </w:r>
      <w:r>
        <w:t xml:space="preserve"> </w:t>
      </w:r>
      <w:r>
        <w:t xml:space="preserve">on fewer categories and would therefore need to activate exchange processes for additional</w:t>
      </w:r>
      <w:r>
        <w:t xml:space="preserve"> </w:t>
      </w:r>
      <w:r>
        <w:t xml:space="preserve">data already available in their systems (see Figure 4). These adjustment costs relate to IT</w:t>
      </w:r>
      <w:r>
        <w:t xml:space="preserve"> </w:t>
      </w:r>
      <w:r>
        <w:t xml:space="preserve">configuration, data extraction and processing changes for tax administrations, rather than</w:t>
      </w:r>
      <w:r>
        <w:t xml:space="preserve"> </w:t>
      </w:r>
      <w:r>
        <w:t xml:space="preserve">new data collection. As such, the associated costs are not expected to be significant, as tax</w:t>
      </w:r>
      <w:r>
        <w:t xml:space="preserve"> </w:t>
      </w:r>
      <w:r>
        <w:t xml:space="preserve">administrations can build on existing national IT systems and infrastructure. Nevertheless,</w:t>
      </w:r>
      <w:r>
        <w:t xml:space="preserve"> </w:t>
      </w:r>
      <w:r>
        <w:t xml:space="preserve">the magnitude of these costs may vary across Member States depending on the state of</w:t>
      </w:r>
      <w:r>
        <w:t xml:space="preserve"> </w:t>
      </w:r>
      <w:r>
        <w:t xml:space="preserve">digitalisation of their current systems and the extent of the required adaptations.</w:t>
      </w:r>
      <w:r>
        <w:t xml:space="preserve"> </w:t>
      </w:r>
      <w:r>
        <w:t xml:space="preserve">Policy Option 5c represents the most comprehensive reform. In addition to removing the</w:t>
      </w:r>
      <w:r>
        <w:t xml:space="preserve"> </w:t>
      </w:r>
      <w:r>
        <w:t xml:space="preserve">LIP category (Policy Option 5a) and requiring the exchange of information on all 6</w:t>
      </w:r>
      <w:r>
        <w:t xml:space="preserve"> </w:t>
      </w:r>
      <w:r>
        <w:t xml:space="preserve">remaining income categories, it would require Member States to exchange information</w:t>
      </w:r>
      <w:r>
        <w:t xml:space="preserve"> </w:t>
      </w:r>
      <w:r>
        <w:t xml:space="preserve">available to all public authorities at national level, rather than limiting exchanges to</w:t>
      </w:r>
      <w:r>
        <w:t xml:space="preserve"> </w:t>
      </w:r>
      <w:r>
        <w:t xml:space="preserve">information contained in the files of tax administrations. Implementing this option would</w:t>
      </w:r>
      <w:r>
        <w:t xml:space="preserve"> </w:t>
      </w:r>
      <w:r>
        <w:t xml:space="preserve">likely require organisational and technical adjustments at national level, including improved</w:t>
      </w:r>
      <w:r>
        <w:t xml:space="preserve"> </w:t>
      </w:r>
      <w:r>
        <w:t xml:space="preserve">access for tax administrations to information held by other public authorities, such as</w:t>
      </w:r>
      <w:r>
        <w:t xml:space="preserve"> </w:t>
      </w:r>
      <w:r>
        <w:t xml:space="preserve">pension institutions and land registries, and potentially the establishment of new data-</w:t>
      </w:r>
      <w:r>
        <w:t xml:space="preserve"> </w:t>
      </w:r>
      <w:r>
        <w:t xml:space="preserve">sharing arrangements or IT interconnections between databases. This would therefore entail</w:t>
      </w:r>
      <w:r>
        <w:t xml:space="preserve"> </w:t>
      </w:r>
      <w:r>
        <w:t xml:space="preserve">higher one-off adjustment costs for the Member States concerned compared to Policy option</w:t>
      </w:r>
      <w:r>
        <w:t xml:space="preserve"> </w:t>
      </w:r>
      <w:r>
        <w:t xml:space="preserve">5b. While these costs cannot be reliably quantified at this stage, information made available</w:t>
      </w:r>
      <w:r>
        <w:t xml:space="preserve"> </w:t>
      </w:r>
      <w:r>
        <w:t xml:space="preserve">to the Commission services by Member States indicates that these costs will be significantly</w:t>
      </w:r>
      <w:r>
        <w:t xml:space="preserve"> </w:t>
      </w:r>
      <w:r>
        <w:t xml:space="preserve">limited by several factors. Firstly, information made available to the Commission services</w:t>
      </w:r>
      <w:r>
        <w:t xml:space="preserve"> </w:t>
      </w:r>
      <w:r>
        <w:t xml:space="preserve">by Member States indicates that tax authorities already intend to increase the number of</w:t>
      </w:r>
      <w:r>
        <w:t xml:space="preserve"> </w:t>
      </w:r>
      <w:r>
        <w:t xml:space="preserve">categories of information that are exchanged by 1 July 2028. Consequentially, and as</w:t>
      </w:r>
      <w:r>
        <w:t xml:space="preserve"> </w:t>
      </w:r>
      <w:r>
        <w:t xml:space="preserve">demonstrated by Figure 5, the impact of the requirement for Member States to exchange</w:t>
      </w:r>
      <w:r>
        <w:t xml:space="preserve"> </w:t>
      </w:r>
      <w:r>
        <w:t xml:space="preserve">information on six categories will be limited to certain Member States and certain categories</w:t>
      </w:r>
      <w:r>
        <w:t xml:space="preserve"> </w:t>
      </w:r>
      <w:r>
        <w:t xml:space="preserve">of information.</w:t>
      </w:r>
    </w:p>
    <w:p>
      <w:pPr>
        <w:pStyle w:val="BodyText"/>
      </w:pPr>
      <w:r>
        <w:t xml:space="preserve">Figure 5: Categories of information to be exchanged by Member States for the taxable</w:t>
      </w:r>
      <w:r>
        <w:t xml:space="preserve"> </w:t>
      </w:r>
      <w:r>
        <w:t xml:space="preserve">period 2026 with effect from 1 January 2028</w:t>
      </w:r>
      <w:r>
        <w:t xml:space="preserve"> </w:t>
      </w:r>
      <w:r>
        <w:t xml:space="preserve">Category of income and</w:t>
      </w:r>
      <w:r>
        <w:t xml:space="preserve"> </w:t>
      </w:r>
      <w:r>
        <w:t xml:space="preserve">capital</w:t>
      </w:r>
      <w:r>
        <w:br/>
      </w:r>
      <w:r>
        <w:t xml:space="preserve">Number of Member States that will exchange as of</w:t>
      </w:r>
      <w:r>
        <w:t xml:space="preserve"> </w:t>
      </w:r>
      <w:r>
        <w:t xml:space="preserve">1/7/2028</w:t>
      </w:r>
      <w:r>
        <w:t xml:space="preserve"> </w:t>
      </w:r>
      <w:r>
        <w:t xml:space="preserve">Income from employment</w:t>
      </w:r>
      <w:r>
        <w:t xml:space="preserve"> </w:t>
      </w:r>
      <w:r>
        <w:t xml:space="preserve">27 Member States</w:t>
      </w:r>
      <w:r>
        <w:t xml:space="preserve"> </w:t>
      </w:r>
      <w:r>
        <w:t xml:space="preserve">Ownership of and income</w:t>
      </w:r>
      <w:r>
        <w:t xml:space="preserve"> </w:t>
      </w:r>
      <w:r>
        <w:t xml:space="preserve">from immovable property</w:t>
      </w:r>
      <w:r>
        <w:t xml:space="preserve"> </w:t>
      </w:r>
      <w:r>
        <w:t xml:space="preserve">27 Member States</w:t>
      </w:r>
      <w:r>
        <w:t xml:space="preserve"> </w:t>
      </w:r>
      <w:r>
        <w:t xml:space="preserve">Directors Fees</w:t>
      </w:r>
      <w:r>
        <w:t xml:space="preserve"> </w:t>
      </w:r>
      <w:r>
        <w:t xml:space="preserve">24 Member States</w:t>
      </w:r>
      <w:r>
        <w:t xml:space="preserve"> </w:t>
      </w:r>
      <w:r>
        <w:t xml:space="preserve">Pensions</w:t>
      </w:r>
      <w:r>
        <w:t xml:space="preserve"> </w:t>
      </w:r>
      <w:r>
        <w:t xml:space="preserve">23 Member States</w:t>
      </w:r>
      <w:r>
        <w:br/>
      </w:r>
      <w:r>
        <w:t xml:space="preserve">Royalties</w:t>
      </w:r>
      <w:r>
        <w:t xml:space="preserve"> </w:t>
      </w:r>
      <w:r>
        <w:t xml:space="preserve">22 Member States</w:t>
      </w:r>
      <w:r>
        <w:br/>
      </w:r>
      <w:r>
        <w:t xml:space="preserve">Non-custodial</w:t>
      </w:r>
      <w:r>
        <w:t xml:space="preserve"> </w:t>
      </w:r>
      <w:r>
        <w:t xml:space="preserve">dividend</w:t>
      </w:r>
      <w:r>
        <w:t xml:space="preserve"> </w:t>
      </w:r>
      <w:r>
        <w:t xml:space="preserve">income</w:t>
      </w:r>
      <w:r>
        <w:t xml:space="preserve"> </w:t>
      </w:r>
      <w:r>
        <w:t xml:space="preserve">8 Member States</w:t>
      </w:r>
    </w:p>
    <w:p>
      <w:pPr>
        <w:pStyle w:val="BodyText"/>
      </w:pPr>
      <w:r>
        <w:t xml:space="preserve">With respect to the three Member States that do not currently exchange information on</w:t>
      </w:r>
      <w:r>
        <w:t xml:space="preserve"> </w:t>
      </w:r>
      <w:r>
        <w:t xml:space="preserve">directors’ fees this information is already available to the tax authorities of these Member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States. However, these Member States are currently unable to exchange this information as</w:t>
      </w:r>
      <w:r>
        <w:t xml:space="preserve"> </w:t>
      </w:r>
      <w:r>
        <w:t xml:space="preserve">directors’ fees are reported nationally under the category of income from employment.</w:t>
      </w:r>
      <w:r>
        <w:t xml:space="preserve"> </w:t>
      </w:r>
      <w:r>
        <w:t xml:space="preserve">Therefore, only limited technical national reporting adjustments are required to ensure that</w:t>
      </w:r>
      <w:r>
        <w:t xml:space="preserve"> </w:t>
      </w:r>
      <w:r>
        <w:t xml:space="preserve">all Member States exchange information on directors’ fees. The lower number of Member</w:t>
      </w:r>
      <w:r>
        <w:t xml:space="preserve"> </w:t>
      </w:r>
      <w:r>
        <w:t xml:space="preserve">States that intend to exchange information on royalties and non-custodial dividend income</w:t>
      </w:r>
      <w:r>
        <w:t xml:space="preserve"> </w:t>
      </w:r>
      <w:r>
        <w:t xml:space="preserve">is reflective of the fact that these categories of information were only recently introduced by</w:t>
      </w:r>
      <w:r>
        <w:t xml:space="preserve"> </w:t>
      </w:r>
      <w:r>
        <w:t xml:space="preserve">DAC7 and DAC8 respectively. However, as this income is taxable in the vast majority of</w:t>
      </w:r>
      <w:r>
        <w:t xml:space="preserve"> </w:t>
      </w:r>
      <w:r>
        <w:t xml:space="preserve">Member States69, it is expected that this income will be available to the tax authorities.</w:t>
      </w:r>
      <w:r>
        <w:br/>
      </w:r>
      <w:r>
        <w:t xml:space="preserve">PO5C also proposes that Member States shall exchange all information that is available at</w:t>
      </w:r>
      <w:r>
        <w:t xml:space="preserve"> </w:t>
      </w:r>
      <w:r>
        <w:t xml:space="preserve">the national level. A key rationale for this proposal is to ensure alignment with the</w:t>
      </w:r>
      <w:r>
        <w:t xml:space="preserve"> </w:t>
      </w:r>
      <w:r>
        <w:t xml:space="preserve">Commission’s ‘Once-Only Principle’70 according to which citizens and businesses should</w:t>
      </w:r>
      <w:r>
        <w:t xml:space="preserve"> </w:t>
      </w:r>
      <w:r>
        <w:t xml:space="preserve">provide the same information to public authorities only once. To achieve this objective the</w:t>
      </w:r>
      <w:r>
        <w:t xml:space="preserve"> </w:t>
      </w:r>
      <w:r>
        <w:t xml:space="preserve">principle provides that public administrations should then securely reuse and share that</w:t>
      </w:r>
      <w:r>
        <w:t xml:space="preserve"> </w:t>
      </w:r>
      <w:r>
        <w:t xml:space="preserve">information across authorities with an appropriate legal basis that will be provided for under</w:t>
      </w:r>
      <w:r>
        <w:t xml:space="preserve"> </w:t>
      </w:r>
      <w:r>
        <w:t xml:space="preserve">this initiative, which upon transposition will then be applied in accordance with the domestic</w:t>
      </w:r>
      <w:r>
        <w:t xml:space="preserve"> </w:t>
      </w:r>
      <w:r>
        <w:t xml:space="preserve">of law of Member States. Appropriate data sharing safeguards will be applied at the national</w:t>
      </w:r>
      <w:r>
        <w:t xml:space="preserve"> </w:t>
      </w:r>
      <w:r>
        <w:t xml:space="preserve">level in accordance with the requirements of the GDPR, while the automatic exchange of</w:t>
      </w:r>
      <w:r>
        <w:t xml:space="preserve"> </w:t>
      </w:r>
      <w:r>
        <w:t xml:space="preserve">information shall take place in accordance with the well-established secure transmission</w:t>
      </w:r>
      <w:r>
        <w:t xml:space="preserve"> </w:t>
      </w:r>
      <w:r>
        <w:t xml:space="preserve">system of the European Commission.</w:t>
      </w:r>
      <w:r>
        <w:br/>
      </w:r>
      <w:r>
        <w:t xml:space="preserve">DAC5 already provides tax authorities with access to certain beneficial ownership</w:t>
      </w:r>
      <w:r>
        <w:t xml:space="preserve"> </w:t>
      </w:r>
      <w:r>
        <w:t xml:space="preserve">information that has been collected under anti-money laundering legislation. Consistent with</w:t>
      </w:r>
      <w:r>
        <w:t xml:space="preserve"> </w:t>
      </w:r>
      <w:r>
        <w:t xml:space="preserve">the once-only principle and in accordance with the existing well-established access</w:t>
      </w:r>
      <w:r>
        <w:t xml:space="preserve"> </w:t>
      </w:r>
      <w:r>
        <w:t xml:space="preserve">safeguards that have been applied at national level in accordance with the requirements of</w:t>
      </w:r>
      <w:r>
        <w:t xml:space="preserve"> </w:t>
      </w:r>
      <w:r>
        <w:t xml:space="preserve">the GDPR, this initiative will enhance access to relevant information under DAC5 in line</w:t>
      </w:r>
      <w:r>
        <w:t xml:space="preserve"> </w:t>
      </w:r>
      <w:r>
        <w:t xml:space="preserve">with the new Anti-Money Laundering Directive (Directive (EU) 2024/1640). More</w:t>
      </w:r>
      <w:r>
        <w:t xml:space="preserve"> </w:t>
      </w:r>
      <w:r>
        <w:t xml:space="preserve">specifically this enhancement will ensure that the tax authorities of Member States have the</w:t>
      </w:r>
      <w:r>
        <w:t xml:space="preserve"> </w:t>
      </w:r>
      <w:r>
        <w:t xml:space="preserve">necessary legal basis to access relevant information held by other public authorities at</w:t>
      </w:r>
      <w:r>
        <w:t xml:space="preserve"> </w:t>
      </w:r>
      <w:r>
        <w:t xml:space="preserve">national level with respect to ownership of and income from immovable property,</w:t>
      </w:r>
      <w:r>
        <w:t xml:space="preserve"> </w:t>
      </w:r>
      <w:r>
        <w:t xml:space="preserve">specifically the single access point for real estate information.</w:t>
      </w:r>
      <w:r>
        <w:t xml:space="preserve"> </w:t>
      </w:r>
      <w:r>
        <w:t xml:space="preserve">By providing tax authorities with a legal basis to access relevant information held by other</w:t>
      </w:r>
      <w:r>
        <w:t xml:space="preserve"> </w:t>
      </w:r>
      <w:r>
        <w:t xml:space="preserve">public authorities at national level this is also expected to significantly reduce the associated</w:t>
      </w:r>
      <w:r>
        <w:t xml:space="preserve"> </w:t>
      </w:r>
      <w:r>
        <w:t xml:space="preserve">technical implementation costs. However, these costs cannot be quantified, the main reasons</w:t>
      </w:r>
      <w:r>
        <w:t xml:space="preserve"> </w:t>
      </w:r>
      <w:r>
        <w:t xml:space="preserve">for this is the significant heterogeneity across Member States in terms of existing data-</w:t>
      </w:r>
      <w:r>
        <w:t xml:space="preserve"> </w:t>
      </w:r>
      <w:r>
        <w:t xml:space="preserve">sharing arrangements, IT infrastructures, legal frameworks and administrative capacities. In</w:t>
      </w:r>
      <w:r>
        <w:t xml:space="preserve"> </w:t>
      </w:r>
      <w:r>
        <w:t xml:space="preserve">some Member States, tax administrations already have relatively broad access to</w:t>
      </w:r>
      <w:r>
        <w:t xml:space="preserve"> </w:t>
      </w:r>
      <w:r>
        <w:t xml:space="preserve">information held by other public authorities, while in others such access remains limited and</w:t>
      </w:r>
      <w:r>
        <w:t xml:space="preserve"> </w:t>
      </w:r>
      <w:r>
        <w:t xml:space="preserve">would require more substantial adjustments.</w:t>
      </w:r>
    </w:p>
    <w:p>
      <w:pPr>
        <w:pStyle w:val="BodyText"/>
      </w:pPr>
      <w:r>
        <w:t xml:space="preserve">69 As at 2025, 24 of the 27 EU Member States impose, or may impose in specified cases, domestic withholding tax on outbound royalty</w:t>
      </w:r>
      <w:r>
        <w:t xml:space="preserve"> </w:t>
      </w:r>
      <w:r>
        <w:t xml:space="preserve">payments falling outside the exemption in Council Directive 2003/49/EC; the exceptions are Hungary, Luxembourg and Malta. See IBFD,</w:t>
      </w:r>
      <w:r>
        <w:t xml:space="preserve"> </w:t>
      </w:r>
      <w:r>
        <w:t xml:space="preserve">European Tax Handbook 2025, country surveys; see also IBFD, European Tax Handbook 2025, EU Direct Taxation chapter, section on</w:t>
      </w:r>
      <w:r>
        <w:t xml:space="preserve"> </w:t>
      </w:r>
      <w:r>
        <w:t xml:space="preserve">the Interest and Royalties Directive.“All 27 EU Member States include dividend income in the tax base of resident taxpayers. Following</w:t>
      </w:r>
      <w:r>
        <w:t xml:space="preserve"> </w:t>
      </w:r>
      <w:r>
        <w:t xml:space="preserve">the introduction of the concept of ‘non-custodial dividend income’ in the DAC8 amendments, Member States are required to exchange</w:t>
      </w:r>
      <w:r>
        <w:t xml:space="preserve"> </w:t>
      </w:r>
      <w:r>
        <w:t xml:space="preserve">information on dividends or dividend-equivalent income paid or credited to an account other than a custodial account, reflecting the fact</w:t>
      </w:r>
      <w:r>
        <w:t xml:space="preserve"> </w:t>
      </w:r>
      <w:r>
        <w:t xml:space="preserve">that such income remains taxable in the residence State notwithstanding its exclusion from CRS custodial-account reporting.” See Council</w:t>
      </w:r>
      <w:r>
        <w:t xml:space="preserve"> </w:t>
      </w:r>
      <w:r>
        <w:t xml:space="preserve">Directive (EU) 2023/2226 (DAC8), recitals and Article 8; IBFD, European Tax Handbook 2025, country chapters.</w:t>
      </w:r>
      <w:r>
        <w:t xml:space="preserve"> </w:t>
      </w:r>
      <w:r>
        <w:t xml:space="preserve">70 European Commission, “The Once Only Principle System: A breakthrough for the EU’s Digital Single Market”, available at: European</w:t>
      </w:r>
      <w:r>
        <w:t xml:space="preserve"> </w:t>
      </w:r>
      <w:r>
        <w:t xml:space="preserve">Commission – Once Only Principle System (accessed 17 May 2026).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 robust cost estimate would therefore require a detailed, country-by-country assessment of</w:t>
      </w:r>
      <w:r>
        <w:t xml:space="preserve"> </w:t>
      </w:r>
      <w:r>
        <w:t xml:space="preserve">(i) the current level of data integration, (ii) the additional data sources to be covered under</w:t>
      </w:r>
      <w:r>
        <w:t xml:space="preserve"> </w:t>
      </w:r>
      <w:r>
        <w:t xml:space="preserve">the policy option, and (iii) the technical and organisational changes needed to enable access</w:t>
      </w:r>
      <w:r>
        <w:t xml:space="preserve"> </w:t>
      </w:r>
      <w:r>
        <w:t xml:space="preserve">and exchange. Such granular and comparable information is not available at EU level and</w:t>
      </w:r>
      <w:r>
        <w:t xml:space="preserve"> </w:t>
      </w:r>
      <w:r>
        <w:t xml:space="preserve">goes beyond the scope of the present analysis. As a result, the magnitude of adjustment costs</w:t>
      </w:r>
      <w:r>
        <w:t xml:space="preserve"> </w:t>
      </w:r>
      <w:r>
        <w:t xml:space="preserve">is expected to vary considerably across Member States. That said, this option would</w:t>
      </w:r>
      <w:r>
        <w:t xml:space="preserve"> </w:t>
      </w:r>
      <w:r>
        <w:t xml:space="preserve">significantly improve the level playing field and completeness of the information available</w:t>
      </w:r>
      <w:r>
        <w:t xml:space="preserve"> </w:t>
      </w:r>
      <w:r>
        <w:t xml:space="preserve">to tax administrations, thereby strengthening their capacity to effectively assess and tax</w:t>
      </w:r>
      <w:r>
        <w:t xml:space="preserve"> </w:t>
      </w:r>
      <w:r>
        <w:t xml:space="preserve">cross-border income.</w:t>
      </w:r>
      <w:r>
        <w:t xml:space="preserve"> </w:t>
      </w:r>
      <w:r>
        <w:t xml:space="preserve">6.2 Impact on competitiveness and SME’s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By introducing targeted simplifications, greater harmonisation and clarity across existing</w:t>
      </w:r>
      <w:r>
        <w:t xml:space="preserve"> </w:t>
      </w:r>
      <w:r>
        <w:t xml:space="preserve">DAC instruments, the initiative is expected to have a positive impact on business cost</w:t>
      </w:r>
      <w:r>
        <w:t xml:space="preserve"> </w:t>
      </w:r>
      <w:r>
        <w:t xml:space="preserve">competitiveness. The proposed measures reduce administrative burdens associated with</w:t>
      </w:r>
      <w:r>
        <w:t xml:space="preserve"> </w:t>
      </w:r>
      <w:r>
        <w:t xml:space="preserve">reporting, notification and compliance obligations, thereby lowering recurring compliance</w:t>
      </w:r>
      <w:r>
        <w:t xml:space="preserve"> </w:t>
      </w:r>
      <w:r>
        <w:t xml:space="preserve">costs for businesses operating in the Internal Market. In particular, the removal or</w:t>
      </w:r>
      <w:r>
        <w:t xml:space="preserve"> </w:t>
      </w:r>
      <w:r>
        <w:t xml:space="preserve">streamlining of certain reporting requirements under DAC6 and DAC7, as well as the</w:t>
      </w:r>
      <w:r>
        <w:t xml:space="preserve"> </w:t>
      </w:r>
      <w:r>
        <w:t xml:space="preserve">elimination of duplicative notification processes under DAC4 and DAC9 are expected to</w:t>
      </w:r>
      <w:r>
        <w:t xml:space="preserve"> </w:t>
      </w:r>
      <w:r>
        <w:t xml:space="preserve">reduce operational complexity and associated costs for businesses.</w:t>
      </w:r>
      <w:r>
        <w:t xml:space="preserve"> </w:t>
      </w:r>
      <w:r>
        <w:t xml:space="preserve">The initiative is also expected to contribute to a more level playing field within the</w:t>
      </w:r>
      <w:r>
        <w:t xml:space="preserve"> </w:t>
      </w:r>
      <w:r>
        <w:t xml:space="preserve">Internal Market. By reducing divergences in the interpretation and application of reporting</w:t>
      </w:r>
      <w:r>
        <w:t xml:space="preserve"> </w:t>
      </w:r>
      <w:r>
        <w:t xml:space="preserve">obligations, the measures aim to facilitate cross-border activity and reduce compliance</w:t>
      </w:r>
      <w:r>
        <w:t xml:space="preserve"> </w:t>
      </w:r>
      <w:r>
        <w:t xml:space="preserve">frictions for businesses operating in multiple Member States. This, in turn will enhance the</w:t>
      </w:r>
      <w:r>
        <w:t xml:space="preserve"> </w:t>
      </w:r>
      <w:r>
        <w:t xml:space="preserve">overall competitiveness of EU businesses, including in comparison with businesses</w:t>
      </w:r>
      <w:r>
        <w:t xml:space="preserve"> </w:t>
      </w:r>
      <w:r>
        <w:t xml:space="preserve">operating in jurisdictions with less complex reporting frameworks.</w:t>
      </w:r>
      <w:r>
        <w:t xml:space="preserve"> </w:t>
      </w:r>
      <w:r>
        <w:t xml:space="preserve">While the initiative does not directly target business capacity to innovate, the reduction in</w:t>
      </w:r>
      <w:r>
        <w:t xml:space="preserve"> </w:t>
      </w:r>
      <w:r>
        <w:t xml:space="preserve">compliance costs may indirectly support investment and growth by freeing up resources that</w:t>
      </w:r>
      <w:r>
        <w:t xml:space="preserve"> </w:t>
      </w:r>
      <w:r>
        <w:t xml:space="preserve">can be reallocated to productive activities. Depending on business-specific decisions, such</w:t>
      </w:r>
      <w:r>
        <w:t xml:space="preserve"> </w:t>
      </w:r>
      <w:r>
        <w:t xml:space="preserve">resources could be used, for example, to support expansion, digitalisation, or innovation-</w:t>
      </w:r>
      <w:r>
        <w:t xml:space="preserve"> </w:t>
      </w:r>
      <w:r>
        <w:t xml:space="preserve">related investments. The magnitude of such effects remains uncertain, as it depends on how</w:t>
      </w:r>
      <w:r>
        <w:t xml:space="preserve"> </w:t>
      </w:r>
      <w:r>
        <w:t xml:space="preserve">businesses choose to use the resources made available through the reduction in</w:t>
      </w:r>
      <w:r>
        <w:t xml:space="preserve"> </w:t>
      </w:r>
      <w:r>
        <w:t xml:space="preserve">administrative burdens. The impact on business competitiveness is further analysed in the</w:t>
      </w:r>
      <w:r>
        <w:t xml:space="preserve"> </w:t>
      </w:r>
      <w:r>
        <w:t xml:space="preserve">Competitiveness Test (Annex 5).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Although the initiative does not include measures specifically targeted at SMEs, it is</w:t>
      </w:r>
      <w:r>
        <w:t xml:space="preserve"> </w:t>
      </w:r>
      <w:r>
        <w:t xml:space="preserve">expected to be particularly relevant for them due to the nature of tax compliance costs. Such</w:t>
      </w:r>
      <w:r>
        <w:t xml:space="preserve"> </w:t>
      </w:r>
      <w:r>
        <w:t xml:space="preserve">costs typically weigh more heavily on smaller businesses in relative terms, as they have</w:t>
      </w:r>
      <w:r>
        <w:t xml:space="preserve"> </w:t>
      </w:r>
      <w:r>
        <w:t xml:space="preserve">more limited administrative capacity and face higher fixed costs per reporting obligation</w:t>
      </w:r>
      <w:r>
        <w:t xml:space="preserve"> </w:t>
      </w:r>
      <w:r>
        <w:t xml:space="preserve">compared to large enterprises (see also Annex 6 “SME check” for more details).</w:t>
      </w:r>
      <w:r>
        <w:t xml:space="preserve"> </w:t>
      </w:r>
      <w:r>
        <w:t xml:space="preserve">Evidence from DAC6 reporting indicates that, among taxpayer filed reports, only a</w:t>
      </w:r>
      <w:r>
        <w:t xml:space="preserve"> </w:t>
      </w:r>
      <w:r>
        <w:t xml:space="preserve">relatively small share (around 8%) is attributable to large MNE groups with annual</w:t>
      </w:r>
      <w:r>
        <w:t xml:space="preserve"> </w:t>
      </w:r>
      <w:r>
        <w:t xml:space="preserve">consolidated revenues of at least 750 million. This implies that the vast majority of taxpayer</w:t>
      </w:r>
      <w:r>
        <w:t xml:space="preserve"> </w:t>
      </w:r>
      <w:r>
        <w:t xml:space="preserve">reporting entities, approximately 90% or more, consist of smaller businesses, including a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significant proportion of large SMEs (those at the upper limits of the SME threshold 71). As</w:t>
      </w:r>
      <w:r>
        <w:t xml:space="preserve"> </w:t>
      </w:r>
      <w:r>
        <w:t xml:space="preserve">a result, it can be assumed that SMEs account for a substantial share of DAC6 reporting</w:t>
      </w:r>
      <w:r>
        <w:t xml:space="preserve"> </w:t>
      </w:r>
      <w:r>
        <w:t xml:space="preserve">activity and are therefore directly affected by the associated reductions in compliance costs.</w:t>
      </w:r>
      <w:r>
        <w:t xml:space="preserve"> </w:t>
      </w:r>
      <w:r>
        <w:t xml:space="preserve">This is further supported by evidence collected through the call for evidence, where more</w:t>
      </w:r>
      <w:r>
        <w:t xml:space="preserve"> </w:t>
      </w:r>
      <w:r>
        <w:t xml:space="preserve">than three quarters of responding companies filing DAC6 reports identified themselves as</w:t>
      </w:r>
      <w:r>
        <w:t xml:space="preserve"> </w:t>
      </w:r>
      <w:r>
        <w:t xml:space="preserve">small or medium-sized enterprises. Taken together, this suggests that a substantial share of</w:t>
      </w:r>
      <w:r>
        <w:t xml:space="preserve"> </w:t>
      </w:r>
      <w:r>
        <w:t xml:space="preserve">the expected compliance cost savings from the proposed DAC6 simplifications is likely to</w:t>
      </w:r>
      <w:r>
        <w:t xml:space="preserve"> </w:t>
      </w:r>
      <w:r>
        <w:t xml:space="preserve">accrue to SMEs.</w:t>
      </w:r>
      <w:r>
        <w:t xml:space="preserve"> </w:t>
      </w:r>
      <w:r>
        <w:t xml:space="preserve">The proposed simplification measures, in particular the reduction of reporting obligations</w:t>
      </w:r>
      <w:r>
        <w:t xml:space="preserve"> </w:t>
      </w:r>
      <w:r>
        <w:t xml:space="preserve">under DAC6 and DAC7, are expected to reduce compliance costs for businesses across all</w:t>
      </w:r>
      <w:r>
        <w:t xml:space="preserve"> </w:t>
      </w:r>
      <w:r>
        <w:t xml:space="preserve">size categories. However, given that SMEs typically face higher compliance costs relative</w:t>
      </w:r>
      <w:r>
        <w:t xml:space="preserve"> </w:t>
      </w:r>
      <w:r>
        <w:t xml:space="preserve">to their size, these reductions are likely to be particularly beneficial for smaller businesses.</w:t>
      </w:r>
      <w:r>
        <w:t xml:space="preserve"> </w:t>
      </w:r>
      <w:r>
        <w:t xml:space="preserve">In relative terms, the resources made available from reduced compliance obligations may</w:t>
      </w:r>
      <w:r>
        <w:t xml:space="preserve"> </w:t>
      </w:r>
      <w:r>
        <w:t xml:space="preserve">represent a more significant share of operating costs for SMEs than for large enterprises.</w:t>
      </w:r>
      <w:r>
        <w:t xml:space="preserve"> </w:t>
      </w:r>
      <w:r>
        <w:t xml:space="preserve">More broadly, by reducing administrative complexity and improving legal clarity, the</w:t>
      </w:r>
      <w:r>
        <w:t xml:space="preserve"> </w:t>
      </w:r>
      <w:r>
        <w:t xml:space="preserve">initiative may facilitate SMEs’ participation in cross-border economic activities, where</w:t>
      </w:r>
      <w:r>
        <w:t xml:space="preserve"> </w:t>
      </w:r>
      <w:r>
        <w:t xml:space="preserve">compliance burdens have traditionally been identified as a barrier. While the measures do</w:t>
      </w:r>
      <w:r>
        <w:t xml:space="preserve"> </w:t>
      </w:r>
      <w:r>
        <w:t xml:space="preserve">not introduce SME-specific exemptions, they contribute to alleviating a structural</w:t>
      </w:r>
      <w:r>
        <w:t xml:space="preserve"> </w:t>
      </w:r>
      <w:r>
        <w:t xml:space="preserve">disadvantage faced by smaller businesses in navigating complex tax reporting frameworks</w:t>
      </w:r>
      <w:r>
        <w:t xml:space="preserve"> </w:t>
      </w:r>
      <w:r>
        <w:t xml:space="preserve">within the Internal Market. SME impacts are further analysed in the SME Test (Annex 6).</w:t>
      </w:r>
      <w:r>
        <w:t xml:space="preserve"> </w:t>
      </w:r>
      <w:r>
        <w:t xml:space="preserve">6.3 Other impacts</w:t>
      </w:r>
      <w:r>
        <w:br/>
      </w:r>
      <w:r>
        <w:t xml:space="preserve">The measures considered are not expected to have any direct and immediate impact on</w:t>
      </w:r>
      <w:r>
        <w:t xml:space="preserve"> </w:t>
      </w:r>
      <w:r>
        <w:t xml:space="preserve">environmental outcomes. However, by reducing compliance costs, they may indirectly free</w:t>
      </w:r>
      <w:r>
        <w:t xml:space="preserve"> </w:t>
      </w:r>
      <w:r>
        <w:t xml:space="preserve">up financial resources within companies. Depending on business priorities and existing</w:t>
      </w:r>
      <w:r>
        <w:t xml:space="preserve"> </w:t>
      </w:r>
      <w:r>
        <w:t xml:space="preserve">constraints, these resources could be channelled into a range of activities, including</w:t>
      </w:r>
      <w:r>
        <w:t xml:space="preserve"> </w:t>
      </w:r>
      <w:r>
        <w:t xml:space="preserve">investments in more environmentally sustainable technologies or processes. From an</w:t>
      </w:r>
      <w:r>
        <w:t xml:space="preserve"> </w:t>
      </w:r>
      <w:r>
        <w:t xml:space="preserve">employment and social perspective, lower compliance burdens may allow businesses to</w:t>
      </w:r>
      <w:r>
        <w:t xml:space="preserve"> </w:t>
      </w:r>
      <w:r>
        <w:t xml:space="preserve">reallocate resources towards productive uses, such as business expansion, workforce</w:t>
      </w:r>
      <w:r>
        <w:t xml:space="preserve"> </w:t>
      </w:r>
      <w:r>
        <w:t xml:space="preserve">recruitment, or employee training, and potentially also higher remuneration, resulting from</w:t>
      </w:r>
      <w:r>
        <w:t xml:space="preserve"> </w:t>
      </w:r>
      <w:r>
        <w:t xml:space="preserve">higher productivities of workers. Alternatively, companies may decide to distribute part of</w:t>
      </w:r>
      <w:r>
        <w:t xml:space="preserve"> </w:t>
      </w:r>
      <w:r>
        <w:t xml:space="preserve">these gains to shareholders. Improved tax transparency and more effective detection of tax</w:t>
      </w:r>
      <w:r>
        <w:t xml:space="preserve"> </w:t>
      </w:r>
      <w:r>
        <w:t xml:space="preserve">avoidance may indirectly support fair taxation and public finances. The scale and direction</w:t>
      </w:r>
      <w:r>
        <w:t xml:space="preserve"> </w:t>
      </w:r>
      <w:r>
        <w:t xml:space="preserve">of these indirect effects remain uncertain, as they depend on individual business decisions</w:t>
      </w:r>
      <w:r>
        <w:t xml:space="preserve"> </w:t>
      </w:r>
      <w:r>
        <w:t xml:space="preserve">regarding the use of the resources made available.</w:t>
      </w:r>
      <w:r>
        <w:t xml:space="preserve"> </w:t>
      </w:r>
      <w:r>
        <w:t xml:space="preserve">The initiative has also been also assessed with regard to its potential implications on</w:t>
      </w:r>
      <w:r>
        <w:t xml:space="preserve"> </w:t>
      </w:r>
      <w:r>
        <w:t xml:space="preserve">fundamental rights, in particular those enshrined in the Charter of Fundamental Rights of</w:t>
      </w:r>
      <w:r>
        <w:t xml:space="preserve"> </w:t>
      </w:r>
      <w:r>
        <w:t xml:space="preserve">the European Union72.</w:t>
      </w:r>
      <w:r>
        <w:br/>
      </w:r>
      <w:r>
        <w:t xml:space="preserve">Regarding the exchange of increased data sets due to TIN identification measures, with</w:t>
      </w:r>
      <w:r>
        <w:t xml:space="preserve"> </w:t>
      </w:r>
      <w:r>
        <w:t xml:space="preserve">respect to PO4b, it must be clarified from the outset there is no potential for an increase in</w:t>
      </w:r>
      <w:r>
        <w:t xml:space="preserve"> </w:t>
      </w:r>
      <w:r>
        <w:t xml:space="preserve">the data that is collected and exchanged as this policy option only focuses on introducing a</w:t>
      </w:r>
      <w:r>
        <w:t xml:space="preserve"> </w:t>
      </w:r>
      <w:r>
        <w:t xml:space="preserve">centralised system to enable tax authorities and, potentially, also reporting entities, to verify</w:t>
      </w:r>
    </w:p>
    <w:p>
      <w:pPr>
        <w:pStyle w:val="BodyText"/>
      </w:pPr>
      <w:r>
        <w:t xml:space="preserve">71 SMEs are defined in accordance with Commission Recommendation 2003/361/EC as enterprises with fewer than 250 employees and</w:t>
      </w:r>
      <w:r>
        <w:t xml:space="preserve"> </w:t>
      </w:r>
      <w:r>
        <w:t xml:space="preserve">either annual turnover not exceeding EUR 50 million or a balance sheet total not exceeding EUR 43 million.</w:t>
      </w:r>
      <w:r>
        <w:t xml:space="preserve"> </w:t>
      </w:r>
      <w:r>
        <w:t xml:space="preserve">72 Charter of Fundamental Rights of the European Union [2012] OJ C 326/391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correctness of the reported TIN. By enabling this TIN verification, PO4b envisages that</w:t>
      </w:r>
      <w:r>
        <w:t xml:space="preserve"> </w:t>
      </w:r>
      <w:r>
        <w:t xml:space="preserve">certain data points may no longer be required (if a validated TIN is provided), which is</w:t>
      </w:r>
      <w:r>
        <w:t xml:space="preserve"> </w:t>
      </w:r>
      <w:r>
        <w:t xml:space="preserve">therefore likely to lead to a reduction in the data points collected and exchanged. This</w:t>
      </w:r>
      <w:r>
        <w:t xml:space="preserve"> </w:t>
      </w:r>
      <w:r>
        <w:t xml:space="preserve">privacy by design mechanism actively promotes the GDPR principle of data minimisation.</w:t>
      </w:r>
      <w:r>
        <w:t xml:space="preserve"> </w:t>
      </w:r>
      <w:r>
        <w:t xml:space="preserve">For all configurations, by querying up-to-date national records rather than a centralised</w:t>
      </w:r>
      <w:r>
        <w:t xml:space="preserve"> </w:t>
      </w:r>
      <w:r>
        <w:t xml:space="preserve">repository, the decentralised architecture minimises the risk of processing outdated or</w:t>
      </w:r>
      <w:r>
        <w:t xml:space="preserve"> </w:t>
      </w:r>
      <w:r>
        <w:t xml:space="preserve">duplicated information.</w:t>
      </w:r>
      <w:r>
        <w:br/>
      </w:r>
      <w:r>
        <w:t xml:space="preserve">TINs qualify as personal data and validation requests necessarily involve accompanying the</w:t>
      </w:r>
      <w:r>
        <w:t xml:space="preserve"> </w:t>
      </w:r>
      <w:r>
        <w:t xml:space="preserve">TIN with additional taxpayer identifying elements (such as name, date of birth or place of</w:t>
      </w:r>
      <w:r>
        <w:t xml:space="preserve"> </w:t>
      </w:r>
      <w:r>
        <w:t xml:space="preserve">birth). The operation of the TIN verification system would thus engage Articles 7 and 8 of</w:t>
      </w:r>
      <w:r>
        <w:t xml:space="preserve"> </w:t>
      </w:r>
      <w:r>
        <w:t xml:space="preserve">the Charter, respectively, the rights to private and family life and to the protection of</w:t>
      </w:r>
      <w:r>
        <w:t xml:space="preserve"> </w:t>
      </w:r>
      <w:r>
        <w:t xml:space="preserve">personal data, as it would involve the processing of personal data relating to a large number</w:t>
      </w:r>
      <w:r>
        <w:t xml:space="preserve"> </w:t>
      </w:r>
      <w:r>
        <w:t xml:space="preserve">of EU taxpayers across all Member States on a continuous basis. The same applies to the</w:t>
      </w:r>
      <w:r>
        <w:t xml:space="preserve"> </w:t>
      </w:r>
      <w:r>
        <w:t xml:space="preserve">automatic exchange of information under DAC 1, to the extent that the measures involve the</w:t>
      </w:r>
      <w:r>
        <w:t xml:space="preserve"> </w:t>
      </w:r>
      <w:r>
        <w:t xml:space="preserve">collection, exchange or processing of information, including potentially personal data.</w:t>
      </w:r>
      <w:r>
        <w:t xml:space="preserve"> </w:t>
      </w:r>
      <w:r>
        <w:t xml:space="preserve">As regards the TIN verification system, first it must be clarified that it will be based on a</w:t>
      </w:r>
      <w:r>
        <w:t xml:space="preserve"> </w:t>
      </w:r>
      <w:r>
        <w:t xml:space="preserve">decentralised architecture (a gateway) that avoids central data storage: the gateway acts as a</w:t>
      </w:r>
      <w:r>
        <w:t xml:space="preserve"> </w:t>
      </w:r>
      <w:r>
        <w:t xml:space="preserve">distribution hub among the 27 national validation access points and does not itself store</w:t>
      </w:r>
      <w:r>
        <w:t xml:space="preserve"> </w:t>
      </w:r>
      <w:r>
        <w:t xml:space="preserve">personal data or national registry information, which limits the scope of EU-level</w:t>
      </w:r>
      <w:r>
        <w:t xml:space="preserve"> </w:t>
      </w:r>
      <w:r>
        <w:t xml:space="preserve">processing. Second, it will be designed based on a number of safeguard features, including</w:t>
      </w:r>
      <w:r>
        <w:t xml:space="preserve"> </w:t>
      </w:r>
      <w:r>
        <w:t xml:space="preserve">the following:</w:t>
      </w:r>
      <w:r>
        <w:br/>
      </w:r>
      <w:r>
        <w:t xml:space="preserve">• Restriction of input and output data to predefined minimum sets in light of data</w:t>
      </w:r>
      <w:r>
        <w:t xml:space="preserve"> </w:t>
      </w:r>
      <w:r>
        <w:t xml:space="preserve">minimisation and purpose limitation to tax administration objectives: under PO4b,</w:t>
      </w:r>
      <w:r>
        <w:t xml:space="preserve"> </w:t>
      </w:r>
      <w:r>
        <w:t xml:space="preserve">the system will only facilitate a yes/no confirmation for such operators.</w:t>
      </w:r>
      <w:r>
        <w:t xml:space="preserve"> </w:t>
      </w:r>
      <w:r>
        <w:t xml:space="preserve">• Transient data retention for individual queries: the Gateway will be designed to</w:t>
      </w:r>
      <w:r>
        <w:t xml:space="preserve"> </w:t>
      </w:r>
      <w:r>
        <w:t xml:space="preserve">perform without accessing or storing underlying national registry data. The Union-</w:t>
      </w:r>
      <w:r>
        <w:t xml:space="preserve"> </w:t>
      </w:r>
      <w:r>
        <w:t xml:space="preserve">level legal instrument establishing the verification system will clearly delineate the</w:t>
      </w:r>
      <w:r>
        <w:t xml:space="preserve"> </w:t>
      </w:r>
      <w:r>
        <w:t xml:space="preserve">roles and responsibilities of the Gateway operator and the national tax authorities, to</w:t>
      </w:r>
      <w:r>
        <w:t xml:space="preserve"> </w:t>
      </w:r>
      <w:r>
        <w:t xml:space="preserve">prevent accountability gaps, in particular as regards the handling of data subject</w:t>
      </w:r>
      <w:r>
        <w:t xml:space="preserve"> </w:t>
      </w:r>
      <w:r>
        <w:t xml:space="preserve">rights and the allocation of liability.</w:t>
      </w:r>
      <w:r>
        <w:t xml:space="preserve"> </w:t>
      </w:r>
      <w:r>
        <w:t xml:space="preserve">• Access controls: The verification system will operate solely for the purpose of</w:t>
      </w:r>
      <w:r>
        <w:t xml:space="preserve"> </w:t>
      </w:r>
      <w:r>
        <w:t xml:space="preserve">taxpayer identification in the context of administrative cooperation under the DAC.</w:t>
      </w:r>
      <w:r>
        <w:t xml:space="preserve"> </w:t>
      </w:r>
      <w:r>
        <w:t xml:space="preserve">The Union legal instrument establishing the verification system will clearly define</w:t>
      </w:r>
      <w:r>
        <w:t xml:space="preserve"> </w:t>
      </w:r>
      <w:r>
        <w:t xml:space="preserve">this purpose and preclude any secondary use incompatible with it. Moreover, to</w:t>
      </w:r>
      <w:r>
        <w:t xml:space="preserve"> </w:t>
      </w:r>
      <w:r>
        <w:t xml:space="preserve">prevent function creep, the verification system will be accessible on a need-to-know</w:t>
      </w:r>
      <w:r>
        <w:t xml:space="preserve"> </w:t>
      </w:r>
      <w:r>
        <w:t xml:space="preserve">basis only, with access limited to authorised personnel within tax authorities and,</w:t>
      </w:r>
      <w:r>
        <w:t xml:space="preserve"> </w:t>
      </w:r>
      <w:r>
        <w:t xml:space="preserve">where applicable, reporting entities with each organisation responsible for defining</w:t>
      </w:r>
      <w:r>
        <w:t xml:space="preserve"> </w:t>
      </w:r>
      <w:r>
        <w:t xml:space="preserve">internal access rights and procedures.</w:t>
      </w:r>
      <w:r>
        <w:br/>
      </w:r>
      <w:r>
        <w:t xml:space="preserve">• Audit logging: Traceability of use will be ensured through an audit log function,</w:t>
      </w:r>
      <w:r>
        <w:t xml:space="preserve"> </w:t>
      </w:r>
      <w:r>
        <w:t xml:space="preserve">which documents the actions carried out by each authorised account and, in the</w:t>
      </w:r>
      <w:r>
        <w:t xml:space="preserve"> </w:t>
      </w:r>
      <w:r>
        <w:t xml:space="preserve">context of optional use by reporting entities, could also support tax authorities in</w:t>
      </w:r>
      <w:r>
        <w:t xml:space="preserve"> </w:t>
      </w:r>
      <w:r>
        <w:t xml:space="preserve">avoiding duplicating validation requests already carried out.</w:t>
      </w:r>
      <w:r>
        <w:t xml:space="preserve"> </w:t>
      </w:r>
      <w:r>
        <w:t xml:space="preserve">• Architectural and technical safeguards providing secure communication</w:t>
      </w:r>
      <w:r>
        <w:t xml:space="preserve"> </w:t>
      </w:r>
      <w:r>
        <w:t xml:space="preserve">channels: For the use by tax authorities, the system will leverage the existing private</w:t>
      </w:r>
      <w:r>
        <w:t xml:space="preserve"> </w:t>
      </w:r>
      <w:r>
        <w:t xml:space="preserve">CCN/CSI network infrastructure of the European Commission, which substantially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limits exposure to external threats. Communication between reporting entities and</w:t>
      </w:r>
      <w:r>
        <w:t xml:space="preserve"> </w:t>
      </w:r>
      <w:r>
        <w:t xml:space="preserve">national validation access points will occur over the public Internet, requiring</w:t>
      </w:r>
      <w:r>
        <w:t xml:space="preserve"> </w:t>
      </w:r>
      <w:r>
        <w:t xml:space="preserve">appropriate, hardened network level security measures—on the side of each national</w:t>
      </w:r>
      <w:r>
        <w:t xml:space="preserve"> </w:t>
      </w:r>
      <w:r>
        <w:t xml:space="preserve">validation access points. At the data transport level, communication between</w:t>
      </w:r>
      <w:r>
        <w:t xml:space="preserve"> </w:t>
      </w:r>
      <w:r>
        <w:t xml:space="preserve">reporting entities and national validation access points must deploy secure</w:t>
      </w:r>
      <w:r>
        <w:t xml:space="preserve"> </w:t>
      </w:r>
      <w:r>
        <w:t xml:space="preserve">communication protocols, and digital certificates or credentials for system-to-system</w:t>
      </w:r>
      <w:r>
        <w:t xml:space="preserve"> </w:t>
      </w:r>
      <w:r>
        <w:t xml:space="preserve">communication.</w:t>
      </w:r>
    </w:p>
    <w:p>
      <w:pPr>
        <w:pStyle w:val="BodyText"/>
      </w:pPr>
      <w:r>
        <w:t xml:space="preserve">As regards the collection and exchange of information available in the files of other national</w:t>
      </w:r>
      <w:r>
        <w:t xml:space="preserve"> </w:t>
      </w:r>
      <w:r>
        <w:t xml:space="preserve">public entities(PO5c), it is important to clarify that this policy option does not require the</w:t>
      </w:r>
      <w:r>
        <w:t xml:space="preserve"> </w:t>
      </w:r>
      <w:r>
        <w:t xml:space="preserve">centralisation of information held by different national authorities in one single</w:t>
      </w:r>
      <w:r>
        <w:t xml:space="preserve"> </w:t>
      </w:r>
      <w:r>
        <w:t xml:space="preserve">communication system but only requires that this information is shared with tax</w:t>
      </w:r>
      <w:r>
        <w:t xml:space="preserve"> </w:t>
      </w:r>
      <w:r>
        <w:t xml:space="preserve">administrations or that tax administration have access to the information so that it can be</w:t>
      </w:r>
      <w:r>
        <w:t xml:space="preserve"> </w:t>
      </w:r>
      <w:r>
        <w:t xml:space="preserve">subsequently exchanged. In other words, the fact that certain information is not immediately</w:t>
      </w:r>
      <w:r>
        <w:t xml:space="preserve"> </w:t>
      </w:r>
      <w:r>
        <w:t xml:space="preserve">available in the tax files of the tax administration should no longer prevent tax</w:t>
      </w:r>
      <w:r>
        <w:t xml:space="preserve"> </w:t>
      </w:r>
      <w:r>
        <w:t xml:space="preserve">administrations from exchanging this information, if that information is available in the files</w:t>
      </w:r>
      <w:r>
        <w:t xml:space="preserve"> </w:t>
      </w:r>
      <w:r>
        <w:t xml:space="preserve">of other relevant public authorities at national level (therefore excluding regional and local</w:t>
      </w:r>
      <w:r>
        <w:t xml:space="preserve"> </w:t>
      </w:r>
      <w:r>
        <w:t xml:space="preserve">level, which would be much more difficult and costly to implement).</w:t>
      </w:r>
    </w:p>
    <w:p>
      <w:pPr>
        <w:pStyle w:val="BodyText"/>
      </w:pPr>
      <w:r>
        <w:t xml:space="preserve">As mentioned above, this will be achieved by enhancing the DAC5 legal basis to provide</w:t>
      </w:r>
      <w:r>
        <w:t xml:space="preserve"> </w:t>
      </w:r>
      <w:r>
        <w:t xml:space="preserve">access to updated and relevant AML information for tax authorities. As regards additional</w:t>
      </w:r>
      <w:r>
        <w:t xml:space="preserve"> </w:t>
      </w:r>
      <w:r>
        <w:t xml:space="preserve">safeguards required under the GDPR, those in place both at the level of Member States and</w:t>
      </w:r>
      <w:r>
        <w:t xml:space="preserve"> </w:t>
      </w:r>
      <w:r>
        <w:t xml:space="preserve">at the level of the Commission covering the processing of personal data will continue to</w:t>
      </w:r>
      <w:r>
        <w:t xml:space="preserve"> </w:t>
      </w:r>
      <w:r>
        <w:t xml:space="preserve">apply. For example, for tax authorities, user authentication and authorisation are managed</w:t>
      </w:r>
      <w:r>
        <w:t xml:space="preserve"> </w:t>
      </w:r>
      <w:r>
        <w:t xml:space="preserve">through existing national Identity and Access Management (IAM) frameworks. In addition,</w:t>
      </w:r>
      <w:r>
        <w:t xml:space="preserve"> </w:t>
      </w:r>
      <w:r>
        <w:t xml:space="preserve">for the use by tax authorities, the system will leverage the existing private CCN/CSI network</w:t>
      </w:r>
      <w:r>
        <w:t xml:space="preserve"> </w:t>
      </w:r>
      <w:r>
        <w:t xml:space="preserve">infrastructure of the European Commission, which substantially limits exposure to external</w:t>
      </w:r>
      <w:r>
        <w:t xml:space="preserve"> </w:t>
      </w:r>
      <w:r>
        <w:t xml:space="preserve">threats.</w:t>
      </w:r>
    </w:p>
    <w:p>
      <w:pPr>
        <w:pStyle w:val="BodyText"/>
      </w:pPr>
      <w:r>
        <w:t xml:space="preserve">The initiative is therefore, overall, considered to be compatible with the Charter of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comparison assesses the extent to which the options contribute to achieving the specific</w:t>
      </w:r>
      <w:r>
        <w:t xml:space="preserve"> </w:t>
      </w:r>
      <w:r>
        <w:t xml:space="preserve">objectives of reducing complexity and improving legal clarity and certainty, ensuring</w:t>
      </w:r>
      <w:r>
        <w:t xml:space="preserve"> </w:t>
      </w:r>
      <w:r>
        <w:t xml:space="preserve">reporting and notification obligations are proportionate and better targeted while preserving</w:t>
      </w:r>
      <w:r>
        <w:t xml:space="preserve"> </w:t>
      </w:r>
      <w:r>
        <w:t xml:space="preserve">the policy objectives, and improving the effectiveness and usability of information</w:t>
      </w:r>
      <w:r>
        <w:t xml:space="preserve"> </w:t>
      </w:r>
      <w:r>
        <w:t xml:space="preserve">exchanged between Member States. The relative effectiveness of the different options</w:t>
      </w:r>
      <w:r>
        <w:t xml:space="preserve"> </w:t>
      </w:r>
      <w:r>
        <w:t xml:space="preserve">against the general and specific objectives is summarised in each table. The symbol ‘0’</w:t>
      </w:r>
      <w:r>
        <w:t xml:space="preserve"> </w:t>
      </w:r>
      <w:r>
        <w:t xml:space="preserve">represents no change compared to the baseline ‘no action’ while ‘+’ (/ “ –“) symbols point</w:t>
      </w:r>
      <w:r>
        <w:t xml:space="preserve"> </w:t>
      </w:r>
      <w:r>
        <w:t xml:space="preserve">to a better/ worse performance of the option compared to the baseline. Performance</w:t>
      </w:r>
      <w:r>
        <w:t xml:space="preserve"> </w:t>
      </w:r>
      <w:r>
        <w:t xml:space="preserve">increases with the number of ‘+’ (/ “ –“) symbols.</w:t>
      </w:r>
      <w:r>
        <w:t xml:space="preserve"> </w:t>
      </w:r>
      <w:r>
        <w:t xml:space="preserve">Measure 1 – Ensuring that DAC6 reporting obligations remain proportionate and</w:t>
      </w:r>
      <w:r>
        <w:t xml:space="preserve"> </w:t>
      </w:r>
      <w:r>
        <w:t xml:space="preserve">effective while promoting a more harmonised application of the MBT</w:t>
      </w:r>
      <w:r>
        <w:t xml:space="preserve"> </w:t>
      </w:r>
      <w:r>
        <w:t xml:space="preserve">PO1a excludes all companies within the scope of the Pillar 2 Directive from reporting under DAC6. PO1b</w:t>
      </w:r>
      <w:r>
        <w:t xml:space="preserve"> </w:t>
      </w:r>
      <w:r>
        <w:t xml:space="preserve">involves PO1a + removing reporting requirements related to generic hallmarks (category A), combined with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guidance on application of MBT to the remaining hallmarks subject to the test. PO1c involves PO1a +</w:t>
      </w:r>
      <w:r>
        <w:t xml:space="preserve"> </w:t>
      </w:r>
      <w:r>
        <w:t xml:space="preserve">removing reporting requirements related to generic hallmarks (category A), removing the MBT and revising</w:t>
      </w:r>
      <w:r>
        <w:t xml:space="preserve"> </w:t>
      </w:r>
      <w:r>
        <w:t xml:space="preserve">the remaining hallmarks previously subject to the test.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Reduce complexity and improve legal clarity and</w:t>
      </w:r>
      <w:r>
        <w:t xml:space="preserve"> </w:t>
      </w:r>
      <w:r>
        <w:t xml:space="preserve">legal certainty for stakeholders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Ensure reporting and notification obligations are</w:t>
      </w:r>
      <w:r>
        <w:t xml:space="preserve"> </w:t>
      </w:r>
      <w:r>
        <w:t xml:space="preserve">proportionate and better targeted while</w:t>
      </w:r>
      <w:r>
        <w:t xml:space="preserve"> </w:t>
      </w:r>
      <w:r>
        <w:t xml:space="preserve">preserving the policy objectives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Improve the effectiveness and usability of</w:t>
      </w:r>
      <w:r>
        <w:t xml:space="preserve"> </w:t>
      </w:r>
      <w:r>
        <w:t xml:space="preserve">exchanged information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The policy options contribute to different positive degrees, to the specific objectives of the</w:t>
      </w:r>
      <w:r>
        <w:t xml:space="preserve"> </w:t>
      </w:r>
      <w:r>
        <w:t xml:space="preserve">initiative and to the reduction of compliance costs. PO1a would significantly improve the</w:t>
      </w:r>
      <w:r>
        <w:t xml:space="preserve"> </w:t>
      </w:r>
      <w:r>
        <w:t xml:space="preserve">proportionality of the reporting framework and reduce the administrative burden for the</w:t>
      </w:r>
      <w:r>
        <w:t xml:space="preserve"> </w:t>
      </w:r>
      <w:r>
        <w:t xml:space="preserve">3,000 MNE groups within the scope of the Pillar 2 Directive. Simultaneously it is not</w:t>
      </w:r>
      <w:r>
        <w:t xml:space="preserve"> </w:t>
      </w:r>
      <w:r>
        <w:t xml:space="preserve">expected to negatively impact on the fight against tax fraud, evasion and avoidance due to</w:t>
      </w:r>
      <w:r>
        <w:t xml:space="preserve"> </w:t>
      </w:r>
      <w:r>
        <w:t xml:space="preserve">the Pillar 2 minimum effective tax rules. PO1b would have a greater impact on the</w:t>
      </w:r>
      <w:r>
        <w:t xml:space="preserve"> </w:t>
      </w:r>
      <w:r>
        <w:t xml:space="preserve">proportionality of the framework than PO1a as it further reduces reporting volumes and</w:t>
      </w:r>
      <w:r>
        <w:t xml:space="preserve"> </w:t>
      </w:r>
      <w:r>
        <w:t xml:space="preserve">their associated costs for arrangements that provide limited added value for tax</w:t>
      </w:r>
      <w:r>
        <w:t xml:space="preserve"> </w:t>
      </w:r>
      <w:r>
        <w:t xml:space="preserve">administrations, thereby preserving the policy objectives. In addition, targeted guidance on</w:t>
      </w:r>
      <w:r>
        <w:t xml:space="preserve"> </w:t>
      </w:r>
      <w:r>
        <w:t xml:space="preserve">the interpretation of the MBT for the remaining hallmarks would promote greater</w:t>
      </w:r>
      <w:r>
        <w:t xml:space="preserve"> </w:t>
      </w:r>
      <w:r>
        <w:t xml:space="preserve">consistency in its application across Member States, thereby improving legal certainty for</w:t>
      </w:r>
      <w:r>
        <w:t xml:space="preserve"> </w:t>
      </w:r>
      <w:r>
        <w:t xml:space="preserve">intermediaries and taxpayers. PO1c would go further by removing the MBT from the</w:t>
      </w:r>
      <w:r>
        <w:t xml:space="preserve"> </w:t>
      </w:r>
      <w:r>
        <w:t xml:space="preserve">remaining hallmarks currently subject to the test and replacing it with revised hallmarks</w:t>
      </w:r>
      <w:r>
        <w:t xml:space="preserve"> </w:t>
      </w:r>
      <w:r>
        <w:t xml:space="preserve">based on objective criteria. While this is expected to address the complexity related to the</w:t>
      </w:r>
      <w:r>
        <w:t xml:space="preserve"> </w:t>
      </w:r>
      <w:r>
        <w:t xml:space="preserve">MBT, the impact on reporting outcomes is not predictable. While the removal of the MBT</w:t>
      </w:r>
      <w:r>
        <w:t xml:space="preserve"> </w:t>
      </w:r>
      <w:r>
        <w:t xml:space="preserve">may reduce defensive reporting (i.e. situations where intermediaries choose to report in</w:t>
      </w:r>
      <w:r>
        <w:t xml:space="preserve"> </w:t>
      </w:r>
      <w:r>
        <w:t xml:space="preserve">cases of uncertainty due to the complexity of the test), several business stakeholders have</w:t>
      </w:r>
      <w:r>
        <w:t xml:space="preserve"> </w:t>
      </w:r>
      <w:r>
        <w:t xml:space="preserve">indicated that the MBT can provide useful guidance to intermediaries in assessing whether</w:t>
      </w:r>
      <w:r>
        <w:t xml:space="preserve"> </w:t>
      </w:r>
      <w:r>
        <w:t xml:space="preserve">an arrangement is reportable therefore limiting disclosures by acting as a filter.</w:t>
      </w:r>
      <w:r>
        <w:br/>
      </w:r>
      <w:r>
        <w:t xml:space="preserve">Moreover, the redesign of some of the hallmarks would involve higher adjustment costs for</w:t>
      </w:r>
      <w:r>
        <w:t xml:space="preserve"> </w:t>
      </w:r>
      <w:r>
        <w:t xml:space="preserve">reporting entities than PO1b as this would require updates to internal procedures,</w:t>
      </w:r>
      <w:r>
        <w:t xml:space="preserve"> </w:t>
      </w:r>
      <w:r>
        <w:t xml:space="preserve">compliance systems and staff training. This was one of the key findings from the targeted</w:t>
      </w:r>
      <w:r>
        <w:t xml:space="preserve"> </w:t>
      </w:r>
      <w:r>
        <w:t xml:space="preserve">consultations with business stakeholders as they stated that further modifications to the</w:t>
      </w:r>
      <w:r>
        <w:t xml:space="preserve"> </w:t>
      </w:r>
      <w:r>
        <w:t xml:space="preserve">DAC6 reporting hallmarks should be avoided as they would require businesses to once again</w:t>
      </w:r>
      <w:r>
        <w:t xml:space="preserve"> </w:t>
      </w:r>
      <w:r>
        <w:t xml:space="preserve">adapt their internal reporting systems and compliance processes, which would increase</w:t>
      </w:r>
      <w:r>
        <w:t xml:space="preserve"> </w:t>
      </w:r>
      <w:r>
        <w:t xml:space="preserve">compliance costs.</w:t>
      </w:r>
      <w:r>
        <w:t xml:space="preserve"> </w:t>
      </w:r>
      <w:r>
        <w:t xml:space="preserve">All options will reduce the complexity and enhance the legal certainty of the framework for</w:t>
      </w:r>
      <w:r>
        <w:t xml:space="preserve"> </w:t>
      </w:r>
      <w:r>
        <w:t xml:space="preserve">all stakeholders. This is more limited for PO1a than PO1b and PO1c, as all companies and</w:t>
      </w:r>
      <w:r>
        <w:t xml:space="preserve"> </w:t>
      </w:r>
      <w:r>
        <w:t xml:space="preserve">intermediaries benefit from the latter two options. All options are expected to improve the</w:t>
      </w:r>
      <w:r>
        <w:t xml:space="preserve"> </w:t>
      </w:r>
      <w:r>
        <w:t xml:space="preserve">effectiveness and use of information. PO1b scores higher than PO1a as it ensures that tax</w:t>
      </w:r>
      <w:r>
        <w:t xml:space="preserve"> </w:t>
      </w:r>
      <w:r>
        <w:t xml:space="preserve">administrations can better dedicate resources to arrangements that present a higher risk of</w:t>
      </w:r>
      <w:r>
        <w:t xml:space="preserve"> </w:t>
      </w:r>
      <w:r>
        <w:t xml:space="preserve">tax fraud, evasion and avoidance thereby further improving the functioning of the Internal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Market and strengthening competitiveness. PO1c scores slightly lower than PO1b due to</w:t>
      </w:r>
      <w:r>
        <w:t xml:space="preserve"> </w:t>
      </w:r>
      <w:r>
        <w:t xml:space="preserve">the less predictable nature of revised reporting outcomes.</w:t>
      </w:r>
      <w:r>
        <w:br/>
      </w:r>
      <w:r>
        <w:t xml:space="preserve">Efficiency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Companies and intermediaries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One-off adjustment and implementation</w:t>
      </w:r>
      <w:r>
        <w:t xml:space="preserve"> </w:t>
      </w:r>
      <w:r>
        <w:t xml:space="preserve">costs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One-off adjustment and implementation</w:t>
      </w:r>
      <w:r>
        <w:t xml:space="preserve"> </w:t>
      </w:r>
      <w:r>
        <w:t xml:space="preserve">costs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Measure 2 – Amending the reporting threshold for activities involving the sale of goods</w:t>
      </w:r>
      <w:r>
        <w:t xml:space="preserve"> </w:t>
      </w:r>
      <w:r>
        <w:t xml:space="preserve">under DAC7</w:t>
      </w:r>
      <w:r>
        <w:br/>
      </w:r>
      <w:r>
        <w:t xml:space="preserve">PO2a removes the activity threshold of 30 transactions while retaining the monetary threshold of EUR 2,000.</w:t>
      </w:r>
      <w:r>
        <w:t xml:space="preserve"> </w:t>
      </w:r>
      <w:r>
        <w:t xml:space="preserve">PO2b removes the activity threshold and increases the monetary threshold to EUR 3,000. PO2c removes the</w:t>
      </w:r>
      <w:r>
        <w:t xml:space="preserve"> </w:t>
      </w:r>
      <w:r>
        <w:t xml:space="preserve">activity threshold and increases the monetary threshold to EUR 5,000.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Baseline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Reducing complexity and</w:t>
      </w:r>
      <w:r>
        <w:t xml:space="preserve"> </w:t>
      </w:r>
      <w:r>
        <w:t xml:space="preserve">improving legal clarity and</w:t>
      </w:r>
      <w:r>
        <w:t xml:space="preserve"> </w:t>
      </w:r>
      <w:r>
        <w:t xml:space="preserve">certainty for stakeholders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br/>
      </w:r>
      <w:r>
        <w:t xml:space="preserve">++</w:t>
      </w:r>
      <w:r>
        <w:t xml:space="preserve"> </w:t>
      </w:r>
      <w:r>
        <w:t xml:space="preserve">Ensuring reporting</w:t>
      </w:r>
      <w:r>
        <w:t xml:space="preserve"> </w:t>
      </w:r>
      <w:r>
        <w:t xml:space="preserve">obligations are</w:t>
      </w:r>
      <w:r>
        <w:t xml:space="preserve"> </w:t>
      </w:r>
      <w:r>
        <w:t xml:space="preserve">proportionate and better</w:t>
      </w:r>
      <w:r>
        <w:t xml:space="preserve"> </w:t>
      </w:r>
      <w:r>
        <w:t xml:space="preserve">targeted while preserving</w:t>
      </w:r>
      <w:r>
        <w:t xml:space="preserve"> </w:t>
      </w:r>
      <w:r>
        <w:t xml:space="preserve">policy objectives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Improving the</w:t>
      </w:r>
      <w:r>
        <w:t xml:space="preserve"> </w:t>
      </w:r>
      <w:r>
        <w:t xml:space="preserve">effectiveness and usability</w:t>
      </w:r>
      <w:r>
        <w:t xml:space="preserve"> </w:t>
      </w:r>
      <w:r>
        <w:t xml:space="preserve">of exchanged information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The policy options contribute to different degrees, to the specific objectives of the initiative</w:t>
      </w:r>
      <w:r>
        <w:t xml:space="preserve"> </w:t>
      </w:r>
      <w:r>
        <w:t xml:space="preserve">and to the reduction of compliance costs. While all options reduce compliance costs for</w:t>
      </w:r>
      <w:r>
        <w:t xml:space="preserve"> </w:t>
      </w:r>
      <w:r>
        <w:t xml:space="preserve">business stakeholders and improve legal certainty, certain options score lower as they do not</w:t>
      </w:r>
      <w:r>
        <w:t xml:space="preserve"> </w:t>
      </w:r>
      <w:r>
        <w:t xml:space="preserve">fully preserve the policy objectives and improve the effectiveness and use of information.</w:t>
      </w:r>
      <w:r>
        <w:t xml:space="preserve"> </w:t>
      </w:r>
      <w:r>
        <w:t xml:space="preserve">This is the case for PO2c, as increasing the monetary threshold to EUR 5,000 will mean that</w:t>
      </w:r>
      <w:r>
        <w:t xml:space="preserve"> </w:t>
      </w:r>
      <w:r>
        <w:t xml:space="preserve">tax administrations may no longer receive information that is relevant for the application of</w:t>
      </w:r>
      <w:r>
        <w:t xml:space="preserve"> </w:t>
      </w:r>
      <w:r>
        <w:t xml:space="preserve">national tax rules.</w:t>
      </w:r>
      <w:r>
        <w:t xml:space="preserve"> </w:t>
      </w:r>
      <w:r>
        <w:t xml:space="preserve">Under PO2a reporting obligations would be triggered solely by the value of the income</w:t>
      </w:r>
      <w:r>
        <w:t xml:space="preserve"> </w:t>
      </w:r>
      <w:r>
        <w:t xml:space="preserve">received, eliminating reporting linked to sellers carrying out a high number of low-value</w:t>
      </w:r>
      <w:r>
        <w:t xml:space="preserve"> </w:t>
      </w:r>
      <w:r>
        <w:t xml:space="preserve">transactions. PO2b further simplifies the framework by introducing a single monetary</w:t>
      </w:r>
      <w:r>
        <w:t xml:space="preserve"> </w:t>
      </w:r>
      <w:r>
        <w:t xml:space="preserve">reporting threshold of EUR 3,000. This improves legal clarity for reporting entities and</w:t>
      </w:r>
      <w:r>
        <w:t xml:space="preserve"> </w:t>
      </w:r>
      <w:r>
        <w:t xml:space="preserve">ensures that reporting obligations are triggered primarily by economically meaningful levels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of activity. The option also improves the targeting of reporting obligations by excluding</w:t>
      </w:r>
      <w:r>
        <w:t xml:space="preserve"> </w:t>
      </w:r>
      <w:r>
        <w:t xml:space="preserve">low-value sellers whose transactions are unlikely to generate tax relevant income. Policy</w:t>
      </w:r>
      <w:r>
        <w:t xml:space="preserve"> </w:t>
      </w:r>
      <w:r>
        <w:t xml:space="preserve">Option 2c would reduce reporting volumes even further by increasing the monetary</w:t>
      </w:r>
      <w:r>
        <w:t xml:space="preserve"> </w:t>
      </w:r>
      <w:r>
        <w:t xml:space="preserve">threshold to EUR 5,000. However, this option would also reduce the availability of tax</w:t>
      </w:r>
      <w:r>
        <w:t xml:space="preserve"> </w:t>
      </w:r>
      <w:r>
        <w:t xml:space="preserve">relevant information and therefore performs less strongly in terms of effectiveness as it may</w:t>
      </w:r>
      <w:r>
        <w:t xml:space="preserve"> </w:t>
      </w:r>
      <w:r>
        <w:t xml:space="preserve">negatively impact on preserving the policy objectives.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Companies (platform operators)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One-off implementation 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One-off adjustment and implementation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All options generate efficiency gains by reducing reporting obligations for digital platform</w:t>
      </w:r>
      <w:r>
        <w:t xml:space="preserve"> </w:t>
      </w:r>
      <w:r>
        <w:t xml:space="preserve">operators. PO2a would reduce the administrative costs for platforms related to reports linked</w:t>
      </w:r>
      <w:r>
        <w:t xml:space="preserve"> </w:t>
      </w:r>
      <w:r>
        <w:t xml:space="preserve">to sellers carrying out a high number of low-value transactions, as reporting obligations</w:t>
      </w:r>
      <w:r>
        <w:t xml:space="preserve"> </w:t>
      </w:r>
      <w:r>
        <w:t xml:space="preserve">would be triggered solely by the EUR 2,000 monetary threshold. PO2b would further reduce</w:t>
      </w:r>
      <w:r>
        <w:t xml:space="preserve"> </w:t>
      </w:r>
      <w:r>
        <w:t xml:space="preserve">administrative costs for platforms by increasing the standalone monetary threshold to EUR</w:t>
      </w:r>
      <w:r>
        <w:t xml:space="preserve"> </w:t>
      </w:r>
      <w:r>
        <w:t xml:space="preserve">3,000 whilst continuing to ensure reporting on economically relevant activity. PO2c would</w:t>
      </w:r>
      <w:r>
        <w:t xml:space="preserve"> </w:t>
      </w:r>
      <w:r>
        <w:t xml:space="preserve">result in the highest reduction of administrative costs for platforms as reporting volumes</w:t>
      </w:r>
      <w:r>
        <w:t xml:space="preserve"> </w:t>
      </w:r>
      <w:r>
        <w:t xml:space="preserve">would significantly decrease due to the increase of the reporting threshold to EUR 5,000.</w:t>
      </w:r>
      <w:r>
        <w:t xml:space="preserve"> </w:t>
      </w:r>
      <w:r>
        <w:t xml:space="preserve">However, there are expected to be one-off minor implementation costs for companies due</w:t>
      </w:r>
      <w:r>
        <w:t xml:space="preserve"> </w:t>
      </w:r>
      <w:r>
        <w:t xml:space="preserve">to the reconfiguration of reporting processes.</w:t>
      </w:r>
      <w:r>
        <w:br/>
      </w:r>
      <w:r>
        <w:t xml:space="preserve">Similarly, there will be a reduction of administrative costs for tax administrations as they</w:t>
      </w:r>
      <w:r>
        <w:t xml:space="preserve"> </w:t>
      </w:r>
      <w:r>
        <w:t xml:space="preserve">will be able to deploy resources to areas that present a greater risk of tax fraud, evasion and</w:t>
      </w:r>
      <w:r>
        <w:t xml:space="preserve"> </w:t>
      </w:r>
      <w:r>
        <w:t xml:space="preserve">avoidance. However, as far as PO2c is concerned, the savings are partially offset by the fact</w:t>
      </w:r>
      <w:r>
        <w:t xml:space="preserve"> </w:t>
      </w:r>
      <w:r>
        <w:t xml:space="preserve">that Member States may lose information that is relevant for tax purposes and, therefore,</w:t>
      </w:r>
      <w:r>
        <w:t xml:space="preserve"> </w:t>
      </w:r>
      <w:r>
        <w:t xml:space="preserve">may need to carry out additional compliance activities to effectively apply their tax rules.</w:t>
      </w:r>
      <w:r>
        <w:t xml:space="preserve"> </w:t>
      </w:r>
      <w:r>
        <w:t xml:space="preserve">There are expected to be no adjustment and implementation costs for tax administrations as</w:t>
      </w:r>
      <w:r>
        <w:t xml:space="preserve"> </w:t>
      </w:r>
      <w:r>
        <w:t xml:space="preserve">every option removes reporting obligations thereby negating the need for IT adjustments.</w:t>
      </w:r>
      <w:r>
        <w:br/>
      </w:r>
      <w:r>
        <w:t xml:space="preserve">Measure 3 – Streamlining notification obligations for MNE group under DAC4 and</w:t>
      </w:r>
      <w:r>
        <w:t xml:space="preserve"> </w:t>
      </w:r>
      <w:r>
        <w:t xml:space="preserve">DAC9</w:t>
      </w:r>
      <w:r>
        <w:t xml:space="preserve"> </w:t>
      </w:r>
      <w:r>
        <w:t xml:space="preserve">PO3a introduce a single notification obligation covering DAC4 and DAC9, including a harmonised filing</w:t>
      </w:r>
      <w:r>
        <w:t xml:space="preserve"> </w:t>
      </w:r>
      <w:r>
        <w:t xml:space="preserve">deadline and a common notification template. PO3b builds on PO3a and adds a central filing of the single</w:t>
      </w:r>
      <w:r>
        <w:t xml:space="preserve"> </w:t>
      </w:r>
      <w:r>
        <w:t xml:space="preserve">notification followed by exchange of information between Member States.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Reducing complexity and improving legal</w:t>
      </w:r>
      <w:r>
        <w:t xml:space="preserve"> </w:t>
      </w:r>
      <w:r>
        <w:t xml:space="preserve">clarity and certainty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Ensuring reporting and notification obligations</w:t>
      </w:r>
      <w:r>
        <w:t xml:space="preserve"> </w:t>
      </w:r>
      <w:r>
        <w:t xml:space="preserve">are proportionate and better targeted while</w:t>
      </w:r>
      <w:r>
        <w:t xml:space="preserve"> </w:t>
      </w:r>
      <w:r>
        <w:t xml:space="preserve">preserving policy objectives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Improving the effectiveness and usability of</w:t>
      </w:r>
      <w:r>
        <w:t xml:space="preserve"> </w:t>
      </w:r>
      <w:r>
        <w:t xml:space="preserve">exchanged information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Both options address the duplication in notification obligations for MNE groups under</w:t>
      </w:r>
      <w:r>
        <w:t xml:space="preserve"> </w:t>
      </w:r>
      <w:r>
        <w:t xml:space="preserve">DAC4 and DAC9 and therefore positively contribute to all 3 specific objectives. PO3a</w:t>
      </w:r>
      <w:r>
        <w:t xml:space="preserve"> </w:t>
      </w:r>
      <w:r>
        <w:t xml:space="preserve">would improve legal clarity and certainty and reduce complexity by introducing a single</w:t>
      </w:r>
      <w:r>
        <w:t xml:space="preserve"> </w:t>
      </w:r>
      <w:r>
        <w:t xml:space="preserve">harmonised notification that supports the reporting requirements for both DAC4 and DAC9.</w:t>
      </w:r>
      <w:r>
        <w:t xml:space="preserve"> </w:t>
      </w:r>
      <w:r>
        <w:t xml:space="preserve">This would reduce parallel compliance processes within MNE groups and simplify</w:t>
      </w:r>
      <w:r>
        <w:t xml:space="preserve"> </w:t>
      </w:r>
      <w:r>
        <w:t xml:space="preserve">interactions with national tax administrations. PO3b performs more strongly across all</w:t>
      </w:r>
      <w:r>
        <w:t xml:space="preserve"> </w:t>
      </w:r>
      <w:r>
        <w:t xml:space="preserve">objectives. By allowing a single entity within the MNE group to file the notification centrally</w:t>
      </w:r>
      <w:r>
        <w:t xml:space="preserve"> </w:t>
      </w:r>
      <w:r>
        <w:t xml:space="preserve">in a Member State, this option would remove the need for multiple local notifications by</w:t>
      </w:r>
      <w:r>
        <w:t xml:space="preserve"> </w:t>
      </w:r>
      <w:r>
        <w:t xml:space="preserve">entities across the Union. The subsequent exchange of the notification between Member</w:t>
      </w:r>
      <w:r>
        <w:t xml:space="preserve"> </w:t>
      </w:r>
      <w:r>
        <w:t xml:space="preserve">States would ensure that all relevant tax administrations continue to receive the information</w:t>
      </w:r>
      <w:r>
        <w:t xml:space="preserve"> </w:t>
      </w:r>
      <w:r>
        <w:t xml:space="preserve">required for effective tax enforcement.</w:t>
      </w:r>
      <w:r>
        <w:br/>
      </w:r>
      <w:r>
        <w:t xml:space="preserve">Efficiency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Companies (MNE groups)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  <w:r>
        <w:t xml:space="preserve"> </w:t>
      </w:r>
      <w:r>
        <w:t xml:space="preserve">One-off adjustment and implementation costs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One-off adjustment and implementation costs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Both options generate efficiency gains by eliminating duplicative notification requirements.</w:t>
      </w:r>
      <w:r>
        <w:t xml:space="preserve"> </w:t>
      </w:r>
      <w:r>
        <w:t xml:space="preserve">PO3a would reduce compliance costs and administrative burden by replacing 2</w:t>
      </w:r>
      <w:r>
        <w:t xml:space="preserve"> </w:t>
      </w:r>
      <w:r>
        <w:t xml:space="preserve">notifications, 1 under DAC4 and the other 1 under DAC9, with a single harmonised</w:t>
      </w:r>
      <w:r>
        <w:t xml:space="preserve"> </w:t>
      </w:r>
      <w:r>
        <w:t xml:space="preserve">notification. PO3b would generate larger efficiency gains by allowing central filing of the</w:t>
      </w:r>
      <w:r>
        <w:t xml:space="preserve"> </w:t>
      </w:r>
      <w:r>
        <w:t xml:space="preserve">notification. This would remove the need for local notifications by each entity of the MNE</w:t>
      </w:r>
      <w:r>
        <w:t xml:space="preserve"> </w:t>
      </w:r>
      <w:r>
        <w:t xml:space="preserve">group and, therefore, further reduces compliance costs for them. Both options would require</w:t>
      </w:r>
      <w:r>
        <w:t xml:space="preserve"> </w:t>
      </w:r>
      <w:r>
        <w:t xml:space="preserve">limited one-off adjustment and implementation costs for both companies and tax</w:t>
      </w:r>
      <w:r>
        <w:t xml:space="preserve"> </w:t>
      </w:r>
      <w:r>
        <w:t xml:space="preserve">administrations due to the need to revise current processes and procedures. In addition, the</w:t>
      </w:r>
      <w:r>
        <w:t xml:space="preserve"> </w:t>
      </w:r>
      <w:r>
        <w:t xml:space="preserve">exchange of notification information between Member States would require limited IT</w:t>
      </w:r>
      <w:r>
        <w:t xml:space="preserve"> </w:t>
      </w:r>
      <w:r>
        <w:t xml:space="preserve">adjustments, which are expected to be modest relative to the compliance savings generated.</w:t>
      </w:r>
      <w:r>
        <w:t xml:space="preserve"> </w:t>
      </w:r>
      <w:r>
        <w:t xml:space="preserve">Measure 4 - Improving the verification of TINs</w:t>
      </w:r>
      <w:r>
        <w:t xml:space="preserve"> </w:t>
      </w:r>
      <w:r>
        <w:t xml:space="preserve">PO4a introduces a centralised TIN verification system, accessible only to Member States tax administrations</w:t>
      </w:r>
      <w:r>
        <w:t xml:space="preserve"> </w:t>
      </w:r>
      <w:r>
        <w:t xml:space="preserve">while PO4b introduces a centralised TIN verification system, accessible to both Member States tax</w:t>
      </w:r>
      <w:r>
        <w:t xml:space="preserve"> </w:t>
      </w:r>
      <w:r>
        <w:t xml:space="preserve">administrations and reporting entities.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Reducing complexity and improving legal</w:t>
      </w:r>
      <w:r>
        <w:t xml:space="preserve"> </w:t>
      </w:r>
      <w:r>
        <w:t xml:space="preserve">clarity and certainty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Ensuring reporting and notification obligations</w:t>
      </w:r>
      <w:r>
        <w:t xml:space="preserve"> </w:t>
      </w:r>
      <w:r>
        <w:t xml:space="preserve">are proportionate and better targeted while</w:t>
      </w:r>
      <w:r>
        <w:t xml:space="preserve"> </w:t>
      </w:r>
      <w:r>
        <w:t xml:space="preserve">preserving policy objectives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Improving the effectiveness and usability of</w:t>
      </w:r>
      <w:r>
        <w:t xml:space="preserve"> </w:t>
      </w:r>
      <w:r>
        <w:t xml:space="preserve">exchanged information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Both policy options are expected to improve legal clarity and legal certainty, as reporting</w:t>
      </w:r>
      <w:r>
        <w:t xml:space="preserve"> </w:t>
      </w:r>
      <w:r>
        <w:t xml:space="preserve">entities and tax administrations can more effectively comply with their reporting and</w:t>
      </w:r>
      <w:r>
        <w:t xml:space="preserve"> </w:t>
      </w:r>
      <w:r>
        <w:t xml:space="preserve">exchange of information obligations. Both policy options would ensure that reporting</w:t>
      </w:r>
      <w:r>
        <w:t xml:space="preserve"> </w:t>
      </w:r>
      <w:r>
        <w:t xml:space="preserve">obligations are proportionate and better targeted as verification of the TIN ensures that</w:t>
      </w:r>
      <w:r>
        <w:t xml:space="preserve"> </w:t>
      </w:r>
      <w:r>
        <w:t xml:space="preserve">accurate information is reported and exchanged thereby limiting following up requests for</w:t>
      </w:r>
      <w:r>
        <w:t xml:space="preserve"> </w:t>
      </w:r>
      <w:r>
        <w:t xml:space="preserve">information. Simultaneously, they would both preserve the policy objectives of tackling tax</w:t>
      </w:r>
      <w:r>
        <w:t xml:space="preserve"> </w:t>
      </w:r>
      <w:r>
        <w:t xml:space="preserve">fraud, evasion and avoidance, as accurate reporting facilitates the enforcement of tax rules.</w:t>
      </w:r>
      <w:r>
        <w:t xml:space="preserve"> </w:t>
      </w:r>
      <w:r>
        <w:t xml:space="preserve">PO4b scores higher as it is envisaged that in situations where a validated TIN is provided</w:t>
      </w:r>
      <w:r>
        <w:t xml:space="preserve"> </w:t>
      </w:r>
      <w:r>
        <w:t xml:space="preserve">by the reporting entity, they will no longer be required to provide other identification</w:t>
      </w:r>
      <w:r>
        <w:t xml:space="preserve"> </w:t>
      </w:r>
      <w:r>
        <w:t xml:space="preserve">information (for example the date of birth of the taxpayer), which are used by tax</w:t>
      </w:r>
      <w:r>
        <w:t xml:space="preserve"> </w:t>
      </w:r>
      <w:r>
        <w:t xml:space="preserve">administrations to compensate for missing or inaccurate TINs. This provides for more</w:t>
      </w:r>
      <w:r>
        <w:t xml:space="preserve"> </w:t>
      </w:r>
      <w:r>
        <w:t xml:space="preserve">proportionate reporting obligations while not undermining the policy objectives of the</w:t>
      </w:r>
      <w:r>
        <w:t xml:space="preserve"> </w:t>
      </w:r>
      <w:r>
        <w:t xml:space="preserve">framework. Finally, both policy options score very positively in improving the effectiveness</w:t>
      </w:r>
      <w:r>
        <w:t xml:space="preserve"> </w:t>
      </w:r>
      <w:r>
        <w:t xml:space="preserve">and use of exchanged information as they are predicated on the fact that a verified TIN will</w:t>
      </w:r>
      <w:r>
        <w:t xml:space="preserve"> </w:t>
      </w:r>
      <w:r>
        <w:t xml:space="preserve">increase the automatic matching rate of information thereby facilitating enhanced use of the</w:t>
      </w:r>
      <w:r>
        <w:t xml:space="preserve"> </w:t>
      </w:r>
      <w:r>
        <w:t xml:space="preserve">information. PO4b scores higher in this area as in situations where the TIN cannot be</w:t>
      </w:r>
      <w:r>
        <w:t xml:space="preserve"> </w:t>
      </w:r>
      <w:r>
        <w:t xml:space="preserve">verified the reporting entity can directly contact the taxpayer to correct the information</w:t>
      </w:r>
      <w:r>
        <w:t xml:space="preserve"> </w:t>
      </w:r>
      <w:r>
        <w:t xml:space="preserve">whereas, under PO4a tax administrations must first contact the reporting entity who must</w:t>
      </w:r>
      <w:r>
        <w:t xml:space="preserve"> </w:t>
      </w:r>
      <w:r>
        <w:t xml:space="preserve">then contact the taxpayer to correct the information, thereby reducing the effectiveness and</w:t>
      </w:r>
      <w:r>
        <w:t xml:space="preserve"> </w:t>
      </w:r>
      <w:r>
        <w:t xml:space="preserve">efficiency of the framework.</w:t>
      </w:r>
      <w:r>
        <w:br/>
      </w:r>
      <w:r>
        <w:t xml:space="preserve">Efficiency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Companies (Reporting entities)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 and implementation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One-off adjustment and implementation costs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PO4a does not envisage any reduction in administrative costs for reporting entities as access</w:t>
      </w:r>
      <w:r>
        <w:t xml:space="preserve"> </w:t>
      </w:r>
      <w:r>
        <w:t xml:space="preserve">to the verification system is restricted to tax administrations. Consequentially there are no</w:t>
      </w:r>
      <w:r>
        <w:t xml:space="preserve"> </w:t>
      </w:r>
      <w:r>
        <w:t xml:space="preserve">one-off adjustment and implementation costs for reporting entities. PO4a is expected to</w:t>
      </w:r>
      <w:r>
        <w:t xml:space="preserve"> </w:t>
      </w:r>
      <w:r>
        <w:t xml:space="preserve">reduce administrative costs for tax administrations as it foresees that TINs will be validated</w:t>
      </w:r>
      <w:r>
        <w:t xml:space="preserve"> </w:t>
      </w:r>
      <w:r>
        <w:t xml:space="preserve">by the sending Member State thereby reducing follow up requests for correction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information. Simultaneously, it is expected that the reporting of verified TINs will lead to</w:t>
      </w:r>
      <w:r>
        <w:t xml:space="preserve"> </w:t>
      </w:r>
      <w:r>
        <w:t xml:space="preserve">higher automatic matching rates in receiving Member States thereby reducing the human</w:t>
      </w:r>
      <w:r>
        <w:t xml:space="preserve"> </w:t>
      </w:r>
      <w:r>
        <w:t xml:space="preserve">and technical resources assigned to manual matching processes and procedures. As clearly</w:t>
      </w:r>
      <w:r>
        <w:t xml:space="preserve"> </w:t>
      </w:r>
      <w:r>
        <w:t xml:space="preserve">identified in Chapter 6 there are expected to be one-off adjustment and implementation costs</w:t>
      </w:r>
      <w:r>
        <w:t xml:space="preserve"> </w:t>
      </w:r>
      <w:r>
        <w:t xml:space="preserve">for tax administrations arising from the introduction of a centralised verification system.</w:t>
      </w:r>
      <w:r>
        <w:t xml:space="preserve"> </w:t>
      </w:r>
      <w:r>
        <w:t xml:space="preserve">As PO4b envisages access by reporting entities, on a voluntary basis, administrative costs</w:t>
      </w:r>
      <w:r>
        <w:t xml:space="preserve"> </w:t>
      </w:r>
      <w:r>
        <w:t xml:space="preserve">are expected to decline for those reporting entities because they will receive less follow up</w:t>
      </w:r>
      <w:r>
        <w:t xml:space="preserve"> </w:t>
      </w:r>
      <w:r>
        <w:t xml:space="preserve">requests for correction information from tax authorities. Simultaneously in instances where</w:t>
      </w:r>
      <w:r>
        <w:t xml:space="preserve"> </w:t>
      </w:r>
      <w:r>
        <w:t xml:space="preserve">a verified TIN is provided, reporting entities choosing to use the centralised TIN verification</w:t>
      </w:r>
      <w:r>
        <w:t xml:space="preserve"> </w:t>
      </w:r>
      <w:r>
        <w:t xml:space="preserve">system, will no longer be required to verify and report additional identifying information</w:t>
      </w:r>
      <w:r>
        <w:t xml:space="preserve"> </w:t>
      </w:r>
      <w:r>
        <w:t xml:space="preserve">(e.g. the date of birth of the taxpayer), thereby further reducing administrative costs. Under</w:t>
      </w:r>
      <w:r>
        <w:t xml:space="preserve"> </w:t>
      </w:r>
      <w:r>
        <w:t xml:space="preserve">PO4b, tax authorities are expected to see a reduction in administrative costs as the reporting</w:t>
      </w:r>
      <w:r>
        <w:t xml:space="preserve"> </w:t>
      </w:r>
      <w:r>
        <w:t xml:space="preserve">of a verified TIN will reduce the need for follow up requests for correction information while</w:t>
      </w:r>
      <w:r>
        <w:t xml:space="preserve"> </w:t>
      </w:r>
      <w:r>
        <w:t xml:space="preserve">also reducing the necessity for human and technical investment in manual matching</w:t>
      </w:r>
      <w:r>
        <w:t xml:space="preserve"> </w:t>
      </w:r>
      <w:r>
        <w:t xml:space="preserve">processes and procedures. Finally, as detailed in Chapter 6, one-off adjustment costs are</w:t>
      </w:r>
      <w:r>
        <w:t xml:space="preserve"> </w:t>
      </w:r>
      <w:r>
        <w:t xml:space="preserve">expected to be higher than PO4a, as tax administrations will be required to verify</w:t>
      </w:r>
      <w:r>
        <w:t xml:space="preserve"> </w:t>
      </w:r>
      <w:r>
        <w:t xml:space="preserve">authentication and access to the system by reporting entities.</w:t>
      </w:r>
      <w:r>
        <w:br/>
      </w:r>
      <w:r>
        <w:t xml:space="preserve">Measure 5 - Improving the completeness of information reported under DAC1</w:t>
      </w:r>
      <w:r>
        <w:t xml:space="preserve"> </w:t>
      </w:r>
      <w:r>
        <w:t xml:space="preserve">Under PO5a the LIP category is removed. This is also applicable to PO5b where, in addition, Member States</w:t>
      </w:r>
      <w:r>
        <w:t xml:space="preserve"> </w:t>
      </w:r>
      <w:r>
        <w:t xml:space="preserve">are required to automatically exchange information available in their tax files on all remaining six categories</w:t>
      </w:r>
      <w:r>
        <w:t xml:space="preserve"> </w:t>
      </w:r>
      <w:r>
        <w:t xml:space="preserve">of income and capital. PO5c builds on the preceding options and requires Member States to automatically</w:t>
      </w:r>
      <w:r>
        <w:t xml:space="preserve"> </w:t>
      </w:r>
      <w:r>
        <w:t xml:space="preserve">exchange information available to all relevant public authorities in the Member States on all remaining six</w:t>
      </w:r>
      <w:r>
        <w:t xml:space="preserve"> </w:t>
      </w:r>
      <w:r>
        <w:t xml:space="preserve">categories of income and capital.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Reducing complexity and</w:t>
      </w:r>
      <w:r>
        <w:t xml:space="preserve"> </w:t>
      </w:r>
      <w:r>
        <w:t xml:space="preserve">improving legal clarity</w:t>
      </w:r>
      <w:r>
        <w:t xml:space="preserve"> </w:t>
      </w:r>
      <w:r>
        <w:t xml:space="preserve">and certainty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Ensuring reporting</w:t>
      </w:r>
      <w:r>
        <w:t xml:space="preserve"> </w:t>
      </w:r>
      <w:r>
        <w:t xml:space="preserve">obligations are</w:t>
      </w:r>
      <w:r>
        <w:t xml:space="preserve"> </w:t>
      </w:r>
      <w:r>
        <w:t xml:space="preserve">proportionate and better</w:t>
      </w:r>
      <w:r>
        <w:t xml:space="preserve"> </w:t>
      </w:r>
      <w:r>
        <w:t xml:space="preserve">targeted while preserving</w:t>
      </w:r>
      <w:r>
        <w:t xml:space="preserve"> </w:t>
      </w:r>
      <w:r>
        <w:t xml:space="preserve">policy objectives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Improving the</w:t>
      </w:r>
      <w:r>
        <w:t xml:space="preserve"> </w:t>
      </w:r>
      <w:r>
        <w:t xml:space="preserve">effectiveness and usability</w:t>
      </w:r>
      <w:r>
        <w:t xml:space="preserve"> </w:t>
      </w:r>
      <w:r>
        <w:t xml:space="preserve">of exchanged information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All options improve the functioning of AEOI under DAC1 by addressing limitations in the</w:t>
      </w:r>
      <w:r>
        <w:t xml:space="preserve"> </w:t>
      </w:r>
      <w:r>
        <w:t xml:space="preserve">completeness and consistency of the data exchanged between Member States. PO5a would</w:t>
      </w:r>
      <w:r>
        <w:t xml:space="preserve"> </w:t>
      </w:r>
      <w:r>
        <w:t xml:space="preserve">primarily simplify the existing framework, by removing the LIP category from the list of</w:t>
      </w:r>
      <w:r>
        <w:t xml:space="preserve"> </w:t>
      </w:r>
      <w:r>
        <w:t xml:space="preserve">categories subject to AEOI. In doing so, this policy option would not significantly affect the</w:t>
      </w:r>
      <w:r>
        <w:t xml:space="preserve"> </w:t>
      </w:r>
      <w:r>
        <w:t xml:space="preserve">overall effectiveness of administrative cooperation, given the limited use of the LIP category</w:t>
      </w:r>
      <w:r>
        <w:t xml:space="preserve"> </w:t>
      </w:r>
      <w:r>
        <w:t xml:space="preserve">and its partial overlap with information exchanged under DAC2. PO5b would, in addition</w:t>
      </w:r>
      <w:r>
        <w:t xml:space="preserve"> </w:t>
      </w:r>
      <w:r>
        <w:t xml:space="preserve">to the benefits brought about by PO5a, also improve the consistency and comparability of</w:t>
      </w:r>
      <w:r>
        <w:t xml:space="preserve"> </w:t>
      </w:r>
      <w:r>
        <w:t xml:space="preserve">information exchanged across Member States and strengthen the level playing field.</w:t>
      </w:r>
      <w:r>
        <w:t xml:space="preserve"> </w:t>
      </w:r>
      <w:r>
        <w:t xml:space="preserve">Moreover, by ensuring that all Member States exchange information on the same set of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categories, this option would also improve the usability of exchanged information for tax</w:t>
      </w:r>
      <w:r>
        <w:t xml:space="preserve"> </w:t>
      </w:r>
      <w:r>
        <w:t xml:space="preserve">compliance purposes. PO5c represents the most comprehensive approach, as it would</w:t>
      </w:r>
      <w:r>
        <w:t xml:space="preserve"> </w:t>
      </w:r>
      <w:r>
        <w:t xml:space="preserve">extend the scope of information exchange to data available to other public authorities at</w:t>
      </w:r>
      <w:r>
        <w:t xml:space="preserve"> </w:t>
      </w:r>
      <w:r>
        <w:t xml:space="preserve">national level. By enabling the exchange of relevant information held by other public</w:t>
      </w:r>
      <w:r>
        <w:t xml:space="preserve"> </w:t>
      </w:r>
      <w:r>
        <w:t xml:space="preserve">authorities, this option would significantly improve the completeness and usability of the</w:t>
      </w:r>
      <w:r>
        <w:t xml:space="preserve"> </w:t>
      </w:r>
      <w:r>
        <w:t xml:space="preserve">information available to tax administrations, while strengthening the level playing field</w:t>
      </w:r>
      <w:r>
        <w:t xml:space="preserve"> </w:t>
      </w:r>
      <w:r>
        <w:t xml:space="preserve">within the Union.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One-off implementation 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One-off implementation 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Because DAC1 exchanges take place between tax administrations with no specific reporting</w:t>
      </w:r>
      <w:r>
        <w:t xml:space="preserve"> </w:t>
      </w:r>
      <w:r>
        <w:t xml:space="preserve">obligation for any reporting entity, none of the options introduce additional reporting</w:t>
      </w:r>
      <w:r>
        <w:t xml:space="preserve"> </w:t>
      </w:r>
      <w:r>
        <w:t xml:space="preserve">obligations for taxpayers or companies. As a result, no direct compliance costs or savings</w:t>
      </w:r>
      <w:r>
        <w:t xml:space="preserve"> </w:t>
      </w:r>
      <w:r>
        <w:t xml:space="preserve">arise for the private sector under this measure.</w:t>
      </w:r>
      <w:r>
        <w:t xml:space="preserve"> </w:t>
      </w:r>
      <w:r>
        <w:t xml:space="preserve">PO5a would generate limited efficiency gains for tax administrations by removing the LIP</w:t>
      </w:r>
      <w:r>
        <w:t xml:space="preserve"> </w:t>
      </w:r>
      <w:r>
        <w:t xml:space="preserve">category, which currently has low operational relevance and overlaps partially with</w:t>
      </w:r>
      <w:r>
        <w:t xml:space="preserve"> </w:t>
      </w:r>
      <w:r>
        <w:t xml:space="preserve">information exchanged under DAC2. This option would slightly reduce the administrative</w:t>
      </w:r>
      <w:r>
        <w:t xml:space="preserve"> </w:t>
      </w:r>
      <w:r>
        <w:t xml:space="preserve">workload associated with processing and exchanging information. PO5b would entail an</w:t>
      </w:r>
      <w:r>
        <w:t xml:space="preserve"> </w:t>
      </w:r>
      <w:r>
        <w:t xml:space="preserve">increase of administrative costs resulting from the increased volume of exchanged</w:t>
      </w:r>
      <w:r>
        <w:t xml:space="preserve"> </w:t>
      </w:r>
      <w:r>
        <w:t xml:space="preserve">information. In addition, it would involve certain one-off administrative adjustments for</w:t>
      </w:r>
      <w:r>
        <w:t xml:space="preserve"> </w:t>
      </w:r>
      <w:r>
        <w:t xml:space="preserve">some tax administrations that currently exchange information on fewer than 6 categories.</w:t>
      </w:r>
      <w:r>
        <w:t xml:space="preserve"> </w:t>
      </w:r>
      <w:r>
        <w:t xml:space="preserve">These adjustments would mainly involve IT configuration, data extraction and processing</w:t>
      </w:r>
      <w:r>
        <w:t xml:space="preserve"> </w:t>
      </w:r>
      <w:r>
        <w:t xml:space="preserve">changes rather than new data collection. However, the benefits associated with more</w:t>
      </w:r>
      <w:r>
        <w:t xml:space="preserve"> </w:t>
      </w:r>
      <w:r>
        <w:t xml:space="preserve">consistent and complete information exchanges will improve the effectiveness of tax risk</w:t>
      </w:r>
      <w:r>
        <w:t xml:space="preserve"> </w:t>
      </w:r>
      <w:r>
        <w:t xml:space="preserve">analysis and enforcement activities. PO5c would entail a larger increase of administrative</w:t>
      </w:r>
      <w:r>
        <w:t xml:space="preserve"> </w:t>
      </w:r>
      <w:r>
        <w:t xml:space="preserve">costs resulting from the increased volume of exchanged information. It would also require</w:t>
      </w:r>
      <w:r>
        <w:t xml:space="preserve"> </w:t>
      </w:r>
      <w:r>
        <w:t xml:space="preserve">more substantial organisational and technical adjustments at national level, including</w:t>
      </w:r>
      <w:r>
        <w:t xml:space="preserve"> </w:t>
      </w:r>
      <w:r>
        <w:t xml:space="preserve">improved access for tax administrations to information held by other public authorities and</w:t>
      </w:r>
      <w:r>
        <w:t xml:space="preserve"> </w:t>
      </w:r>
      <w:r>
        <w:t xml:space="preserve">the establishment of appropriate data-sharing arrangements. While this option may involve</w:t>
      </w:r>
      <w:r>
        <w:t xml:space="preserve"> </w:t>
      </w:r>
      <w:r>
        <w:t xml:space="preserve">higher implementation costs, it would also provide the most comprehensive set of</w:t>
      </w:r>
      <w:r>
        <w:t xml:space="preserve"> </w:t>
      </w:r>
      <w:r>
        <w:t xml:space="preserve">information for administrative cooperation and therefore generate the greatest benefits for</w:t>
      </w:r>
      <w:r>
        <w:t xml:space="preserve"> </w:t>
      </w:r>
      <w:r>
        <w:t xml:space="preserve">the enforcement of taxation rules.</w:t>
      </w:r>
      <w:r>
        <w:t xml:space="preserve"> </w:t>
      </w:r>
      <w:r>
        <w:t xml:space="preserve">Coherence</w:t>
      </w:r>
      <w:r>
        <w:t xml:space="preserve"> </w:t>
      </w:r>
      <w:r>
        <w:t xml:space="preserve">All options ensure coherence with the existing framework of the DAC and its policy</w:t>
      </w:r>
      <w:r>
        <w:t xml:space="preserve"> </w:t>
      </w:r>
      <w:r>
        <w:t xml:space="preserve">objectives of tackling tax fraud, evasion, and avoidance. In the context of the DAC6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measure, the preferred policy option of PO1b, which excludes all companies within the</w:t>
      </w:r>
      <w:r>
        <w:t xml:space="preserve"> </w:t>
      </w:r>
      <w:r>
        <w:t xml:space="preserve">scope of Pillar 2 from DAC6 reporting obligations and which removes the reporting</w:t>
      </w:r>
      <w:r>
        <w:t xml:space="preserve"> </w:t>
      </w:r>
      <w:r>
        <w:t xml:space="preserve">requirements related to the generic category A hallmark for all other reporting entities and</w:t>
      </w:r>
      <w:r>
        <w:t xml:space="preserve"> </w:t>
      </w:r>
      <w:r>
        <w:t xml:space="preserve">taxpayers is coherent with the existing international framework. The assessment is supported</w:t>
      </w:r>
      <w:r>
        <w:t xml:space="preserve"> </w:t>
      </w:r>
      <w:r>
        <w:t xml:space="preserve">by the fact that DAC6 does not implement any existing international standard into EU</w:t>
      </w:r>
      <w:r>
        <w:t xml:space="preserve"> </w:t>
      </w:r>
      <w:r>
        <w:t xml:space="preserve">legislation and the proposed carve out for Pillar 2 companies does not therefore have any</w:t>
      </w:r>
      <w:r>
        <w:t xml:space="preserve"> </w:t>
      </w:r>
      <w:r>
        <w:t xml:space="preserve">impact on the ability of the Pillar 2 Directive to prevent base erosion and profit shifting by</w:t>
      </w:r>
      <w:r>
        <w:t xml:space="preserve"> </w:t>
      </w:r>
      <w:r>
        <w:t xml:space="preserve">ensuring that MNE groups in scope pay a minimum effective tax rate of 15% on profits in</w:t>
      </w:r>
      <w:r>
        <w:t xml:space="preserve"> </w:t>
      </w:r>
      <w:r>
        <w:t xml:space="preserve">each jurisdiction that they operate.</w:t>
      </w:r>
      <w:r>
        <w:br/>
      </w:r>
      <w:r>
        <w:t xml:space="preserve">In the context of the DAC7 measure, the preferred policy option of PO2b, which removes</w:t>
      </w:r>
      <w:r>
        <w:t xml:space="preserve"> </w:t>
      </w:r>
      <w:r>
        <w:t xml:space="preserve">the activity threshold of 30 transactions and increases the monetary threshold to EUR 3,000</w:t>
      </w:r>
      <w:r>
        <w:t xml:space="preserve"> </w:t>
      </w:r>
      <w:r>
        <w:t xml:space="preserve">ensures coherence with the existing international framework as the proposed amendment is</w:t>
      </w:r>
      <w:r>
        <w:t xml:space="preserve"> </w:t>
      </w:r>
      <w:r>
        <w:t xml:space="preserve">consistent with the proposed amendment to the OECD MRDP, as provisionally agreed at</w:t>
      </w:r>
      <w:r>
        <w:t xml:space="preserve"> </w:t>
      </w:r>
      <w:r>
        <w:t xml:space="preserve">technical level.</w:t>
      </w:r>
      <w:r>
        <w:t xml:space="preserve"> </w:t>
      </w:r>
      <w:r>
        <w:t xml:space="preserve">In the context of the DAC4/DAC9 measure, the preferred policy option of PO3b proposes</w:t>
      </w:r>
      <w:r>
        <w:t xml:space="preserve"> </w:t>
      </w:r>
      <w:r>
        <w:t xml:space="preserve">the introduction of a single notification obligation including a harmonised filing deadline,</w:t>
      </w:r>
      <w:r>
        <w:t xml:space="preserve"> </w:t>
      </w:r>
      <w:r>
        <w:t xml:space="preserve">common notification template, central filing and exchange of information of that single</w:t>
      </w:r>
      <w:r>
        <w:t xml:space="preserve"> </w:t>
      </w:r>
      <w:r>
        <w:t xml:space="preserve">notification. This proposed measure will not affect the existing coherence with the</w:t>
      </w:r>
      <w:r>
        <w:t xml:space="preserve"> </w:t>
      </w:r>
      <w:r>
        <w:t xml:space="preserve">international OECD frameworks of Country-by-Country Reporting (CbCR) and the Pillar 2</w:t>
      </w:r>
      <w:r>
        <w:t xml:space="preserve"> </w:t>
      </w:r>
      <w:r>
        <w:t xml:space="preserve">rules. The rationale for this assessment is underpinned by the fact that the measure will not</w:t>
      </w:r>
      <w:r>
        <w:t xml:space="preserve"> </w:t>
      </w:r>
      <w:r>
        <w:t xml:space="preserve">amend the existing DAC4 reporting requirements and therefore remains aligned with the</w:t>
      </w:r>
      <w:r>
        <w:t xml:space="preserve"> </w:t>
      </w:r>
      <w:r>
        <w:t xml:space="preserve">OECD CbCR framework. The same rationale applies in the context of the Pillar Two rules,</w:t>
      </w:r>
      <w:r>
        <w:t xml:space="preserve"> </w:t>
      </w:r>
      <w:r>
        <w:t xml:space="preserve">as the measure does not in any way impact on the information that is reported under DAC9</w:t>
      </w:r>
      <w:r>
        <w:t xml:space="preserve"> </w:t>
      </w:r>
      <w:r>
        <w:t xml:space="preserve">to ensure that MNE groups and large domestic groups pay a minimum effective tax rate of</w:t>
      </w:r>
      <w:r>
        <w:t xml:space="preserve"> </w:t>
      </w:r>
      <w:r>
        <w:t xml:space="preserve">15% in each jurisdiction where they operate hence remaining aligned with the corresponding</w:t>
      </w:r>
      <w:r>
        <w:t xml:space="preserve"> </w:t>
      </w:r>
      <w:r>
        <w:t xml:space="preserve">OECD Global Information Return (GIR).</w:t>
      </w:r>
      <w:r>
        <w:br/>
      </w:r>
      <w:r>
        <w:t xml:space="preserve">In addition, the proposed measure will have no impact on the existing EU Public Country-</w:t>
      </w:r>
      <w:r>
        <w:t xml:space="preserve"> </w:t>
      </w:r>
      <w:r>
        <w:t xml:space="preserve">by-Country Reporting (PCbCR) Directive which enhances the corporate tax transparency</w:t>
      </w:r>
      <w:r>
        <w:t xml:space="preserve"> </w:t>
      </w:r>
      <w:r>
        <w:t xml:space="preserve">and accountability by requiring large MNE’s to publicly disclose where they generate their</w:t>
      </w:r>
      <w:r>
        <w:t xml:space="preserve"> </w:t>
      </w:r>
      <w:r>
        <w:t xml:space="preserve">profits and where they pay their taxes. The rationale for this assessment is underpinned by</w:t>
      </w:r>
      <w:r>
        <w:t xml:space="preserve"> </w:t>
      </w:r>
      <w:r>
        <w:t xml:space="preserve">the fact that DAC4 CbCR and Public CbCR have two different objectives. The objective of</w:t>
      </w:r>
      <w:r>
        <w:t xml:space="preserve"> </w:t>
      </w:r>
      <w:r>
        <w:t xml:space="preserve">DAC4 is to provide EU tax authorities with information on the structure, transfer-pricing</w:t>
      </w:r>
      <w:r>
        <w:t xml:space="preserve"> </w:t>
      </w:r>
      <w:r>
        <w:t xml:space="preserve">policies and internal transactions of MNE groups. This information is used by tax authorities</w:t>
      </w:r>
      <w:r>
        <w:t xml:space="preserve"> </w:t>
      </w:r>
      <w:r>
        <w:t xml:space="preserve">to check for risks of tax abuse due to aggressive tax planning and other base-erosion and</w:t>
      </w:r>
      <w:r>
        <w:t xml:space="preserve"> </w:t>
      </w:r>
      <w:r>
        <w:t xml:space="preserve">profit-shifting risks related to the MNE group. Public CbCR requires MNE’s to publicly</w:t>
      </w:r>
      <w:r>
        <w:t xml:space="preserve"> </w:t>
      </w:r>
      <w:r>
        <w:t xml:space="preserve">disclose specific corporate tax information. The objective is to increase corporate</w:t>
      </w:r>
      <w:r>
        <w:t xml:space="preserve"> </w:t>
      </w:r>
      <w:r>
        <w:t xml:space="preserve">transparency and enhance public scrutiny. In summary while the scope of both Directives</w:t>
      </w:r>
      <w:r>
        <w:t xml:space="preserve"> </w:t>
      </w:r>
      <w:r>
        <w:t xml:space="preserve">covers the same MNE’s, the differing objectives and possibilities to use the information will</w:t>
      </w:r>
      <w:r>
        <w:t xml:space="preserve"> </w:t>
      </w:r>
      <w:r>
        <w:t xml:space="preserve">not be impacted by the measure therefore ensuring coherence with the existing broader EU</w:t>
      </w:r>
      <w:r>
        <w:t xml:space="preserve"> </w:t>
      </w:r>
      <w:r>
        <w:t xml:space="preserve">framework.</w:t>
      </w:r>
      <w:r>
        <w:br/>
      </w:r>
      <w:r>
        <w:t xml:space="preserve">In the context of the measure to improve the verification of the TINs, the preferred policy</w:t>
      </w:r>
      <w:r>
        <w:t xml:space="preserve"> </w:t>
      </w:r>
      <w:r>
        <w:t xml:space="preserve">option of PO4b proposes the introduction of a centralised TIN verification system accessible</w:t>
      </w:r>
      <w:r>
        <w:t xml:space="preserve"> </w:t>
      </w:r>
      <w:r>
        <w:t xml:space="preserve">to the tax administrations of Member States and to reporting entities on an optional basis.</w:t>
      </w:r>
      <w:r>
        <w:t xml:space="preserve"> </w:t>
      </w:r>
      <w:r>
        <w:t xml:space="preserve">This measure is fully coherent with the existing EU and international legislative frameworks.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Finally, in the context of the measure to improve the completeness of information reported</w:t>
      </w:r>
      <w:r>
        <w:t xml:space="preserve"> </w:t>
      </w:r>
      <w:r>
        <w:t xml:space="preserve">under DAC1, the preferred policy option of PO5c proposes that the LIP category is no longer</w:t>
      </w:r>
      <w:r>
        <w:t xml:space="preserve"> </w:t>
      </w:r>
      <w:r>
        <w:t xml:space="preserve">required to be exchanged and that Member States are obliged to automatically exchange</w:t>
      </w:r>
      <w:r>
        <w:t xml:space="preserve"> </w:t>
      </w:r>
      <w:r>
        <w:t xml:space="preserve">information that is available to all national authorities in the Member State with respect to</w:t>
      </w:r>
      <w:r>
        <w:t xml:space="preserve"> </w:t>
      </w:r>
      <w:r>
        <w:t xml:space="preserve">the remaining six categories of income and capital. DAC1 does not have a directly</w:t>
      </w:r>
      <w:r>
        <w:t xml:space="preserve"> </w:t>
      </w:r>
      <w:r>
        <w:t xml:space="preserve">equivalent international framework for reporting and exchange of information.</w:t>
      </w:r>
      <w:r>
        <w:br/>
      </w:r>
      <w:r>
        <w:t xml:space="preserve">However, the current scope of information reported and exchanged under the DAC1</w:t>
      </w:r>
      <w:r>
        <w:t xml:space="preserve"> </w:t>
      </w:r>
      <w:r>
        <w:t xml:space="preserve">category of ownership of and income from immovable property will be enhanced to ensure</w:t>
      </w:r>
      <w:r>
        <w:t xml:space="preserve"> </w:t>
      </w:r>
      <w:r>
        <w:t xml:space="preserve">coherence with the recent OECD initiative to exchange readily available information on</w:t>
      </w:r>
      <w:r>
        <w:t xml:space="preserve"> </w:t>
      </w:r>
      <w:r>
        <w:t xml:space="preserve">immovable property73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 Preferred policy options and option package</w:t>
      </w:r>
      <w:r>
        <w:t xml:space="preserve"> </w:t>
      </w:r>
      <w:r>
        <w:t xml:space="preserve">This chapter lists the preferred policy options under each measure, as resulting from the</w:t>
      </w:r>
      <w:r>
        <w:t xml:space="preserve"> </w:t>
      </w:r>
      <w:r>
        <w:t xml:space="preserve">analysis performed in the previous chapter and then identifies the preferred policy package.</w:t>
      </w:r>
      <w:r>
        <w:t xml:space="preserve"> </w:t>
      </w:r>
      <w:r>
        <w:t xml:space="preserve">The preferred policy package combines the options under each measure that best contribute</w:t>
      </w:r>
      <w:r>
        <w:t xml:space="preserve"> </w:t>
      </w:r>
      <w:r>
        <w:t xml:space="preserve">to the specific objectives of the initiative. It also considers the quantitative and qualitative</w:t>
      </w:r>
      <w:r>
        <w:t xml:space="preserve"> </w:t>
      </w:r>
      <w:r>
        <w:t xml:space="preserve">impacts identified in the previous chapter, including reductions in compliance costs for</w:t>
      </w:r>
      <w:r>
        <w:t xml:space="preserve"> </w:t>
      </w:r>
      <w:r>
        <w:t xml:space="preserve">reporting entities, improvements in the efficiency of administrative cooperation between</w:t>
      </w:r>
      <w:r>
        <w:t xml:space="preserve"> </w:t>
      </w:r>
      <w:r>
        <w:t xml:space="preserve">Member States, and the need to preserve the operational value of the information exchanged.</w:t>
      </w:r>
      <w:r>
        <w:t xml:space="preserve"> </w:t>
      </w:r>
      <w:r>
        <w:t xml:space="preserve">The preferred policy options under each measure are presented below.</w:t>
      </w:r>
      <w:r>
        <w:t xml:space="preserve"> </w:t>
      </w:r>
      <w:r>
        <w:t xml:space="preserve">Measure 1 – Ensuring proportionate and effective DAC6 reporting obligations while</w:t>
      </w:r>
      <w:r>
        <w:t xml:space="preserve"> </w:t>
      </w:r>
      <w:r>
        <w:t xml:space="preserve">promoting a more harmonised application of the MBT</w:t>
      </w:r>
      <w:r>
        <w:t xml:space="preserve"> </w:t>
      </w:r>
      <w:r>
        <w:t xml:space="preserve">The preferred option is Policy Option 1b.</w:t>
      </w:r>
      <w:r>
        <w:t xml:space="preserve"> </w:t>
      </w:r>
      <w:r>
        <w:t xml:space="preserve">This option combines the exclusion of companies within the scope of the Pillar 2 Directive</w:t>
      </w:r>
      <w:r>
        <w:t xml:space="preserve"> </w:t>
      </w:r>
      <w:r>
        <w:t xml:space="preserve">from DAC6 reporting obligations with the removal of the generic hallmarks (category A)</w:t>
      </w:r>
      <w:r>
        <w:t xml:space="preserve"> </w:t>
      </w:r>
      <w:r>
        <w:t xml:space="preserve">and the issuance of guidance on the interpretation of the MBT for the remaining hallmarks</w:t>
      </w:r>
      <w:r>
        <w:t xml:space="preserve"> </w:t>
      </w:r>
      <w:r>
        <w:t xml:space="preserve">subject to the test.</w:t>
      </w:r>
      <w:r>
        <w:t xml:space="preserve"> </w:t>
      </w:r>
      <w:r>
        <w:t xml:space="preserve">This option performs best across the evaluation criteria. It significantly reduces reporting</w:t>
      </w:r>
      <w:r>
        <w:t xml:space="preserve"> </w:t>
      </w:r>
      <w:r>
        <w:t xml:space="preserve">volumes associated with hallmarks that generate large numbers of disclosures with limited</w:t>
      </w:r>
      <w:r>
        <w:t xml:space="preserve"> </w:t>
      </w:r>
      <w:r>
        <w:t xml:space="preserve">added value for tax administrations, thereby improving the proportionality of DAC6</w:t>
      </w:r>
      <w:r>
        <w:t xml:space="preserve"> </w:t>
      </w:r>
      <w:r>
        <w:t xml:space="preserve">reporting obligations. At the same time, the issuance of guidance would contribute to greater</w:t>
      </w:r>
      <w:r>
        <w:t xml:space="preserve"> </w:t>
      </w:r>
      <w:r>
        <w:t xml:space="preserve">legal clarity and more consistent application of the MBT across Member States.</w:t>
      </w:r>
      <w:r>
        <w:t xml:space="preserve"> </w:t>
      </w:r>
      <w:r>
        <w:t xml:space="preserve">Compared with Policy Option 1a, this option addresses the broader issues related to the</w:t>
      </w:r>
      <w:r>
        <w:t xml:space="preserve"> </w:t>
      </w:r>
      <w:r>
        <w:t xml:space="preserve">functioning of DAC6 reporting beyond the interaction with the Pillar 2 Directive. Compared</w:t>
      </w:r>
      <w:r>
        <w:t xml:space="preserve"> </w:t>
      </w:r>
      <w:r>
        <w:t xml:space="preserve">with Policy Option 1c, it achieves substantial simplification while avoiding the more</w:t>
      </w:r>
      <w:r>
        <w:t xml:space="preserve"> </w:t>
      </w:r>
      <w:r>
        <w:t xml:space="preserve">extensive redesign of the DAC6 reporting framework which would involve an uncertain</w:t>
      </w:r>
      <w:r>
        <w:t xml:space="preserve"> </w:t>
      </w:r>
      <w:r>
        <w:t xml:space="preserve">outcome in terms of reporting volumes and also an increase in one-off administrative burden</w:t>
      </w:r>
    </w:p>
    <w:p>
      <w:pPr>
        <w:pStyle w:val="BodyText"/>
      </w:pPr>
      <w:r>
        <w:t xml:space="preserve">73 Organisation for Economic Co-operation and Development, Framework for the Automatic Exchange of Readily Available</w:t>
      </w:r>
      <w:r>
        <w:t xml:space="preserve"> </w:t>
      </w:r>
      <w:r>
        <w:t xml:space="preserve">Information on Immovable Property for Tax Purposes: OECD Report to G20 Finance Ministers and Central Bank Governors (OECD</w:t>
      </w:r>
      <w:r>
        <w:t xml:space="preserve"> </w:t>
      </w:r>
      <w:r>
        <w:t xml:space="preserve">Publishing October 2025) https://www.oecd.org/content/dam/oecd/en/topics/policy-issues/tax-transparency-and-international-co-</w:t>
      </w:r>
      <w:r>
        <w:t xml:space="preserve"> </w:t>
      </w:r>
      <w:r>
        <w:t xml:space="preserve">operation/framework-for-the-automatic-exchange-of-readily-available-information-on-immovable-property-for-tax-purposes.pdf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for business and tax authorities, stemming from the removal of the MBT from the remaining</w:t>
      </w:r>
      <w:r>
        <w:t xml:space="preserve"> </w:t>
      </w:r>
      <w:r>
        <w:t xml:space="preserve">hallmarks.</w:t>
      </w:r>
      <w:r>
        <w:t xml:space="preserve"> </w:t>
      </w:r>
      <w:r>
        <w:t xml:space="preserve">Overall, Policy Option 1b provides the best balance between simplification of reporting</w:t>
      </w:r>
      <w:r>
        <w:t xml:space="preserve"> </w:t>
      </w:r>
      <w:r>
        <w:t xml:space="preserve">obligations, legal certainty for stakeholders and the continued effectiveness of DAC6 as a</w:t>
      </w:r>
      <w:r>
        <w:t xml:space="preserve"> </w:t>
      </w:r>
      <w:r>
        <w:t xml:space="preserve">tool for identifying potentially aggressive cross-border tax arrangements.</w:t>
      </w:r>
      <w:r>
        <w:t xml:space="preserve"> </w:t>
      </w:r>
      <w:r>
        <w:t xml:space="preserve">Measure 2 – Amending the reporting threshold for activities involving the sale of goods</w:t>
      </w:r>
      <w:r>
        <w:t xml:space="preserve"> </w:t>
      </w:r>
      <w:r>
        <w:t xml:space="preserve">under DAC7</w:t>
      </w:r>
      <w:r>
        <w:br/>
      </w:r>
      <w:r>
        <w:t xml:space="preserve">The preferred option is Policy Option 2b.</w:t>
      </w:r>
      <w:r>
        <w:t xml:space="preserve"> </w:t>
      </w:r>
      <w:r>
        <w:t xml:space="preserve">This option removes the activity threshold and introduces a single monetary reporting</w:t>
      </w:r>
      <w:r>
        <w:t xml:space="preserve"> </w:t>
      </w:r>
      <w:r>
        <w:t xml:space="preserve">threshold of EUR 3,000. By relying on a single reporting trigger based on the value of</w:t>
      </w:r>
      <w:r>
        <w:t xml:space="preserve"> </w:t>
      </w:r>
      <w:r>
        <w:t xml:space="preserve">income received, this option simplifies the DAC7 reporting framework and improves legal</w:t>
      </w:r>
      <w:r>
        <w:t xml:space="preserve"> </w:t>
      </w:r>
      <w:r>
        <w:t xml:space="preserve">certainty and clarity for digital platform operators.</w:t>
      </w:r>
      <w:r>
        <w:t xml:space="preserve"> </w:t>
      </w:r>
      <w:r>
        <w:t xml:space="preserve">Compared with Policy Option 2a, which maintains the EUR 2,000 threshold, Policy Option</w:t>
      </w:r>
      <w:r>
        <w:t xml:space="preserve"> </w:t>
      </w:r>
      <w:r>
        <w:t xml:space="preserve">2b further improves the proportionality of reporting obligations by excluding additional low-</w:t>
      </w:r>
      <w:r>
        <w:t xml:space="preserve"> </w:t>
      </w:r>
      <w:r>
        <w:t xml:space="preserve">value sellers whose activities are unlikely to generate tax-relevant income. At the same time,</w:t>
      </w:r>
      <w:r>
        <w:t xml:space="preserve"> </w:t>
      </w:r>
      <w:r>
        <w:t xml:space="preserve">it ensures that tax relevant income remains subject to reporting and exchange of information.</w:t>
      </w:r>
      <w:r>
        <w:t xml:space="preserve"> </w:t>
      </w:r>
      <w:r>
        <w:t xml:space="preserve">Compared with Policy Option 2c, which would increase the threshold to EUR 5,000, Policy</w:t>
      </w:r>
      <w:r>
        <w:t xml:space="preserve"> </w:t>
      </w:r>
      <w:r>
        <w:t xml:space="preserve">Option 2b provides a better balance between reducing administrative burden and preserving</w:t>
      </w:r>
      <w:r>
        <w:t xml:space="preserve"> </w:t>
      </w:r>
      <w:r>
        <w:t xml:space="preserve">the effectiveness of DAC7 reporting. A threshold higher than EUR 3,000 would reduce the</w:t>
      </w:r>
      <w:r>
        <w:t xml:space="preserve"> </w:t>
      </w:r>
      <w:r>
        <w:t xml:space="preserve">availability of information relevant for the enforcement of national tax rules. Policy Option</w:t>
      </w:r>
      <w:r>
        <w:t xml:space="preserve"> </w:t>
      </w:r>
      <w:r>
        <w:t xml:space="preserve">2b is also fully consistent with developments in the OECD MRDP, thereby contributing to</w:t>
      </w:r>
      <w:r>
        <w:t xml:space="preserve"> </w:t>
      </w:r>
      <w:r>
        <w:t xml:space="preserve">greater international alignment in the design of digital platform reporting rules.</w:t>
      </w:r>
      <w:r>
        <w:t xml:space="preserve"> </w:t>
      </w:r>
      <w:r>
        <w:t xml:space="preserve">Overall, this option best ensures that reporting obligations remain proportionate while</w:t>
      </w:r>
      <w:r>
        <w:t xml:space="preserve"> </w:t>
      </w:r>
      <w:r>
        <w:t xml:space="preserve">preserving the effectiveness of the DAC7 framework.</w:t>
      </w:r>
      <w:r>
        <w:t xml:space="preserve"> </w:t>
      </w:r>
      <w:r>
        <w:t xml:space="preserve">Measure 3 – Streamlining notification obligations for MNE group under DAC4 and</w:t>
      </w:r>
      <w:r>
        <w:t xml:space="preserve"> </w:t>
      </w:r>
      <w:r>
        <w:t xml:space="preserve">DAC9</w:t>
      </w:r>
      <w:r>
        <w:t xml:space="preserve"> </w:t>
      </w:r>
      <w:r>
        <w:t xml:space="preserve">The preferred option is Policy Option 3b.</w:t>
      </w:r>
      <w:r>
        <w:t xml:space="preserve"> </w:t>
      </w:r>
      <w:r>
        <w:t xml:space="preserve">This option builds on the introduction of a single harmonised notification requirement by</w:t>
      </w:r>
      <w:r>
        <w:t xml:space="preserve"> </w:t>
      </w:r>
      <w:r>
        <w:t xml:space="preserve">allowing central filing of the notification by a single entity within the MNE Group in a</w:t>
      </w:r>
      <w:r>
        <w:t xml:space="preserve"> </w:t>
      </w:r>
      <w:r>
        <w:t xml:space="preserve">Member State, followed by the exchange of the notification information between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Compared with Policy Option 3a, which introduces a single notification requirement but</w:t>
      </w:r>
      <w:r>
        <w:t xml:space="preserve"> </w:t>
      </w:r>
      <w:r>
        <w:t xml:space="preserve">still requires local filing in each Member State, this option further reduces the administrative</w:t>
      </w:r>
      <w:r>
        <w:t xml:space="preserve"> </w:t>
      </w:r>
      <w:r>
        <w:t xml:space="preserve">burden for MNE groups by eliminating duplicative filings by multiple constituent entities.</w:t>
      </w:r>
      <w:r>
        <w:t xml:space="preserve"> </w:t>
      </w:r>
      <w:r>
        <w:t xml:space="preserve">At the same time, the exchange of the notification between Member States ensures that all</w:t>
      </w:r>
      <w:r>
        <w:t xml:space="preserve"> </w:t>
      </w:r>
      <w:r>
        <w:t xml:space="preserve">relevant tax administrations continue to receive the information necessary for effective</w:t>
      </w:r>
      <w:r>
        <w:t xml:space="preserve"> </w:t>
      </w:r>
      <w:r>
        <w:t xml:space="preserve">administrative cooperation.</w:t>
      </w:r>
      <w:r>
        <w:t xml:space="preserve"> </w:t>
      </w:r>
      <w:r>
        <w:t xml:space="preserve">Policy Option 3b therefore achieves the greatest simplification of notification obligations</w:t>
      </w:r>
      <w:r>
        <w:t xml:space="preserve"> </w:t>
      </w:r>
      <w:r>
        <w:t xml:space="preserve">while maintaining the effectiveness of the DAC reporting framework.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Measure 4 – Improving the verification of TINs</w:t>
      </w:r>
      <w:r>
        <w:t xml:space="preserve"> </w:t>
      </w:r>
      <w:r>
        <w:t xml:space="preserve">The preferred option is Policy Option 4b.</w:t>
      </w:r>
      <w:r>
        <w:t xml:space="preserve"> </w:t>
      </w:r>
      <w:r>
        <w:t xml:space="preserve">This option envisages the development of a centralised TIN verification system that is</w:t>
      </w:r>
      <w:r>
        <w:t xml:space="preserve"> </w:t>
      </w:r>
      <w:r>
        <w:t xml:space="preserve">accessible to tax authorities and reporting entities.</w:t>
      </w:r>
      <w:r>
        <w:br/>
      </w:r>
      <w:r>
        <w:t xml:space="preserve">Policy Option 4b supports more proportionate and targeted reporting requirements by</w:t>
      </w:r>
      <w:r>
        <w:t xml:space="preserve"> </w:t>
      </w:r>
      <w:r>
        <w:t xml:space="preserve">reducing the necessity, for reporting entities that choose to use the centralised TIN</w:t>
      </w:r>
      <w:r>
        <w:t xml:space="preserve"> </w:t>
      </w:r>
      <w:r>
        <w:t xml:space="preserve">verification tool, to report additional identification information in circumstances where a</w:t>
      </w:r>
      <w:r>
        <w:t xml:space="preserve"> </w:t>
      </w:r>
      <w:r>
        <w:t xml:space="preserve">verified TIN is reported. This option also preserves the policy objectives of the framework.</w:t>
      </w:r>
      <w:r>
        <w:t xml:space="preserve"> </w:t>
      </w:r>
      <w:r>
        <w:t xml:space="preserve">Simultaneously, Policy Option 4b scores higher in improving the effectiveness and use of</w:t>
      </w:r>
      <w:r>
        <w:t xml:space="preserve"> </w:t>
      </w:r>
      <w:r>
        <w:t xml:space="preserve">information, as reporting entities will have more streamlined processes and procedures in</w:t>
      </w:r>
      <w:r>
        <w:t xml:space="preserve"> </w:t>
      </w:r>
      <w:r>
        <w:t xml:space="preserve">place to attain corrected information from the taxpayer than those of tax authorities.</w:t>
      </w:r>
      <w:r>
        <w:br/>
      </w:r>
      <w:r>
        <w:t xml:space="preserve">As regards administrative costs, Policy Option 4b scores higher as it envisages that</w:t>
      </w:r>
      <w:r>
        <w:t xml:space="preserve"> </w:t>
      </w:r>
      <w:r>
        <w:t xml:space="preserve">reporting entities that choose to use the centralised TIN verification too will benefit from a</w:t>
      </w:r>
      <w:r>
        <w:t xml:space="preserve"> </w:t>
      </w:r>
      <w:r>
        <w:t xml:space="preserve">reduction in administrative costs stemming from less follow up requests for corrective</w:t>
      </w:r>
      <w:r>
        <w:t xml:space="preserve"> </w:t>
      </w:r>
      <w:r>
        <w:t xml:space="preserve">information from tax authorities and the possibility to not require reporting of certain</w:t>
      </w:r>
      <w:r>
        <w:t xml:space="preserve"> </w:t>
      </w:r>
      <w:r>
        <w:t xml:space="preserve">additional identification information in circumstances where a verified TIN is reported.</w:t>
      </w:r>
      <w:r>
        <w:br/>
      </w:r>
      <w:r>
        <w:t xml:space="preserve">Measure 5: Improving the completeness of information reported under DAC1</w:t>
      </w:r>
      <w:r>
        <w:t xml:space="preserve"> </w:t>
      </w:r>
      <w:r>
        <w:t xml:space="preserve">The preferred option is Policy Option 5c.</w:t>
      </w:r>
      <w:r>
        <w:t xml:space="preserve"> </w:t>
      </w:r>
      <w:r>
        <w:t xml:space="preserve">This option removes the category of LIP from the list of categories subject to exchange and</w:t>
      </w:r>
      <w:r>
        <w:t xml:space="preserve"> </w:t>
      </w:r>
      <w:r>
        <w:t xml:space="preserve">requires Member States to exchange information available to all public authorities with</w:t>
      </w:r>
      <w:r>
        <w:t xml:space="preserve"> </w:t>
      </w:r>
      <w:r>
        <w:t xml:space="preserve">respect to the remaining 6 income and capital categories.</w:t>
      </w:r>
      <w:r>
        <w:t xml:space="preserve"> </w:t>
      </w:r>
      <w:r>
        <w:t xml:space="preserve">Compared with Policy Options 5a and 5b, this option most effectively improves the</w:t>
      </w:r>
      <w:r>
        <w:t xml:space="preserve"> </w:t>
      </w:r>
      <w:r>
        <w:t xml:space="preserve">completeness and usability of information exchanged between Member States. By extending</w:t>
      </w:r>
      <w:r>
        <w:t xml:space="preserve"> </w:t>
      </w:r>
      <w:r>
        <w:t xml:space="preserve">the scope of information exchange beyond data contained in the files of tax administrations</w:t>
      </w:r>
      <w:r>
        <w:t xml:space="preserve"> </w:t>
      </w:r>
      <w:r>
        <w:t xml:space="preserve">it addresses a key limitation which currently affect the completeness of DAC1 exchanges.</w:t>
      </w:r>
      <w:r>
        <w:t xml:space="preserve"> </w:t>
      </w:r>
      <w:r>
        <w:t xml:space="preserve">While this option may involve higher implementation costs for Member States due to the</w:t>
      </w:r>
      <w:r>
        <w:t xml:space="preserve"> </w:t>
      </w:r>
      <w:r>
        <w:t xml:space="preserve">need to ensure access to information held by other public authorities, it provides the most</w:t>
      </w:r>
      <w:r>
        <w:t xml:space="preserve"> </w:t>
      </w:r>
      <w:r>
        <w:t xml:space="preserve">comprehensive improvement in the functioning of AEOI and contributes to a more level</w:t>
      </w:r>
      <w:r>
        <w:t xml:space="preserve"> </w:t>
      </w:r>
      <w:r>
        <w:t xml:space="preserve">playing field within the Union.</w:t>
      </w:r>
      <w:r>
        <w:t xml:space="preserve"> </w:t>
      </w:r>
      <w:r>
        <w:t xml:space="preserve">8.2 Summary of the preferred policy package</w:t>
      </w:r>
      <w:r>
        <w:t xml:space="preserve"> </w:t>
      </w:r>
      <w:r>
        <w:t xml:space="preserve">Taken together, the preferred options form a coherent package aimed at simplifying the</w:t>
      </w:r>
      <w:r>
        <w:t xml:space="preserve"> </w:t>
      </w:r>
      <w:r>
        <w:t xml:space="preserve">DAC reporting framework, reducing administrative burdens for reporting entities and tax</w:t>
      </w:r>
      <w:r>
        <w:t xml:space="preserve"> </w:t>
      </w:r>
      <w:r>
        <w:t xml:space="preserve">administrations and improving the effectiveness of administrative cooperation in taxation</w:t>
      </w:r>
      <w:r>
        <w:t xml:space="preserve"> </w:t>
      </w:r>
      <w:r>
        <w:t xml:space="preserve">within the Union.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Reducing</w:t>
      </w:r>
      <w:r>
        <w:t xml:space="preserve"> </w:t>
      </w:r>
      <w:r>
        <w:t xml:space="preserve">complexity and</w:t>
      </w:r>
      <w:r>
        <w:t xml:space="preserve"> </w:t>
      </w:r>
      <w:r>
        <w:t xml:space="preserve">improving legal</w:t>
      </w:r>
      <w:r>
        <w:t xml:space="preserve"> </w:t>
      </w:r>
      <w:r>
        <w:t xml:space="preserve">clarity and certainty</w:t>
      </w:r>
      <w:r>
        <w:t xml:space="preserve"> </w:t>
      </w:r>
      <w:r>
        <w:t xml:space="preserve">for stakeholders</w:t>
      </w:r>
      <w:r>
        <w:t xml:space="preserve"> </w:t>
      </w:r>
      <w:r>
        <w:t xml:space="preserve">Ensuring reporting</w:t>
      </w:r>
      <w:r>
        <w:t xml:space="preserve"> </w:t>
      </w:r>
      <w:r>
        <w:t xml:space="preserve">obligations are</w:t>
      </w:r>
      <w:r>
        <w:t xml:space="preserve"> </w:t>
      </w:r>
      <w:r>
        <w:t xml:space="preserve">proportionate and</w:t>
      </w:r>
      <w:r>
        <w:t xml:space="preserve"> </w:t>
      </w:r>
      <w:r>
        <w:t xml:space="preserve">better targeted while</w:t>
      </w:r>
      <w:r>
        <w:t xml:space="preserve"> </w:t>
      </w:r>
      <w:r>
        <w:t xml:space="preserve">preserving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Improving the</w:t>
      </w:r>
      <w:r>
        <w:t xml:space="preserve"> </w:t>
      </w:r>
      <w:r>
        <w:t xml:space="preserve">effectiveness and</w:t>
      </w:r>
      <w:r>
        <w:t xml:space="preserve"> </w:t>
      </w:r>
      <w:r>
        <w:t xml:space="preserve">usability of</w:t>
      </w:r>
      <w:r>
        <w:t xml:space="preserve"> </w:t>
      </w:r>
      <w:r>
        <w:t xml:space="preserve">exchanged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Measure 1 – DAC6</w:t>
      </w:r>
      <w:r>
        <w:t xml:space="preserve"> </w:t>
      </w:r>
      <w:r>
        <w:t xml:space="preserve">PO1b: Excluding companies</w:t>
      </w:r>
      <w:r>
        <w:t xml:space="preserve"> </w:t>
      </w:r>
      <w:r>
        <w:t xml:space="preserve">within the scope of the Pillar 2</w:t>
      </w:r>
      <w:r>
        <w:t xml:space="preserve"> </w:t>
      </w:r>
      <w:r>
        <w:t xml:space="preserve">Directive from reporting under</w:t>
      </w:r>
      <w:r>
        <w:t xml:space="preserve"> </w:t>
      </w:r>
      <w:r>
        <w:t xml:space="preserve">DAC6 + removing the generic</w:t>
      </w:r>
      <w:r>
        <w:t xml:space="preserve"> </w:t>
      </w:r>
      <w:r>
        <w:t xml:space="preserve">hallmarks (category A) +</w:t>
      </w:r>
      <w:r>
        <w:t xml:space="preserve"> </w:t>
      </w:r>
      <w:r>
        <w:t xml:space="preserve">guidance to promote a more</w:t>
      </w:r>
      <w:r>
        <w:t xml:space="preserve"> </w:t>
      </w:r>
      <w:r>
        <w:t xml:space="preserve">harmonised interpretation of the</w:t>
      </w:r>
      <w:r>
        <w:t xml:space="preserve"> </w:t>
      </w:r>
      <w:r>
        <w:t xml:space="preserve">MBT for the remaining hallmarks</w:t>
      </w:r>
      <w:r>
        <w:t xml:space="preserve"> </w:t>
      </w:r>
      <w:r>
        <w:t xml:space="preserve">subject to the test.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Measure 2 – DAC7</w:t>
      </w:r>
      <w:r>
        <w:t xml:space="preserve"> </w:t>
      </w:r>
      <w:r>
        <w:t xml:space="preserve">PO2b: Removing the activity</w:t>
      </w:r>
      <w:r>
        <w:t xml:space="preserve"> </w:t>
      </w:r>
      <w:r>
        <w:t xml:space="preserve">threshold of 30 transactions and</w:t>
      </w:r>
      <w:r>
        <w:t xml:space="preserve"> </w:t>
      </w:r>
      <w:r>
        <w:t xml:space="preserve">increasing the monetary threshold</w:t>
      </w:r>
      <w:r>
        <w:t xml:space="preserve"> </w:t>
      </w:r>
      <w:r>
        <w:t xml:space="preserve">to EUR 3,000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Measure 3 – DAC4/DAC9</w:t>
      </w:r>
      <w:r>
        <w:t xml:space="preserve"> </w:t>
      </w:r>
      <w:r>
        <w:t xml:space="preserve">PO3b: Introducing a single</w:t>
      </w:r>
      <w:r>
        <w:t xml:space="preserve"> </w:t>
      </w:r>
      <w:r>
        <w:t xml:space="preserve">notification requirement for</w:t>
      </w:r>
      <w:r>
        <w:t xml:space="preserve"> </w:t>
      </w:r>
      <w:r>
        <w:t xml:space="preserve">DAC4/DAC9 via a common</w:t>
      </w:r>
      <w:r>
        <w:t xml:space="preserve"> </w:t>
      </w:r>
      <w:r>
        <w:t xml:space="preserve">standard template and harmonised</w:t>
      </w:r>
      <w:r>
        <w:t xml:space="preserve"> </w:t>
      </w:r>
      <w:r>
        <w:t xml:space="preserve">deadlines + central filing of the</w:t>
      </w:r>
      <w:r>
        <w:t xml:space="preserve"> </w:t>
      </w:r>
      <w:r>
        <w:t xml:space="preserve">notification followed by exchange</w:t>
      </w:r>
      <w:r>
        <w:t xml:space="preserve"> </w:t>
      </w:r>
      <w:r>
        <w:t xml:space="preserve">of information between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Measure 4 – TIN</w:t>
      </w:r>
      <w:r>
        <w:t xml:space="preserve"> </w:t>
      </w:r>
      <w:r>
        <w:t xml:space="preserve">PO4B: Introducing a centralised</w:t>
      </w:r>
      <w:r>
        <w:t xml:space="preserve"> </w:t>
      </w:r>
      <w:r>
        <w:t xml:space="preserve">TIN verification system</w:t>
      </w:r>
      <w:r>
        <w:t xml:space="preserve"> </w:t>
      </w:r>
      <w:r>
        <w:t xml:space="preserve">accessible to both Member States</w:t>
      </w:r>
      <w:r>
        <w:t xml:space="preserve"> </w:t>
      </w:r>
      <w:r>
        <w:t xml:space="preserve">tax administrations and reporting</w:t>
      </w:r>
      <w:r>
        <w:t xml:space="preserve"> </w:t>
      </w:r>
      <w:r>
        <w:t xml:space="preserve">entities.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Measure 5 – DAC1</w:t>
      </w:r>
      <w:r>
        <w:t xml:space="preserve"> </w:t>
      </w:r>
      <w:r>
        <w:t xml:space="preserve">PO5c: The LIP category is no</w:t>
      </w:r>
      <w:r>
        <w:t xml:space="preserve"> </w:t>
      </w:r>
      <w:r>
        <w:t xml:space="preserve">longer required to be exchanged.</w:t>
      </w:r>
      <w:r>
        <w:t xml:space="preserve"> </w:t>
      </w:r>
      <w:r>
        <w:t xml:space="preserve">Member States are obliged to</w:t>
      </w:r>
      <w:r>
        <w:t xml:space="preserve"> </w:t>
      </w:r>
      <w:r>
        <w:t xml:space="preserve">automatically exchange</w:t>
      </w:r>
      <w:r>
        <w:t xml:space="preserve"> </w:t>
      </w:r>
      <w:r>
        <w:t xml:space="preserve">information available to all public</w:t>
      </w:r>
      <w:r>
        <w:t xml:space="preserve"> </w:t>
      </w:r>
      <w:r>
        <w:t xml:space="preserve">authorities in the Member States</w:t>
      </w:r>
      <w:r>
        <w:t xml:space="preserve"> </w:t>
      </w:r>
      <w:r>
        <w:t xml:space="preserve">with respect to the remaining six</w:t>
      </w:r>
      <w:r>
        <w:t xml:space="preserve"> </w:t>
      </w:r>
      <w:r>
        <w:t xml:space="preserve">categories of income and capital.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Measure 1</w:t>
      </w:r>
      <w:r>
        <w:t xml:space="preserve"> </w:t>
      </w:r>
      <w:r>
        <w:t xml:space="preserve">DAC6</w:t>
      </w:r>
      <w:r>
        <w:t xml:space="preserve"> </w:t>
      </w:r>
      <w:r>
        <w:t xml:space="preserve">PO1b</w:t>
      </w:r>
      <w:r>
        <w:br/>
      </w:r>
      <w:r>
        <w:t xml:space="preserve">Measure 2</w:t>
      </w:r>
      <w:r>
        <w:t xml:space="preserve"> </w:t>
      </w:r>
      <w:r>
        <w:t xml:space="preserve">DAC7</w:t>
      </w:r>
      <w:r>
        <w:t xml:space="preserve"> </w:t>
      </w:r>
      <w:r>
        <w:t xml:space="preserve">PO2b</w:t>
      </w:r>
      <w:r>
        <w:t xml:space="preserve"> </w:t>
      </w:r>
      <w:r>
        <w:t xml:space="preserve">Measure 3</w:t>
      </w:r>
      <w:r>
        <w:t xml:space="preserve"> </w:t>
      </w:r>
      <w:r>
        <w:t xml:space="preserve">DAC4/DAC9</w:t>
      </w:r>
      <w:r>
        <w:t xml:space="preserve"> </w:t>
      </w:r>
      <w:r>
        <w:t xml:space="preserve">PO3b</w:t>
      </w:r>
      <w:r>
        <w:t xml:space="preserve"> </w:t>
      </w:r>
      <w:r>
        <w:t xml:space="preserve">Measure 4</w:t>
      </w:r>
      <w:r>
        <w:t xml:space="preserve"> </w:t>
      </w:r>
      <w:r>
        <w:t xml:space="preserve">TIN</w:t>
      </w:r>
      <w:r>
        <w:t xml:space="preserve"> </w:t>
      </w:r>
      <w:r>
        <w:t xml:space="preserve">PO4b</w:t>
      </w:r>
      <w:r>
        <w:t xml:space="preserve"> </w:t>
      </w:r>
      <w:r>
        <w:t xml:space="preserve">Measure 5</w:t>
      </w:r>
      <w:r>
        <w:t xml:space="preserve"> </w:t>
      </w:r>
      <w:r>
        <w:t xml:space="preserve">DAC1</w:t>
      </w:r>
      <w:r>
        <w:t xml:space="preserve"> </w:t>
      </w:r>
      <w:r>
        <w:t xml:space="preserve">PO5c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One-off implementation and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Administrative cost</w:t>
      </w:r>
      <w:r>
        <w:t xml:space="preserve"> </w:t>
      </w:r>
      <w: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One-off implementation and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Total cost savings for the preferred policy measures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Cost Savings</w:t>
      </w:r>
      <w:r>
        <w:t xml:space="preserve"> </w:t>
      </w:r>
      <w:r>
        <w:t xml:space="preserve">Measure 1: DAC6 (PO1b)</w:t>
      </w:r>
      <w:r>
        <w:t xml:space="preserve"> </w:t>
      </w:r>
      <w:r>
        <w:t xml:space="preserve">341 million</w:t>
      </w:r>
      <w:r>
        <w:br/>
      </w:r>
      <w:r>
        <w:t xml:space="preserve">Measure 2: DAC7 (PO2b)</w:t>
      </w:r>
      <w:r>
        <w:t xml:space="preserve"> </w:t>
      </w:r>
      <w:r>
        <w:t xml:space="preserve">678 million</w:t>
      </w:r>
      <w:r>
        <w:br/>
      </w:r>
      <w:r>
        <w:t xml:space="preserve">Measure 3: DAC4/DAC9 (PO3b)</w:t>
      </w:r>
      <w:r>
        <w:t xml:space="preserve"> </w:t>
      </w:r>
      <w:r>
        <w:t xml:space="preserve">264 million</w:t>
      </w:r>
      <w:r>
        <w:br/>
      </w:r>
      <w:r>
        <w:t xml:space="preserve">Total Savings</w:t>
      </w:r>
      <w:r>
        <w:t xml:space="preserve"> </w:t>
      </w:r>
      <w:r>
        <w:t xml:space="preserve">1,283,000,000 — One billion two hundred eighty-</w:t>
      </w:r>
      <w:r>
        <w:t xml:space="preserve"> </w:t>
      </w:r>
      <w:r>
        <w:t xml:space="preserve">three thousand</w:t>
      </w:r>
    </w:p>
    <w:p>
      <w:pPr>
        <w:pStyle w:val="BodyText"/>
      </w:pPr>
      <w:r>
        <w:t xml:space="preserve">8.3 REFIT (simplification and improved efficiency)</w:t>
      </w:r>
      <w:r>
        <w:t xml:space="preserve"> </w:t>
      </w:r>
      <w:r>
        <w:t xml:space="preserve">The preferred policy package contributes to the simplification objectives of the Union and</w:t>
      </w:r>
      <w:r>
        <w:t xml:space="preserve"> </w:t>
      </w:r>
      <w:r>
        <w:t xml:space="preserve">supports the REFIT programme by reducing unnecessary administrative burdens while</w:t>
      </w:r>
      <w:r>
        <w:t xml:space="preserve"> </w:t>
      </w:r>
      <w:r>
        <w:t xml:space="preserve">improving the effectiveness of the administrative cooperation framework. These measures</w:t>
      </w:r>
      <w:r>
        <w:t xml:space="preserve"> </w:t>
      </w:r>
      <w:r>
        <w:t xml:space="preserve">directly simplify existing reporting obligations and remove duplicative procedures. In</w:t>
      </w:r>
      <w:r>
        <w:t xml:space="preserve"> </w:t>
      </w:r>
      <w:r>
        <w:t xml:space="preserve">particular, the removal of certain DAC6 hallmarks and the exclusion of MNE groups subject</w:t>
      </w:r>
      <w:r>
        <w:t xml:space="preserve"> </w:t>
      </w:r>
      <w:r>
        <w:t xml:space="preserve">to the Pillar 2 Directive remove reporting requirements that generate limited operational</w:t>
      </w:r>
      <w:r>
        <w:t xml:space="preserve"> </w:t>
      </w:r>
      <w:r>
        <w:t xml:space="preserve">value for tax administrations. Similarly, the simplification of DAC7 reporting thresholds</w:t>
      </w:r>
      <w:r>
        <w:t xml:space="preserve"> </w:t>
      </w:r>
      <w:r>
        <w:t xml:space="preserve">reduces the volume of reports associated with low-value transactions, while the introduction</w:t>
      </w:r>
      <w:r>
        <w:t xml:space="preserve"> </w:t>
      </w:r>
      <w:r>
        <w:t xml:space="preserve">of centralised notifications for the purposes of DAC4 and DAC9 eliminates the current</w:t>
      </w:r>
      <w:r>
        <w:t xml:space="preserve"> </w:t>
      </w:r>
      <w:r>
        <w:t xml:space="preserve">duplicative notification obligations for MNE groups. Simultaneously the introduction of a</w:t>
      </w:r>
      <w:r>
        <w:t xml:space="preserve"> </w:t>
      </w:r>
      <w:r>
        <w:t xml:space="preserve">new verification system for TINs combined with improvements in the completeness of the</w:t>
      </w:r>
      <w:r>
        <w:t xml:space="preserve"> </w:t>
      </w:r>
      <w:r>
        <w:t xml:space="preserve">DAC1 framework improve the efficiency of the DAC. Together, these measures simplify</w:t>
      </w:r>
      <w:r>
        <w:t xml:space="preserve"> </w:t>
      </w:r>
      <w:r>
        <w:t xml:space="preserve">compliance procedures for EU businesses and SME’s and improve the quality, completeness</w:t>
      </w:r>
      <w:r>
        <w:t xml:space="preserve"> </w:t>
      </w:r>
      <w:r>
        <w:t xml:space="preserve">and use of exchanged information by tax administrations.</w:t>
      </w:r>
      <w:r>
        <w:br/>
      </w:r>
      <w:r>
        <w:t xml:space="preserve">8.4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simplification initiative generates significant reductions in reporting volumes and</w:t>
      </w:r>
      <w:r>
        <w:t xml:space="preserve"> </w:t>
      </w:r>
      <w:r>
        <w:t xml:space="preserve">notification obligations for EU businesses and SMEs. Based upon the estimates presented</w:t>
      </w:r>
      <w:r>
        <w:t xml:space="preserve"> </w:t>
      </w:r>
      <w:r>
        <w:t xml:space="preserve">in Chapter 6, the preferred options are expected to generate substantial compliance cost</w:t>
      </w:r>
      <w:r>
        <w:t xml:space="preserve"> </w:t>
      </w:r>
      <w:r>
        <w:t xml:space="preserve">savings and consequential reductions in administrative burden for EU businesses and SMEs.</w:t>
      </w:r>
      <w:r>
        <w:t xml:space="preserve"> </w:t>
      </w:r>
      <w:r>
        <w:t xml:space="preserve">These compliance costs savings will be primarily achieved via the simplification of certain</w:t>
      </w:r>
      <w:r>
        <w:t xml:space="preserve"> </w:t>
      </w:r>
      <w:r>
        <w:t xml:space="preserve">DAC6 reporting requirements for example the exclusion of MNE groups within the scope</w:t>
      </w:r>
      <w:r>
        <w:t xml:space="preserve"> </w:t>
      </w:r>
      <w:r>
        <w:t xml:space="preserve">of the Pillar 2 Directive is estimated to achieve compliance cost savings of approximately</w:t>
      </w:r>
      <w:r>
        <w:t xml:space="preserve"> </w:t>
      </w:r>
      <w:r>
        <w:t xml:space="preserve">EUR 263 million per year. Additional cost savings will be achieved from the simplification</w:t>
      </w:r>
      <w:r>
        <w:t xml:space="preserve"> </w:t>
      </w:r>
      <w:r>
        <w:t xml:space="preserve">of the DAC7 framework by increasing the reporting threshold for activities involving the</w:t>
      </w:r>
      <w:r>
        <w:t xml:space="preserve"> </w:t>
      </w:r>
      <w:r>
        <w:t xml:space="preserve">sale of goods and by simplifying and streamlining the notification obligations under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DAC4/DAC9. Overall, the initiative results in a significant net reduction in administrative</w:t>
      </w:r>
      <w:r>
        <w:t xml:space="preserve"> </w:t>
      </w:r>
      <w:r>
        <w:t xml:space="preserve">burden for EU businesses and SMEs in line with the Commission’s ‘one-in, one-out’</w:t>
      </w:r>
      <w:r>
        <w:t xml:space="preserve"> </w:t>
      </w:r>
      <w:r>
        <w:t xml:space="preserve">approach.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actual impacts of these measures will be monitored and evaluated by the Commission</w:t>
      </w:r>
      <w:r>
        <w:t xml:space="preserve"> </w:t>
      </w:r>
      <w:r>
        <w:t xml:space="preserve">services in close cooperation with the Member States. The monitoring framework will assess</w:t>
      </w:r>
      <w:r>
        <w:t xml:space="preserve"> </w:t>
      </w:r>
      <w:r>
        <w:t xml:space="preserve">whether the initiative is achieving its specific objectives, namely, reducing complexity and</w:t>
      </w:r>
      <w:r>
        <w:t xml:space="preserve"> </w:t>
      </w:r>
      <w:r>
        <w:t xml:space="preserve">improving legal certainty, ensuring that reporting and notification obligations are</w:t>
      </w:r>
      <w:r>
        <w:t xml:space="preserve"> </w:t>
      </w:r>
      <w:r>
        <w:t xml:space="preserve">proportionate and better targeted while preserving the policy objectives and improving the</w:t>
      </w:r>
      <w:r>
        <w:t xml:space="preserve"> </w:t>
      </w:r>
      <w:r>
        <w:t xml:space="preserve">effectiveness and use of exchanged information. Collection of factual data on the suggested</w:t>
      </w:r>
      <w:r>
        <w:t xml:space="preserve"> </w:t>
      </w:r>
      <w:r>
        <w:t xml:space="preserve">monitoring indicators will also provide the basis for the future evaluation of the initiative</w:t>
      </w:r>
      <w:r>
        <w:t xml:space="preserve"> </w:t>
      </w:r>
      <w:r>
        <w:t xml:space="preserve">The following indicators are suggested to measure the success of the initiative in light of the</w:t>
      </w:r>
      <w:r>
        <w:t xml:space="preserve"> </w:t>
      </w:r>
      <w:r>
        <w:t xml:space="preserve">specific objectives (Chapter 4). An indication of the target for success is also provided.</w:t>
      </w:r>
    </w:p>
    <w:p>
      <w:pPr>
        <w:pStyle w:val="BodyText"/>
      </w:pPr>
      <w:r>
        <w:t xml:space="preserve">Indicators74</w:t>
      </w:r>
      <w:r>
        <w:t xml:space="preserve"> </w:t>
      </w:r>
      <w:r>
        <w:t xml:space="preserve">Targets</w:t>
      </w:r>
      <w:r>
        <w:br/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from</w:t>
      </w:r>
      <w:r>
        <w:t xml:space="preserve"> </w:t>
      </w:r>
      <w:r>
        <w:t xml:space="preserve">DAC6</w:t>
      </w:r>
      <w:r>
        <w:t xml:space="preserve"> </w:t>
      </w:r>
      <w:r>
        <w:t xml:space="preserve">reporting</w:t>
      </w:r>
      <w:r>
        <w:br/>
      </w:r>
      <w:r>
        <w:t xml:space="preserve">Reduction of EUR 300 million/year for large MNEs</w:t>
      </w:r>
      <w:r>
        <w:t xml:space="preserve"> </w:t>
      </w:r>
      <w:r>
        <w:t xml:space="preserve">Reduction of EUR 41.4 million/year for other MNEs</w:t>
      </w:r>
      <w:r>
        <w:br/>
      </w:r>
      <w:r>
        <w:t xml:space="preserve">Compliance cost reductions from</w:t>
      </w:r>
      <w:r>
        <w:t xml:space="preserve"> </w:t>
      </w:r>
      <w:r>
        <w:t xml:space="preserve">DAC7 reporting</w:t>
      </w:r>
      <w:r>
        <w:br/>
      </w:r>
      <w:r>
        <w:t xml:space="preserve">Overall reduction from EUR 452 million to EUR 904 million for digital</w:t>
      </w:r>
      <w:r>
        <w:t xml:space="preserve"> </w:t>
      </w:r>
      <w:r>
        <w:t xml:space="preserve">platforms.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from</w:t>
      </w:r>
      <w:r>
        <w:t xml:space="preserve"> </w:t>
      </w:r>
      <w:r>
        <w:t xml:space="preserve">DAC4/DAC9</w:t>
      </w:r>
      <w:r>
        <w:t xml:space="preserve"> </w:t>
      </w:r>
      <w:r>
        <w:t xml:space="preserve">Reduction of EUR 264 million/year for large MNEs</w:t>
      </w:r>
      <w:r>
        <w:t xml:space="preserve"> </w:t>
      </w:r>
      <w:r>
        <w:t xml:space="preserve">Regulatory cost for Tax authorities Cost for tax authorities is expected to decrease following the decrease in the</w:t>
      </w:r>
      <w:r>
        <w:t xml:space="preserve"> </w:t>
      </w:r>
      <w:r>
        <w:t xml:space="preserve">number of disclosures. Given the difficulties to isolate such component from</w:t>
      </w:r>
      <w:r>
        <w:t xml:space="preserve"> </w:t>
      </w:r>
      <w:r>
        <w:t xml:space="preserve">other costs, the decrease will be appreciated qualitatively.</w:t>
      </w:r>
      <w:r>
        <w:t xml:space="preserve"> </w:t>
      </w:r>
      <w:r>
        <w:t xml:space="preserve">Reduction of the number of disclosures to be analysed by tax authorities:</w:t>
      </w:r>
      <w:r>
        <w:br/>
      </w:r>
      <w:r>
        <w:t xml:space="preserve">9,000 disclosures less for DAC6:</w:t>
      </w:r>
      <w:r>
        <w:t xml:space="preserve"> </w:t>
      </w:r>
      <w:r>
        <w:t xml:space="preserve">11.3 million reported sellers less annually for DAC7</w:t>
      </w:r>
      <w:r>
        <w:t xml:space="preserve"> </w:t>
      </w:r>
      <w:r>
        <w:t xml:space="preserve">109,000 MNEs in scope of DAC9 not filing separate DAC4 and DAC9</w:t>
      </w:r>
      <w:r>
        <w:t xml:space="preserve"> </w:t>
      </w:r>
      <w:r>
        <w:t xml:space="preserve">notifications anymore.</w:t>
      </w:r>
      <w:r>
        <w:t xml:space="preserve"> </w:t>
      </w:r>
      <w:r>
        <w:t xml:space="preserve">Average automatic matching rate</w:t>
      </w:r>
      <w:r>
        <w:t xml:space="preserve"> </w:t>
      </w:r>
      <w:r>
        <w:t xml:space="preserve">for TINs</w:t>
      </w:r>
      <w:r>
        <w:br/>
      </w:r>
      <w:r>
        <w:t xml:space="preserve">Average automatic matching rate increased up to 100% within 3 years from</w:t>
      </w:r>
      <w:r>
        <w:t xml:space="preserve"> </w:t>
      </w:r>
      <w:r>
        <w:t xml:space="preserve">the full implementation of the system by all Member States</w:t>
      </w:r>
      <w:r>
        <w:br/>
      </w:r>
      <w:r>
        <w:t xml:space="preserve">One-off costs for development of</w:t>
      </w:r>
      <w:r>
        <w:t xml:space="preserve"> </w:t>
      </w:r>
      <w:r>
        <w:t xml:space="preserve">IT system for TIN</w:t>
      </w:r>
      <w:r>
        <w:t xml:space="preserve"> </w:t>
      </w:r>
      <w:r>
        <w:t xml:space="preserve">For EU (central component): EUR 970,000–1,770,000; For Member States</w:t>
      </w:r>
      <w:r>
        <w:t xml:space="preserve"> </w:t>
      </w:r>
      <w:r>
        <w:t xml:space="preserve">(national component): EUR 15–25 million</w:t>
      </w:r>
      <w:r>
        <w:br/>
      </w:r>
      <w:r>
        <w:t xml:space="preserve">Recurrent IT maintenance and</w:t>
      </w:r>
      <w:r>
        <w:t xml:space="preserve"> </w:t>
      </w:r>
      <w:r>
        <w:t xml:space="preserve">assistance for TIN</w:t>
      </w:r>
      <w:r>
        <w:t xml:space="preserve"> </w:t>
      </w:r>
      <w:r>
        <w:t xml:space="preserve">For EU (central component): EUR 1.8–2.4 million/year;</w:t>
      </w:r>
      <w:r>
        <w:br/>
      </w:r>
      <w:r>
        <w:t xml:space="preserve">For Member States (national component): EUR 5.5–18 million/year</w:t>
      </w:r>
    </w:p>
    <w:p>
      <w:pPr>
        <w:pStyle w:val="BodyText"/>
      </w:pPr>
      <w:r>
        <w:t xml:space="preserve">The monitoring framework will largely rely upon the existing statistical reporting</w:t>
      </w:r>
      <w:r>
        <w:t xml:space="preserve"> </w:t>
      </w:r>
      <w:r>
        <w:t xml:space="preserve">mechanisms under DAC. Where necessary, these may be complemented by additional</w:t>
      </w:r>
      <w:r>
        <w:t xml:space="preserve"> </w:t>
      </w:r>
      <w:r>
        <w:t xml:space="preserve">relevant indicators to better assess the impacts of the proposed measures.</w:t>
      </w:r>
    </w:p>
    <w:p>
      <w:pPr>
        <w:pStyle w:val="BodyText"/>
      </w:pPr>
      <w:r>
        <w:t xml:space="preserve">74 The ability of the Commission services to effectively monitor the compliance cost savings for EU businesses will be dependent upon</w:t>
      </w:r>
      <w:r>
        <w:t xml:space="preserve"> </w:t>
      </w:r>
      <w:r>
        <w:t xml:space="preserve">the detailed scope of information provided by EU businesses to the Commission service surveys.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9.1.</w:t>
      </w:r>
      <w:r>
        <w:t xml:space="preserve"> </w:t>
      </w:r>
      <w:r>
        <w:t xml:space="preserve">Monitoring arrangements</w:t>
      </w:r>
      <w:r>
        <w:t xml:space="preserve"> </w:t>
      </w:r>
      <w:r>
        <w:t xml:space="preserve">The following indicators will be used to monitor the implementation and impacts of this</w:t>
      </w:r>
      <w:r>
        <w:t xml:space="preserve"> </w:t>
      </w:r>
      <w:r>
        <w:t xml:space="preserve">simplification initiative.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</w:t>
      </w:r>
      <w:r>
        <w:t xml:space="preserve"> </w:t>
      </w:r>
      <w:r>
        <w:t xml:space="preserve">Frequency</w:t>
      </w:r>
      <w:r>
        <w:t xml:space="preserve"> </w:t>
      </w:r>
      <w:r>
        <w:t xml:space="preserve">Ensure proportionate and legally certain DAC6</w:t>
      </w:r>
      <w:r>
        <w:t xml:space="preserve"> </w:t>
      </w:r>
      <w:r>
        <w:t xml:space="preserve">reporting (removal of certain MBT-related A</w:t>
      </w:r>
      <w:r>
        <w:t xml:space="preserve"> </w:t>
      </w:r>
      <w:r>
        <w:t xml:space="preserve">hallmarks and exclusion of Pillar 2 entities)</w:t>
      </w:r>
      <w:r>
        <w:t xml:space="preserve"> </w:t>
      </w:r>
      <w:r>
        <w:t xml:space="preserve">Number of annual DAC6</w:t>
      </w:r>
      <w:r>
        <w:t xml:space="preserve"> </w:t>
      </w:r>
      <w:r>
        <w:t xml:space="preserve">disclosures</w:t>
      </w:r>
      <w:r>
        <w:br/>
      </w:r>
      <w:r>
        <w:t xml:space="preserve">DAC6 central directory</w:t>
      </w:r>
      <w:r>
        <w:t xml:space="preserve"> </w:t>
      </w:r>
      <w:r>
        <w:t xml:space="preserve">statistics</w:t>
      </w:r>
      <w:r>
        <w:t xml:space="preserve"> </w:t>
      </w:r>
      <w:r>
        <w:t xml:space="preserve">Annual</w:t>
      </w:r>
      <w:r>
        <w:t xml:space="preserve"> </w:t>
      </w:r>
      <w:r>
        <w:t xml:space="preserve">Ensure proportionate and legally certain DAC6</w:t>
      </w:r>
      <w:r>
        <w:t xml:space="preserve"> </w:t>
      </w:r>
      <w:r>
        <w:t xml:space="preserve">reporting (removal of certain MBT-related A</w:t>
      </w:r>
      <w:r>
        <w:t xml:space="preserve"> </w:t>
      </w:r>
      <w:r>
        <w:t xml:space="preserve">hallmarks and exclusion of Pillar 2 entities)</w:t>
      </w:r>
      <w:r>
        <w:br/>
      </w:r>
      <w:r>
        <w:t xml:space="preserve">Reductions 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Survey of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Every 5 years</w:t>
      </w:r>
      <w:r>
        <w:t xml:space="preserve"> </w:t>
      </w:r>
      <w:r>
        <w:t xml:space="preserve">in view of</w:t>
      </w:r>
      <w:r>
        <w:t xml:space="preserve"> </w:t>
      </w:r>
      <w:r>
        <w:t xml:space="preserve">evaluation</w:t>
      </w:r>
      <w:r>
        <w:t xml:space="preserve"> </w:t>
      </w:r>
      <w:r>
        <w:t xml:space="preserve">Ensure proportionate and better targeted</w:t>
      </w:r>
      <w:r>
        <w:t xml:space="preserve"> </w:t>
      </w:r>
      <w:r>
        <w:t xml:space="preserve">reporting of sellers under DAC7</w:t>
      </w:r>
      <w:r>
        <w:t xml:space="preserve"> </w:t>
      </w:r>
      <w:r>
        <w:t xml:space="preserve">Number of annual sellers</w:t>
      </w:r>
      <w:r>
        <w:t xml:space="preserve"> </w:t>
      </w:r>
      <w:r>
        <w:t xml:space="preserve">reported for the sale of</w:t>
      </w:r>
      <w:r>
        <w:t xml:space="preserve"> </w:t>
      </w:r>
      <w:r>
        <w:t xml:space="preserve">goods.</w:t>
      </w:r>
      <w:r>
        <w:br/>
      </w:r>
      <w:r>
        <w:t xml:space="preserve">Statistics reported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Annual</w:t>
      </w:r>
      <w:r>
        <w:t xml:space="preserve"> </w:t>
      </w:r>
      <w:r>
        <w:t xml:space="preserve">Ensure proportionate and better targeted</w:t>
      </w:r>
      <w:r>
        <w:t xml:space="preserve"> </w:t>
      </w:r>
      <w:r>
        <w:t xml:space="preserve">reporting of sellers under DAC7</w:t>
      </w:r>
      <w:r>
        <w:br/>
      </w:r>
      <w:r>
        <w:t xml:space="preserve">Reductions 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Survey of Platform</w:t>
      </w:r>
      <w:r>
        <w:t xml:space="preserve"> </w:t>
      </w:r>
      <w:r>
        <w:t xml:space="preserve">Operators</w:t>
      </w:r>
      <w:r>
        <w:t xml:space="preserve"> </w:t>
      </w:r>
      <w:r>
        <w:t xml:space="preserve">Every 5 years</w:t>
      </w:r>
      <w:r>
        <w:t xml:space="preserve"> </w:t>
      </w:r>
      <w:r>
        <w:t xml:space="preserve">in view of</w:t>
      </w:r>
      <w:r>
        <w:t xml:space="preserve"> </w:t>
      </w:r>
      <w:r>
        <w:t xml:space="preserve">evaluation</w:t>
      </w:r>
      <w:r>
        <w:t xml:space="preserve"> </w:t>
      </w:r>
      <w:r>
        <w:t xml:space="preserve">Eliminate duplicative (DAC4/DAC9) and non-</w:t>
      </w:r>
      <w:r>
        <w:t xml:space="preserve"> </w:t>
      </w:r>
      <w:r>
        <w:t xml:space="preserve">harmonised notification obligations for MNE</w:t>
      </w:r>
      <w:r>
        <w:t xml:space="preserve"> </w:t>
      </w:r>
      <w:r>
        <w:t xml:space="preserve">Groups</w:t>
      </w:r>
      <w:r>
        <w:br/>
      </w:r>
      <w:r>
        <w:t xml:space="preserve">Number of notifications</w:t>
      </w:r>
      <w:r>
        <w:t xml:space="preserve"> </w:t>
      </w:r>
      <w:r>
        <w:t xml:space="preserve">submitted by constituent</w:t>
      </w:r>
      <w:r>
        <w:t xml:space="preserve"> </w:t>
      </w:r>
      <w:r>
        <w:t xml:space="preserve">entities and number of</w:t>
      </w:r>
      <w:r>
        <w:t xml:space="preserve"> </w:t>
      </w:r>
      <w:r>
        <w:t xml:space="preserve">notifications submitted at</w:t>
      </w:r>
      <w:r>
        <w:t xml:space="preserve"> </w:t>
      </w:r>
      <w:r>
        <w:t xml:space="preserve">group level</w:t>
      </w:r>
      <w:r>
        <w:t xml:space="preserve"> </w:t>
      </w:r>
      <w:r>
        <w:t xml:space="preserve">Statistics reported by</w:t>
      </w:r>
      <w:r>
        <w:t xml:space="preserve"> </w:t>
      </w:r>
      <w:r>
        <w:t xml:space="preserve">Member States</w:t>
      </w:r>
      <w:r>
        <w:br/>
      </w:r>
      <w:r>
        <w:t xml:space="preserve">Annual</w:t>
      </w:r>
      <w:r>
        <w:t xml:space="preserve"> </w:t>
      </w:r>
      <w:r>
        <w:t xml:space="preserve">Eliminate duplicative (DAC4/DAC9) and non-</w:t>
      </w:r>
      <w:r>
        <w:t xml:space="preserve"> </w:t>
      </w:r>
      <w:r>
        <w:t xml:space="preserve">harmonised notification obligations for MNE</w:t>
      </w:r>
      <w:r>
        <w:t xml:space="preserve"> </w:t>
      </w:r>
      <w:r>
        <w:t xml:space="preserve">Groups</w:t>
      </w:r>
      <w:r>
        <w:br/>
      </w:r>
      <w:r>
        <w:t xml:space="preserve">Reductions 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Survey of Platform</w:t>
      </w:r>
      <w:r>
        <w:t xml:space="preserve"> </w:t>
      </w:r>
      <w:r>
        <w:t xml:space="preserve">Operators</w:t>
      </w:r>
      <w:r>
        <w:t xml:space="preserve"> </w:t>
      </w:r>
      <w:r>
        <w:t xml:space="preserve">Every 5 years</w:t>
      </w:r>
      <w:r>
        <w:t xml:space="preserve"> </w:t>
      </w:r>
      <w:r>
        <w:t xml:space="preserve">in view of</w:t>
      </w:r>
      <w:r>
        <w:t xml:space="preserve"> </w:t>
      </w:r>
      <w:r>
        <w:t xml:space="preserve">evaluation</w:t>
      </w:r>
      <w:r>
        <w:t xml:space="preserve"> </w:t>
      </w:r>
      <w:r>
        <w:t xml:space="preserve">Improve the quality and completeness of</w:t>
      </w:r>
      <w:r>
        <w:t xml:space="preserve"> </w:t>
      </w:r>
      <w:r>
        <w:t xml:space="preserve">DAC1 exchanges</w:t>
      </w:r>
      <w:r>
        <w:t xml:space="preserve"> </w:t>
      </w:r>
      <w:r>
        <w:t xml:space="preserve">Number of categories</w:t>
      </w:r>
      <w:r>
        <w:t xml:space="preserve"> </w:t>
      </w:r>
      <w:r>
        <w:t xml:space="preserve">exchanged by Member</w:t>
      </w:r>
      <w:r>
        <w:t xml:space="preserve"> </w:t>
      </w:r>
      <w:r>
        <w:t xml:space="preserve">States and increase in the</w:t>
      </w:r>
      <w:r>
        <w:t xml:space="preserve"> </w:t>
      </w:r>
      <w:r>
        <w:t xml:space="preserve">volume of information</w:t>
      </w:r>
      <w:r>
        <w:t xml:space="preserve"> </w:t>
      </w:r>
      <w:r>
        <w:t xml:space="preserve">exchanged</w:t>
      </w:r>
      <w:r>
        <w:t xml:space="preserve"> </w:t>
      </w:r>
      <w:r>
        <w:t xml:space="preserve">DAC1 statistics</w:t>
      </w:r>
      <w:r>
        <w:t xml:space="preserve"> </w:t>
      </w:r>
      <w:r>
        <w:t xml:space="preserve">reported by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Annual</w:t>
      </w:r>
      <w:r>
        <w:t xml:space="preserve"> </w:t>
      </w:r>
      <w:r>
        <w:t xml:space="preserve">Strengthen tax compliance and protection of</w:t>
      </w:r>
      <w:r>
        <w:t xml:space="preserve"> </w:t>
      </w:r>
      <w:r>
        <w:t xml:space="preserve">tax bases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qualitative and/or</w:t>
      </w:r>
      <w:r>
        <w:t xml:space="preserve"> </w:t>
      </w:r>
      <w:r>
        <w:t xml:space="preserve">quantitative appreciation</w:t>
      </w:r>
      <w:r>
        <w:t xml:space="preserve"> </w:t>
      </w:r>
      <w:r>
        <w:t xml:space="preserve">of the ability to protect</w:t>
      </w:r>
      <w:r>
        <w:t xml:space="preserve"> </w:t>
      </w:r>
      <w:r>
        <w:t xml:space="preserve">tax base</w:t>
      </w:r>
      <w:r>
        <w:br/>
      </w:r>
      <w:r>
        <w:t xml:space="preserve">Statistics reported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Annual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Increase in tax revenues/tax base as a</w:t>
      </w:r>
      <w:r>
        <w:t xml:space="preserve"> </w:t>
      </w:r>
      <w:r>
        <w:t xml:space="preserve">direct/indirect consequence of making all</w:t>
      </w:r>
      <w:r>
        <w:t xml:space="preserve"> </w:t>
      </w:r>
      <w:r>
        <w:t xml:space="preserve">DAC1 categories mandatory and ensuring that</w:t>
      </w:r>
      <w:r>
        <w:t xml:space="preserve"> </w:t>
      </w:r>
      <w:r>
        <w:t xml:space="preserve">all information that is available is exchanged</w:t>
      </w:r>
      <w:r>
        <w:t xml:space="preserve"> </w:t>
      </w:r>
      <w:r>
        <w:t xml:space="preserve">Assessment of the impact</w:t>
      </w:r>
      <w:r>
        <w:t xml:space="preserve"> </w:t>
      </w:r>
      <w:r>
        <w:t xml:space="preserve">of the new reporting</w:t>
      </w:r>
      <w:r>
        <w:t xml:space="preserve"> </w:t>
      </w:r>
      <w:r>
        <w:t xml:space="preserve">requirements on tax</w:t>
      </w:r>
      <w:r>
        <w:t xml:space="preserve"> </w:t>
      </w:r>
      <w:r>
        <w:t xml:space="preserve">fraud, tax evasion and tax</w:t>
      </w:r>
      <w:r>
        <w:t xml:space="preserve"> </w:t>
      </w:r>
      <w:r>
        <w:t xml:space="preserve">avoidance</w:t>
      </w:r>
      <w:r>
        <w:t xml:space="preserve"> </w:t>
      </w:r>
      <w:r>
        <w:t xml:space="preserve">Statistics reported by</w:t>
      </w:r>
      <w:r>
        <w:t xml:space="preserve"> </w:t>
      </w:r>
      <w:r>
        <w:t xml:space="preserve">Member States or</w:t>
      </w:r>
      <w:r>
        <w:t xml:space="preserve"> </w:t>
      </w:r>
      <w:r>
        <w:t xml:space="preserve">qualitative appreciation</w:t>
      </w:r>
      <w:r>
        <w:t xml:space="preserve"> </w:t>
      </w:r>
      <w:r>
        <w:t xml:space="preserve">Annual</w:t>
      </w:r>
    </w:p>
    <w:p>
      <w:pPr>
        <w:pStyle w:val="BodyText"/>
      </w:pPr>
      <w:r>
        <w:t xml:space="preserve">Monitoring will be carried out via the existing cooperation structures involving the</w:t>
      </w:r>
      <w:r>
        <w:t xml:space="preserve"> </w:t>
      </w:r>
      <w:r>
        <w:t xml:space="preserve">Commission services and the Member States. Accordingly, the Working Group on</w:t>
      </w:r>
      <w:r>
        <w:t xml:space="preserve"> </w:t>
      </w:r>
      <w:r>
        <w:t xml:space="preserve">Administrative Cooperation in Direct Taxation (WG ACDT), will discuss the</w:t>
      </w:r>
      <w:r>
        <w:t xml:space="preserve"> </w:t>
      </w:r>
      <w:r>
        <w:t xml:space="preserve">implementation and functioning of the revised framework. This forum allows the Member</w:t>
      </w:r>
      <w:r>
        <w:t xml:space="preserve"> </w:t>
      </w:r>
      <w:r>
        <w:t xml:space="preserve">States and Commission services to discuss implementation practices, identify operational</w:t>
      </w:r>
      <w:r>
        <w:t xml:space="preserve"> </w:t>
      </w:r>
      <w:r>
        <w:t xml:space="preserve">challenges and share experiences regarding the application of the framework.</w:t>
      </w:r>
      <w:r>
        <w:br/>
      </w:r>
      <w:r>
        <w:t xml:space="preserve">Where appropriate, the Commission services will also collect feedback from relevant</w:t>
      </w:r>
      <w:r>
        <w:t xml:space="preserve"> </w:t>
      </w:r>
      <w:r>
        <w:t xml:space="preserve">stakeholders (e.g. intermediaries, MNE groups, digital platform operators, etc.) to better</w:t>
      </w:r>
      <w:r>
        <w:t xml:space="preserve"> </w:t>
      </w:r>
      <w:r>
        <w:t xml:space="preserve">assess the practical impact of the reforms. The Commission services will survey reporting</w:t>
      </w:r>
      <w:r>
        <w:t xml:space="preserve"> </w:t>
      </w:r>
      <w:r>
        <w:t xml:space="preserve">entities to establish that the measures are delivering the expected reductions in</w:t>
      </w:r>
      <w:r>
        <w:t xml:space="preserve"> </w:t>
      </w:r>
      <w:r>
        <w:t xml:space="preserve">administrative costs. The survey will cover the following areas:</w:t>
      </w:r>
      <w:r>
        <w:t xml:space="preserve"> </w:t>
      </w:r>
      <w:r>
        <w:t xml:space="preserve">• DAC6: Survey of intermediaries and Pillar 2 companies to confirm the expected</w:t>
      </w:r>
      <w:r>
        <w:t xml:space="preserve"> </w:t>
      </w:r>
      <w:r>
        <w:t xml:space="preserve">reductions in administrative compliance costs as a direct consequence of the removal</w:t>
      </w:r>
      <w:r>
        <w:t xml:space="preserve"> </w:t>
      </w:r>
      <w:r>
        <w:t xml:space="preserve">of hallmark A and the exclusion of Pillar 2 companies from the scope of reporting.</w:t>
      </w:r>
      <w:r>
        <w:br/>
      </w:r>
      <w:r>
        <w:t xml:space="preserve">• DAC7: Survey of reporting platform operators to confirm the expected reductions in</w:t>
      </w:r>
      <w:r>
        <w:t xml:space="preserve"> </w:t>
      </w:r>
      <w:r>
        <w:t xml:space="preserve">administrative compliance costs as a direct consequence of the increase in the</w:t>
      </w:r>
      <w:r>
        <w:t xml:space="preserve"> </w:t>
      </w:r>
      <w:r>
        <w:t xml:space="preserve">reporting threshold for the sale of goods.</w:t>
      </w:r>
      <w:r>
        <w:t xml:space="preserve"> </w:t>
      </w:r>
      <w:r>
        <w:t xml:space="preserve">• DAC4/DAC9: Survey of MNE groups to confirm the expected reductions in</w:t>
      </w:r>
      <w:r>
        <w:t xml:space="preserve"> </w:t>
      </w:r>
      <w:r>
        <w:t xml:space="preserve">administrative compliance costs as a direct consequence of streamlining the current</w:t>
      </w:r>
      <w:r>
        <w:t xml:space="preserve"> </w:t>
      </w:r>
      <w:r>
        <w:t xml:space="preserve">dual notification obligations.</w:t>
      </w:r>
      <w:r>
        <w:br/>
      </w:r>
      <w:r>
        <w:t xml:space="preserve">The information attained from these indicators will further inform the Commissions</w:t>
      </w:r>
      <w:r>
        <w:t xml:space="preserve"> </w:t>
      </w:r>
      <w:r>
        <w:t xml:space="preserve">evaluation of the effective functioning of the directive.</w:t>
      </w:r>
      <w:r>
        <w:t xml:space="preserve"> </w:t>
      </w:r>
      <w:r>
        <w:t xml:space="preserve">Evaluation</w:t>
      </w:r>
      <w:r>
        <w:t xml:space="preserve"> </w:t>
      </w:r>
      <w:r>
        <w:t xml:space="preserve">The Commission is required to carry out an evaluation of the DAC every five years based</w:t>
      </w:r>
      <w:r>
        <w:t xml:space="preserve"> </w:t>
      </w:r>
      <w:r>
        <w:t xml:space="preserve">on Article 27 of the Directive. The evaluation will assess the performance of the revised</w:t>
      </w:r>
      <w:r>
        <w:t xml:space="preserve"> </w:t>
      </w:r>
      <w:r>
        <w:t xml:space="preserve">framework in terms of effectiveness, efficiency, relevance, coherence and EU added value.</w:t>
      </w:r>
      <w:r>
        <w:t xml:space="preserve"> </w:t>
      </w:r>
      <w:r>
        <w:t xml:space="preserve">The evaluation will pay particular attention to assessing whether the simplification initiative</w:t>
      </w:r>
      <w:r>
        <w:t xml:space="preserve"> </w:t>
      </w:r>
      <w:r>
        <w:t xml:space="preserve">has:</w:t>
      </w:r>
      <w:r>
        <w:t xml:space="preserve"> </w:t>
      </w:r>
      <w:r>
        <w:t xml:space="preserve">• reduced compliance costs for reporting entities and eliminated duplicate notification</w:t>
      </w:r>
      <w:r>
        <w:t xml:space="preserve"> </w:t>
      </w:r>
      <w:r>
        <w:t xml:space="preserve">obligations;</w:t>
      </w:r>
      <w:r>
        <w:t xml:space="preserve"> </w:t>
      </w:r>
      <w:r>
        <w:t xml:space="preserve">• improved the quality, completeness and use of exchanged information,</w:t>
      </w:r>
      <w:r>
        <w:t xml:space="preserve"> </w:t>
      </w:r>
      <w:r>
        <w:t xml:space="preserve">• increased automatic matching rates; contributed to improvements in tax compliance,</w:t>
      </w:r>
      <w:r>
        <w:t xml:space="preserve"> </w:t>
      </w:r>
      <w:r>
        <w:t xml:space="preserve">tax revenues and the protection of national tax bases;</w:t>
      </w:r>
      <w:r>
        <w:t xml:space="preserve"> </w:t>
      </w:r>
      <w:r>
        <w:t xml:space="preserve">• contributed to a more consistent implementation of reporting rules across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Changes in tax revenues will be interpreted cautiously, as revenue developments may also</w:t>
      </w:r>
      <w:r>
        <w:t xml:space="preserve"> </w:t>
      </w:r>
      <w:r>
        <w:t xml:space="preserve">be influenced by economic conditions or national policy changes. The evaluation will</w:t>
      </w:r>
      <w:r>
        <w:t xml:space="preserve"> </w:t>
      </w:r>
      <w:r>
        <w:t xml:space="preserve">therefore assess the extent to which improvements in tax compliance and revenue outcomes</w:t>
      </w:r>
      <w:r>
        <w:t xml:space="preserve"> </w:t>
      </w:r>
      <w:r>
        <w:t xml:space="preserve">can reasonably be linked to the enhanced availability and use of information under the DAC.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DG TAXUD, PLAN/2025/2140.</w:t>
      </w:r>
      <w:r>
        <w:br/>
      </w:r>
      <w:r>
        <w:t xml:space="preserve">The initiative will complement the Omnibus initiative in the field of taxation that will</w:t>
      </w:r>
      <w:r>
        <w:t xml:space="preserve"> </w:t>
      </w:r>
      <w:r>
        <w:t xml:space="preserve">streamline, simplify and clarify the EU direct tax acquis and which, in turn, is part of a series</w:t>
      </w:r>
      <w:r>
        <w:t xml:space="preserve"> </w:t>
      </w:r>
      <w:r>
        <w:t xml:space="preserve">of simplification initiatives and omnibus packages aimed at simplifying rules across key</w:t>
      </w:r>
      <w:r>
        <w:t xml:space="preserve"> </w:t>
      </w:r>
      <w:r>
        <w:t xml:space="preserve">policy areas.</w:t>
      </w:r>
      <w:r>
        <w:t xml:space="preserve"> </w:t>
      </w:r>
      <w:r>
        <w:t xml:space="preserve">The initiative is planned as a recast of the directive and its 8 amendments comprising a</w:t>
      </w:r>
      <w:r>
        <w:t xml:space="preserve"> </w:t>
      </w:r>
      <w:r>
        <w:t xml:space="preserve">codification of the legal text with the addition of amendments that are aimed to simplify,</w:t>
      </w:r>
      <w:r>
        <w:t xml:space="preserve"> </w:t>
      </w:r>
      <w:r>
        <w:t xml:space="preserve">clarify and improve the functioning of the DAC framework.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An inter-service steering group was set up to steer and provide input to this impact</w:t>
      </w:r>
      <w:r>
        <w:t xml:space="preserve"> </w:t>
      </w:r>
      <w:r>
        <w:t xml:space="preserve">assessment report. The steering group was composed of the following services: SG,</w:t>
      </w:r>
      <w:r>
        <w:t xml:space="preserve"> </w:t>
      </w:r>
      <w:r>
        <w:t xml:space="preserve">TAXUD, COMP, CNECT, EEAS, GROW, JUST, FISMA, ECFIN, SJ. The steering group</w:t>
      </w:r>
      <w:r>
        <w:t xml:space="preserve"> </w:t>
      </w:r>
      <w:r>
        <w:t xml:space="preserve">met 4 times before the report was submitted to the Regulatory Scrutiny Board.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On 8 April 2026, a draft version of the impact assessment was presented to the Regulatory</w:t>
      </w:r>
      <w:r>
        <w:t xml:space="preserve"> </w:t>
      </w:r>
      <w:r>
        <w:t xml:space="preserve">Scrutiny Board. On 4 May 2026, the RSB issued a positive opinion with reservations.</w:t>
      </w:r>
      <w:r>
        <w:t xml:space="preserve"> </w:t>
      </w:r>
      <w:r>
        <w:t xml:space="preserve">Afterwards, the draft report has been revised in order to take into account the</w:t>
      </w:r>
      <w:r>
        <w:t xml:space="preserve"> </w:t>
      </w:r>
      <w:r>
        <w:t xml:space="preserve">recommendations for improvement, as explained in more detail in the table below.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How have the recommendations led to</w:t>
      </w:r>
      <w:r>
        <w:t xml:space="preserve"> </w:t>
      </w:r>
      <w:r>
        <w:t xml:space="preserve">changes to the report?</w:t>
      </w:r>
      <w:r>
        <w:t xml:space="preserve"> </w:t>
      </w:r>
      <w:r>
        <w:t xml:space="preserve">The report does not sufficiently specify</w:t>
      </w:r>
      <w:r>
        <w:t xml:space="preserve"> </w:t>
      </w:r>
      <w:r>
        <w:t xml:space="preserve">key policy measures included under</w:t>
      </w:r>
      <w:r>
        <w:t xml:space="preserve"> </w:t>
      </w:r>
      <w:r>
        <w:t xml:space="preserve">different policy options, in particular</w:t>
      </w:r>
      <w:r>
        <w:t xml:space="preserve"> </w:t>
      </w:r>
      <w:r>
        <w:t xml:space="preserve">for options ‘improving the accuracy of</w:t>
      </w:r>
      <w:r>
        <w:t xml:space="preserve"> </w:t>
      </w:r>
      <w:r>
        <w:t xml:space="preserve">reported TINS and improving the</w:t>
      </w:r>
      <w:r>
        <w:t xml:space="preserve"> </w:t>
      </w:r>
      <w:r>
        <w:t xml:space="preserve">completeness of information exchanged</w:t>
      </w:r>
      <w:r>
        <w:t xml:space="preserve"> </w:t>
      </w:r>
      <w:r>
        <w:t xml:space="preserve">under DAC1’. The report does not</w:t>
      </w:r>
      <w:r>
        <w:t xml:space="preserve"> </w:t>
      </w:r>
      <w:r>
        <w:t xml:space="preserve">adequately specify what type of</w:t>
      </w:r>
      <w:r>
        <w:t xml:space="preserve"> </w:t>
      </w:r>
      <w:r>
        <w:t xml:space="preserve">information is to be collected and</w:t>
      </w:r>
      <w:r>
        <w:t xml:space="preserve"> </w:t>
      </w:r>
      <w:r>
        <w:t xml:space="preserve">exchanged, and from which</w:t>
      </w:r>
      <w:r>
        <w:t xml:space="preserve"> </w:t>
      </w:r>
      <w:r>
        <w:t xml:space="preserve">entities/public bodies the information is</w:t>
      </w:r>
      <w:r>
        <w:t xml:space="preserve"> </w:t>
      </w:r>
      <w:r>
        <w:t xml:space="preserve">expected to be automatically collected</w:t>
      </w:r>
      <w:r>
        <w:t xml:space="preserve"> </w:t>
      </w:r>
      <w:r>
        <w:t xml:space="preserve">and exchanged. The report should also</w:t>
      </w:r>
      <w:r>
        <w:t xml:space="preserve"> </w:t>
      </w:r>
      <w:r>
        <w:t xml:space="preserve">clarify whether some measures are new</w:t>
      </w:r>
      <w:r>
        <w:t xml:space="preserve"> </w:t>
      </w:r>
      <w:r>
        <w:t xml:space="preserve">or not.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 Chapter 6. In the context of measure 4,</w:t>
      </w:r>
      <w:r>
        <w:t xml:space="preserve"> </w:t>
      </w:r>
      <w:r>
        <w:t xml:space="preserve">the objective of which is to improve the</w:t>
      </w:r>
      <w:r>
        <w:t xml:space="preserve"> </w:t>
      </w:r>
      <w:r>
        <w:t xml:space="preserve">accuracy of the reported TIN’s. This is a</w:t>
      </w:r>
      <w:r>
        <w:t xml:space="preserve"> </w:t>
      </w:r>
      <w:r>
        <w:t xml:space="preserve">new measure; however, no additional</w:t>
      </w:r>
      <w:r>
        <w:t xml:space="preserve"> </w:t>
      </w:r>
      <w:r>
        <w:t xml:space="preserve">information shall be required to be</w:t>
      </w:r>
      <w:r>
        <w:t xml:space="preserve"> </w:t>
      </w:r>
      <w:r>
        <w:t xml:space="preserve">collected. There is already an existing legal</w:t>
      </w:r>
      <w:r>
        <w:t xml:space="preserve"> </w:t>
      </w:r>
      <w:r>
        <w:t xml:space="preserve">requirement to collect the TIN, measure 4</w:t>
      </w:r>
      <w:r>
        <w:t xml:space="preserve"> </w:t>
      </w:r>
      <w:r>
        <w:t xml:space="preserve">ensures that there is a new tool to verify the</w:t>
      </w:r>
      <w:r>
        <w:t xml:space="preserve"> </w:t>
      </w:r>
      <w:r>
        <w:t xml:space="preserve">correct of the TIN. In addition, measure 4</w:t>
      </w:r>
      <w:r>
        <w:t xml:space="preserve"> </w:t>
      </w:r>
      <w:r>
        <w:t xml:space="preserve">also provides the possibility for reporting</w:t>
      </w:r>
      <w:r>
        <w:t xml:space="preserve"> </w:t>
      </w:r>
      <w:r>
        <w:t xml:space="preserve">entities that opt to use this new tool, to</w:t>
      </w:r>
      <w:r>
        <w:t xml:space="preserve"> </w:t>
      </w:r>
      <w:r>
        <w:t xml:space="preserve">report less identification information e.g. </w:t>
      </w:r>
      <w:r>
        <w:t xml:space="preserve"> </w:t>
      </w:r>
      <w:r>
        <w:t xml:space="preserve">place of birth may no longer be required</w:t>
      </w:r>
      <w:r>
        <w:t xml:space="preserve"> </w:t>
      </w:r>
      <w:r>
        <w:t xml:space="preserve">where a validated TIN is reported. As</w:t>
      </w:r>
      <w:r>
        <w:t xml:space="preserve"> </w:t>
      </w:r>
      <w:r>
        <w:t xml:space="preserve">regards, measure 5, which implements a</w:t>
      </w:r>
      <w:r>
        <w:t xml:space="preserve"> </w:t>
      </w:r>
      <w:r>
        <w:t xml:space="preserve">key recommendation of the ECA. The</w:t>
      </w:r>
      <w:r>
        <w:t xml:space="preserve"> </w:t>
      </w:r>
      <w:r>
        <w:t xml:space="preserve">measure ensures that the existing legislative</w:t>
      </w:r>
      <w:r>
        <w:t xml:space="preserve"> </w:t>
      </w:r>
      <w:r>
        <w:t xml:space="preserve">framework is enhanced by making all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categories of information (excluding LIP)</w:t>
      </w:r>
      <w:r>
        <w:t xml:space="preserve"> </w:t>
      </w:r>
      <w:r>
        <w:t xml:space="preserve">mandatory and by requiring the tax</w:t>
      </w:r>
      <w:r>
        <w:t xml:space="preserve"> </w:t>
      </w:r>
      <w:r>
        <w:t xml:space="preserve">authorities of Member States to exchange</w:t>
      </w:r>
      <w:r>
        <w:t xml:space="preserve"> </w:t>
      </w:r>
      <w:r>
        <w:t xml:space="preserve">all information that is available to public</w:t>
      </w:r>
      <w:r>
        <w:t xml:space="preserve"> </w:t>
      </w:r>
      <w:r>
        <w:t xml:space="preserve">authorities at national level. Currently, only</w:t>
      </w:r>
      <w:r>
        <w:t xml:space="preserve"> </w:t>
      </w:r>
      <w:r>
        <w:t xml:space="preserve">information that is available in the tax files</w:t>
      </w:r>
      <w:r>
        <w:t xml:space="preserve"> </w:t>
      </w:r>
      <w:r>
        <w:t xml:space="preserve">of tax authorities is required to be</w:t>
      </w:r>
      <w:r>
        <w:t xml:space="preserve"> </w:t>
      </w:r>
      <w:r>
        <w:t xml:space="preserve">exchanged, and Member States are only</w:t>
      </w:r>
      <w:r>
        <w:t xml:space="preserve"> </w:t>
      </w:r>
      <w:r>
        <w:t xml:space="preserve">required to exchange information on 5 of</w:t>
      </w:r>
      <w:r>
        <w:t xml:space="preserve"> </w:t>
      </w:r>
      <w:r>
        <w:t xml:space="preserve">the 7 categories. The categories of</w:t>
      </w:r>
      <w:r>
        <w:t xml:space="preserve"> </w:t>
      </w:r>
      <w:r>
        <w:t xml:space="preserve">information are income from employment,</w:t>
      </w:r>
      <w:r>
        <w:t xml:space="preserve"> </w:t>
      </w:r>
      <w:r>
        <w:t xml:space="preserve">life</w:t>
      </w:r>
      <w:r>
        <w:t xml:space="preserve"> </w:t>
      </w:r>
      <w:r>
        <w:t xml:space="preserve">insurance</w:t>
      </w:r>
      <w:r>
        <w:t xml:space="preserve"> </w:t>
      </w:r>
      <w:r>
        <w:t xml:space="preserve">products,</w:t>
      </w:r>
      <w:r>
        <w:t xml:space="preserve"> </w:t>
      </w:r>
      <w:r>
        <w:t xml:space="preserve">pensions,</w:t>
      </w:r>
      <w:r>
        <w:t xml:space="preserve"> </w:t>
      </w:r>
      <w:r>
        <w:t xml:space="preserve">ownership of and income from immovable</w:t>
      </w:r>
      <w:r>
        <w:t xml:space="preserve"> </w:t>
      </w:r>
      <w:r>
        <w:t xml:space="preserve">property, directors fees, royalties and non-</w:t>
      </w:r>
      <w:r>
        <w:t xml:space="preserve"> </w:t>
      </w:r>
      <w:r>
        <w:t xml:space="preserve">custodial dividend income.</w:t>
      </w:r>
      <w:r>
        <w:t xml:space="preserve"> </w:t>
      </w:r>
      <w:r>
        <w:t xml:space="preserve">The report should better explain how</w:t>
      </w:r>
      <w:r>
        <w:t xml:space="preserve"> </w:t>
      </w:r>
      <w:r>
        <w:t xml:space="preserve">the values used for the calculation of</w:t>
      </w:r>
      <w:r>
        <w:t xml:space="preserve"> </w:t>
      </w:r>
      <w:r>
        <w:t xml:space="preserve">administrative costs have been derived.</w:t>
      </w:r>
      <w:r>
        <w:t xml:space="preserve"> </w:t>
      </w:r>
      <w:r>
        <w:t xml:space="preserve">It should also assess, based on</w:t>
      </w:r>
      <w:r>
        <w:t xml:space="preserve"> </w:t>
      </w:r>
      <w:r>
        <w:t xml:space="preserve">observational data, the related</w:t>
      </w:r>
      <w:r>
        <w:t xml:space="preserve"> </w:t>
      </w:r>
      <w:r>
        <w:t xml:space="preserve">uncertainty and what difference the use</w:t>
      </w:r>
      <w:r>
        <w:t xml:space="preserve"> </w:t>
      </w:r>
      <w:r>
        <w:t xml:space="preserve">of alternative assumptions would make.</w:t>
      </w:r>
      <w:r>
        <w:t xml:space="preserve"> </w:t>
      </w:r>
      <w:r>
        <w:t xml:space="preserve">It should explain why it was not possible</w:t>
      </w:r>
      <w:r>
        <w:t xml:space="preserve"> </w:t>
      </w:r>
      <w:r>
        <w:t xml:space="preserve">to quantify costs or cost savings</w:t>
      </w:r>
      <w:r>
        <w:t xml:space="preserve"> </w:t>
      </w:r>
      <w:r>
        <w:t xml:space="preserve">resulting from the measures on tax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The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robustness</w:t>
      </w:r>
      <w:r>
        <w:t xml:space="preserve"> </w:t>
      </w:r>
      <w:r>
        <w:t xml:space="preserve">of</w:t>
      </w:r>
      <w:r>
        <w:t xml:space="preserve"> </w:t>
      </w:r>
      <w:r>
        <w:t xml:space="preserve">assumptions have been explained further.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 Chapter 6.</w:t>
      </w:r>
      <w:r>
        <w:t xml:space="preserve"> </w:t>
      </w:r>
      <w:r>
        <w:t xml:space="preserve">As regards, administrative costs for tax</w:t>
      </w:r>
      <w:r>
        <w:t xml:space="preserve"> </w:t>
      </w:r>
      <w:r>
        <w:t xml:space="preserve">administrations, it is expected that the</w:t>
      </w:r>
      <w:r>
        <w:t xml:space="preserve"> </w:t>
      </w:r>
      <w:r>
        <w:t xml:space="preserve">implementation of the revised framework</w:t>
      </w:r>
      <w:r>
        <w:t xml:space="preserve"> </w:t>
      </w:r>
      <w:r>
        <w:t xml:space="preserve">may entail short-term administrative costs.</w:t>
      </w:r>
      <w:r>
        <w:t xml:space="preserve"> </w:t>
      </w:r>
      <w:r>
        <w:t xml:space="preserve">Tax administrations may need to update IT</w:t>
      </w:r>
      <w:r>
        <w:t xml:space="preserve"> </w:t>
      </w:r>
      <w:r>
        <w:t xml:space="preserve">systems, adapt reporting schemas, revise</w:t>
      </w:r>
      <w:r>
        <w:t xml:space="preserve"> </w:t>
      </w:r>
      <w:r>
        <w:t xml:space="preserve">guidance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intermediaries and taxpayers during the</w:t>
      </w:r>
      <w:r>
        <w:t xml:space="preserve"> </w:t>
      </w:r>
      <w:r>
        <w:t xml:space="preserve">transition</w:t>
      </w:r>
      <w:r>
        <w:t xml:space="preserve"> </w:t>
      </w:r>
      <w:r>
        <w:t xml:space="preserve">phase.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interpretation or structure of hallmarks may</w:t>
      </w:r>
      <w:r>
        <w:t xml:space="preserve"> </w:t>
      </w:r>
      <w:r>
        <w:t xml:space="preserve">also</w:t>
      </w:r>
      <w:r>
        <w:t xml:space="preserve"> </w:t>
      </w:r>
      <w:r>
        <w:t xml:space="preserve">require</w:t>
      </w:r>
      <w:r>
        <w:t xml:space="preserve"> </w:t>
      </w:r>
      <w:r>
        <w:t xml:space="preserve">internal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adjustments to risk assessment tools.</w:t>
      </w:r>
      <w:r>
        <w:br/>
      </w:r>
      <w:r>
        <w:t xml:space="preserve">At the same time, while the implementation</w:t>
      </w:r>
      <w:r>
        <w:t xml:space="preserve"> </w:t>
      </w:r>
      <w:r>
        <w:t xml:space="preserve">of the revised framework may entail short-</w:t>
      </w:r>
      <w:r>
        <w:t xml:space="preserve"> </w:t>
      </w:r>
      <w:r>
        <w:t xml:space="preserve">term administrative costs (e.g. updates to IT</w:t>
      </w:r>
      <w:r>
        <w:t xml:space="preserve"> </w:t>
      </w:r>
      <w:r>
        <w:t xml:space="preserve">systems, reporting schemas, guidance and</w:t>
      </w:r>
      <w:r>
        <w:t xml:space="preserve"> </w:t>
      </w:r>
      <w:r>
        <w:t xml:space="preserve">training), these costs are expected to be</w:t>
      </w:r>
      <w:r>
        <w:t xml:space="preserve"> </w:t>
      </w:r>
      <w:r>
        <w:t xml:space="preserve">limited and largely marginal in nature. This</w:t>
      </w:r>
      <w:r>
        <w:t xml:space="preserve"> </w:t>
      </w:r>
      <w:r>
        <w:t xml:space="preserve">is because the underlying DAC6 reporting</w:t>
      </w:r>
      <w:r>
        <w:t xml:space="preserve"> </w:t>
      </w:r>
      <w:r>
        <w:t xml:space="preserve">infrastructure is already in place, and the</w:t>
      </w:r>
      <w:r>
        <w:t xml:space="preserve"> </w:t>
      </w:r>
      <w:r>
        <w:t xml:space="preserve">proposed changes primarily affect the scope</w:t>
      </w:r>
      <w:r>
        <w:t xml:space="preserve"> </w:t>
      </w:r>
      <w:r>
        <w:t xml:space="preserve">and interpretation of reporting obligations</w:t>
      </w:r>
      <w:r>
        <w:t xml:space="preserve"> </w:t>
      </w:r>
      <w:r>
        <w:t xml:space="preserve">rather than requiring the development of</w:t>
      </w:r>
      <w:r>
        <w:t xml:space="preserve"> </w:t>
      </w:r>
      <w:r>
        <w:t xml:space="preserve">new systems. As a result, adjustments are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concern</w:t>
      </w:r>
      <w:r>
        <w:t xml:space="preserve"> </w:t>
      </w:r>
      <w:r>
        <w:t xml:space="preserve">incremental</w:t>
      </w:r>
      <w:r>
        <w:t xml:space="preserve"> </w:t>
      </w:r>
      <w:r>
        <w:t xml:space="preserve">modifications (such as updates to reporting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templates or system parameters) rather than</w:t>
      </w:r>
      <w:r>
        <w:t xml:space="preserve"> </w:t>
      </w:r>
      <w:r>
        <w:t xml:space="preserve">substantial investments.</w:t>
      </w:r>
      <w:r>
        <w:br/>
      </w:r>
      <w:r>
        <w:t xml:space="preserve">This</w:t>
      </w:r>
      <w:r>
        <w:t xml:space="preserve"> </w:t>
      </w:r>
      <w:r>
        <w:t xml:space="preserve">assessment</w:t>
      </w:r>
      <w:r>
        <w:t xml:space="preserve"> </w:t>
      </w:r>
      <w:r>
        <w:t xml:space="preserve">is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stakeholder feedback, which did not</w:t>
      </w:r>
      <w:r>
        <w:t xml:space="preserve"> </w:t>
      </w:r>
      <w:r>
        <w:t xml:space="preserve">identify significant transition costs and</w:t>
      </w:r>
      <w:r>
        <w:t xml:space="preserve"> </w:t>
      </w:r>
      <w:r>
        <w:t xml:space="preserve">generally indicated that the proposed</w:t>
      </w:r>
      <w:r>
        <w:t xml:space="preserve"> </w:t>
      </w:r>
      <w:r>
        <w:t xml:space="preserve">changes would be straightforward to</w:t>
      </w:r>
      <w:r>
        <w:t xml:space="preserve"> </w:t>
      </w:r>
      <w:r>
        <w:t xml:space="preserve">implement. Given their limited scale and</w:t>
      </w:r>
      <w:r>
        <w:t xml:space="preserve"> </w:t>
      </w:r>
      <w:r>
        <w:t xml:space="preserve">the absence of robust and comparable data</w:t>
      </w:r>
      <w:r>
        <w:t xml:space="preserve"> </w:t>
      </w:r>
      <w:r>
        <w:t xml:space="preserve">across Member States, this adjustment cost</w:t>
      </w:r>
      <w:r>
        <w:t xml:space="preserve"> </w:t>
      </w:r>
      <w:r>
        <w:t xml:space="preserve">could not be meaningfully quantified.</w:t>
      </w:r>
      <w:r>
        <w:t xml:space="preserve"> </w:t>
      </w:r>
      <w:r>
        <w:t xml:space="preserve">Similarly in the context of measure 5 and</w:t>
      </w:r>
      <w:r>
        <w:t xml:space="preserve"> </w:t>
      </w:r>
      <w:r>
        <w:t xml:space="preserve">given the existing heterogeneity across</w:t>
      </w:r>
      <w:r>
        <w:t xml:space="preserve"> </w:t>
      </w:r>
      <w:r>
        <w:t xml:space="preserve">Member States it was not possible to</w:t>
      </w:r>
      <w:r>
        <w:t xml:space="preserve"> </w:t>
      </w:r>
      <w:r>
        <w:t xml:space="preserve">meaningfully quantify the costs.</w:t>
      </w:r>
      <w:r>
        <w:t xml:space="preserve"> </w:t>
      </w:r>
      <w:r>
        <w:t xml:space="preserve">The report needs to assess the legal and</w:t>
      </w:r>
      <w:r>
        <w:t xml:space="preserve"> </w:t>
      </w:r>
      <w:r>
        <w:t xml:space="preserve">technical feasibility, as well as the</w:t>
      </w:r>
      <w:r>
        <w:t xml:space="preserve"> </w:t>
      </w:r>
      <w:r>
        <w:t xml:space="preserve">possible costs, of the obligation to</w:t>
      </w:r>
      <w:r>
        <w:t xml:space="preserve"> </w:t>
      </w:r>
      <w:r>
        <w:t xml:space="preserve">automatically exchange the information</w:t>
      </w:r>
      <w:r>
        <w:t xml:space="preserve"> </w:t>
      </w:r>
      <w:r>
        <w:t xml:space="preserve">held not only by tax authorities, but also</w:t>
      </w:r>
      <w:r>
        <w:t xml:space="preserve"> </w:t>
      </w:r>
      <w:r>
        <w:t xml:space="preserve">held by other national public entities etc.</w:t>
      </w:r>
      <w:r>
        <w:t xml:space="preserve"> </w:t>
      </w:r>
      <w:r>
        <w:t xml:space="preserve">This assessment should take into account</w:t>
      </w:r>
      <w:r>
        <w:t xml:space="preserve"> </w:t>
      </w:r>
      <w:r>
        <w:t xml:space="preserve">the underlying reasons for some member</w:t>
      </w:r>
      <w:r>
        <w:t xml:space="preserve"> </w:t>
      </w:r>
      <w:r>
        <w:t xml:space="preserve">states not collecting or exchanging such</w:t>
      </w:r>
      <w:r>
        <w:t xml:space="preserve"> </w:t>
      </w:r>
      <w:r>
        <w:t xml:space="preserve">information at national level so far.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 Chapter 6. In this context, the report now</w:t>
      </w:r>
      <w:r>
        <w:t xml:space="preserve"> </w:t>
      </w:r>
      <w:r>
        <w:t xml:space="preserve">clarifies that the initiative will introduce a</w:t>
      </w:r>
      <w:r>
        <w:t xml:space="preserve"> </w:t>
      </w:r>
      <w:r>
        <w:t xml:space="preserve">legal</w:t>
      </w:r>
      <w:r>
        <w:t xml:space="preserve"> </w:t>
      </w:r>
      <w:r>
        <w:t xml:space="preserve">basis</w:t>
      </w:r>
      <w:r>
        <w:t xml:space="preserve"> </w:t>
      </w:r>
      <w:r>
        <w:t xml:space="preserve">that</w:t>
      </w:r>
      <w:r>
        <w:t xml:space="preserve"> </w:t>
      </w:r>
      <w:r>
        <w:t xml:space="preserve">facilitates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 in obtaining information</w:t>
      </w:r>
      <w:r>
        <w:t xml:space="preserve"> </w:t>
      </w:r>
      <w:r>
        <w:t xml:space="preserve">held by other public authorities at the</w:t>
      </w:r>
      <w:r>
        <w:t xml:space="preserve"> </w:t>
      </w:r>
      <w:r>
        <w:t xml:space="preserve">national level. The absence of an existing</w:t>
      </w:r>
      <w:r>
        <w:t xml:space="preserve"> </w:t>
      </w:r>
      <w:r>
        <w:t xml:space="preserve">legal basis and appropriate data sharing</w:t>
      </w:r>
      <w:r>
        <w:t xml:space="preserve"> </w:t>
      </w:r>
      <w:r>
        <w:t xml:space="preserve">arrangements with other public authorities</w:t>
      </w:r>
      <w:r>
        <w:t xml:space="preserve"> </w:t>
      </w:r>
      <w:r>
        <w:t xml:space="preserve">is the key reason that some tax authorities</w:t>
      </w:r>
      <w:r>
        <w:t xml:space="preserve"> </w:t>
      </w:r>
      <w:r>
        <w:t xml:space="preserve">do not have access to this information. By</w:t>
      </w:r>
      <w:r>
        <w:t xml:space="preserve"> </w:t>
      </w:r>
      <w:r>
        <w:t xml:space="preserve">providing a legal basis this will ensure that</w:t>
      </w:r>
      <w:r>
        <w:t xml:space="preserve"> </w:t>
      </w:r>
      <w:r>
        <w:t xml:space="preserve">the costs of attaining the information are to</w:t>
      </w:r>
      <w:r>
        <w:t xml:space="preserve"> </w:t>
      </w:r>
      <w:r>
        <w:t xml:space="preserve">the greatest extent possible limited, as the</w:t>
      </w:r>
      <w:r>
        <w:t xml:space="preserve"> </w:t>
      </w:r>
      <w:r>
        <w:t xml:space="preserve">alternative would be to oblige third party</w:t>
      </w:r>
      <w:r>
        <w:t xml:space="preserve"> </w:t>
      </w:r>
      <w:r>
        <w:t xml:space="preserve">entities to report information. As regards</w:t>
      </w:r>
      <w:r>
        <w:t xml:space="preserve"> </w:t>
      </w:r>
      <w:r>
        <w:t xml:space="preserve">the safeguards that will apply, the</w:t>
      </w:r>
      <w:r>
        <w:t xml:space="preserve"> </w:t>
      </w:r>
      <w:r>
        <w:t xml:space="preserve">safeguards will be in line with the GDPR</w:t>
      </w:r>
      <w:r>
        <w:t xml:space="preserve"> </w:t>
      </w:r>
      <w:r>
        <w:t xml:space="preserve">while the reporting and exchange of</w:t>
      </w:r>
      <w:r>
        <w:t xml:space="preserve"> </w:t>
      </w:r>
      <w:r>
        <w:t xml:space="preserve">information will take place in accordance</w:t>
      </w:r>
      <w:r>
        <w:t xml:space="preserve"> </w:t>
      </w:r>
      <w:r>
        <w:t xml:space="preserve">with the existing well-established security</w:t>
      </w:r>
      <w:r>
        <w:t xml:space="preserve"> </w:t>
      </w:r>
      <w:r>
        <w:t xml:space="preserve">processes and procedures in place for the</w:t>
      </w:r>
      <w:r>
        <w:t xml:space="preserve"> </w:t>
      </w:r>
      <w:r>
        <w:t xml:space="preserve">DAC.</w:t>
      </w:r>
    </w:p>
    <w:p>
      <w:pPr>
        <w:pStyle w:val="BodyText"/>
      </w:pPr>
      <w:r>
        <w:t xml:space="preserve">Based on a clear definition and an</w:t>
      </w:r>
      <w:r>
        <w:t xml:space="preserve"> </w:t>
      </w:r>
      <w:r>
        <w:t xml:space="preserve">improved assessment of impacts and</w:t>
      </w:r>
      <w:r>
        <w:t xml:space="preserve"> </w:t>
      </w:r>
      <w:r>
        <w:t xml:space="preserve">risks, the report must contain an</w:t>
      </w:r>
      <w:r>
        <w:t xml:space="preserve"> </w:t>
      </w:r>
      <w:r>
        <w:t xml:space="preserve">adequate analysis of the measures</w:t>
      </w:r>
      <w:r>
        <w:t xml:space="preserve"> </w:t>
      </w:r>
      <w:r>
        <w:t xml:space="preserve">included in options 4 and 5 to allow for</w:t>
      </w:r>
      <w:r>
        <w:t xml:space="preserve"> </w:t>
      </w:r>
      <w:r>
        <w:t xml:space="preserve">the assessment of their proportionality.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 Chapter 2, and Annex 9 has been added</w:t>
      </w:r>
      <w:r>
        <w:t xml:space="preserve"> </w:t>
      </w:r>
      <w:r>
        <w:t xml:space="preserve">to provide further analysis of the matching</w:t>
      </w:r>
      <w:r>
        <w:t xml:space="preserve"> </w:t>
      </w:r>
      <w:r>
        <w:t xml:space="preserve">rates across the EU Member States.</w:t>
      </w:r>
      <w:r>
        <w:t xml:space="preserve"> </w:t>
      </w:r>
      <w:r>
        <w:t xml:space="preserve">In the context of measure 4, it is imperative</w:t>
      </w:r>
      <w:r>
        <w:t xml:space="preserve"> </w:t>
      </w:r>
      <w:r>
        <w:t xml:space="preserve">to recall that this measure does not impose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any new reporting obligation. The objective</w:t>
      </w:r>
      <w:r>
        <w:t xml:space="preserve"> </w:t>
      </w:r>
      <w:r>
        <w:t xml:space="preserve">of the measure is to ensure that the current</w:t>
      </w:r>
      <w:r>
        <w:t xml:space="preserve"> </w:t>
      </w:r>
      <w:r>
        <w:t xml:space="preserve">reporting obligations are efficiently and</w:t>
      </w:r>
      <w:r>
        <w:t xml:space="preserve"> </w:t>
      </w:r>
      <w:r>
        <w:t xml:space="preserve">effectively implemented in a manner that</w:t>
      </w:r>
      <w:r>
        <w:t xml:space="preserve"> </w:t>
      </w:r>
      <w:r>
        <w:t xml:space="preserve">ensures that tax administrations can</w:t>
      </w:r>
      <w:r>
        <w:t xml:space="preserve"> </w:t>
      </w:r>
      <w:r>
        <w:t xml:space="preserve">automatically use all information reported</w:t>
      </w:r>
      <w:r>
        <w:t xml:space="preserve"> </w:t>
      </w:r>
      <w:r>
        <w:t xml:space="preserve">under the DAC. The proportionality of the</w:t>
      </w:r>
      <w:r>
        <w:t xml:space="preserve"> </w:t>
      </w:r>
      <w:r>
        <w:t xml:space="preserve">measure is further enhanced by the fact that</w:t>
      </w:r>
      <w:r>
        <w:t xml:space="preserve"> </w:t>
      </w:r>
      <w:r>
        <w:t xml:space="preserve">the system is optional for reporting entities</w:t>
      </w:r>
      <w:r>
        <w:t xml:space="preserve"> </w:t>
      </w:r>
      <w:r>
        <w:t xml:space="preserve">and where such reporting entities report a</w:t>
      </w:r>
      <w:r>
        <w:t xml:space="preserve"> </w:t>
      </w:r>
      <w:r>
        <w:t xml:space="preserve">valid</w:t>
      </w:r>
      <w:r>
        <w:t xml:space="preserve"> </w:t>
      </w:r>
      <w:r>
        <w:t xml:space="preserve">TIN,</w:t>
      </w:r>
      <w:r>
        <w:t xml:space="preserve"> </w:t>
      </w:r>
      <w:r>
        <w:t xml:space="preserve">additional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information e.g. place of birth may no</w:t>
      </w:r>
      <w:r>
        <w:t xml:space="preserve"> </w:t>
      </w:r>
      <w:r>
        <w:t xml:space="preserve">longer be required.</w:t>
      </w:r>
      <w:r>
        <w:t xml:space="preserve"> </w:t>
      </w:r>
      <w:r>
        <w:t xml:space="preserve">In the context of measure 5, it is imperative</w:t>
      </w:r>
      <w:r>
        <w:t xml:space="preserve"> </w:t>
      </w:r>
      <w:r>
        <w:t xml:space="preserve">to recall that the measure is intended to</w:t>
      </w:r>
      <w:r>
        <w:t xml:space="preserve"> </w:t>
      </w:r>
      <w:r>
        <w:t xml:space="preserve">implement a key recommendation of the</w:t>
      </w:r>
      <w:r>
        <w:t xml:space="preserve"> </w:t>
      </w:r>
      <w:r>
        <w:t xml:space="preserve">ECA, which cited the fact that the current</w:t>
      </w:r>
      <w:r>
        <w:t xml:space="preserve"> </w:t>
      </w:r>
      <w:r>
        <w:t xml:space="preserve">DAC1 reporting framework was not</w:t>
      </w:r>
      <w:r>
        <w:t xml:space="preserve"> </w:t>
      </w:r>
      <w:r>
        <w:t xml:space="preserve">sufficiently robust to prevent tax fraud, tax</w:t>
      </w:r>
      <w:r>
        <w:t xml:space="preserve"> </w:t>
      </w:r>
      <w:r>
        <w:t xml:space="preserve">evasion and tax avoidance. The measure is</w:t>
      </w:r>
      <w:r>
        <w:t xml:space="preserve"> </w:t>
      </w:r>
      <w:r>
        <w:t xml:space="preserve">intended to ensure that all Member States</w:t>
      </w:r>
      <w:r>
        <w:t xml:space="preserve"> </w:t>
      </w:r>
      <w:r>
        <w:t xml:space="preserve">report all categories of information, which</w:t>
      </w:r>
      <w:r>
        <w:t xml:space="preserve"> </w:t>
      </w:r>
      <w:r>
        <w:t xml:space="preserve">ensures a level playing and effective</w:t>
      </w:r>
      <w:r>
        <w:t xml:space="preserve"> </w:t>
      </w:r>
      <w:r>
        <w:t xml:space="preserve">harmonization.</w:t>
      </w:r>
      <w:r>
        <w:t xml:space="preserve"> </w:t>
      </w:r>
      <w:r>
        <w:t xml:space="preserve">Simultaneously,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 of the measure is further</w:t>
      </w:r>
      <w:r>
        <w:t xml:space="preserve"> </w:t>
      </w:r>
      <w:r>
        <w:t xml:space="preserve">enhanced by the fact that in line with the</w:t>
      </w:r>
      <w:r>
        <w:t xml:space="preserve"> </w:t>
      </w:r>
      <w:r>
        <w:t xml:space="preserve">Commission once only principle, Member</w:t>
      </w:r>
      <w:r>
        <w:t xml:space="preserve"> </w:t>
      </w:r>
      <w:r>
        <w:t xml:space="preserve">States are required to report information</w:t>
      </w:r>
      <w:r>
        <w:t xml:space="preserve"> </w:t>
      </w:r>
      <w:r>
        <w:t xml:space="preserve">that is already to public authorities at the</w:t>
      </w:r>
      <w:r>
        <w:t xml:space="preserve"> </w:t>
      </w:r>
      <w:r>
        <w:t xml:space="preserve">national level. The alternative of requiring</w:t>
      </w:r>
      <w:r>
        <w:t xml:space="preserve"> </w:t>
      </w:r>
      <w:r>
        <w:t xml:space="preserve">third party reporting would therefore be</w:t>
      </w:r>
      <w:r>
        <w:t xml:space="preserve"> </w:t>
      </w:r>
      <w:r>
        <w:t xml:space="preserve">disproportionate as it would lead to possible</w:t>
      </w:r>
      <w:r>
        <w:t xml:space="preserve"> </w:t>
      </w:r>
      <w:r>
        <w:t xml:space="preserve">duplicate reporting.</w:t>
      </w:r>
      <w:r>
        <w:t xml:space="preserve"> </w:t>
      </w:r>
      <w:r>
        <w:t xml:space="preserve">The report should provide an</w:t>
      </w:r>
      <w:r>
        <w:t xml:space="preserve"> </w:t>
      </w:r>
      <w:r>
        <w:t xml:space="preserve">assessment of the risks on fundamental</w:t>
      </w:r>
      <w:r>
        <w:t xml:space="preserve"> </w:t>
      </w:r>
      <w:r>
        <w:t xml:space="preserve">rights, including privacy, resulting from</w:t>
      </w:r>
      <w:r>
        <w:t xml:space="preserve"> </w:t>
      </w:r>
      <w:r>
        <w:t xml:space="preserve">the exchange of increased data sets due</w:t>
      </w:r>
      <w:r>
        <w:t xml:space="preserve"> </w:t>
      </w:r>
      <w:r>
        <w:t xml:space="preserve">to TIN identification measures and the</w:t>
      </w:r>
      <w:r>
        <w:t xml:space="preserve"> </w:t>
      </w:r>
      <w:r>
        <w:t xml:space="preserve">automatic exchange of information</w:t>
      </w:r>
      <w:r>
        <w:t xml:space="preserve"> </w:t>
      </w:r>
      <w:r>
        <w:t xml:space="preserve">under DAC 1.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 Chapter 6. In particular, section 6.3 of the</w:t>
      </w:r>
      <w:r>
        <w:t xml:space="preserve"> </w:t>
      </w:r>
      <w:r>
        <w:t xml:space="preserve">report has been significantly enhanced.</w:t>
      </w:r>
      <w:r>
        <w:t xml:space="preserve"> </w:t>
      </w:r>
      <w:r>
        <w:t xml:space="preserve">The TIN verification system will be based</w:t>
      </w:r>
      <w:r>
        <w:t xml:space="preserve"> </w:t>
      </w:r>
      <w:r>
        <w:t xml:space="preserve">on a decentralised architecture (a gateway)</w:t>
      </w:r>
      <w:r>
        <w:t xml:space="preserve"> </w:t>
      </w:r>
      <w:r>
        <w:t xml:space="preserve">that avoids central data storage: the</w:t>
      </w:r>
      <w:r>
        <w:t xml:space="preserve"> </w:t>
      </w:r>
      <w:r>
        <w:t xml:space="preserve">gateway acts as a distribution hub among</w:t>
      </w:r>
      <w:r>
        <w:t xml:space="preserve"> </w:t>
      </w:r>
      <w:r>
        <w:t xml:space="preserve">the 27 national validation access points and</w:t>
      </w:r>
      <w:r>
        <w:t xml:space="preserve"> </w:t>
      </w:r>
      <w:r>
        <w:t xml:space="preserve">does not itself store personal data or</w:t>
      </w:r>
      <w:r>
        <w:t xml:space="preserve"> </w:t>
      </w:r>
      <w:r>
        <w:t xml:space="preserve">national registry information, which limits</w:t>
      </w:r>
      <w:r>
        <w:t xml:space="preserve"> </w:t>
      </w:r>
      <w:r>
        <w:t xml:space="preserve">the scope of EU-level processing. Second,</w:t>
      </w:r>
      <w:r>
        <w:t xml:space="preserve"> </w:t>
      </w:r>
      <w:r>
        <w:t xml:space="preserve">it will be designed based on a number of</w:t>
      </w:r>
      <w:r>
        <w:t xml:space="preserve"> </w:t>
      </w:r>
      <w:r>
        <w:t xml:space="preserve">safeguard features, including the following: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• Restriction of input and output</w:t>
      </w:r>
      <w:r>
        <w:t xml:space="preserve"> </w:t>
      </w:r>
      <w:r>
        <w:t xml:space="preserve">data to predefined minimum sets.</w:t>
      </w:r>
    </w:p>
    <w:p>
      <w:pPr>
        <w:pStyle w:val="BodyText"/>
      </w:pPr>
      <w:r>
        <w:t xml:space="preserve">• Transient data retention for</w:t>
      </w:r>
      <w:r>
        <w:t xml:space="preserve"> </w:t>
      </w:r>
      <w:r>
        <w:t xml:space="preserve">individual queries</w:t>
      </w:r>
    </w:p>
    <w:p>
      <w:pPr>
        <w:pStyle w:val="BodyText"/>
      </w:pPr>
      <w:r>
        <w:t xml:space="preserve">• Access controls: The verification</w:t>
      </w:r>
      <w:r>
        <w:t xml:space="preserve"> </w:t>
      </w:r>
      <w:r>
        <w:t xml:space="preserve">system will operate solely for the</w:t>
      </w:r>
      <w:r>
        <w:t xml:space="preserve"> </w:t>
      </w:r>
      <w:r>
        <w:t xml:space="preserve">purpose of taxpayer identification 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cooperation under the DAC.</w:t>
      </w:r>
    </w:p>
    <w:p>
      <w:pPr>
        <w:pStyle w:val="BodyText"/>
      </w:pPr>
      <w:r>
        <w:t xml:space="preserve">• Audit logging: Traceability of use</w:t>
      </w:r>
      <w:r>
        <w:t xml:space="preserve"> </w:t>
      </w:r>
      <w:r>
        <w:t xml:space="preserve">will be ensured through an audit log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• Architectural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safeguards</w:t>
      </w:r>
      <w:r>
        <w:t xml:space="preserve"> </w:t>
      </w:r>
      <w:r>
        <w:t xml:space="preserve">providing</w:t>
      </w:r>
      <w:r>
        <w:t xml:space="preserve"> </w:t>
      </w:r>
      <w:r>
        <w:t xml:space="preserve">secure</w:t>
      </w:r>
      <w:r>
        <w:t xml:space="preserve"> </w:t>
      </w:r>
      <w:r>
        <w:t xml:space="preserve">communication channels: For the</w:t>
      </w:r>
      <w:r>
        <w:t xml:space="preserve"> </w:t>
      </w:r>
      <w:r>
        <w:t xml:space="preserve">use by tax authorities, the system</w:t>
      </w:r>
      <w:r>
        <w:t xml:space="preserve"> </w:t>
      </w:r>
      <w:r>
        <w:t xml:space="preserve">will leverage the existing private</w:t>
      </w:r>
      <w:r>
        <w:t xml:space="preserve"> </w:t>
      </w:r>
      <w:r>
        <w:t xml:space="preserve">CCN/CSI network infrastructure of</w:t>
      </w:r>
      <w:r>
        <w:t xml:space="preserve"> </w:t>
      </w:r>
      <w:r>
        <w:t xml:space="preserve">the European Commission, which</w:t>
      </w:r>
      <w:r>
        <w:t xml:space="preserve"> </w:t>
      </w:r>
      <w:r>
        <w:t xml:space="preserve">substantially limits exposure to</w:t>
      </w:r>
      <w:r>
        <w:t xml:space="preserve"> </w:t>
      </w:r>
      <w:r>
        <w:t xml:space="preserve">external threats.</w:t>
      </w:r>
    </w:p>
    <w:p>
      <w:pPr>
        <w:pStyle w:val="BodyText"/>
      </w:pPr>
      <w:r>
        <w:t xml:space="preserve">As regards the collection and exchange of</w:t>
      </w:r>
      <w:r>
        <w:t xml:space="preserve"> </w:t>
      </w:r>
      <w:r>
        <w:t xml:space="preserve">information available in the files of other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entities(PO5c),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important to clarify that this policy option</w:t>
      </w:r>
      <w:r>
        <w:t xml:space="preserve"> </w:t>
      </w:r>
      <w:r>
        <w:t xml:space="preserve">does not require the centralisation of</w:t>
      </w:r>
      <w:r>
        <w:t xml:space="preserve"> </w:t>
      </w:r>
      <w:r>
        <w:t xml:space="preserve">information held by different national</w:t>
      </w:r>
      <w:r>
        <w:t xml:space="preserve"> </w:t>
      </w:r>
      <w:r>
        <w:t xml:space="preserve">authorities in one single communication</w:t>
      </w:r>
      <w:r>
        <w:t xml:space="preserve"> </w:t>
      </w:r>
      <w:r>
        <w:t xml:space="preserve">system</w:t>
      </w:r>
      <w:r>
        <w:t xml:space="preserve"> </w:t>
      </w:r>
      <w:r>
        <w:t xml:space="preserve">but</w:t>
      </w:r>
      <w:r>
        <w:t xml:space="preserve"> </w:t>
      </w:r>
      <w:r>
        <w:t xml:space="preserve">only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shared</w:t>
      </w:r>
      <w:r>
        <w:t xml:space="preserve"> </w:t>
      </w:r>
      <w:r>
        <w:t xml:space="preserve">with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 or that tax administration</w:t>
      </w:r>
      <w:r>
        <w:t xml:space="preserve"> </w:t>
      </w:r>
      <w:r>
        <w:t xml:space="preserve">have access to the information so that it can</w:t>
      </w:r>
      <w:r>
        <w:t xml:space="preserve"> </w:t>
      </w:r>
      <w:r>
        <w:t xml:space="preserve">be subsequently exchanged. As regards</w:t>
      </w:r>
      <w:r>
        <w:t xml:space="preserve"> </w:t>
      </w:r>
      <w:r>
        <w:t xml:space="preserve">additional safeguards required under the</w:t>
      </w:r>
      <w:r>
        <w:t xml:space="preserve"> </w:t>
      </w:r>
      <w:r>
        <w:t xml:space="preserve">GDPR, those in place both at the level of</w:t>
      </w:r>
      <w:r>
        <w:t xml:space="preserve"> </w:t>
      </w:r>
      <w:r>
        <w:t xml:space="preserve">Member States and at the level of the</w:t>
      </w:r>
      <w:r>
        <w:t xml:space="preserve"> </w:t>
      </w:r>
      <w:r>
        <w:t xml:space="preserve">Commission covering the processing of</w:t>
      </w:r>
      <w:r>
        <w:t xml:space="preserve"> </w:t>
      </w:r>
      <w:r>
        <w:t xml:space="preserve">personal data will continue to apply.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tax</w:t>
      </w:r>
      <w:r>
        <w:t xml:space="preserve"> </w:t>
      </w:r>
      <w:r>
        <w:t xml:space="preserve">authorities,</w:t>
      </w:r>
      <w:r>
        <w:t xml:space="preserve"> </w:t>
      </w:r>
      <w:r>
        <w:t xml:space="preserve">user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and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are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managed through existing national Identity</w:t>
      </w:r>
      <w:r>
        <w:t xml:space="preserve"> </w:t>
      </w:r>
      <w:r>
        <w:t xml:space="preserve">and</w:t>
      </w:r>
      <w:r>
        <w:t xml:space="preserve"> </w:t>
      </w:r>
      <w:r>
        <w:t xml:space="preserve">Access</w:t>
      </w:r>
      <w:r>
        <w:t xml:space="preserve"> </w:t>
      </w:r>
      <w:r>
        <w:t xml:space="preserve">Management</w:t>
      </w:r>
      <w:r>
        <w:t xml:space="preserve"> </w:t>
      </w:r>
      <w:r>
        <w:t xml:space="preserve">(IAM)</w:t>
      </w:r>
      <w:r>
        <w:t xml:space="preserve"> </w:t>
      </w:r>
      <w:r>
        <w:t xml:space="preserve">frameworks. In addition, for the use by tax</w:t>
      </w:r>
      <w:r>
        <w:t xml:space="preserve"> </w:t>
      </w:r>
      <w:r>
        <w:t xml:space="preserve">authorities, the system will leverage the</w:t>
      </w:r>
      <w:r>
        <w:t xml:space="preserve"> </w:t>
      </w:r>
      <w:r>
        <w:t xml:space="preserve">existing</w:t>
      </w:r>
      <w:r>
        <w:t xml:space="preserve"> </w:t>
      </w:r>
      <w:r>
        <w:t xml:space="preserve">private</w:t>
      </w:r>
      <w:r>
        <w:t xml:space="preserve"> </w:t>
      </w:r>
      <w:r>
        <w:t xml:space="preserve">CCN/CSI</w:t>
      </w:r>
      <w:r>
        <w:t xml:space="preserve"> </w:t>
      </w:r>
      <w:r>
        <w:t xml:space="preserve">network</w:t>
      </w:r>
      <w:r>
        <w:t xml:space="preserve"> </w:t>
      </w:r>
      <w:r>
        <w:t xml:space="preserve">infrastructure of the European Commission,</w:t>
      </w:r>
      <w:r>
        <w:t xml:space="preserve"> </w:t>
      </w:r>
      <w:r>
        <w:t xml:space="preserve">which substantially limits exposure to</w:t>
      </w:r>
      <w:r>
        <w:t xml:space="preserve"> </w:t>
      </w:r>
      <w:r>
        <w:t xml:space="preserve">external threats.</w:t>
      </w:r>
      <w:r>
        <w:br/>
      </w:r>
      <w:r>
        <w:t xml:space="preserve">For the introduction of a centralised</w:t>
      </w:r>
      <w:r>
        <w:t xml:space="preserve"> </w:t>
      </w:r>
      <w:r>
        <w:t xml:space="preserve">TIN verification system, the analysis</w:t>
      </w:r>
      <w:r>
        <w:t xml:space="preserve"> </w:t>
      </w:r>
      <w:r>
        <w:t xml:space="preserve">should also clarify what safeguards will</w:t>
      </w:r>
      <w:r>
        <w:t xml:space="preserve"> </w:t>
      </w:r>
      <w:r>
        <w:t xml:space="preserve">be put in place. For collecting and</w:t>
      </w:r>
      <w:r>
        <w:t xml:space="preserve"> </w:t>
      </w:r>
      <w:r>
        <w:t xml:space="preserve">exchanging information available in the</w:t>
      </w:r>
      <w:r>
        <w:t xml:space="preserve"> </w:t>
      </w:r>
      <w:r>
        <w:t xml:space="preserve">files of other national public entities, the</w:t>
      </w:r>
      <w:r>
        <w:t xml:space="preserve"> </w:t>
      </w:r>
      <w:r>
        <w:t xml:space="preserve">report should specify what measures</w:t>
      </w:r>
      <w:r>
        <w:t xml:space="preserve"> </w:t>
      </w:r>
      <w:r>
        <w:t xml:space="preserve">will be taken to address data protection</w:t>
      </w:r>
      <w:r>
        <w:t xml:space="preserve"> </w:t>
      </w:r>
      <w:r>
        <w:t xml:space="preserve">and privacy concerns. It should assess</w:t>
      </w:r>
      <w:r>
        <w:t xml:space="preserve"> </w:t>
      </w:r>
      <w:r>
        <w:t xml:space="preserve">the resulting increased cybersecurity</w:t>
      </w:r>
      <w:r>
        <w:t xml:space="preserve"> </w:t>
      </w:r>
      <w:r>
        <w:t xml:space="preserve">risks and the measures envisaged to</w:t>
      </w:r>
      <w:r>
        <w:t xml:space="preserve"> </w:t>
      </w:r>
      <w:r>
        <w:t xml:space="preserve">mitigate them.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 Chapter 6 and in particular 6.3. These</w:t>
      </w:r>
      <w:r>
        <w:t xml:space="preserve"> </w:t>
      </w:r>
      <w:r>
        <w:t xml:space="preserve">explanations are detailed in the previous</w:t>
      </w:r>
      <w:r>
        <w:t xml:space="preserve"> </w:t>
      </w:r>
      <w:r>
        <w:t xml:space="preserve">text box</w:t>
      </w:r>
      <w:r>
        <w:t xml:space="preserve"> </w:t>
      </w:r>
      <w:r>
        <w:t xml:space="preserve">The analysis supporting the comparison</w:t>
      </w:r>
      <w:r>
        <w:t xml:space="preserve"> </w:t>
      </w:r>
      <w:r>
        <w:t xml:space="preserve">and identification of preferred options</w:t>
      </w:r>
      <w:r>
        <w:t xml:space="preserve"> </w:t>
      </w:r>
      <w:r>
        <w:t xml:space="preserve">needs to be improved, including</w:t>
      </w:r>
      <w:r>
        <w:t xml:space="preserve"> </w:t>
      </w:r>
      <w:r>
        <w:t xml:space="preserve">sensitivity analysis where relevant to</w:t>
      </w:r>
      <w:r>
        <w:t xml:space="preserve"> </w:t>
      </w:r>
      <w:r>
        <w:t xml:space="preserve">illustrate the impact of different</w:t>
      </w:r>
      <w:r>
        <w:t xml:space="preserve"> </w:t>
      </w:r>
      <w:r>
        <w:t xml:space="preserve">parameters, for example regarding the</w:t>
      </w:r>
      <w:r>
        <w:t xml:space="preserve"> </w:t>
      </w:r>
      <w:r>
        <w:t xml:space="preserve">increase in reporting thresholds from</w:t>
      </w:r>
      <w:r>
        <w:t xml:space="preserve"> </w:t>
      </w:r>
      <w:r>
        <w:t xml:space="preserve">EUR 3,000 to EUR 5,000. The report</w:t>
      </w:r>
      <w:r>
        <w:t xml:space="preserve"> </w:t>
      </w:r>
      <w:r>
        <w:t xml:space="preserve">neither demonstrates why option PO1b</w:t>
      </w:r>
      <w:r>
        <w:t xml:space="preserve"> </w:t>
      </w:r>
      <w:r>
        <w:t xml:space="preserve">is preferred over PO1c adequately, nor</w:t>
      </w:r>
      <w:r>
        <w:t xml:space="preserve"> </w:t>
      </w:r>
      <w:r>
        <w:t xml:space="preserve">why PO2b is preferred over PO2a.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 Chapter 2, and Annex 8 has been added.</w:t>
      </w:r>
      <w:r>
        <w:t xml:space="preserve"> </w:t>
      </w:r>
      <w:r>
        <w:t xml:space="preserve">The rationale for selecting PO1b over PO1c</w:t>
      </w:r>
      <w:r>
        <w:t xml:space="preserve"> </w:t>
      </w:r>
      <w:r>
        <w:t xml:space="preserve">is primarily due to feedback from business</w:t>
      </w:r>
      <w:r>
        <w:t xml:space="preserve"> </w:t>
      </w:r>
      <w:r>
        <w:t xml:space="preserve">stakeholders who cautioned that removing</w:t>
      </w:r>
      <w:r>
        <w:t xml:space="preserve"> </w:t>
      </w:r>
      <w:r>
        <w:t xml:space="preserve">the MBT and adapting the related hallmarks</w:t>
      </w:r>
      <w:r>
        <w:t xml:space="preserve"> </w:t>
      </w:r>
      <w:r>
        <w:t xml:space="preserve">would result in increased costs for</w:t>
      </w:r>
      <w:r>
        <w:t xml:space="preserve"> </w:t>
      </w:r>
      <w:r>
        <w:t xml:space="preserve">businesses due to the consequential</w:t>
      </w:r>
      <w:r>
        <w:t xml:space="preserve"> </w:t>
      </w:r>
      <w:r>
        <w:t xml:space="preserve">requirement to adapt reporting systems,</w:t>
      </w:r>
      <w:r>
        <w:t xml:space="preserve"> </w:t>
      </w:r>
      <w:r>
        <w:t xml:space="preserve">processes and procedures.</w:t>
      </w:r>
      <w:r>
        <w:t xml:space="preserve"> </w:t>
      </w:r>
      <w:r>
        <w:t xml:space="preserve">The rationale for preferring PO2b over</w:t>
      </w:r>
      <w:r>
        <w:t xml:space="preserve"> </w:t>
      </w:r>
      <w:r>
        <w:t xml:space="preserve">PO2a is to ensure alignment with the OECD</w:t>
      </w:r>
      <w:r>
        <w:t xml:space="preserve"> </w:t>
      </w:r>
      <w:r>
        <w:t xml:space="preserve">MRDP framework. The removal of the</w:t>
      </w:r>
      <w:r>
        <w:t xml:space="preserve"> </w:t>
      </w:r>
      <w:r>
        <w:t xml:space="preserve">activity threshold and increase of the</w:t>
      </w:r>
      <w:r>
        <w:t xml:space="preserve"> </w:t>
      </w:r>
      <w:r>
        <w:t xml:space="preserve">monetary threshold from EUR 2,000 to</w:t>
      </w:r>
      <w:r>
        <w:t xml:space="preserve"> </w:t>
      </w:r>
      <w:r>
        <w:t xml:space="preserve">EUR 3,000 was provisionally agreed at the</w:t>
      </w:r>
      <w:r>
        <w:t xml:space="preserve"> </w:t>
      </w:r>
      <w:r>
        <w:t xml:space="preserve">OECD technical level and endorsed by 26</w:t>
      </w:r>
      <w:r>
        <w:t xml:space="preserve"> </w:t>
      </w:r>
      <w:r>
        <w:t xml:space="preserve">Member States. In addition, Annex 8 details</w:t>
      </w:r>
      <w:r>
        <w:t xml:space="preserve"> </w:t>
      </w:r>
      <w:r>
        <w:t xml:space="preserve">practical examples of the application of</w:t>
      </w:r>
      <w:r>
        <w:t xml:space="preserve"> </w:t>
      </w:r>
      <w:r>
        <w:t xml:space="preserve">national taxation rules in certain Member</w:t>
      </w:r>
      <w:r>
        <w:t xml:space="preserve"> </w:t>
      </w:r>
      <w:r>
        <w:t xml:space="preserve">States, which further justifies the preferred</w:t>
      </w:r>
      <w:r>
        <w:t xml:space="preserve"> </w:t>
      </w:r>
      <w:r>
        <w:t xml:space="preserve">policy option.</w:t>
      </w:r>
      <w:r>
        <w:br/>
      </w:r>
      <w:r>
        <w:t xml:space="preserve">Coherence with other measures, outside</w:t>
      </w:r>
      <w:r>
        <w:t xml:space="preserve"> </w:t>
      </w:r>
      <w:r>
        <w:t xml:space="preserve">of the strictly defined tax policy area,</w:t>
      </w:r>
      <w:r>
        <w:t xml:space="preserve"> </w:t>
      </w:r>
      <w:r>
        <w:t xml:space="preserve">should also be analysed. The EU</w:t>
      </w:r>
      <w:r>
        <w:t xml:space="preserve"> </w:t>
      </w:r>
      <w:r>
        <w:t xml:space="preserve">country-by-country reporting directive</w:t>
      </w:r>
      <w:r>
        <w:t xml:space="preserve"> </w:t>
      </w:r>
      <w:r>
        <w:t xml:space="preserve">Explanations have been developed further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These</w:t>
      </w:r>
      <w:r>
        <w:t xml:space="preserve"> </w:t>
      </w:r>
      <w:r>
        <w:t xml:space="preserve">explanations</w:t>
      </w:r>
      <w:r>
        <w:t xml:space="preserve"> </w:t>
      </w:r>
      <w:r>
        <w:t xml:space="preserve">demonstrate that measure 3 will have no</w:t>
      </w:r>
      <w:r>
        <w:t xml:space="preserve"> </w:t>
      </w:r>
      <w:r>
        <w:t xml:space="preserve">impact on existing international and EU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is, for example, a relevant point of</w:t>
      </w:r>
      <w:r>
        <w:t xml:space="preserve"> </w:t>
      </w:r>
      <w:r>
        <w:t xml:space="preserve">consideration for understanding</w:t>
      </w:r>
      <w:r>
        <w:t xml:space="preserve"> </w:t>
      </w:r>
      <w:r>
        <w:t xml:space="preserve">whether policy options under DAC4 and</w:t>
      </w:r>
      <w:r>
        <w:t xml:space="preserve"> </w:t>
      </w:r>
      <w:r>
        <w:t xml:space="preserve">Pillar 2 are coherent with the EU legal</w:t>
      </w:r>
      <w:r>
        <w:t xml:space="preserve"> </w:t>
      </w:r>
      <w:r>
        <w:t xml:space="preserve">framework.</w:t>
      </w:r>
      <w:r>
        <w:t xml:space="preserve"> </w:t>
      </w:r>
      <w:r>
        <w:t xml:space="preserve">frameworks. In particular, the measure</w:t>
      </w:r>
      <w:r>
        <w:t xml:space="preserve"> </w:t>
      </w:r>
      <w:r>
        <w:t xml:space="preserve">ensures that the DAC4 and OECD</w:t>
      </w:r>
      <w:r>
        <w:t xml:space="preserve"> </w:t>
      </w:r>
      <w:r>
        <w:t xml:space="preserve">equivalent CbCR reporting requirements</w:t>
      </w:r>
      <w:r>
        <w:t xml:space="preserve"> </w:t>
      </w:r>
      <w:r>
        <w:t xml:space="preserve">remain aligned. In addition, the measure</w:t>
      </w:r>
      <w:r>
        <w:t xml:space="preserve"> </w:t>
      </w:r>
      <w:r>
        <w:t xml:space="preserve">does not have any impact on the</w:t>
      </w:r>
      <w:r>
        <w:t xml:space="preserve"> </w:t>
      </w:r>
      <w:r>
        <w:t xml:space="preserve">information that is made available under</w:t>
      </w:r>
      <w:r>
        <w:t xml:space="preserve"> </w:t>
      </w:r>
      <w:r>
        <w:t xml:space="preserve">DAC9 and the equivalent OECD Global</w:t>
      </w:r>
      <w:r>
        <w:t xml:space="preserve"> </w:t>
      </w:r>
      <w:r>
        <w:t xml:space="preserve">Information Return to apply the Pillar 2</w:t>
      </w:r>
      <w:r>
        <w:t xml:space="preserve"> </w:t>
      </w:r>
      <w:r>
        <w:t xml:space="preserve">minimum tax rate of 15%. Finally, the</w:t>
      </w:r>
      <w:r>
        <w:t xml:space="preserve"> </w:t>
      </w:r>
      <w:r>
        <w:t xml:space="preserve">measure does not in any way impact on the</w:t>
      </w:r>
      <w:r>
        <w:t xml:space="preserve"> </w:t>
      </w:r>
      <w:r>
        <w:t xml:space="preserve">requirement of MNE’s to publicly disclose</w:t>
      </w:r>
      <w:r>
        <w:t xml:space="preserve"> </w:t>
      </w:r>
      <w:r>
        <w:t xml:space="preserve">certain information as part of the Public</w:t>
      </w:r>
      <w:r>
        <w:t xml:space="preserve"> </w:t>
      </w:r>
      <w:r>
        <w:t xml:space="preserve">CbCR transparency initiative.</w:t>
      </w:r>
      <w:r>
        <w:br/>
      </w:r>
      <w:r>
        <w:t xml:space="preserve">The monitoring and evaluation</w:t>
      </w:r>
      <w:r>
        <w:t xml:space="preserve"> </w:t>
      </w:r>
      <w:r>
        <w:t xml:space="preserve">framework should contain specific and</w:t>
      </w:r>
      <w:r>
        <w:t xml:space="preserve"> </w:t>
      </w:r>
      <w:r>
        <w:t xml:space="preserve">measurable indicators allowing for an</w:t>
      </w:r>
      <w:r>
        <w:t xml:space="preserve"> </w:t>
      </w:r>
      <w:r>
        <w:t xml:space="preserve">understanding of what success would</w:t>
      </w:r>
      <w:r>
        <w:t xml:space="preserve"> </w:t>
      </w:r>
      <w:r>
        <w:t xml:space="preserve">look like for this initiative.</w:t>
      </w:r>
      <w:r>
        <w:t xml:space="preserve"> </w:t>
      </w:r>
      <w:r>
        <w:t xml:space="preserve">Further details on consultations have been</w:t>
      </w:r>
      <w:r>
        <w:t xml:space="preserve"> </w:t>
      </w:r>
      <w:r>
        <w:t xml:space="preserve">added,</w:t>
      </w:r>
      <w:r>
        <w:t xml:space="preserve"> </w:t>
      </w:r>
      <w:r>
        <w:t xml:space="preserve">and</w:t>
      </w:r>
      <w:r>
        <w:t xml:space="preserve"> </w:t>
      </w:r>
      <w:r>
        <w:t xml:space="preserve">explanations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developed further in Chapter 9. These</w:t>
      </w:r>
      <w:r>
        <w:t xml:space="preserve"> </w:t>
      </w:r>
      <w:r>
        <w:t xml:space="preserve">details and explanations include specific</w:t>
      </w:r>
      <w:r>
        <w:t xml:space="preserve"> </w:t>
      </w:r>
      <w:r>
        <w:t xml:space="preserve">monitoring targets related to decreases in</w:t>
      </w:r>
      <w:r>
        <w:t xml:space="preserve"> </w:t>
      </w:r>
      <w:r>
        <w:t xml:space="preserve">reporting</w:t>
      </w:r>
      <w:r>
        <w:t xml:space="preserve"> </w:t>
      </w:r>
      <w:r>
        <w:t xml:space="preserve">volumes,</w:t>
      </w:r>
      <w:r>
        <w:t xml:space="preserve"> </w:t>
      </w:r>
      <w:r>
        <w:t xml:space="preserve">increases</w:t>
      </w:r>
      <w:r>
        <w:t xml:space="preserve"> </w:t>
      </w:r>
      <w:r>
        <w:t xml:space="preserve">in</w:t>
      </w:r>
      <w:r>
        <w:t xml:space="preserve"> </w:t>
      </w:r>
      <w:r>
        <w:t xml:space="preserve">tax</w:t>
      </w:r>
      <w:r>
        <w:t xml:space="preserve"> </w:t>
      </w:r>
      <w:r>
        <w:t xml:space="preserve">revenues, and reductions in compliance</w:t>
      </w:r>
      <w:r>
        <w:t xml:space="preserve"> </w:t>
      </w:r>
      <w:r>
        <w:t xml:space="preserve">costs for EU businesses. These targets will</w:t>
      </w:r>
      <w:r>
        <w:t xml:space="preserve"> </w:t>
      </w:r>
      <w:r>
        <w:t xml:space="preserve">be monitored and evaluated by the</w:t>
      </w:r>
      <w:r>
        <w:t xml:space="preserve"> </w:t>
      </w:r>
      <w:r>
        <w:t xml:space="preserve">Commission services in collaboration with</w:t>
      </w:r>
      <w:r>
        <w:t xml:space="preserve"> </w:t>
      </w:r>
      <w:r>
        <w:t xml:space="preserve">Member States and in tandem via dedicated</w:t>
      </w:r>
      <w:r>
        <w:t xml:space="preserve"> </w:t>
      </w:r>
      <w:r>
        <w:t xml:space="preserve">survey questionnaires to EU businesses, to</w:t>
      </w:r>
      <w:r>
        <w:t xml:space="preserve"> </w:t>
      </w:r>
      <w:r>
        <w:t xml:space="preserve">better establish ongoing savings.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  <w:r>
        <w:t xml:space="preserve"> </w:t>
      </w:r>
      <w:r>
        <w:t xml:space="preserve">The evidence for the impact assessment report was gathered through various activities and</w:t>
      </w:r>
      <w:r>
        <w:t xml:space="preserve"> </w:t>
      </w:r>
      <w:r>
        <w:t xml:space="preserve">from different sources:</w:t>
      </w:r>
      <w:r>
        <w:br/>
      </w:r>
      <w:r>
        <w:t xml:space="preserve">• 2025 Evaluation of the Directive on administrative cooperation.</w:t>
      </w:r>
      <w:r>
        <w:t xml:space="preserve"> </w:t>
      </w:r>
      <w:r>
        <w:t xml:space="preserve">• 2021 Special Report of the European Court of Auditors.</w:t>
      </w:r>
      <w:r>
        <w:t xml:space="preserve"> </w:t>
      </w:r>
      <w:r>
        <w:t xml:space="preserve">• 2024 Special Report of the European Cour of Auditors.</w:t>
      </w:r>
      <w:r>
        <w:t xml:space="preserve"> </w:t>
      </w:r>
      <w:r>
        <w:t xml:space="preserve">• Study by an external contractor: “Evaluation of the Directive 2011/16 and its</w:t>
      </w:r>
      <w:r>
        <w:t xml:space="preserve"> </w:t>
      </w:r>
      <w:r>
        <w:t xml:space="preserve">Amendments”75</w:t>
      </w:r>
      <w:r>
        <w:t xml:space="preserve"> </w:t>
      </w:r>
      <w:r>
        <w:t xml:space="preserve">• Study by an external contractor: “Study on Taxpayer Identification Numbers (TIN)</w:t>
      </w:r>
      <w:r>
        <w:t xml:space="preserve"> </w:t>
      </w:r>
      <w:r>
        <w:t xml:space="preserve">and possible verification instruments”</w:t>
      </w:r>
      <w:r>
        <w:t xml:space="preserve"> </w:t>
      </w:r>
      <w:r>
        <w:t xml:space="preserve">• Targeted consultation with Member States in the Working Party IV (WPIV)</w:t>
      </w:r>
      <w:r>
        <w:t xml:space="preserve"> </w:t>
      </w:r>
      <w:r>
        <w:t xml:space="preserve">Commission Expert group on direct taxation.</w:t>
      </w:r>
    </w:p>
    <w:p>
      <w:pPr>
        <w:pStyle w:val="FirstParagraph"/>
      </w:pPr>
      <w:r>
        <w:t xml:space="preserve">75 Final Report, 11 January 2024, Ramboll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• Outcome from work in the VISDAC Expert Team (Fiscalis program) which</w:t>
      </w:r>
      <w:r>
        <w:t xml:space="preserve"> </w:t>
      </w:r>
      <w:r>
        <w:t xml:space="preserve">collected evidence through on-site visits to Member States tax administrations.</w:t>
      </w:r>
      <w:r>
        <w:t xml:space="preserve"> </w:t>
      </w:r>
      <w:r>
        <w:t xml:space="preserve">• Consultations in the expert group Platform on Tax Good Governance which gathers</w:t>
      </w:r>
      <w:r>
        <w:t xml:space="preserve"> </w:t>
      </w:r>
      <w:r>
        <w:t xml:space="preserve">experts from business, interest groups and Member States.</w:t>
      </w:r>
      <w:r>
        <w:t xml:space="preserve"> </w:t>
      </w:r>
      <w:r>
        <w:t xml:space="preserve">• Yearly questionnaires to Member States on automatic exchange of information and</w:t>
      </w:r>
      <w:r>
        <w:t xml:space="preserve"> </w:t>
      </w:r>
      <w:r>
        <w:t xml:space="preserve">other forms of administrative cooperation, respectively.</w:t>
      </w:r>
      <w:r>
        <w:t xml:space="preserve"> </w:t>
      </w:r>
      <w:r>
        <w:t xml:space="preserve">• Targeted consultation with relevant stakeholders, such as business associations, tax</w:t>
      </w:r>
      <w:r>
        <w:t xml:space="preserve"> </w:t>
      </w:r>
      <w:r>
        <w:t xml:space="preserve">consultants, and leading corporations in the global market.</w:t>
      </w:r>
      <w:r>
        <w:t xml:space="preserve"> </w:t>
      </w:r>
      <w:r>
        <w:t xml:space="preserve">• Public consultation and Call for evidence.</w:t>
      </w:r>
      <w:r>
        <w:t xml:space="preserve"> </w:t>
      </w:r>
      <w:r>
        <w:t xml:space="preserve">• Desk research.</w:t>
      </w:r>
    </w:p>
    <w:p>
      <w:pPr>
        <w:pStyle w:val="Compact"/>
        <w:numPr>
          <w:ilvl w:val="0"/>
          <w:numId w:val="1005"/>
        </w:numPr>
      </w:pPr>
      <w:r>
        <w:t xml:space="preserve">EXTERNAL EXPERTISE</w:t>
      </w:r>
      <w:r>
        <w:t xml:space="preserve"> </w:t>
      </w:r>
      <w:r>
        <w:t xml:space="preserve">Two studies by external consultants have been used to inform this impact assessment: a</w:t>
      </w:r>
      <w:r>
        <w:t xml:space="preserve"> </w:t>
      </w:r>
      <w:r>
        <w:t xml:space="preserve">study supporting the 2025 evaluation of the DAC, and a Study on Taxpayer Identification</w:t>
      </w:r>
      <w:r>
        <w:t xml:space="preserve"> </w:t>
      </w:r>
      <w:r>
        <w:t xml:space="preserve">Numbers (TIN) and possible verification instruments.</w:t>
      </w:r>
    </w:p>
    <w:p>
      <w:pPr>
        <w:pStyle w:val="FirstParagraph"/>
      </w:pPr>
      <w:r>
        <w:t xml:space="preserve">The study supporting the evaluation of the DAC covers directives DAC1 to DAC6. It</w:t>
      </w:r>
      <w:r>
        <w:t xml:space="preserve"> </w:t>
      </w:r>
      <w:r>
        <w:t xml:space="preserve">provides a basis for assessing the usefulness of DAC1 income categories and DAC6</w:t>
      </w:r>
      <w:r>
        <w:t xml:space="preserve"> </w:t>
      </w:r>
      <w:r>
        <w:t xml:space="preserve">hallmarks and MBT. The study also provides a general analysis of the quality and use of</w:t>
      </w:r>
      <w:r>
        <w:t xml:space="preserve"> </w:t>
      </w:r>
      <w:r>
        <w:t xml:space="preserve">data for all DAC’s, which is used for the assessment of all of the measures in this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The TIN study specifically targets the use and quality of the TIN and assesses different</w:t>
      </w:r>
      <w:r>
        <w:t xml:space="preserve"> </w:t>
      </w:r>
      <w:r>
        <w:t xml:space="preserve">options to improve these. The preliminary results have been used in this report for assessing</w:t>
      </w:r>
      <w:r>
        <w:t xml:space="preserve"> </w:t>
      </w:r>
      <w:r>
        <w:t xml:space="preserve">the costs of a centralised verification tool.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To inform the preparation of this initiative, DG TAXUD carried out the following</w:t>
      </w:r>
      <w:r>
        <w:t xml:space="preserve"> </w:t>
      </w:r>
      <w:r>
        <w:t xml:space="preserve">consultation activities:</w:t>
      </w:r>
      <w:r>
        <w:br/>
      </w:r>
      <w:r>
        <w:t xml:space="preserve">➢ targeted consultations of business stakeholders;</w:t>
      </w:r>
      <w:r>
        <w:br/>
      </w:r>
      <w:r>
        <w:t xml:space="preserve">➢ targeted consultations of Member States;</w:t>
      </w:r>
      <w:r>
        <w:br/>
      </w:r>
      <w:r>
        <w:t xml:space="preserve">➢ Call for Evidence (CfE) and public consultation (PC).</w:t>
      </w:r>
      <w:r>
        <w:t xml:space="preserve"> </w:t>
      </w:r>
      <w:r>
        <w:t xml:space="preserve">The targeted consultations of business stakeholders took the form of interviews and</w:t>
      </w:r>
      <w:r>
        <w:t xml:space="preserve"> </w:t>
      </w:r>
      <w:r>
        <w:t xml:space="preserve">meetings with different private stakeholders, including businesses of different sizes</w:t>
      </w:r>
      <w:r>
        <w:t xml:space="preserve"> </w:t>
      </w:r>
      <w:r>
        <w:t xml:space="preserve">operating in different sectors, business associations, associations of tax consultants and</w:t>
      </w:r>
      <w:r>
        <w:t xml:space="preserve"> </w:t>
      </w:r>
      <w:r>
        <w:t xml:space="preserve">academia. The consultations were mainly aimed at identifying areas for simplification in</w:t>
      </w:r>
      <w:r>
        <w:t xml:space="preserve"> </w:t>
      </w:r>
      <w:r>
        <w:t xml:space="preserve">relation to DAC4/DAC9, DAC6 and DAC7.</w:t>
      </w:r>
      <w:r>
        <w:br/>
      </w:r>
      <w:r>
        <w:t xml:space="preserve">As far as Member States are concerned, DG TAXUD organised 5 Working Party IV</w:t>
      </w:r>
      <w:r>
        <w:t xml:space="preserve"> </w:t>
      </w:r>
      <w:r>
        <w:t xml:space="preserve">meetings. These meetings focused on potential topics for simplification/improvement and</w:t>
      </w:r>
      <w:r>
        <w:t xml:space="preserve"> </w:t>
      </w:r>
      <w:r>
        <w:t xml:space="preserve">possible solutions related to DAC4/DAC9, DAC7, DAC1 and DAC6.</w:t>
      </w:r>
      <w:r>
        <w:t xml:space="preserve"> </w:t>
      </w:r>
      <w:r>
        <w:t xml:space="preserve">Finally, on 16 December 2025, DG TAXUD launched a CfE and, in parallel, a PC to collect</w:t>
      </w:r>
      <w:r>
        <w:t xml:space="preserve"> </w:t>
      </w:r>
      <w:r>
        <w:t xml:space="preserve">stakeholders’ views on the main policy options for simplification and their possible impact,</w:t>
      </w:r>
      <w:r>
        <w:t xml:space="preserve"> </w:t>
      </w:r>
      <w:r>
        <w:t xml:space="preserve">including potential cost savings associated with the simplification of reporting requirements.</w:t>
      </w:r>
      <w:r>
        <w:t xml:space="preserve"> </w:t>
      </w:r>
      <w:r>
        <w:t xml:space="preserve">The possibility to participate in the consultation process was published on the Commission’s</w:t>
      </w:r>
      <w:r>
        <w:t xml:space="preserve"> </w:t>
      </w:r>
      <w:r>
        <w:t xml:space="preserve">‘Have your say’ portal, allowing stakeholders to submit feedback in any official EU</w:t>
      </w:r>
      <w:r>
        <w:t xml:space="preserve"> </w:t>
      </w:r>
      <w:r>
        <w:t xml:space="preserve">language and to upload additional supporting documents. The consultation remained open</w:t>
      </w:r>
      <w:r>
        <w:t xml:space="preserve"> </w:t>
      </w:r>
      <w:r>
        <w:t xml:space="preserve">until 10 February 2026 and received a total of 60 written responses.</w:t>
      </w:r>
      <w:r>
        <w:t xml:space="preserve"> </w:t>
      </w:r>
      <w:r>
        <w:t xml:space="preserve">The PC consisted in the submission of a close-ended questionnaire, structured to gather</w:t>
      </w:r>
      <w:r>
        <w:t xml:space="preserve"> </w:t>
      </w:r>
      <w:r>
        <w:t xml:space="preserve">views on the proposed recast, including aspects such as simplification of reporting</w:t>
      </w:r>
      <w:r>
        <w:t xml:space="preserve"> </w:t>
      </w:r>
      <w:r>
        <w:t xml:space="preserve">obligations (e.g., under DAC4 and its interplay with DAC9, DAC6, and DAC7), potential</w:t>
      </w:r>
      <w:r>
        <w:t xml:space="preserve"> </w:t>
      </w:r>
      <w:r>
        <w:t xml:space="preserve">administrative burden reductions, and overall impacts on stakeholders. Respondents to the</w:t>
      </w:r>
      <w:r>
        <w:t xml:space="preserve"> </w:t>
      </w:r>
      <w:r>
        <w:t xml:space="preserve">PC could also upload additional documents integrating their answers or more generally</w:t>
      </w:r>
      <w:r>
        <w:t xml:space="preserve"> </w:t>
      </w:r>
      <w:r>
        <w:t xml:space="preserve">covering the subject of the consultation.</w:t>
      </w:r>
      <w:r>
        <w:br/>
      </w:r>
      <w:r>
        <w:t xml:space="preserve">2.</w:t>
      </w:r>
      <w:r>
        <w:t xml:space="preserve"> </w:t>
      </w:r>
      <w:r>
        <w:t xml:space="preserve">RESULTS OF CONSULTATION ACTIVITIES</w:t>
      </w:r>
      <w:r>
        <w:t xml:space="preserve"> </w:t>
      </w:r>
      <w:r>
        <w:t xml:space="preserve">2.1 Results of targeted consultations of business stakeholders</w:t>
      </w:r>
      <w:r>
        <w:t xml:space="preserve"> </w:t>
      </w:r>
      <w:r>
        <w:t xml:space="preserve">The targeted consultation of business stakeholders covered overall 50 stakeholders. These</w:t>
      </w:r>
      <w:r>
        <w:t xml:space="preserve"> </w:t>
      </w:r>
      <w:r>
        <w:t xml:space="preserve">were business organisations for the whole economy as well as for specific industries,</w:t>
      </w:r>
      <w:r>
        <w:t xml:space="preserve"> </w:t>
      </w:r>
      <w:r>
        <w:t xml:space="preserve">individual businesses in different industries and tax consultants.</w:t>
      </w:r>
      <w:r>
        <w:t xml:space="preserve"> </w:t>
      </w:r>
      <w:r>
        <w:t xml:space="preserve">Overall, the stakeholders favour the objectives of simplification and burden reduction, but</w:t>
      </w:r>
      <w:r>
        <w:t xml:space="preserve"> </w:t>
      </w:r>
      <w:r>
        <w:t xml:space="preserve">their current issues and needs vary relatively to their activities. The key take-aways from the</w:t>
      </w:r>
      <w:r>
        <w:t xml:space="preserve"> </w:t>
      </w:r>
      <w:r>
        <w:t xml:space="preserve">discussions are summarised below.</w:t>
      </w:r>
      <w:r>
        <w:br/>
      </w:r>
      <w:r>
        <w:t xml:space="preserve">Concerning the interaction between DAC4/DAC9, many business stakeholders asked for a</w:t>
      </w:r>
      <w:r>
        <w:t xml:space="preserve"> </w:t>
      </w:r>
      <w:r>
        <w:t xml:space="preserve">carve-out from reporting under DAC4 for MNEs group in scope of the Pillar 2 Directive</w:t>
      </w:r>
      <w:r>
        <w:t xml:space="preserve"> </w:t>
      </w:r>
      <w:r>
        <w:t xml:space="preserve">(therefore reporting under DAC9), arguing that the transparency framework brought about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by DAC9 makes DAC4 redundant. More generally, business stakeholders supported the</w:t>
      </w:r>
      <w:r>
        <w:t xml:space="preserve"> </w:t>
      </w:r>
      <w:r>
        <w:t xml:space="preserve">harmonisation of reporting requirements to eliminate the current fragmented landscape. In</w:t>
      </w:r>
      <w:r>
        <w:t xml:space="preserve"> </w:t>
      </w:r>
      <w:r>
        <w:t xml:space="preserve">particular, there is significant support for merging DAC4 and DAC9 notifications into a</w:t>
      </w:r>
      <w:r>
        <w:t xml:space="preserve"> </w:t>
      </w:r>
      <w:r>
        <w:t xml:space="preserve">single, group-level submission and adopting a</w:t>
      </w:r>
      <w:r>
        <w:t xml:space="preserve"> </w:t>
      </w:r>
      <w:r>
        <w:t xml:space="preserve">“change-only”</w:t>
      </w:r>
      <w:r>
        <w:t xml:space="preserve"> </w:t>
      </w:r>
      <w:r>
        <w:t xml:space="preserve">approach to reduce redundant</w:t>
      </w:r>
      <w:r>
        <w:t xml:space="preserve"> </w:t>
      </w:r>
      <w:r>
        <w:t xml:space="preserve">filings.</w:t>
      </w:r>
      <w:r>
        <w:br/>
      </w:r>
      <w:r>
        <w:t xml:space="preserve">As far as DAC6 is concerned, respondents emphasised the disproportionate administrative</w:t>
      </w:r>
      <w:r>
        <w:t xml:space="preserve"> </w:t>
      </w:r>
      <w:r>
        <w:t xml:space="preserve">burden and high staffing costs associated with DAC 6 and some of them called for a</w:t>
      </w:r>
      <w:r>
        <w:t xml:space="preserve"> </w:t>
      </w:r>
      <w:r>
        <w:t xml:space="preserve">complete repeal. In particular, the Main Benefit Test (MBT) was considered as particularly</w:t>
      </w:r>
      <w:r>
        <w:t xml:space="preserve"> </w:t>
      </w:r>
      <w:r>
        <w:t xml:space="preserve">complex and difficult to apply, also considering the different interpretation of the concept</w:t>
      </w:r>
      <w:r>
        <w:t xml:space="preserve"> </w:t>
      </w:r>
      <w:r>
        <w:t xml:space="preserve">across Member States. To mitigate this issue, the large majority of the business stakeholders</w:t>
      </w:r>
      <w:r>
        <w:t xml:space="preserve"> </w:t>
      </w:r>
      <w:r>
        <w:t xml:space="preserve">called for harmonised EU-level guidance. While few of them supported, instead, the</w:t>
      </w:r>
      <w:r>
        <w:t xml:space="preserve"> </w:t>
      </w:r>
      <w:r>
        <w:t xml:space="preserve">complete removal of the MBT, coupled with a revision of the hallmarks subject to the test</w:t>
      </w:r>
      <w:r>
        <w:t xml:space="preserve"> </w:t>
      </w:r>
      <w:r>
        <w:t xml:space="preserve">to make them more objective, several other opposed this idea, arguing that it would result in</w:t>
      </w:r>
      <w:r>
        <w:t xml:space="preserve"> </w:t>
      </w:r>
      <w:r>
        <w:t xml:space="preserve">an increase of the reporting and would also entail the need to change their current practices.</w:t>
      </w:r>
      <w:r>
        <w:t xml:space="preserve"> </w:t>
      </w:r>
      <w:r>
        <w:t xml:space="preserve">To make DAC6 more targeted and efficient, some stakeholders proposed narrowing the</w:t>
      </w:r>
      <w:r>
        <w:t xml:space="preserve"> </w:t>
      </w:r>
      <w:r>
        <w:t xml:space="preserve">directive’s scope through quantitative de minimis thresholds, “whitelists” for routine</w:t>
      </w:r>
      <w:r>
        <w:t xml:space="preserve"> </w:t>
      </w:r>
      <w:r>
        <w:t xml:space="preserve">commercial transactions, and the deletion of redundant hallmarks that overlap with Pillar 2</w:t>
      </w:r>
      <w:r>
        <w:t xml:space="preserve"> </w:t>
      </w:r>
      <w:r>
        <w:t xml:space="preserve">rules or carving out from DAC6 all MNEs groups that are withing the scope of the Pillar 2</w:t>
      </w:r>
      <w:r>
        <w:t xml:space="preserve"> </w:t>
      </w:r>
      <w:r>
        <w:t xml:space="preserve">Directive. There was a very broad consensus on the need to repeal the ‘generic hallmarks’</w:t>
      </w:r>
      <w:r>
        <w:t xml:space="preserve"> </w:t>
      </w:r>
      <w:r>
        <w:t xml:space="preserve">(category A) as it has led to excessive burden with limited impact on Member States’</w:t>
      </w:r>
      <w:r>
        <w:t xml:space="preserve"> </w:t>
      </w:r>
      <w:r>
        <w:t xml:space="preserve">revenues.</w:t>
      </w:r>
      <w:r>
        <w:br/>
      </w:r>
      <w:r>
        <w:t xml:space="preserve">Finally, in relation to DAC7, two umbrella organisations for platform operators, two tax</w:t>
      </w:r>
      <w:r>
        <w:t xml:space="preserve"> </w:t>
      </w:r>
      <w:r>
        <w:t xml:space="preserve">advisers specialised in DAC7 and five single platform operators were consulted. The</w:t>
      </w:r>
      <w:r>
        <w:t xml:space="preserve"> </w:t>
      </w:r>
      <w:r>
        <w:t xml:space="preserve">consultations focused mainly on platforms specialised in the sale of goods and rental of</w:t>
      </w:r>
      <w:r>
        <w:t xml:space="preserve"> </w:t>
      </w:r>
      <w:r>
        <w:t xml:space="preserve">immovable property, but platforms for rental of transport modes and for personal services</w:t>
      </w:r>
      <w:r>
        <w:t xml:space="preserve"> </w:t>
      </w:r>
      <w:r>
        <w:t xml:space="preserve">were consulted in the context of the umbrella organisations. A major point of contention is</w:t>
      </w:r>
      <w:r>
        <w:t xml:space="preserve"> </w:t>
      </w:r>
      <w:r>
        <w:t xml:space="preserve">the current reporting thresholds: stakeholders strongly advocated for raising the monetary</w:t>
      </w:r>
      <w:r>
        <w:t xml:space="preserve"> </w:t>
      </w:r>
      <w:r>
        <w:t xml:space="preserve">threshold (EUR 2000) and removing the activity threshold (30 transactions) to avoid</w:t>
      </w:r>
      <w:r>
        <w:t xml:space="preserve"> </w:t>
      </w:r>
      <w:r>
        <w:t xml:space="preserve">capturing occasional, non-professional sellers. Additionally, there is a clear demand for</w:t>
      </w:r>
      <w:r>
        <w:t xml:space="preserve"> </w:t>
      </w:r>
      <w:r>
        <w:t xml:space="preserve">enhanced EU-level TIN verification tools to ease the data collection burden.</w:t>
      </w:r>
      <w:r>
        <w:br/>
      </w:r>
      <w:r>
        <w:t xml:space="preserve">2.2 Results of targeted consultations of Member States</w:t>
      </w:r>
      <w:r>
        <w:t xml:space="preserve"> </w:t>
      </w:r>
      <w:r>
        <w:t xml:space="preserve">As far as DAC1 is concerned, Member States stressed the need to avoid duplications with</w:t>
      </w:r>
      <w:r>
        <w:t xml:space="preserve"> </w:t>
      </w:r>
      <w:r>
        <w:t xml:space="preserve">respect to the LIP category, since information may also be included in DAC2 reports.</w:t>
      </w:r>
      <w:r>
        <w:t xml:space="preserve"> </w:t>
      </w:r>
      <w:r>
        <w:t xml:space="preserve">However, they insisted that no information should be lost.</w:t>
      </w:r>
      <w:r>
        <w:t xml:space="preserve"> </w:t>
      </w:r>
      <w:r>
        <w:t xml:space="preserve">Regarding mandatory categories of information, Member States stressed that not all</w:t>
      </w:r>
      <w:r>
        <w:t xml:space="preserve"> </w:t>
      </w:r>
      <w:r>
        <w:t xml:space="preserve">information is readily available, and access other public databases can be very costly to</w:t>
      </w:r>
      <w:r>
        <w:t xml:space="preserve"> </w:t>
      </w:r>
      <w:r>
        <w:t xml:space="preserve">build. Most of them could however support, provided that the implementation timeline is</w:t>
      </w:r>
      <w:r>
        <w:t xml:space="preserve"> </w:t>
      </w:r>
      <w:r>
        <w:t xml:space="preserve">adequate.</w:t>
      </w:r>
      <w:r>
        <w:t xml:space="preserve"> </w:t>
      </w:r>
      <w:r>
        <w:t xml:space="preserve">Member States were overall sceptical on the streamlining of reporting under DAC4 and</w:t>
      </w:r>
      <w:r>
        <w:t xml:space="preserve"> </w:t>
      </w:r>
      <w:r>
        <w:t xml:space="preserve">DAC9, due to the risks of introducing discrepancies with the international standards that</w:t>
      </w:r>
      <w:r>
        <w:t xml:space="preserve"> </w:t>
      </w:r>
      <w:r>
        <w:t xml:space="preserve">would create different reports inside and outside the EU.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As regards DAC6, the large majority of the Member States expressed the view that the MBT</w:t>
      </w:r>
      <w:r>
        <w:t xml:space="preserve"> </w:t>
      </w:r>
      <w:r>
        <w:t xml:space="preserve">is an essential filter to prevent reporting of arrangements with little value. Therefore, several</w:t>
      </w:r>
      <w:r>
        <w:t xml:space="preserve"> </w:t>
      </w:r>
      <w:r>
        <w:t xml:space="preserve">of them were in favour of clarifying the MBT, as opposed to removing it and revising the</w:t>
      </w:r>
      <w:r>
        <w:t xml:space="preserve"> </w:t>
      </w:r>
      <w:r>
        <w:t xml:space="preserve">hallmarks subject to the test, to make them more objective.</w:t>
      </w:r>
      <w:r>
        <w:br/>
      </w:r>
      <w:r>
        <w:t xml:space="preserve">Member States were also consulted on the relevance of hallmarks, and no Member State</w:t>
      </w:r>
      <w:r>
        <w:t xml:space="preserve"> </w:t>
      </w:r>
      <w:r>
        <w:t xml:space="preserve">opposed the deletion of the category A (generic hallmarks). Regarding the rest of the</w:t>
      </w:r>
      <w:r>
        <w:t xml:space="preserve"> </w:t>
      </w:r>
      <w:r>
        <w:t xml:space="preserve">hallmarks, views of Member States were varied and there was no clear preference to remove</w:t>
      </w:r>
      <w:r>
        <w:t xml:space="preserve"> </w:t>
      </w:r>
      <w:r>
        <w:t xml:space="preserve">or significantly change any other hallmark.</w:t>
      </w:r>
      <w:r>
        <w:t xml:space="preserve"> </w:t>
      </w:r>
      <w:r>
        <w:t xml:space="preserve">On DAC7, the majority of the Member States that gave an opinion expressed a clear</w:t>
      </w:r>
      <w:r>
        <w:t xml:space="preserve"> </w:t>
      </w:r>
      <w:r>
        <w:t xml:space="preserve">preference for the removal of the activity threshold. However, there was a divergence of</w:t>
      </w:r>
      <w:r>
        <w:t xml:space="preserve"> </w:t>
      </w:r>
      <w:r>
        <w:t xml:space="preserve">views on the possible increase of the monetary threshold, with some Member States</w:t>
      </w:r>
      <w:r>
        <w:t xml:space="preserve"> </w:t>
      </w:r>
      <w:r>
        <w:t xml:space="preserve">supporting the current threshold, others supporting a threshold between EUR 3,000 and EUR</w:t>
      </w:r>
      <w:r>
        <w:t xml:space="preserve"> </w:t>
      </w:r>
      <w:r>
        <w:t xml:space="preserve">5,000 and a minority even favouring an increase above EUR 5,000.</w:t>
      </w:r>
      <w:r>
        <w:t xml:space="preserve"> </w:t>
      </w:r>
      <w:r>
        <w:t xml:space="preserve">2.3 Results of CfE and PC</w:t>
      </w:r>
      <w:r>
        <w:t xml:space="preserve"> </w:t>
      </w:r>
      <w:r>
        <w:t xml:space="preserve">Identification of respondents</w:t>
      </w:r>
      <w:r>
        <w:t xml:space="preserve"> </w:t>
      </w:r>
      <w:r>
        <w:t xml:space="preserve">Overall, a total of 50 different stakeholders participated in the consultation process. Of these,</w:t>
      </w:r>
      <w:r>
        <w:t xml:space="preserve"> </w:t>
      </w:r>
      <w:r>
        <w:t xml:space="preserve">30 respondents completed the PC questionnaire, and the remaining 30 stakeholders</w:t>
      </w:r>
      <w:r>
        <w:t xml:space="preserve"> </w:t>
      </w:r>
      <w:r>
        <w:t xml:space="preserve">contributed exclusively through written feedback submissions in the CfE76. The largest share</w:t>
      </w:r>
      <w:r>
        <w:t xml:space="preserve"> </w:t>
      </w:r>
      <w:r>
        <w:t xml:space="preserve">of responses came from tax intermediaries, accountants, and tax advisors (14), reflecting the</w:t>
      </w:r>
      <w:r>
        <w:t xml:space="preserve"> </w:t>
      </w:r>
      <w:r>
        <w:t xml:space="preserve">strong engagement of professionals directly involved in tax reporting and compliance.</w:t>
      </w:r>
      <w:r>
        <w:t xml:space="preserve"> </w:t>
      </w:r>
      <w:r>
        <w:t xml:space="preserve">Online platforms (13), banking and financial services (12), and general business associations</w:t>
      </w:r>
      <w:r>
        <w:t xml:space="preserve"> </w:t>
      </w:r>
      <w:r>
        <w:t xml:space="preserve">(12) were also well represented among respondents. By contrast, very few contributions</w:t>
      </w:r>
      <w:r>
        <w:t xml:space="preserve"> </w:t>
      </w:r>
      <w:r>
        <w:t xml:space="preserve">were submitted by individual EU citizens and no feedback was received from SMEs or</w:t>
      </w:r>
      <w:r>
        <w:t xml:space="preserve"> </w:t>
      </w:r>
      <w:r>
        <w:t xml:space="preserve">SME-specific business organisations.</w:t>
      </w:r>
    </w:p>
    <w:p>
      <w:pPr>
        <w:pStyle w:val="BodyText"/>
      </w:pPr>
      <w:r>
        <w:t xml:space="preserve">76 Although 10 of them contributed by written feedback and online questionnaire, and 4 respondents did not include their identification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Figure 1: Distribution of respondents by area of activity</w:t>
      </w:r>
    </w:p>
    <w:p>
      <w:pPr>
        <w:pStyle w:val="BodyText"/>
      </w:pPr>
      <w:r>
        <w:t xml:space="preserve">General Comments</w:t>
      </w:r>
      <w:r>
        <w:t xml:space="preserve"> </w:t>
      </w:r>
      <w:r>
        <w:t xml:space="preserve">The distribution of comments across the different DAC instruments highlights which parts</w:t>
      </w:r>
      <w:r>
        <w:t xml:space="preserve"> </w:t>
      </w:r>
      <w:r>
        <w:t xml:space="preserve">of the framework stakeholders considered most relevant or impactful. DAC7 (the rules for</w:t>
      </w:r>
      <w:r>
        <w:t xml:space="preserve"> </w:t>
      </w:r>
      <w:r>
        <w:t xml:space="preserve">online platforms) received by far the highest number of comments, followed by DAC6, and</w:t>
      </w:r>
      <w:r>
        <w:t xml:space="preserve"> </w:t>
      </w:r>
      <w:r>
        <w:t xml:space="preserve">DAC4/DAC9.</w:t>
      </w:r>
      <w:r>
        <w:br/>
      </w:r>
      <w:r>
        <w:t xml:space="preserve">A strong consensus emerged from the business sector on the need for codifying the DAC</w:t>
      </w:r>
      <w:r>
        <w:t xml:space="preserve"> </w:t>
      </w:r>
      <w:r>
        <w:t xml:space="preserve">by bringing together DAC1 and all its eight amendments (DAC2-DAC9) into a single new</w:t>
      </w:r>
      <w:r>
        <w:t xml:space="preserve"> </w:t>
      </w:r>
      <w:r>
        <w:t xml:space="preserve">legal act which would replace the current fragmented legal framework. There was also</w:t>
      </w:r>
      <w:r>
        <w:t xml:space="preserve"> </w:t>
      </w:r>
      <w:r>
        <w:t xml:space="preserve">broad agreement that the existing framework creates disproportionate administrative and</w:t>
      </w:r>
      <w:r>
        <w:t xml:space="preserve"> </w:t>
      </w:r>
      <w:r>
        <w:t xml:space="preserve">compliance burdens for reporting entities. 5 stakeholders from business and associations</w:t>
      </w:r>
      <w:r>
        <w:t xml:space="preserve"> </w:t>
      </w:r>
      <w:r>
        <w:t xml:space="preserve">proposed simplification and burden-reduction measures, such as simplified (5 inputs) or</w:t>
      </w:r>
      <w:r>
        <w:t xml:space="preserve"> </w:t>
      </w:r>
      <w:r>
        <w:t xml:space="preserve">excluded reporting for low-risk, or low-value transactions. The once-only reporting</w:t>
      </w:r>
      <w:r>
        <w:t xml:space="preserve"> </w:t>
      </w:r>
      <w:r>
        <w:t xml:space="preserve">principle was emphasized by 4 associations, along with the elimination of overlaps which</w:t>
      </w:r>
      <w:r>
        <w:t xml:space="preserve"> </w:t>
      </w:r>
      <w:r>
        <w:t xml:space="preserve">was supported by 2 associations.</w:t>
      </w:r>
      <w:r>
        <w:br/>
      </w:r>
      <w:r>
        <w:t xml:space="preserve">5 business and tax advisor associations suggested relying on existing national identification</w:t>
      </w:r>
      <w:r>
        <w:t xml:space="preserve"> </w:t>
      </w:r>
      <w:r>
        <w:t xml:space="preserve">systems combined with a centralised validation tool. As regards the latter, contributors</w:t>
      </w:r>
      <w:r>
        <w:t xml:space="preserve"> </w:t>
      </w:r>
      <w:r>
        <w:t xml:space="preserve">advocated for centralised validation tools connected to authoritative sources, made available</w:t>
      </w:r>
      <w:r>
        <w:t xml:space="preserve"> </w:t>
      </w:r>
      <w:r>
        <w:t xml:space="preserve">to reporting entities early in the process, with interoperable verification mechanisms</w:t>
      </w:r>
      <w:r>
        <w:t xml:space="preserve"> </w:t>
      </w:r>
      <w:r>
        <w:t xml:space="preserve">preferred over new obligations on taxpayers.</w:t>
      </w:r>
      <w:r>
        <w:br/>
      </w:r>
      <w:r>
        <w:t xml:space="preserve">More generally, business stakeholders emphasised the need for technical modernization and</w:t>
      </w:r>
      <w:r>
        <w:t xml:space="preserve"> </w:t>
      </w:r>
      <w:r>
        <w:t xml:space="preserve">digital-friendly infrastructures to support efficiency and prevent future administrative</w:t>
      </w:r>
      <w:r>
        <w:t xml:space="preserve"> </w:t>
      </w:r>
      <w:r>
        <w:t xml:space="preserve">burdens from piecemeal updates.</w:t>
      </w:r>
      <w:r>
        <w:t xml:space="preserve"> </w:t>
      </w:r>
      <w:r>
        <w:t xml:space="preserve">Finally, 2 contributors stressed that reporting obligations should remain limited to objective</w:t>
      </w:r>
      <w:r>
        <w:t xml:space="preserve"> </w:t>
      </w:r>
      <w:r>
        <w:t xml:space="preserve">data already held by reporting entities, without imposing investigative or interpretative roles.</w:t>
      </w:r>
      <w:r>
        <w:t xml:space="preserve"> </w:t>
      </w:r>
      <w:r>
        <w:t xml:space="preserve">3 stakeholders from business associations stressed the need to ensure full alignment and</w:t>
      </w:r>
      <w:r>
        <w:t xml:space="preserve"> </w:t>
      </w:r>
      <w:r>
        <w:t xml:space="preserve">consistency with existing international frameworks to avoid duplicative or conflicting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Specific comments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Tax</w:t>
      </w:r>
      <w:r>
        <w:t xml:space="preserve"> </w:t>
      </w:r>
      <w:r>
        <w:t xml:space="preserve">intermediary,</w:t>
      </w:r>
      <w:r>
        <w:t xml:space="preserve"> </w:t>
      </w:r>
      <w:r>
        <w:t xml:space="preserve">accountant, or</w:t>
      </w:r>
      <w:r>
        <w:t xml:space="preserve"> </w:t>
      </w:r>
      <w:r>
        <w:t xml:space="preserve">tax advisor</w:t>
      </w:r>
      <w:r>
        <w:t xml:space="preserve"> </w:t>
      </w:r>
      <w:r>
        <w:t xml:space="preserve">Generalist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</w:t>
      </w:r>
      <w:r>
        <w:t xml:space="preserve"> </w:t>
      </w:r>
      <w:r>
        <w:t xml:space="preserve">Banking and</w:t>
      </w:r>
      <w:r>
        <w:t xml:space="preserve"> </w:t>
      </w:r>
      <w:r>
        <w:t xml:space="preserve">other financial</w:t>
      </w:r>
      <w:r>
        <w:t xml:space="preserve"> </w:t>
      </w:r>
      <w:r>
        <w:t xml:space="preserve">services</w:t>
      </w:r>
      <w:r>
        <w:t xml:space="preserve"> </w:t>
      </w:r>
      <w:r>
        <w:t xml:space="preserve">EU citizen</w:t>
      </w:r>
      <w:r>
        <w:t xml:space="preserve"> </w:t>
      </w:r>
      <w:r>
        <w:t xml:space="preserve">N/A</w:t>
      </w:r>
      <w:r>
        <w:t xml:space="preserve"> </w:t>
      </w:r>
      <w:r>
        <w:t xml:space="preserve">Blockchain</w:t>
      </w:r>
      <w:r>
        <w:t xml:space="preserve"> </w:t>
      </w:r>
      <w:r>
        <w:t xml:space="preserve">security</w:t>
      </w:r>
      <w:r>
        <w:t xml:space="preserve"> </w:t>
      </w:r>
      <w:r>
        <w:t xml:space="preserve">company</w:t>
      </w:r>
      <w:r>
        <w:t xml:space="preserve"> </w:t>
      </w:r>
      <w:r>
        <w:t xml:space="preserve">Distribution by area of activity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DAC4/DAC9</w:t>
      </w:r>
      <w:r>
        <w:t xml:space="preserve"> </w:t>
      </w:r>
      <w:r>
        <w:t xml:space="preserve">The feedback provided by business stakeholders and tax advisors on this topic can be</w:t>
      </w:r>
      <w:r>
        <w:t xml:space="preserve"> </w:t>
      </w:r>
      <w:r>
        <w:t xml:space="preserve">summarised as follows.</w:t>
      </w:r>
      <w:r>
        <w:t xml:space="preserve"> </w:t>
      </w:r>
      <w:r>
        <w:t xml:space="preserve">Tax advisors and business stakeholders (12) strongly supported a single notification to</w:t>
      </w:r>
      <w:r>
        <w:t xml:space="preserve"> </w:t>
      </w:r>
      <w:r>
        <w:t xml:space="preserve">support the reporting requirements under DAC4/DAC9, based on a common template</w:t>
      </w:r>
      <w:r>
        <w:t xml:space="preserve"> </w:t>
      </w:r>
      <w:r>
        <w:t xml:space="preserve">and a harmonised timeline, to avoid duplications and address the current fragmentation</w:t>
      </w:r>
      <w:r>
        <w:t xml:space="preserve"> </w:t>
      </w:r>
      <w:r>
        <w:t xml:space="preserve">within the MS. They also advocated in favour of “central filing”, i.e. enabling one entity of</w:t>
      </w:r>
      <w:r>
        <w:t xml:space="preserve"> </w:t>
      </w:r>
      <w:r>
        <w:t xml:space="preserve">the group which is located in the EU to file the notification on behalf of the entire group,</w:t>
      </w:r>
      <w:r>
        <w:t xml:space="preserve"> </w:t>
      </w:r>
      <w:r>
        <w:t xml:space="preserve">thereby avoiding multiple notifications. To further simplify the notification requirements,</w:t>
      </w:r>
      <w:r>
        <w:t xml:space="preserve"> </w:t>
      </w:r>
      <w:r>
        <w:t xml:space="preserve">stakeholders proposed the</w:t>
      </w:r>
      <w:r>
        <w:t xml:space="preserve"> </w:t>
      </w:r>
      <w:r>
        <w:t xml:space="preserve">“change-only”</w:t>
      </w:r>
      <w:r>
        <w:t xml:space="preserve"> </w:t>
      </w:r>
      <w:r>
        <w:t xml:space="preserve">approach, which would keep the existing</w:t>
      </w:r>
      <w:r>
        <w:t xml:space="preserve"> </w:t>
      </w:r>
      <w:r>
        <w:t xml:space="preserve">notifications valid until there is a change in the underlying data.</w:t>
      </w:r>
      <w:r>
        <w:br/>
      </w:r>
      <w:r>
        <w:t xml:space="preserve">On the contrary, tax advisors and businesses stakeholders expressed mixed views on</w:t>
      </w:r>
      <w:r>
        <w:t xml:space="preserve"> </w:t>
      </w:r>
      <w:r>
        <w:t xml:space="preserve">merging DAC4 and DAC9 reporting schemas, with 4 stakeholders supporting the</w:t>
      </w:r>
      <w:r>
        <w:t xml:space="preserve"> </w:t>
      </w:r>
      <w:r>
        <w:t xml:space="preserve">proposal, as a means to cut duplication and costs, and 2 others considering it premature given</w:t>
      </w:r>
      <w:r>
        <w:t xml:space="preserve"> </w:t>
      </w:r>
      <w:r>
        <w:t xml:space="preserve">the need to keep full consistency with international standards.</w:t>
      </w:r>
      <w:r>
        <w:br/>
      </w:r>
      <w:r>
        <w:t xml:space="preserve">DAC6</w:t>
      </w:r>
      <w:r>
        <w:br/>
      </w:r>
      <w:r>
        <w:t xml:space="preserve">30 respondents to the PC and CfE provided feedback on DAC6. 12 stakeholders from</w:t>
      </w:r>
      <w:r>
        <w:t xml:space="preserve"> </w:t>
      </w:r>
      <w:r>
        <w:t xml:space="preserve">business, and intermediaries called for clear and harmonised EU-level guidance to ensure</w:t>
      </w:r>
      <w:r>
        <w:t xml:space="preserve"> </w:t>
      </w:r>
      <w:r>
        <w:t xml:space="preserve">consistent interpretation and application of DAC6 across MS. One intermediary therefore</w:t>
      </w:r>
      <w:r>
        <w:t xml:space="preserve"> </w:t>
      </w:r>
      <w:r>
        <w:t xml:space="preserve">stressed the need for uniform guidelines clarifying key concepts such as “arrangement,”</w:t>
      </w:r>
      <w:r>
        <w:t xml:space="preserve"> </w:t>
      </w:r>
      <w:r>
        <w:t xml:space="preserve">“participant,” and “tax advantage”. 2 associations also suggested that guidance should</w:t>
      </w:r>
      <w:r>
        <w:t xml:space="preserve"> </w:t>
      </w:r>
      <w:r>
        <w:t xml:space="preserve">clarify the relationship between DAC6 and other EU frameworks, such as ATAD, the</w:t>
      </w:r>
      <w:r>
        <w:t xml:space="preserve"> </w:t>
      </w:r>
      <w:r>
        <w:t xml:space="preserve">Parent-Subsidiary Directive, the Interest and Royalties Directive, and Pillar 2 rules, to</w:t>
      </w:r>
      <w:r>
        <w:t xml:space="preserve"> </w:t>
      </w:r>
      <w:r>
        <w:t xml:space="preserve">prevent overlapping reporting obligations.</w:t>
      </w:r>
      <w:r>
        <w:t xml:space="preserve"> </w:t>
      </w:r>
      <w:r>
        <w:t xml:space="preserve">The Main Benefit Test (MBT) has been widely recognised as a key filtering tool to limit</w:t>
      </w:r>
      <w:r>
        <w:t xml:space="preserve"> </w:t>
      </w:r>
      <w:r>
        <w:t xml:space="preserve">the number of reporting under DAC6. However, 2 intermediaries reported that there have</w:t>
      </w:r>
      <w:r>
        <w:t xml:space="preserve"> </w:t>
      </w:r>
      <w:r>
        <w:t xml:space="preserve">been practical difficulties in applying the MBT. The divergence of national approaches,</w:t>
      </w:r>
      <w:r>
        <w:t xml:space="preserve"> </w:t>
      </w:r>
      <w:r>
        <w:t xml:space="preserve">particularly with regard to the requirement for the relevant tax advantage to arise within the</w:t>
      </w:r>
      <w:r>
        <w:t xml:space="preserve"> </w:t>
      </w:r>
      <w:r>
        <w:t xml:space="preserve">EU or to include third countries, has been a source of concern.</w:t>
      </w:r>
      <w:r>
        <w:br/>
      </w:r>
      <w:r>
        <w:t xml:space="preserve">5 intermediaries’ associations (tax advisors, lawyers) emphasised the significant</w:t>
      </w:r>
      <w:r>
        <w:t xml:space="preserve"> </w:t>
      </w:r>
      <w:r>
        <w:t xml:space="preserve">compliance burden associated with DAC6. In particular, businesses must systematically</w:t>
      </w:r>
      <w:r>
        <w:t xml:space="preserve"> </w:t>
      </w:r>
      <w:r>
        <w:t xml:space="preserve">assess every cross-border transaction to determine whether it falls within the scope of the</w:t>
      </w:r>
      <w:r>
        <w:t xml:space="preserve"> </w:t>
      </w:r>
      <w:r>
        <w:t xml:space="preserve">directive, even when it ultimately does not trigger a reporting obligation. This screening</w:t>
      </w:r>
      <w:r>
        <w:t xml:space="preserve"> </w:t>
      </w:r>
      <w:r>
        <w:t xml:space="preserve">process requires substantial internal resources, with 3 tax advisors reporting the need for</w:t>
      </w:r>
      <w:r>
        <w:t xml:space="preserve"> </w:t>
      </w:r>
      <w:r>
        <w:t xml:space="preserve">several full-time employees to manage DAC6 compliance.</w:t>
      </w:r>
      <w:r>
        <w:br/>
      </w:r>
      <w:r>
        <w:t xml:space="preserve">Similarly, business respondents argued that the scope of DAC6 reporting should be more</w:t>
      </w:r>
      <w:r>
        <w:t xml:space="preserve"> </w:t>
      </w:r>
      <w:r>
        <w:t xml:space="preserve">narrowly targeted to arrangements presenting genuine tax risks. In the light of this,</w:t>
      </w:r>
      <w:r>
        <w:t xml:space="preserve"> </w:t>
      </w:r>
      <w:r>
        <w:t xml:space="preserve">several business stakeholders argued in favour of carving out from DAC6 reporting all</w:t>
      </w:r>
      <w:r>
        <w:t xml:space="preserve"> </w:t>
      </w:r>
      <w:r>
        <w:t xml:space="preserve">companies that are within the scope of the Pillar 2 Directive. Other business stakeholders</w:t>
      </w:r>
      <w:r>
        <w:t xml:space="preserve"> </w:t>
      </w:r>
      <w:r>
        <w:t xml:space="preserve">suggested limiting reporting to implemented arrangements rather than potential ones,</w:t>
      </w:r>
      <w:r>
        <w:t xml:space="preserve"> </w:t>
      </w:r>
      <w:r>
        <w:t xml:space="preserve">assigning the primary reporting obligation to taxpayers to avoid duplicative reporting, and</w:t>
      </w:r>
      <w:r>
        <w:t xml:space="preserve"> </w:t>
      </w:r>
      <w:r>
        <w:t xml:space="preserve">removing reporting obligations for secondary intermediaries that are not directly involved</w:t>
      </w:r>
      <w:r>
        <w:t xml:space="preserve"> </w:t>
      </w:r>
      <w:r>
        <w:t xml:space="preserve">with taxpayers. 5 business respondents also proposed introducing safe harbours for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transactions already covered by other EU frameworks and exempting entities subject to</w:t>
      </w:r>
      <w:r>
        <w:t xml:space="preserve"> </w:t>
      </w:r>
      <w:r>
        <w:t xml:space="preserve">extensive regulatory oversight, such as companies participating in cooperative compliance</w:t>
      </w:r>
      <w:r>
        <w:t xml:space="preserve"> </w:t>
      </w:r>
      <w:r>
        <w:t xml:space="preserve">programmes or continuous audits. 17 stakeholders from business and tax advisors</w:t>
      </w:r>
      <w:r>
        <w:t xml:space="preserve"> </w:t>
      </w:r>
      <w:r>
        <w:t xml:space="preserve">recommended reviewing and refining the DAC6 hallmarks to better target arrangements that</w:t>
      </w:r>
      <w:r>
        <w:t xml:space="preserve"> </w:t>
      </w:r>
      <w:r>
        <w:t xml:space="preserve">pose a genuine risk of aggressive tax planning. Business stakeholders were aligned on the</w:t>
      </w:r>
      <w:r>
        <w:t xml:space="preserve"> </w:t>
      </w:r>
      <w:r>
        <w:t xml:space="preserve">need to remove the category A hallmarks (generic hallmarks), which was regarded as</w:t>
      </w:r>
      <w:r>
        <w:t xml:space="preserve"> </w:t>
      </w:r>
      <w:r>
        <w:t xml:space="preserve">having a very limited added value in terms of identifying potentially harmful tax</w:t>
      </w:r>
      <w:r>
        <w:t xml:space="preserve"> </w:t>
      </w:r>
      <w:r>
        <w:t xml:space="preserve">arrangements. However, their views were very divergent on the potential removal of other</w:t>
      </w:r>
      <w:r>
        <w:t xml:space="preserve"> </w:t>
      </w:r>
      <w:r>
        <w:t xml:space="preserve">hallmarks, with each of them suggesting different hallmarks, linked to the sector in which</w:t>
      </w:r>
      <w:r>
        <w:t xml:space="preserve"> </w:t>
      </w:r>
      <w:r>
        <w:t xml:space="preserve">they operate.</w:t>
      </w:r>
      <w:r>
        <w:t xml:space="preserve"> </w:t>
      </w:r>
      <w:r>
        <w:t xml:space="preserve">Evidence gathered through stakeholder consultations with business representatives</w:t>
      </w:r>
      <w:r>
        <w:t xml:space="preserve"> </w:t>
      </w:r>
      <w:r>
        <w:t xml:space="preserve">consistently indicates that the cost of preparing and filing a DAC6 report is approximately</w:t>
      </w:r>
      <w:r>
        <w:t xml:space="preserve"> </w:t>
      </w:r>
      <w:r>
        <w:t xml:space="preserve">EUR 5,000 per report on average. Similar estimates were also reported by tax intermediaries,</w:t>
      </w:r>
      <w:r>
        <w:t xml:space="preserve"> </w:t>
      </w:r>
      <w:r>
        <w:t xml:space="preserve">accountants and tax advisory firms involved in DAC6 compliance processes. Stakeholders</w:t>
      </w:r>
      <w:r>
        <w:t xml:space="preserve"> </w:t>
      </w:r>
      <w:r>
        <w:t xml:space="preserve">highlighted that these costs primarily reflect the need for legal and tax analysis, internal</w:t>
      </w:r>
      <w:r>
        <w:t xml:space="preserve"> </w:t>
      </w:r>
      <w:r>
        <w:t xml:space="preserve">coordination, documentation and the preparation and submission of the report, with costs</w:t>
      </w:r>
      <w:r>
        <w:t xml:space="preserve"> </w:t>
      </w:r>
      <w:r>
        <w:t xml:space="preserve">varying depending on the complexity of the arrangement and the applicable hallmarks.</w:t>
      </w:r>
      <w:r>
        <w:t xml:space="preserve"> </w:t>
      </w:r>
      <w:r>
        <w:t xml:space="preserve">DAC7</w:t>
      </w:r>
      <w:r>
        <w:t xml:space="preserve"> </w:t>
      </w:r>
      <w:r>
        <w:t xml:space="preserve">22 respondents to the PC and CfE (including tax advisors, online platforms, and</w:t>
      </w:r>
      <w:r>
        <w:t xml:space="preserve"> </w:t>
      </w:r>
      <w:r>
        <w:t xml:space="preserve">associations) gave their opinion on DAC7. 6 stakeholders (4 of them associations</w:t>
      </w:r>
      <w:r>
        <w:t xml:space="preserve"> </w:t>
      </w:r>
      <w:r>
        <w:t xml:space="preserve">representing online platforms, 1 online platform and 1 tax adviser) expressed concerns</w:t>
      </w:r>
      <w:r>
        <w:t xml:space="preserve"> </w:t>
      </w:r>
      <w:r>
        <w:t xml:space="preserve">regarding the thresholds for the sales of goods. They argued that the thresholds are too</w:t>
      </w:r>
      <w:r>
        <w:t xml:space="preserve"> </w:t>
      </w:r>
      <w:r>
        <w:t xml:space="preserve">low, which results in reporting sales that are not relevant for tax purposes. In this respect, 2</w:t>
      </w:r>
      <w:r>
        <w:t xml:space="preserve"> </w:t>
      </w:r>
      <w:r>
        <w:t xml:space="preserve">stakeholders from online platforms and an association suggested raising the current</w:t>
      </w:r>
      <w:r>
        <w:t xml:space="preserve"> </w:t>
      </w:r>
      <w:r>
        <w:t xml:space="preserve">monetary threshold up to EUR 5,000. Stakeholders also suggested removing the activity</w:t>
      </w:r>
      <w:r>
        <w:t xml:space="preserve"> </w:t>
      </w:r>
      <w:r>
        <w:t xml:space="preserve">thresholds (30 transactions) and keeping only the monetary threshold.</w:t>
      </w:r>
      <w:r>
        <w:br/>
      </w:r>
      <w:r>
        <w:t xml:space="preserve">Two tax advisor associations stressed the need for increased harmonisation of reporting</w:t>
      </w:r>
      <w:r>
        <w:t xml:space="preserve"> </w:t>
      </w:r>
      <w:r>
        <w:t xml:space="preserve">systems within the MS. These stakeholders identified that there are considerable variations</w:t>
      </w:r>
      <w:r>
        <w:t xml:space="preserve"> </w:t>
      </w:r>
      <w:r>
        <w:t xml:space="preserve">in national portals, formats, documentation requirements, timelines, and technical</w:t>
      </w:r>
      <w:r>
        <w:t xml:space="preserve"> </w:t>
      </w:r>
      <w:r>
        <w:t xml:space="preserve">specifications, which cause operational problems for cross-border platforms. One business</w:t>
      </w:r>
      <w:r>
        <w:t xml:space="preserve"> </w:t>
      </w:r>
      <w:r>
        <w:t xml:space="preserve">suggested that there is a need for the development of a unified reporting system for the</w:t>
      </w:r>
      <w:r>
        <w:t xml:space="preserve"> </w:t>
      </w:r>
      <w:r>
        <w:t xml:space="preserve">EU, including the adoption of a single XML reporting template that is accepted within all</w:t>
      </w:r>
      <w:r>
        <w:t xml:space="preserve"> </w:t>
      </w:r>
      <w:r>
        <w:t xml:space="preserve">the MS. Some suggestions were raised from 6 stakeholders about the reporting deadlines,</w:t>
      </w:r>
      <w:r>
        <w:t xml:space="preserve"> </w:t>
      </w:r>
      <w:r>
        <w:t xml:space="preserve">2 associations expressed their views that the current reporting deadline is giving rise to</w:t>
      </w:r>
      <w:r>
        <w:t xml:space="preserve"> </w:t>
      </w:r>
      <w:r>
        <w:t xml:space="preserve">certain problems, as the availability of certain information concerning the transactions that</w:t>
      </w:r>
      <w:r>
        <w:t xml:space="preserve"> </w:t>
      </w:r>
      <w:r>
        <w:t xml:space="preserve">took place in the later part of the year might only occur after the reporting date. 8</w:t>
      </w:r>
      <w:r>
        <w:t xml:space="preserve"> </w:t>
      </w:r>
      <w:r>
        <w:t xml:space="preserve">stakeholders (associations, business and online platforms) requested the development of a</w:t>
      </w:r>
      <w:r>
        <w:t xml:space="preserve"> </w:t>
      </w:r>
      <w:r>
        <w:t xml:space="preserve">centralised verification tool for TIN. Platforms face challenges in obtaining certain seller</w:t>
      </w:r>
      <w:r>
        <w:t xml:space="preserve"> </w:t>
      </w:r>
      <w:r>
        <w:t xml:space="preserve">information, such as place of birth as it may not be recorded in identification documents. To</w:t>
      </w:r>
      <w:r>
        <w:t xml:space="preserve"> </w:t>
      </w:r>
      <w:r>
        <w:t xml:space="preserve">address these issues, stakeholders suggested focusing on essential data points like name,</w:t>
      </w:r>
      <w:r>
        <w:t xml:space="preserve"> </w:t>
      </w:r>
      <w:r>
        <w:t xml:space="preserve">address, and TIN, while also developing enhanced verification tools for TIN at the EU level.</w:t>
      </w:r>
      <w:r>
        <w:t xml:space="preserve"> </w:t>
      </w:r>
      <w:r>
        <w:t xml:space="preserve">They highlighted the fragmented nature of current verification tools across MS and</w:t>
      </w:r>
      <w:r>
        <w:t xml:space="preserve"> </w:t>
      </w:r>
      <w:r>
        <w:t xml:space="preserve">expressed concerns about the costs, burdens, and GDPR/cybersecurity implications for</w:t>
      </w:r>
      <w:r>
        <w:t xml:space="preserve"> </w:t>
      </w:r>
      <w:r>
        <w:t xml:space="preserve">sellers and platforms.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Some respondents expressed concerns about the uneven enforcement between EU and non-</w:t>
      </w:r>
      <w:r>
        <w:t xml:space="preserve"> </w:t>
      </w:r>
      <w:r>
        <w:t xml:space="preserve">EU platforms, uncertainty regarding sanctions for incomplete data, and situations where</w:t>
      </w:r>
      <w:r>
        <w:t xml:space="preserve"> </w:t>
      </w:r>
      <w:r>
        <w:t xml:space="preserve">platforms must retain seller funds while awaiting missing information.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initiative aims to streamline and simplify the DAC, significantly reducing</w:t>
      </w:r>
      <w:r>
        <w:t xml:space="preserve"> </w:t>
      </w:r>
      <w:r>
        <w:t xml:space="preserve">administrative burdens for reporting entities while improving the efficiency of tax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On the business side, we distinguish between large MNE groups which are in scope of the</w:t>
      </w:r>
      <w:r>
        <w:t xml:space="preserve"> </w:t>
      </w:r>
      <w:r>
        <w:t xml:space="preserve">Pillar 2 Directive, other companies outside of the scope of the Pillar 2, and platform</w:t>
      </w:r>
      <w:r>
        <w:t xml:space="preserve"> </w:t>
      </w:r>
      <w:r>
        <w:t xml:space="preserve">operators of any size.</w:t>
      </w:r>
      <w:r>
        <w:t xml:space="preserve"> </w:t>
      </w:r>
      <w:r>
        <w:t xml:space="preserve">MNE groups within the scope of the Pillar 2 Directive (consolidated annual revenues of at</w:t>
      </w:r>
      <w:r>
        <w:t xml:space="preserve"> </w:t>
      </w:r>
      <w:r>
        <w:t xml:space="preserve">least EUR 750 million) will no longer be obliged to report cross-border arrangements under</w:t>
      </w:r>
      <w:r>
        <w:t xml:space="preserve"> </w:t>
      </w:r>
      <w:r>
        <w:t xml:space="preserve">DAC6, as risks are deemed covered by the global minimum tax rules. This will directly</w:t>
      </w:r>
      <w:r>
        <w:t xml:space="preserve"> </w:t>
      </w:r>
      <w:r>
        <w:t xml:space="preserve">reduce the associated compliance costs for those companies. They will also benefit from a</w:t>
      </w:r>
      <w:r>
        <w:t xml:space="preserve"> </w:t>
      </w:r>
      <w:r>
        <w:t xml:space="preserve">single notification to support the reporting requirements under DAC4/DAC9, filing only</w:t>
      </w:r>
      <w:r>
        <w:t xml:space="preserve"> </w:t>
      </w:r>
      <w:r>
        <w:t xml:space="preserve">once per group via a common template and harmonised deadline, instead of separate</w:t>
      </w:r>
      <w:r>
        <w:t xml:space="preserve"> </w:t>
      </w:r>
      <w:r>
        <w:t xml:space="preserve">notifications for DAC4 and DAC9 purposes by each of the 109,000 subsidiaries of MNEs</w:t>
      </w:r>
      <w:r>
        <w:t xml:space="preserve"> </w:t>
      </w:r>
      <w:r>
        <w:t xml:space="preserve">in scope of Pillar 2.</w:t>
      </w:r>
      <w:r>
        <w:br/>
      </w:r>
      <w:r>
        <w:t xml:space="preserve">Smaller MNE groups, i.e. those outside the scope of the Pillar 2 Directive, will benefit from</w:t>
      </w:r>
      <w:r>
        <w:t xml:space="preserve"> </w:t>
      </w:r>
      <w:r>
        <w:t xml:space="preserve">a reduction in the number of DAC6 disclosures (about 8,300 per year). Given their larger</w:t>
      </w:r>
      <w:r>
        <w:t xml:space="preserve"> </w:t>
      </w:r>
      <w:r>
        <w:t xml:space="preserve">population, a significant share of the resulting compliance cost savings is expected to accrue</w:t>
      </w:r>
      <w:r>
        <w:t xml:space="preserve"> </w:t>
      </w:r>
      <w:r>
        <w:t xml:space="preserve">to smaller companies, including those with fewer than 50 employees. Within the population</w:t>
      </w:r>
      <w:r>
        <w:t xml:space="preserve"> </w:t>
      </w:r>
      <w:r>
        <w:t xml:space="preserve">of MNEs in Europe, companies with fewer than 50 employees account for nearly two thirds,</w:t>
      </w:r>
      <w:r>
        <w:t xml:space="preserve"> </w:t>
      </w:r>
      <w:r>
        <w:t xml:space="preserve">meaning that a substantial proportion of the benefits is likely to be concentrated among these</w:t>
      </w:r>
      <w:r>
        <w:t xml:space="preserve"> </w:t>
      </w:r>
      <w:r>
        <w:t xml:space="preserve">smaller entities.</w:t>
      </w:r>
      <w:r>
        <w:t xml:space="preserve"> </w:t>
      </w:r>
      <w:r>
        <w:t xml:space="preserve">Platform operators, both larger and smaller ones, will see a reduction in reporting volumes</w:t>
      </w:r>
      <w:r>
        <w:t xml:space="preserve"> </w:t>
      </w:r>
      <w:r>
        <w:t xml:space="preserve">due to increased monetary thresholds (to EUR 3,000) and the removal of the 30-transaction</w:t>
      </w:r>
      <w:r>
        <w:t xml:space="preserve"> </w:t>
      </w:r>
      <w:r>
        <w:t xml:space="preserve">activity threshold for sellers of goods, eliminating the need to report low-value occasional</w:t>
      </w:r>
      <w:r>
        <w:t xml:space="preserve"> </w:t>
      </w:r>
      <w:r>
        <w:t xml:space="preserve">sellers. The preferred option has the potential to reduce the number of reported sellers by up</w:t>
      </w:r>
      <w:r>
        <w:t xml:space="preserve"> </w:t>
      </w:r>
      <w:r>
        <w:t xml:space="preserve">to 11.3 million per year.</w:t>
      </w:r>
      <w:r>
        <w:t xml:space="preserve"> </w:t>
      </w:r>
      <w:r>
        <w:t xml:space="preserve">Finally, tax intermediaries, e.g., advisors and accountants, will benefit from the removal of</w:t>
      </w:r>
      <w:r>
        <w:t xml:space="preserve"> </w:t>
      </w:r>
      <w:r>
        <w:t xml:space="preserve">Category A (generic) hallmarks under DAC6 and clearer guidance on the Main Benefit Test</w:t>
      </w:r>
      <w:r>
        <w:t xml:space="preserve"> </w:t>
      </w:r>
      <w:r>
        <w:t xml:space="preserve">(MBT), reducing “defensive reporting” of standard commercial transactions.</w:t>
      </w:r>
      <w:r>
        <w:t xml:space="preserve"> </w:t>
      </w:r>
      <w:r>
        <w:t xml:space="preserve">Tax authorities will process higher-quality data due to centralized TIN verification and more</w:t>
      </w:r>
      <w:r>
        <w:t xml:space="preserve"> </w:t>
      </w:r>
      <w:r>
        <w:t xml:space="preserve">complete DAC1 exchanges, while the volume of low-value information from DAC6 and</w:t>
      </w:r>
      <w:r>
        <w:t xml:space="preserve"> </w:t>
      </w:r>
      <w:r>
        <w:t xml:space="preserve">DAC7 will decrease, allowing for better-targeted risk assessments. Costs are expected to be</w:t>
      </w:r>
      <w:r>
        <w:t xml:space="preserve"> </w:t>
      </w:r>
      <w:r>
        <w:t xml:space="preserve">driven primarily by the need to adjust IT systems and data-sharing arrangements in order to</w:t>
      </w:r>
      <w:r>
        <w:t xml:space="preserve"> </w:t>
      </w:r>
      <w:r>
        <w:t xml:space="preserve">access and exchange information held by a broader set of public authorities. The magnitude</w:t>
      </w:r>
      <w:r>
        <w:t xml:space="preserve"> </w:t>
      </w:r>
      <w:r>
        <w:t xml:space="preserve">of these costs will depend on the existing level of digitalisation and interoperability of public</w:t>
      </w:r>
      <w:r>
        <w:t xml:space="preserve"> </w:t>
      </w:r>
      <w:r>
        <w:t xml:space="preserve">sector databases in each Member State. In more advanced systems, where data is already</w:t>
      </w:r>
      <w:r>
        <w:t xml:space="preserve"> </w:t>
      </w:r>
      <w:r>
        <w:t xml:space="preserve">centrally accessible, the required adjustments may be relatively limited. By contrast,</w:t>
      </w:r>
      <w:r>
        <w:t xml:space="preserve"> </w:t>
      </w:r>
      <w:r>
        <w:t xml:space="preserve">Member States with more fragmented data infrastructures may face higher initial investment</w:t>
      </w:r>
      <w:r>
        <w:t xml:space="preserve"> </w:t>
      </w:r>
      <w:r>
        <w:t xml:space="preserve">costs related to system integration, data standardisation and governance frameworks.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Evidence from national assessments, such as in Sweden 77, suggests that while such reforms</w:t>
      </w:r>
      <w:r>
        <w:t xml:space="preserve"> </w:t>
      </w:r>
      <w:r>
        <w:t xml:space="preserve">may entail upfront IT development and coordination costs, they can also lead to efficiency</w:t>
      </w:r>
      <w:r>
        <w:t xml:space="preserve"> </w:t>
      </w:r>
      <w:r>
        <w:t xml:space="preserve">gains over time through improved data quality, reduced manual processing and more</w:t>
      </w:r>
      <w:r>
        <w:t xml:space="preserve"> </w:t>
      </w:r>
      <w:r>
        <w:t xml:space="preserve">effective risk analysis.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from DAC6</w:t>
      </w:r>
      <w:r>
        <w:t xml:space="preserve"> </w:t>
      </w:r>
      <w:r>
        <w:t xml:space="preserve">EUR 300 million/year for large MNEs</w:t>
      </w:r>
      <w:r>
        <w:t xml:space="preserve"> </w:t>
      </w:r>
      <w:r>
        <w:t xml:space="preserve">EUR 41.4 million/year for other MNEs</w:t>
      </w:r>
    </w:p>
    <w:p>
      <w:pPr>
        <w:pStyle w:val="BodyText"/>
      </w:pPr>
      <w:r>
        <w:t xml:space="preserve">Large MNEs are those within the scope of</w:t>
      </w:r>
      <w:r>
        <w:t xml:space="preserve"> </w:t>
      </w:r>
      <w:r>
        <w:t xml:space="preserve">Pillar 2. “Other MNEs” are those outside of</w:t>
      </w:r>
      <w:r>
        <w:t xml:space="preserve"> </w:t>
      </w:r>
      <w:r>
        <w:t xml:space="preserve">the scope of Pillar 2.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from DAC7</w:t>
      </w:r>
      <w:r>
        <w:t xml:space="preserve"> </w:t>
      </w:r>
      <w:r>
        <w:t xml:space="preserve">From EUR 452 million to EUR 904 million for</w:t>
      </w:r>
      <w:r>
        <w:t xml:space="preserve"> </w:t>
      </w:r>
      <w:r>
        <w:t xml:space="preserve">digital platforms</w:t>
      </w:r>
      <w:r>
        <w:br/>
      </w:r>
      <w:r>
        <w:t xml:space="preserve">Estimated EU-wide savings for DAC7</w:t>
      </w:r>
      <w:r>
        <w:t xml:space="preserve"> </w:t>
      </w:r>
      <w:r>
        <w:t xml:space="preserve">compliance costs, based on a range of costs</w:t>
      </w:r>
      <w:r>
        <w:t xml:space="preserve"> </w:t>
      </w:r>
      <w:r>
        <w:t xml:space="preserve">per reported seller from EUR 40 to EUR 80.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from DAC4/DAC9</w:t>
      </w:r>
      <w:r>
        <w:t xml:space="preserve"> </w:t>
      </w:r>
      <w:r>
        <w:t xml:space="preserve">EUR 264 million/year for large MNEs</w:t>
      </w:r>
      <w:r>
        <w:t xml:space="preserve"> </w:t>
      </w:r>
      <w:r>
        <w:t xml:space="preserve">Large MNEs are those within the scope of</w:t>
      </w:r>
      <w:r>
        <w:t xml:space="preserve"> </w:t>
      </w:r>
      <w:r>
        <w:t xml:space="preserve">DAC9 reporting.</w:t>
      </w:r>
      <w:r>
        <w:t xml:space="preserve"> </w:t>
      </w:r>
      <w:r>
        <w:t xml:space="preserve">Compliance cost reduction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DAC</w:t>
      </w:r>
      <w:r>
        <w:t xml:space="preserve"> </w:t>
      </w:r>
      <w:r>
        <w:t xml:space="preserve">framework</w:t>
      </w:r>
      <w:r>
        <w:t xml:space="preserve"> </w:t>
      </w:r>
      <w:r>
        <w:t xml:space="preserve">Quantification is not available</w:t>
      </w:r>
      <w:r>
        <w:br/>
      </w:r>
      <w:r>
        <w:t xml:space="preserve">Recast of Directive 2011/16/EU to reduce</w:t>
      </w:r>
      <w:r>
        <w:t xml:space="preserve"> </w:t>
      </w:r>
      <w:r>
        <w:t xml:space="preserve">complexity and strengthen legal certainty.</w:t>
      </w:r>
      <w:r>
        <w:t xml:space="preserve"> </w:t>
      </w:r>
      <w:r>
        <w:t xml:space="preserve">Regulatory cost reduction</w:t>
      </w:r>
      <w:r>
        <w:t xml:space="preserve"> </w:t>
      </w:r>
      <w:r>
        <w:t xml:space="preserve">Quantification is not available</w:t>
      </w:r>
      <w:r>
        <w:br/>
      </w:r>
      <w:r>
        <w:t xml:space="preserve">For tax authorities dealing with a reduced</w:t>
      </w:r>
      <w:r>
        <w:t xml:space="preserve"> </w:t>
      </w:r>
      <w:r>
        <w:t xml:space="preserve">number of disclosures (DAC6: 9,000</w:t>
      </w:r>
      <w:r>
        <w:t xml:space="preserve"> </w:t>
      </w:r>
      <w:r>
        <w:t xml:space="preserve">disclosures from A hallmarks and those filed</w:t>
      </w:r>
      <w:r>
        <w:t xml:space="preserve"> </w:t>
      </w:r>
      <w:r>
        <w:t xml:space="preserve">by companies in scope of Pillar 2 under other</w:t>
      </w:r>
      <w:r>
        <w:t xml:space="preserve"> </w:t>
      </w:r>
      <w:r>
        <w:t xml:space="preserve">hallmarks; DAC7: up to 11.3 million</w:t>
      </w:r>
      <w:r>
        <w:t xml:space="preserve"> </w:t>
      </w:r>
      <w:r>
        <w:t xml:space="preserve">reported sellers annually less; DAC4:</w:t>
      </w:r>
      <w:r>
        <w:t xml:space="preserve"> </w:t>
      </w:r>
      <w:r>
        <w:t xml:space="preserve">109,000 entities of MNEs in scope of DAC9</w:t>
      </w:r>
      <w:r>
        <w:t xml:space="preserve"> </w:t>
      </w:r>
      <w:r>
        <w:t xml:space="preserve">not filing separate DAC4 and DAC9</w:t>
      </w:r>
      <w:r>
        <w:t xml:space="preserve"> </w:t>
      </w:r>
      <w:r>
        <w:t xml:space="preserve">notifications anymore).</w:t>
      </w:r>
      <w:r>
        <w:br/>
      </w:r>
      <w:r>
        <w:t xml:space="preserve">Protect MS tax base (DAC1</w:t>
      </w:r>
      <w:r>
        <w:t xml:space="preserve"> </w:t>
      </w:r>
      <w:r>
        <w:t xml:space="preserve">and TIN)</w:t>
      </w:r>
      <w:r>
        <w:t xml:space="preserve"> </w:t>
      </w:r>
      <w:r>
        <w:t xml:space="preserve">Quantification is not available</w:t>
      </w:r>
      <w:r>
        <w:br/>
      </w:r>
      <w:r>
        <w:t xml:space="preserve">Tax administrations will benefit from</w:t>
      </w:r>
      <w:r>
        <w:t xml:space="preserve"> </w:t>
      </w:r>
      <w:r>
        <w:t xml:space="preserve">improved effectiveness of risk analysis</w:t>
      </w:r>
      <w:r>
        <w:t xml:space="preserve"> </w:t>
      </w:r>
      <w:r>
        <w:t xml:space="preserve">stemming from (1) information on all six</w:t>
      </w:r>
      <w:r>
        <w:t xml:space="preserve"> </w:t>
      </w:r>
      <w:r>
        <w:t xml:space="preserve">income</w:t>
      </w:r>
      <w:r>
        <w:t xml:space="preserve"> </w:t>
      </w:r>
      <w:r>
        <w:t xml:space="preserve">categories</w:t>
      </w:r>
      <w:r>
        <w:t xml:space="preserve"> </w:t>
      </w:r>
      <w:r>
        <w:t xml:space="preserve">(DAC1)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centralised TIN verification system.</w:t>
      </w:r>
      <w:r>
        <w:t xml:space="preserve"> </w:t>
      </w:r>
      <w:r>
        <w:t xml:space="preserve">Support</w:t>
      </w:r>
      <w:r>
        <w:t xml:space="preserve"> </w:t>
      </w:r>
      <w:r>
        <w:t xml:space="preserve">EU</w:t>
      </w:r>
      <w:r>
        <w:t xml:space="preserve"> </w:t>
      </w:r>
      <w:r>
        <w:t xml:space="preserve">business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trough</w:t>
      </w:r>
      <w:r>
        <w:t xml:space="preserve"> </w:t>
      </w:r>
      <w:r>
        <w:t xml:space="preserve">simpler, harmonised and less</w:t>
      </w:r>
      <w:r>
        <w:t xml:space="preserve"> </w:t>
      </w:r>
      <w:r>
        <w:t xml:space="preserve">burdensome DAC 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Quantification is not available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supports</w:t>
      </w:r>
      <w:r>
        <w:t xml:space="preserve"> </w:t>
      </w:r>
      <w:r>
        <w:t xml:space="preserve">EU</w:t>
      </w:r>
      <w:r>
        <w:t xml:space="preserve"> </w:t>
      </w:r>
      <w:r>
        <w:t xml:space="preserve">business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by</w:t>
      </w:r>
      <w:r>
        <w:t xml:space="preserve"> </w:t>
      </w:r>
      <w:r>
        <w:t xml:space="preserve">simplifying</w:t>
      </w:r>
      <w:r>
        <w:t xml:space="preserve"> </w:t>
      </w:r>
      <w:r>
        <w:t xml:space="preserve">and</w:t>
      </w:r>
      <w:r>
        <w:t xml:space="preserve"> </w:t>
      </w:r>
      <w:r>
        <w:t xml:space="preserve">streamlining DAC reporting obligations,</w:t>
      </w:r>
      <w:r>
        <w:t xml:space="preserve"> </w:t>
      </w:r>
      <w:r>
        <w:t xml:space="preserve">thereby</w:t>
      </w:r>
      <w:r>
        <w:t xml:space="preserve"> </w:t>
      </w:r>
      <w:r>
        <w:t xml:space="preserve">reducing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 costs for companies. Greater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improves legal certainty and reduces the</w:t>
      </w:r>
      <w:r>
        <w:t xml:space="preserve"> </w:t>
      </w:r>
      <w:r>
        <w:t xml:space="preserve">need for businesses to navigate divergent</w:t>
      </w:r>
      <w:r>
        <w:t xml:space="preserve"> </w:t>
      </w:r>
      <w:r>
        <w:t xml:space="preserve">national requirements. Taken together, these</w:t>
      </w:r>
      <w:r>
        <w:t xml:space="preserve"> </w:t>
      </w:r>
      <w:r>
        <w:t xml:space="preserve">changes facilitate cross-border activity and</w:t>
      </w:r>
      <w:r>
        <w:t xml:space="preserve"> </w:t>
      </w:r>
      <w:r>
        <w:t xml:space="preserve">allow businesses to allocate more resources</w:t>
      </w:r>
      <w:r>
        <w:t xml:space="preserve"> </w:t>
      </w:r>
      <w:r>
        <w:t xml:space="preserve">to</w:t>
      </w:r>
      <w:r>
        <w:t xml:space="preserve"> </w:t>
      </w:r>
      <w:r>
        <w:t xml:space="preserve">productive</w:t>
      </w:r>
      <w:r>
        <w:t xml:space="preserve"> </w:t>
      </w:r>
      <w:r>
        <w:t xml:space="preserve">and</w:t>
      </w:r>
      <w:r>
        <w:t xml:space="preserve"> </w:t>
      </w:r>
      <w:r>
        <w:t xml:space="preserve">growth-enhancing</w:t>
      </w:r>
      <w:r>
        <w:t xml:space="preserve"> </w:t>
      </w:r>
      <w:r>
        <w:t xml:space="preserve">activities.</w:t>
      </w:r>
      <w:r>
        <w:t xml:space="preserve"> </w:t>
      </w:r>
      <w:r>
        <w:t xml:space="preserve">Indirect benefits</w:t>
      </w:r>
    </w:p>
    <w:p>
      <w:pPr>
        <w:pStyle w:val="BodyText"/>
      </w:pPr>
      <w:r>
        <w:t xml:space="preserve">77 Skatteverket, “Rapportering och utbyte av upplysningar om inkomster från digitala plattformar och vissa andra ändringar i EU:s direktiv</w:t>
      </w:r>
      <w:r>
        <w:t xml:space="preserve"> </w:t>
      </w:r>
      <w:r>
        <w:t xml:space="preserve">om administrativt samarbete på direktskatteområdet”, 2022.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(1) 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in the</w:t>
      </w:r>
      <w:r>
        <w:t xml:space="preserve"> </w:t>
      </w:r>
      <w:r>
        <w:t xml:space="preserve">comments column which stakeholder group is the main recipient of the benefit;(3) For reductions in regulatory</w:t>
      </w:r>
      <w:r>
        <w:t xml:space="preserve"> </w:t>
      </w:r>
      <w:r>
        <w:t xml:space="preserve">costs, please describe in the comments column the details as to how the saving arises (e.g. reductions in</w:t>
      </w:r>
      <w:r>
        <w:t xml:space="preserve"> </w:t>
      </w:r>
      <w:r>
        <w:t xml:space="preserve">adjustment costs, administrative costs, regulatory charges, enforcement costs, etc.).</w:t>
      </w:r>
    </w:p>
    <w:p>
      <w:pPr>
        <w:pStyle w:val="Compact"/>
        <w:numPr>
          <w:ilvl w:val="0"/>
          <w:numId w:val="1006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All</w:t>
      </w:r>
      <w:r>
        <w:t xml:space="preserve"> </w:t>
      </w:r>
      <w:r>
        <w:t xml:space="preserve">actions (1</w:t>
      </w:r>
      <w:r>
        <w:t xml:space="preserve"> </w:t>
      </w:r>
      <w:r>
        <w:t xml:space="preserve">to 7)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Potential set-up</w:t>
      </w:r>
      <w:r>
        <w:t xml:space="preserve"> </w:t>
      </w:r>
      <w:r>
        <w:t xml:space="preserve">costs for TIN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scheme if used</w:t>
      </w:r>
      <w:r>
        <w:t xml:space="preserve"> </w:t>
      </w:r>
      <w:r>
        <w:t xml:space="preserve">by</w:t>
      </w:r>
      <w:r>
        <w:t xml:space="preserve"> </w:t>
      </w:r>
      <w:r>
        <w:t xml:space="preserve">reporting</w:t>
      </w:r>
      <w:r>
        <w:t xml:space="preserve"> </w:t>
      </w:r>
      <w:r>
        <w:t xml:space="preserve">entities</w:t>
      </w:r>
      <w:r>
        <w:br/>
      </w:r>
      <w:r>
        <w:t xml:space="preserve">Potential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for</w:t>
      </w:r>
      <w:r>
        <w:t xml:space="preserve"> </w:t>
      </w:r>
      <w:r>
        <w:t xml:space="preserve">IT</w:t>
      </w:r>
      <w:r>
        <w:t xml:space="preserve"> </w:t>
      </w:r>
      <w:r>
        <w:t xml:space="preserve">maintenance</w:t>
      </w:r>
      <w:r>
        <w:t xml:space="preserve"> </w:t>
      </w:r>
      <w:r>
        <w:t xml:space="preserve">TIN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scheme if used</w:t>
      </w:r>
      <w:r>
        <w:t xml:space="preserve"> </w:t>
      </w:r>
      <w:r>
        <w:t xml:space="preserve">by</w:t>
      </w:r>
      <w:r>
        <w:t xml:space="preserve"> </w:t>
      </w:r>
      <w:r>
        <w:t xml:space="preserve">reporting</w:t>
      </w:r>
      <w:r>
        <w:t xml:space="preserve"> </w:t>
      </w:r>
      <w:r>
        <w:t xml:space="preserve">entities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of IT system,</w:t>
      </w:r>
      <w:r>
        <w:t xml:space="preserve"> </w:t>
      </w:r>
      <w:r>
        <w:t xml:space="preserve">access points,</w:t>
      </w:r>
      <w:r>
        <w:t xml:space="preserve"> </w:t>
      </w:r>
      <w:r>
        <w:t xml:space="preserve">and training of</w:t>
      </w:r>
      <w:r>
        <w:t xml:space="preserve"> </w:t>
      </w:r>
      <w:r>
        <w:t xml:space="preserve">staff for TIN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scheme.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(central</w:t>
      </w:r>
      <w:r>
        <w:t xml:space="preserve"> </w:t>
      </w:r>
      <w:r>
        <w:t xml:space="preserve">component):</w:t>
      </w:r>
      <w:r>
        <w:t xml:space="preserve"> </w:t>
      </w:r>
      <w:r>
        <w:t xml:space="preserve">EUR 970,000–</w:t>
      </w:r>
      <w:r>
        <w:t xml:space="preserve"> </w:t>
      </w:r>
      <w:r>
        <w:t xml:space="preserve">1,770,000; For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(national</w:t>
      </w:r>
      <w:r>
        <w:t xml:space="preserve"> </w:t>
      </w:r>
      <w:r>
        <w:t xml:space="preserve">component):</w:t>
      </w:r>
      <w:r>
        <w:t xml:space="preserve"> </w:t>
      </w:r>
      <w:r>
        <w:t xml:space="preserve">EUR</w:t>
      </w:r>
      <w:r>
        <w:t xml:space="preserve"> </w:t>
      </w:r>
      <w:r>
        <w:t xml:space="preserve">15–25</w:t>
      </w:r>
      <w:r>
        <w:t xml:space="preserve"> </w:t>
      </w:r>
      <w:r>
        <w:t xml:space="preserve">million</w:t>
      </w:r>
      <w:r>
        <w:t xml:space="preserve"> </w:t>
      </w:r>
      <w:r>
        <w:t xml:space="preserve">Recurrent</w:t>
      </w:r>
      <w:r>
        <w:t xml:space="preserve"> </w:t>
      </w:r>
      <w:r>
        <w:t xml:space="preserve">IT</w:t>
      </w:r>
      <w:r>
        <w:t xml:space="preserve"> </w:t>
      </w:r>
      <w:r>
        <w:t xml:space="preserve">maintenance</w:t>
      </w:r>
      <w:r>
        <w:t xml:space="preserve"> </w:t>
      </w:r>
      <w:r>
        <w:t xml:space="preserve">and assistance:</w:t>
      </w:r>
      <w:r>
        <w:t xml:space="preserve"> </w:t>
      </w:r>
      <w:r>
        <w:t xml:space="preserve">For EU (central</w:t>
      </w:r>
      <w:r>
        <w:t xml:space="preserve"> </w:t>
      </w:r>
      <w:r>
        <w:t xml:space="preserve">component):</w:t>
      </w:r>
      <w:r>
        <w:t xml:space="preserve"> </w:t>
      </w:r>
      <w:r>
        <w:t xml:space="preserve">EUR</w:t>
      </w:r>
      <w:r>
        <w:t xml:space="preserve"> </w:t>
      </w:r>
      <w:r>
        <w:t xml:space="preserve">1.8–2.4</w:t>
      </w:r>
      <w:r>
        <w:t xml:space="preserve"> </w:t>
      </w:r>
      <w:r>
        <w:t xml:space="preserve">million/year;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 (national</w:t>
      </w:r>
      <w:r>
        <w:t xml:space="preserve"> </w:t>
      </w:r>
      <w:r>
        <w:t xml:space="preserve">component):</w:t>
      </w:r>
      <w:r>
        <w:t xml:space="preserve"> </w:t>
      </w:r>
      <w:r>
        <w:t xml:space="preserve">EUR</w:t>
      </w:r>
      <w:r>
        <w:t xml:space="preserve"> </w:t>
      </w:r>
      <w:r>
        <w:t xml:space="preserve">5.5–18</w:t>
      </w:r>
      <w:r>
        <w:t xml:space="preserve"> </w:t>
      </w:r>
      <w:r>
        <w:t xml:space="preserve">million/year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Potential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for</w:t>
      </w:r>
      <w:r>
        <w:t xml:space="preserve"> </w:t>
      </w:r>
      <w:r>
        <w:t xml:space="preserve">TIN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scheme if used</w:t>
      </w:r>
      <w:r>
        <w:t xml:space="preserve"> </w:t>
      </w:r>
      <w:r>
        <w:t xml:space="preserve">by</w:t>
      </w:r>
      <w:r>
        <w:t xml:space="preserve"> </w:t>
      </w:r>
      <w:r>
        <w:t xml:space="preserve">reporting</w:t>
      </w:r>
      <w:r>
        <w:t xml:space="preserve"> </w:t>
      </w:r>
      <w:r>
        <w:t xml:space="preserve">entities</w:t>
      </w:r>
      <w:r>
        <w:br/>
      </w:r>
      <w:r>
        <w:t xml:space="preserve">None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None</w:t>
      </w:r>
      <w:r>
        <w:t xml:space="preserve"> </w:t>
      </w:r>
      <w:r>
        <w:t xml:space="preserve">None</w:t>
      </w:r>
      <w:r>
        <w:t xml:space="preserve"> </w:t>
      </w:r>
      <w:r>
        <w:t xml:space="preserve">Non-identified Non-identified Non-identified Non-identified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Non-identified Non-identified Non-identified Non-identified</w:t>
      </w:r>
      <w:r>
        <w:t xml:space="preserve"> </w:t>
      </w:r>
      <w:r>
        <w:t xml:space="preserve">(1) 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</w:t>
      </w:r>
      <w:r>
        <w:t xml:space="preserve"> </w:t>
      </w:r>
      <w:r>
        <w:t xml:space="preserve">preferred option is specified; (3) If relevant and available, please present information on costs</w:t>
      </w:r>
      <w:r>
        <w:t xml:space="preserve"> </w:t>
      </w:r>
      <w:r>
        <w:t xml:space="preserve">according to the standard typology of costs (adjustment costs, administrative costs, regulatory</w:t>
      </w:r>
      <w:r>
        <w:t xml:space="preserve"> </w:t>
      </w:r>
      <w:r>
        <w:t xml:space="preserve">charges, enforcement costs, indirect costs).</w:t>
      </w:r>
    </w:p>
    <w:p>
      <w:pPr>
        <w:pStyle w:val="Compact"/>
        <w:numPr>
          <w:ilvl w:val="0"/>
          <w:numId w:val="1007"/>
        </w:numPr>
      </w:pPr>
      <w:r>
        <w:t xml:space="preserve">Contribution to the administrative burden reduction targets – Preferred option(s)</w:t>
      </w:r>
    </w:p>
    <w:p>
      <w:pPr>
        <w:pStyle w:val="FirstParagraph"/>
      </w:pPr>
      <w:r>
        <w:t xml:space="preserve">Measure 1 (DAC6): Excludes Pillar 2 companies and removes Category A hallmarks. It targets a EUR 341 million total annual</w:t>
      </w:r>
      <w:r>
        <w:t xml:space="preserve"> </w:t>
      </w:r>
      <w:r>
        <w:t xml:space="preserve">reduction in compliance costs for businesses.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Measure 2 (DAC7): Increases threshold to EUR 3,000 and removes the 30-transaction rule, reducing platform reporting costs</w:t>
      </w:r>
      <w:r>
        <w:t xml:space="preserve"> </w:t>
      </w:r>
      <w:r>
        <w:t xml:space="preserve">by approximately EUR 678 million/year.</w:t>
      </w:r>
    </w:p>
    <w:p>
      <w:pPr>
        <w:pStyle w:val="BodyText"/>
      </w:pPr>
      <w:r>
        <w:t xml:space="preserve">Measure 3 (DAC4/DAC9): Introduces central filing for notifications, saving MNEs EUR 264 million/year.</w:t>
      </w:r>
    </w:p>
    <w:p>
      <w:pPr>
        <w:pStyle w:val="BodyText"/>
      </w:pPr>
      <w:r>
        <w:t xml:space="preserve">Measure 4 (TIN): Establish a centralised TIN verification system accessible to the tax administrations of Member States and</w:t>
      </w:r>
      <w:r>
        <w:t xml:space="preserve"> </w:t>
      </w:r>
      <w:r>
        <w:t xml:space="preserve">reporting entities.</w:t>
      </w:r>
    </w:p>
    <w:p>
      <w:pPr>
        <w:pStyle w:val="BodyText"/>
      </w:pPr>
      <w:r>
        <w:t xml:space="preserve">Measure 5 (DAC1): Removes life insurance products (LIP) from exchange requirements while mandating the exchange of all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information across other categories to close reporting gaps.</w:t>
      </w:r>
    </w:p>
    <w:p>
      <w:pPr>
        <w:pStyle w:val="BodyText"/>
      </w:pPr>
      <w:r>
        <w:t xml:space="preserve">There is no reliable element to assess the following removed costs in Euro. However, the overall benefit / costs balance</w:t>
      </w:r>
      <w:r>
        <w:t xml:space="preserve"> </w:t>
      </w:r>
      <w:r>
        <w:t xml:space="preserve">should be in favour of the private stakeholders, and relatively neutral for the tax administrations.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[M€]</w:t>
      </w:r>
      <w:r>
        <w:t xml:space="preserve"> </w:t>
      </w:r>
      <w:r>
        <w:t xml:space="preserve">New recurrent costs</w:t>
      </w:r>
      <w:r>
        <w:t xml:space="preserve"> </w:t>
      </w:r>
      <w:r>
        <w:t xml:space="preserve">(INs)</w:t>
      </w:r>
      <w:r>
        <w:t xml:space="preserve"> </w:t>
      </w:r>
      <w:r>
        <w:t xml:space="preserve">(nominal values per</w:t>
      </w:r>
      <w:r>
        <w:t xml:space="preserve"> </w:t>
      </w:r>
      <w:r>
        <w:t xml:space="preserve">year)</w:t>
      </w:r>
      <w:r>
        <w:t xml:space="preserve"> </w:t>
      </w:r>
      <w:r>
        <w:t xml:space="preserve">Removed recurrent</w:t>
      </w:r>
      <w:r>
        <w:t xml:space="preserve"> </w:t>
      </w:r>
      <w:r>
        <w:t xml:space="preserve">costs (OUTs)</w:t>
      </w:r>
      <w:r>
        <w:t xml:space="preserve"> </w:t>
      </w:r>
      <w:r>
        <w:t xml:space="preserve">(nominal values per</w:t>
      </w:r>
      <w:r>
        <w:t xml:space="preserve"> </w:t>
      </w:r>
      <w:r>
        <w:t xml:space="preserve">year)</w:t>
      </w:r>
      <w:r>
        <w:t xml:space="preserve"> </w:t>
      </w:r>
      <w:r>
        <w:t xml:space="preserve">Net cost</w:t>
      </w:r>
      <w:r>
        <w:br/>
      </w:r>
      <w:r>
        <w:t xml:space="preserve">(INs –</w:t>
      </w:r>
      <w:r>
        <w:t xml:space="preserve"> </w:t>
      </w:r>
      <w:r>
        <w:t xml:space="preserve">OUTs)</w:t>
      </w:r>
    </w:p>
    <w:p>
      <w:pPr>
        <w:pStyle w:val="BodyText"/>
      </w:pPr>
      <w:r>
        <w:t xml:space="preserve">(nominal</w:t>
      </w:r>
      <w:r>
        <w:t xml:space="preserve"> </w:t>
      </w:r>
      <w:r>
        <w:t xml:space="preserve">values per</w:t>
      </w:r>
      <w:r>
        <w:t xml:space="preserve"> </w:t>
      </w:r>
      <w:r>
        <w:t xml:space="preserve">year)</w:t>
      </w:r>
      <w:r>
        <w:br/>
      </w:r>
      <w:r>
        <w:t xml:space="preserve">New one-off</w:t>
      </w:r>
      <w:r>
        <w:t xml:space="preserve"> </w:t>
      </w:r>
      <w:r>
        <w:t xml:space="preserve">costs (INs)</w:t>
      </w:r>
      <w:r>
        <w:br/>
      </w:r>
      <w:r>
        <w:t xml:space="preserve">(annualised total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over the 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Removed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(OUTs)</w:t>
      </w:r>
      <w:r>
        <w:t xml:space="preserve"> </w:t>
      </w:r>
      <w:r>
        <w:t xml:space="preserve">(annualised total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over the 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All businesses</w:t>
      </w:r>
      <w:r>
        <w:t xml:space="preserve"> </w:t>
      </w:r>
      <w:r>
        <w:t xml:space="preserve">None or</w:t>
      </w:r>
      <w:r>
        <w:t xml:space="preserve"> </w:t>
      </w:r>
      <w:r>
        <w:t xml:space="preserve">negative (if</w:t>
      </w:r>
      <w:r>
        <w:t xml:space="preserve"> </w:t>
      </w:r>
      <w:r>
        <w:t xml:space="preserve">reporting</w:t>
      </w:r>
      <w:r>
        <w:t xml:space="preserve"> </w:t>
      </w:r>
      <w:r>
        <w:t xml:space="preserve">entities opt-</w:t>
      </w:r>
      <w:r>
        <w:t xml:space="preserve"> </w:t>
      </w:r>
      <w:r>
        <w:t xml:space="preserve">in for access</w:t>
      </w:r>
      <w:r>
        <w:t xml:space="preserve"> </w:t>
      </w:r>
      <w:r>
        <w:t xml:space="preserve">to the</w:t>
      </w:r>
      <w:r>
        <w:t xml:space="preserve"> </w:t>
      </w:r>
      <w:r>
        <w:t xml:space="preserve">centralised</w:t>
      </w:r>
      <w:r>
        <w:t xml:space="preserve"> </w:t>
      </w:r>
      <w:r>
        <w:t xml:space="preserve">TIN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system)</w:t>
      </w:r>
      <w:r>
        <w:t xml:space="preserve"> </w:t>
      </w:r>
      <w:r>
        <w:t xml:space="preserve">EUR 1,283 *</w:t>
      </w:r>
      <w:r>
        <w:t xml:space="preserve"> </w:t>
      </w:r>
      <w:r>
        <w:t xml:space="preserve">EUR 1,283</w:t>
      </w:r>
      <w:r>
        <w:t xml:space="preserve"> </w:t>
      </w:r>
      <w:r>
        <w:t xml:space="preserve">net savings*</w:t>
      </w:r>
      <w:r>
        <w:t xml:space="preserve"> </w:t>
      </w:r>
      <w:r>
        <w:t xml:space="preserve">Yes</w:t>
      </w:r>
      <w:r>
        <w:t xml:space="preserve"> </w:t>
      </w:r>
      <w:r>
        <w:t xml:space="preserve">(adaption to new</w:t>
      </w:r>
      <w:r>
        <w:t xml:space="preserve"> </w:t>
      </w:r>
      <w:r>
        <w:t xml:space="preserve">TIN schemas)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SMEs</w:t>
      </w:r>
      <w:r>
        <w:t xml:space="preserve"> </w:t>
      </w:r>
      <w:r>
        <w:t xml:space="preserve">Possibly</w:t>
      </w:r>
      <w:r>
        <w:t xml:space="preserve"> </w:t>
      </w:r>
      <w:r>
        <w:t xml:space="preserve">Yes</w:t>
      </w:r>
      <w:r>
        <w:t xml:space="preserve"> </w:t>
      </w:r>
      <w:r>
        <w:t xml:space="preserve">(Quantitative</w:t>
      </w:r>
      <w:r>
        <w:t xml:space="preserve"> </w:t>
      </w:r>
      <w:r>
        <w:t xml:space="preserve">estimates not</w:t>
      </w:r>
      <w:r>
        <w:t xml:space="preserve"> </w:t>
      </w:r>
      <w:r>
        <w:t xml:space="preserve">available)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(adaption to new</w:t>
      </w:r>
      <w:r>
        <w:t xml:space="preserve"> </w:t>
      </w:r>
      <w:r>
        <w:t xml:space="preserve">schemas)</w:t>
      </w:r>
      <w:r>
        <w:t xml:space="preserve"> </w:t>
      </w:r>
      <w:r>
        <w:t xml:space="preserve">None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Yes</w:t>
      </w:r>
      <w:r>
        <w:t xml:space="preserve"> </w:t>
      </w:r>
      <w:r>
        <w:t xml:space="preserve">(Quantitative</w:t>
      </w:r>
      <w:r>
        <w:t xml:space="preserve"> </w:t>
      </w:r>
      <w:r>
        <w:t xml:space="preserve">estimates not</w:t>
      </w:r>
      <w:r>
        <w:t xml:space="preserve"> </w:t>
      </w:r>
      <w:r>
        <w:t xml:space="preserve">available)</w:t>
      </w:r>
      <w:r>
        <w:t xml:space="preserve"> </w:t>
      </w:r>
      <w:r>
        <w:t xml:space="preserve">Yes</w:t>
      </w:r>
      <w:r>
        <w:t xml:space="preserve"> </w:t>
      </w:r>
      <w:r>
        <w:t xml:space="preserve">(Quantitative</w:t>
      </w:r>
      <w:r>
        <w:t xml:space="preserve"> </w:t>
      </w:r>
      <w:r>
        <w:t xml:space="preserve">estimates not</w:t>
      </w:r>
      <w:r>
        <w:t xml:space="preserve"> </w:t>
      </w:r>
      <w:r>
        <w:t xml:space="preserve">available)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(adaption to new</w:t>
      </w:r>
      <w:r>
        <w:t xml:space="preserve"> </w:t>
      </w:r>
      <w:r>
        <w:t xml:space="preserve">schemas)</w:t>
      </w:r>
      <w:r>
        <w:t xml:space="preserve"> </w:t>
      </w:r>
      <w:r>
        <w:t xml:space="preserve">(Quantitative</w:t>
      </w:r>
      <w:r>
        <w:t xml:space="preserve"> </w:t>
      </w:r>
      <w:r>
        <w:t xml:space="preserve">estimates not</w:t>
      </w:r>
      <w:r>
        <w:t xml:space="preserve"> </w:t>
      </w:r>
      <w:r>
        <w:t xml:space="preserve">available)</w:t>
      </w:r>
      <w:r>
        <w:t xml:space="preserve"> </w:t>
      </w:r>
      <w:r>
        <w:t xml:space="preserve">None</w:t>
      </w:r>
      <w:r>
        <w:t xml:space="preserve"> </w:t>
      </w:r>
      <w:r>
        <w:t xml:space="preserve">Citizens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8 –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The initiative reduces tax compliance costs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through simplification of DAC6 and</w:t>
      </w:r>
      <w:r>
        <w:t xml:space="preserve"> </w:t>
      </w:r>
      <w:r>
        <w:t xml:space="preserve">Lower compliance costs may free up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productive</w:t>
      </w:r>
      <w:r>
        <w:t xml:space="preserve"> </w:t>
      </w:r>
      <w:r>
        <w:t xml:space="preserve">investment,</w:t>
      </w:r>
      <w:r>
        <w:t xml:space="preserve"> </w:t>
      </w:r>
      <w:r>
        <w:t xml:space="preserve">employment or wage growth. Impacts are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DAC7 reporting obligations and the streamlining</w:t>
      </w:r>
      <w:r>
        <w:t xml:space="preserve"> </w:t>
      </w:r>
      <w:r>
        <w:t xml:space="preserve">of notification requirements. This is expected to</w:t>
      </w:r>
      <w:r>
        <w:t xml:space="preserve"> </w:t>
      </w:r>
      <w:r>
        <w:t xml:space="preserve">improve the business environment, support</w:t>
      </w:r>
      <w:r>
        <w:t xml:space="preserve"> </w:t>
      </w:r>
      <w:r>
        <w:t xml:space="preserve">productivity and facilitate cross-border economic</w:t>
      </w:r>
      <w:r>
        <w:t xml:space="preserve"> </w:t>
      </w:r>
      <w:r>
        <w:t xml:space="preserve">activity within the Internal Market.</w:t>
      </w:r>
      <w:r>
        <w:t xml:space="preserve"> </w:t>
      </w:r>
      <w:r>
        <w:t xml:space="preserve">indirect and depend on companies’ allocation</w:t>
      </w:r>
      <w:r>
        <w:t xml:space="preserve"> </w:t>
      </w:r>
      <w:r>
        <w:t xml:space="preserve">of cost savings.</w:t>
      </w:r>
      <w:r>
        <w:t xml:space="preserve"> </w:t>
      </w:r>
      <w:r>
        <w:t xml:space="preserve">SDG 9 – Industry, 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By</w:t>
      </w:r>
      <w:r>
        <w:t xml:space="preserve"> </w:t>
      </w:r>
      <w:r>
        <w:t xml:space="preserve">simplifying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and</w:t>
      </w:r>
      <w:r>
        <w:t xml:space="preserve"> </w:t>
      </w:r>
      <w:r>
        <w:t xml:space="preserve">improving the coherence of EU tax information</w:t>
      </w:r>
      <w:r>
        <w:t xml:space="preserve"> </w:t>
      </w:r>
      <w:r>
        <w:t xml:space="preserve">systems, the initiative contributes to a more</w:t>
      </w:r>
      <w:r>
        <w:t xml:space="preserve"> </w:t>
      </w:r>
      <w:r>
        <w:t xml:space="preserve">efficient regulatory framework and supports</w:t>
      </w:r>
      <w:r>
        <w:t xml:space="preserve"> </w:t>
      </w:r>
      <w:r>
        <w:t xml:space="preserve">digitalisation of tax administration processes,</w:t>
      </w:r>
      <w:r>
        <w:t xml:space="preserve"> </w:t>
      </w:r>
      <w:r>
        <w:t xml:space="preserve">including data exchange and verification systems.</w:t>
      </w:r>
      <w:r>
        <w:t xml:space="preserve"> </w:t>
      </w:r>
      <w:r>
        <w:t xml:space="preserve">Reduced administrative complexity and</w:t>
      </w:r>
      <w:r>
        <w:t xml:space="preserve"> </w:t>
      </w:r>
      <w:r>
        <w:t xml:space="preserve">improved legal certainty may indirectly</w:t>
      </w:r>
      <w:r>
        <w:t xml:space="preserve"> </w:t>
      </w:r>
      <w:r>
        <w:t xml:space="preserve">support innovation and investment decisions,</w:t>
      </w:r>
      <w:r>
        <w:t xml:space="preserve"> </w:t>
      </w:r>
      <w:r>
        <w:t xml:space="preserve">although no direct R&amp;D incentives are</w:t>
      </w:r>
      <w:r>
        <w:t xml:space="preserve"> </w:t>
      </w:r>
      <w:r>
        <w:t xml:space="preserve">introduced.</w:t>
      </w:r>
      <w:r>
        <w:t xml:space="preserve"> </w:t>
      </w:r>
      <w:r>
        <w:t xml:space="preserve">SDG</w:t>
      </w:r>
      <w:r>
        <w:t xml:space="preserve"> </w:t>
      </w:r>
      <w:r>
        <w:t xml:space="preserve">10</w:t>
      </w:r>
      <w:r>
        <w:t xml:space="preserve"> </w:t>
      </w:r>
      <w:r>
        <w:t xml:space="preserve">–</w:t>
      </w:r>
      <w:r>
        <w:t xml:space="preserve"> </w:t>
      </w:r>
      <w:r>
        <w:t xml:space="preserve">Reduced</w:t>
      </w:r>
      <w:r>
        <w:t xml:space="preserve"> </w:t>
      </w:r>
      <w:r>
        <w:t xml:space="preserve">inequalities</w:t>
      </w:r>
    </w:p>
    <w:p>
      <w:pPr>
        <w:pStyle w:val="BodyText"/>
      </w:pPr>
      <w:r>
        <w:t xml:space="preserve">By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tax</w:t>
      </w:r>
      <w:r>
        <w:t xml:space="preserve"> </w:t>
      </w:r>
      <w:r>
        <w:t xml:space="preserve">transparency frameworks, the initiative may</w:t>
      </w:r>
      <w:r>
        <w:t xml:space="preserve"> </w:t>
      </w:r>
      <w:r>
        <w:t xml:space="preserve">contribute indirectly to fairer taxation and a more</w:t>
      </w:r>
      <w:r>
        <w:t xml:space="preserve"> </w:t>
      </w:r>
      <w:r>
        <w:t xml:space="preserve">level playing field across taxpayers.</w:t>
      </w:r>
    </w:p>
    <w:p>
      <w:pPr>
        <w:pStyle w:val="BodyText"/>
      </w:pPr>
      <w:r>
        <w:t xml:space="preserve">Effects</w:t>
      </w:r>
      <w:r>
        <w:t xml:space="preserve"> </w:t>
      </w:r>
      <w:r>
        <w:t xml:space="preserve">are</w:t>
      </w:r>
      <w:r>
        <w:t xml:space="preserve"> </w:t>
      </w:r>
      <w:r>
        <w:t xml:space="preserve">indirect</w:t>
      </w:r>
      <w:r>
        <w:t xml:space="preserve"> </w:t>
      </w:r>
      <w:r>
        <w:t xml:space="preserve">and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enforcement</w:t>
      </w:r>
      <w:r>
        <w:t xml:space="preserve"> </w:t>
      </w:r>
      <w:r>
        <w:t xml:space="preserve">outcomes.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 are designed not to undermine core</w:t>
      </w:r>
      <w:r>
        <w:t xml:space="preserve"> </w:t>
      </w:r>
      <w:r>
        <w:t xml:space="preserve">anti-avoidance objectives.</w:t>
      </w:r>
    </w:p>
    <w:p>
      <w:pPr>
        <w:pStyle w:val="BodyText"/>
      </w:pPr>
      <w:r>
        <w:t xml:space="preserve">SDG 16 – Peace, justice and</w:t>
      </w:r>
      <w:r>
        <w:t xml:space="preserve"> </w:t>
      </w:r>
      <w:r>
        <w:t xml:space="preserve">strong institutions</w:t>
      </w:r>
      <w:r>
        <w:t xml:space="preserve"> </w:t>
      </w:r>
      <w:r>
        <w:t xml:space="preserve">The initiative strengthens tax transparency,</w:t>
      </w:r>
      <w:r>
        <w:t xml:space="preserve"> </w:t>
      </w:r>
      <w:r>
        <w:t xml:space="preserve">administrative cooperation and the effectiveness</w:t>
      </w:r>
      <w:r>
        <w:t xml:space="preserve"> </w:t>
      </w:r>
      <w:r>
        <w:t xml:space="preserve">of tax enforcement across Member States, while</w:t>
      </w:r>
      <w:r>
        <w:t xml:space="preserve"> </w:t>
      </w:r>
      <w:r>
        <w:t xml:space="preserve">improving the proportionality of reporting</w:t>
      </w:r>
      <w:r>
        <w:t xml:space="preserve"> </w:t>
      </w:r>
      <w:r>
        <w:t xml:space="preserve">obligations.</w:t>
      </w:r>
      <w:r>
        <w:t xml:space="preserve"> </w:t>
      </w:r>
      <w:r>
        <w:t xml:space="preserve">Enhanced data quality, reduced duplication</w:t>
      </w:r>
      <w:r>
        <w:t xml:space="preserve"> </w:t>
      </w:r>
      <w:r>
        <w:t xml:space="preserve">and improved exchange of information</w:t>
      </w:r>
      <w:r>
        <w:t xml:space="preserve"> </w:t>
      </w:r>
      <w:r>
        <w:t xml:space="preserve">contribute to more efficient and fair tax</w:t>
      </w:r>
      <w:r>
        <w:t xml:space="preserve"> </w:t>
      </w:r>
      <w:r>
        <w:t xml:space="preserve">systems.</w:t>
      </w:r>
      <w:r>
        <w:t xml:space="preserve"> </w:t>
      </w:r>
      <w:r>
        <w:t xml:space="preserve">Some</w:t>
      </w:r>
      <w:r>
        <w:t xml:space="preserve"> </w:t>
      </w:r>
      <w:r>
        <w:t xml:space="preserve">measures</w:t>
      </w:r>
      <w:r>
        <w:t xml:space="preserve"> </w:t>
      </w:r>
      <w:r>
        <w:t xml:space="preserve">(e.g. </w:t>
      </w:r>
      <w:r>
        <w:t xml:space="preserve"> </w:t>
      </w:r>
      <w:r>
        <w:t xml:space="preserve">DAC7</w:t>
      </w:r>
      <w:r>
        <w:t xml:space="preserve"> </w:t>
      </w:r>
      <w:r>
        <w:t xml:space="preserve">threshold adjustments) may slightly reduce</w:t>
      </w:r>
      <w:r>
        <w:t xml:space="preserve"> </w:t>
      </w:r>
      <w:r>
        <w:t xml:space="preserve">available information but aim to better align</w:t>
      </w:r>
      <w:r>
        <w:t xml:space="preserve"> </w:t>
      </w:r>
      <w:r>
        <w:t xml:space="preserve">reporting with risk relevance.</w:t>
      </w:r>
      <w:r>
        <w:t xml:space="preserve"> </w:t>
      </w:r>
      <w:r>
        <w:t xml:space="preserve">SDG 17 – Partnerships for</w:t>
      </w:r>
      <w:r>
        <w:t xml:space="preserve"> </w:t>
      </w:r>
      <w:r>
        <w:t xml:space="preserve">the goals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enhances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 exchange between Member States’</w:t>
      </w:r>
      <w:r>
        <w:t xml:space="preserve"> </w:t>
      </w:r>
      <w:r>
        <w:t xml:space="preserve">tax administrations, including through harmonised</w:t>
      </w:r>
      <w:r>
        <w:t xml:space="preserve"> </w:t>
      </w:r>
      <w:r>
        <w:t xml:space="preserve">reporting frameworks and potential centralised</w:t>
      </w:r>
      <w:r>
        <w:t xml:space="preserve"> </w:t>
      </w:r>
      <w:r>
        <w:t xml:space="preserve">systems (e.g. TIN verification, DAC4/DAC9</w:t>
      </w:r>
      <w:r>
        <w:t xml:space="preserve"> </w:t>
      </w:r>
      <w:r>
        <w:t xml:space="preserve">notifications).</w:t>
      </w:r>
      <w:r>
        <w:t xml:space="preserve"> </w:t>
      </w:r>
      <w:r>
        <w:t xml:space="preserve">Improved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cooperation</w:t>
      </w:r>
      <w:r>
        <w:t xml:space="preserve"> </w:t>
      </w:r>
      <w:r>
        <w:t xml:space="preserve">supports coordinated action at EU level and</w:t>
      </w:r>
      <w:r>
        <w:t xml:space="preserve"> </w:t>
      </w:r>
      <w:r>
        <w:t xml:space="preserve">strengthens the functioning of the Internal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This appendix provides the technical details underlying the quantification of compliance</w:t>
      </w:r>
      <w:r>
        <w:t xml:space="preserve"> </w:t>
      </w:r>
      <w:r>
        <w:t xml:space="preserve">cost savings associated with the DAC Recast measures. It describes the data sources used,</w:t>
      </w:r>
      <w:r>
        <w:t xml:space="preserve"> </w:t>
      </w:r>
      <w:r>
        <w:t xml:space="preserve">the assumptions applied and the methodologies to estimate the magnitude of the savings</w:t>
      </w:r>
      <w:r>
        <w:t xml:space="preserve"> </w:t>
      </w:r>
      <w:r>
        <w:t xml:space="preserve">across the different policy options. In particular, it sets out the numerical inputs, calculation</w:t>
      </w:r>
      <w:r>
        <w:t xml:space="preserve"> </w:t>
      </w:r>
      <w:r>
        <w:t xml:space="preserve">steps and simplifying assumptions used in deriving the estimates presented in the main text.</w:t>
      </w:r>
      <w:r>
        <w:t xml:space="preserve"> </w:t>
      </w:r>
      <w:r>
        <w:t xml:space="preserve">The purpose of this appendix is to ensure transparency regarding the analytical approach</w:t>
      </w:r>
      <w:r>
        <w:t xml:space="preserve"> </w:t>
      </w:r>
      <w:r>
        <w:t xml:space="preserve">and to allow the estimates to be reproduced and interpreted in light of the underlying data</w:t>
      </w:r>
      <w:r>
        <w:t xml:space="preserve"> </w:t>
      </w:r>
      <w:r>
        <w:t xml:space="preserve">limitations and methodological choices.</w:t>
      </w:r>
      <w:r>
        <w:t xml:space="preserve"> </w:t>
      </w:r>
      <w:r>
        <w:t xml:space="preserve">1. DAC6 (Measure 1)</w:t>
      </w:r>
      <w:r>
        <w:t xml:space="preserve"> </w:t>
      </w:r>
      <w:r>
        <w:t xml:space="preserve">The quantification of compliance cost savings under Measure 1 is based on the estimated</w:t>
      </w:r>
      <w:r>
        <w:t xml:space="preserve"> </w:t>
      </w:r>
      <w:r>
        <w:t xml:space="preserve">number of DAC6 disclosures affected by the removal or modification of certain hallmarks</w:t>
      </w:r>
      <w:r>
        <w:t xml:space="preserve"> </w:t>
      </w:r>
      <w:r>
        <w:t xml:space="preserve">and on the average cost of preparing a DAC6 disclosure.</w:t>
      </w:r>
      <w:r>
        <w:t xml:space="preserve"> </w:t>
      </w:r>
      <w:r>
        <w:t xml:space="preserve">In estimating the compliance cost savings under Measure 1, companies within the scope of</w:t>
      </w:r>
      <w:r>
        <w:t xml:space="preserve"> </w:t>
      </w:r>
      <w:r>
        <w:t xml:space="preserve">Pillar 2 and those outside its scope are considered separately, both because they are affected</w:t>
      </w:r>
      <w:r>
        <w:t xml:space="preserve"> </w:t>
      </w:r>
      <w:r>
        <w:t xml:space="preserve">to different extents by the proposed simplifications and because their compliance cost</w:t>
      </w:r>
      <w:r>
        <w:t xml:space="preserve"> </w:t>
      </w:r>
      <w:r>
        <w:t xml:space="preserve">structures differ. Large MNE groups within the scope of Pillar 2, i.e. those with consolidated</w:t>
      </w:r>
      <w:r>
        <w:t xml:space="preserve"> </w:t>
      </w:r>
      <w:r>
        <w:t xml:space="preserve">turnover of at least EUR 750 million, would benefit from a full exemption from DAC6</w:t>
      </w:r>
      <w:r>
        <w:t xml:space="preserve"> </w:t>
      </w:r>
      <w:r>
        <w:t xml:space="preserve">reporting obligations, whereas companies outside this scope would remain subject to DAC6</w:t>
      </w:r>
      <w:r>
        <w:t xml:space="preserve"> </w:t>
      </w:r>
      <w:r>
        <w:t xml:space="preserve">but would experience a reduction in reporting obligations through the removal or</w:t>
      </w:r>
      <w:r>
        <w:t xml:space="preserve"> </w:t>
      </w:r>
      <w:r>
        <w:t xml:space="preserve">modification of specific hallmarks. This distinction is particularly relevant as Pillar 2 entities</w:t>
      </w:r>
      <w:r>
        <w:t xml:space="preserve"> </w:t>
      </w:r>
      <w:r>
        <w:t xml:space="preserve">are typically large MNEs with more complex business models, a significantly higher volume</w:t>
      </w:r>
      <w:r>
        <w:t xml:space="preserve"> </w:t>
      </w:r>
      <w:r>
        <w:t xml:space="preserve">of cross-border transactions and more complex group structures, requiring substantial</w:t>
      </w:r>
      <w:r>
        <w:t xml:space="preserve"> </w:t>
      </w:r>
      <w:r>
        <w:t xml:space="preserve">resources to identify, analyse and document reportable arrangements.</w:t>
      </w:r>
      <w:r>
        <w:t xml:space="preserve"> </w:t>
      </w:r>
      <w:r>
        <w:t xml:space="preserve">At the same time, companies differ in how they organise their tax compliance functions.</w:t>
      </w:r>
      <w:r>
        <w:t xml:space="preserve"> </w:t>
      </w:r>
      <w:r>
        <w:t xml:space="preserve">Entities outside the scope of Pillar 2 are more likely to rely on external advisory services</w:t>
      </w:r>
      <w:r>
        <w:t xml:space="preserve"> </w:t>
      </w:r>
      <w:r>
        <w:t xml:space="preserve">due to more limited in-house capacity, meaning that compliance costs can be reasonably</w:t>
      </w:r>
      <w:r>
        <w:t xml:space="preserve"> </w:t>
      </w:r>
      <w:r>
        <w:t xml:space="preserve">approximated using a cost per disclosure, based on the EUR 3,000–5,000 range identified</w:t>
      </w:r>
      <w:r>
        <w:t xml:space="preserve"> </w:t>
      </w:r>
      <w:r>
        <w:t xml:space="preserve">in stakeholder consultations. By contrast, large MNE groups typically maintain dedicated</w:t>
      </w:r>
      <w:r>
        <w:t xml:space="preserve"> </w:t>
      </w:r>
      <w:r>
        <w:t xml:space="preserve">in-house tax and compliance departments and manage reporting obligations on a continuous</w:t>
      </w:r>
      <w:r>
        <w:t xml:space="preserve"> </w:t>
      </w:r>
      <w:r>
        <w:t xml:space="preserve">basis. For these entities, compliance costs are better captured through an estimation based</w:t>
      </w:r>
      <w:r>
        <w:t xml:space="preserve"> </w:t>
      </w:r>
      <w:r>
        <w:t xml:space="preserve">on internal resources, e.g., expressed in FTE staff devoted to DAC6-related activities. This</w:t>
      </w:r>
      <w:r>
        <w:t xml:space="preserve"> </w:t>
      </w:r>
      <w:r>
        <w:t xml:space="preserve">approach reflects economies of scale in internal compliance functions and provides a more</w:t>
      </w:r>
      <w:r>
        <w:t xml:space="preserve"> </w:t>
      </w:r>
      <w:r>
        <w:t xml:space="preserve">realistic representation of their cost structure than a per-disclosure methodology.</w:t>
      </w:r>
      <w:r>
        <w:t xml:space="preserve"> </w:t>
      </w:r>
      <w:r>
        <w:t xml:space="preserve">Consequently, the simplification measures are expected to generate comparatively larger</w:t>
      </w:r>
      <w:r>
        <w:t xml:space="preserve"> </w:t>
      </w:r>
      <w:r>
        <w:t xml:space="preserve">compliance cost savings for entities within the scope of Pillar 2, both in absolute terms and</w:t>
      </w:r>
      <w:r>
        <w:t xml:space="preserve"> </w:t>
      </w:r>
      <w:r>
        <w:t xml:space="preserve">in terms of the intensity of administrative effort avoided.</w:t>
      </w:r>
      <w:r>
        <w:t xml:space="preserve"> </w:t>
      </w:r>
      <w:r>
        <w:t xml:space="preserve">Compliance cost savings for companies falling within the scope of the Pillar 2 Directive</w:t>
      </w:r>
      <w:r>
        <w:t xml:space="preserve"> </w:t>
      </w:r>
      <w:r>
        <w:t xml:space="preserve">Starting with policy option 1a, the estimation of compliance costs for companies within the</w:t>
      </w:r>
      <w:r>
        <w:t xml:space="preserve"> </w:t>
      </w:r>
      <w:r>
        <w:t xml:space="preserve">scope of Pillar 2 requires an approximation of the number of MNE groups with a relevant</w:t>
      </w:r>
      <w:r>
        <w:t xml:space="preserve"> </w:t>
      </w:r>
      <w:r>
        <w:t xml:space="preserve">presence in the EU. Company-level data from the ORBIS database indicate that</w:t>
      </w:r>
      <w:r>
        <w:t xml:space="preserve"> </w:t>
      </w:r>
      <w:r>
        <w:t xml:space="preserve">approximately 4,700 global ultimate owner (GUO) groups worldwide meet the turnover</w:t>
      </w:r>
      <w:r>
        <w:t xml:space="preserve"> </w:t>
      </w:r>
      <w:r>
        <w:t xml:space="preserve">threshold of EUR 750 million and have at least one subsidiary in the EU, of which around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1,900 are headquartered within the Union. However, for DAC6, the relevant unit of analysis</w:t>
      </w:r>
      <w:r>
        <w:t xml:space="preserve"> </w:t>
      </w:r>
      <w:r>
        <w:t xml:space="preserve">differs, as reporting is trigger-based and depends on the existence of potentially reportable</w:t>
      </w:r>
      <w:r>
        <w:t xml:space="preserve"> </w:t>
      </w:r>
      <w:r>
        <w:t xml:space="preserve">cross-border arrangements. As a result, not all MNE groups in scope of DAC4/Pillar Two</w:t>
      </w:r>
      <w:r>
        <w:t xml:space="preserve"> </w:t>
      </w:r>
      <w:r>
        <w:t xml:space="preserve">will necessarily generate DAC6 reporting obligations, in particular those with only a limited</w:t>
      </w:r>
      <w:r>
        <w:t xml:space="preserve"> </w:t>
      </w:r>
      <w:r>
        <w:t xml:space="preserve">footprint in the EU.</w:t>
      </w:r>
      <w:r>
        <w:t xml:space="preserve"> </w:t>
      </w:r>
      <w:r>
        <w:t xml:space="preserve">For the purpose of estimating DAC6-related compliance costs, the analysis therefore focuses</w:t>
      </w:r>
      <w:r>
        <w:t xml:space="preserve"> </w:t>
      </w:r>
      <w:r>
        <w:t xml:space="preserve">on MNE groups that are likely to be actively engaged in DAC6 compliance activities. The</w:t>
      </w:r>
      <w:r>
        <w:t xml:space="preserve"> </w:t>
      </w:r>
      <w:r>
        <w:t xml:space="preserve">upper bound is given by all MNE groups with a presence in the EU (around 4,700), while</w:t>
      </w:r>
      <w:r>
        <w:t xml:space="preserve"> </w:t>
      </w:r>
      <w:r>
        <w:t xml:space="preserve">the lower bound corresponds to those headquartered in the EU (around 1,900), which are</w:t>
      </w:r>
      <w:r>
        <w:t xml:space="preserve"> </w:t>
      </w:r>
      <w:r>
        <w:t xml:space="preserve">assumed to have a sufficiently significant footprint to systematically assess DAC6</w:t>
      </w:r>
      <w:r>
        <w:t xml:space="preserve"> </w:t>
      </w:r>
      <w:r>
        <w:t xml:space="preserve">obligations. Against this background, a central estimate of approximately 3,000 MNE</w:t>
      </w:r>
      <w:r>
        <w:t xml:space="preserve"> </w:t>
      </w:r>
      <w:r>
        <w:t xml:space="preserve">groups is used as a pragmatic midpoint, capturing those non-EU groups with a sufficiently</w:t>
      </w:r>
      <w:r>
        <w:t xml:space="preserve"> </w:t>
      </w:r>
      <w:r>
        <w:t xml:space="preserve">substantial operational presence, such as multiple subsidiaries and cross-border intra-group</w:t>
      </w:r>
      <w:r>
        <w:t xml:space="preserve"> </w:t>
      </w:r>
      <w:r>
        <w:t xml:space="preserve">activities, that are most likely to give rise to DAC6-relevant arrangements. The estimation</w:t>
      </w:r>
      <w:r>
        <w:t xml:space="preserve"> </w:t>
      </w:r>
      <w:r>
        <w:t xml:space="preserve">of compliance costs for MNE groups within the scope of Pillar 2 is informed by evidence</w:t>
      </w:r>
      <w:r>
        <w:t xml:space="preserve"> </w:t>
      </w:r>
      <w:r>
        <w:t xml:space="preserve">from the evaluation of the Anti-Tax Avoidance Directive (ATAD), which suggests that large</w:t>
      </w:r>
      <w:r>
        <w:t xml:space="preserve"> </w:t>
      </w:r>
      <w:r>
        <w:t xml:space="preserve">entities incur compliance costs of approximately EUR 100,000 per year (78). While ATAD</w:t>
      </w:r>
      <w:r>
        <w:t xml:space="preserve"> </w:t>
      </w:r>
      <w:r>
        <w:t xml:space="preserve">and DAC6 differ in their specific objectives and instruments, both frameworks require</w:t>
      </w:r>
      <w:r>
        <w:t xml:space="preserve"> </w:t>
      </w:r>
      <w:r>
        <w:t xml:space="preserve">entities on a continuous basis to identify, monitor and assess cross-border transactions</w:t>
      </w:r>
      <w:r>
        <w:t xml:space="preserve"> </w:t>
      </w:r>
      <w:r>
        <w:t xml:space="preserve">against predefined criteria, implying a comparable level of analytical effort and operational</w:t>
      </w:r>
      <w:r>
        <w:t xml:space="preserve"> </w:t>
      </w:r>
      <w:r>
        <w:t xml:space="preserve">complexity. Given that DAC6 compliance involves highly specialised tax expertise,</w:t>
      </w:r>
      <w:r>
        <w:t xml:space="preserve"> </w:t>
      </w:r>
      <w:r>
        <w:t xml:space="preserve">including the assessment of complex legal and economic arrangements, it is appropriate to</w:t>
      </w:r>
      <w:r>
        <w:t xml:space="preserve"> </w:t>
      </w:r>
      <w:r>
        <w:t xml:space="preserve">base the cost estimation on sector-specific labour costs. Using average EU labour costs for</w:t>
      </w:r>
      <w:r>
        <w:t xml:space="preserve"> </w:t>
      </w:r>
      <w:r>
        <w:t xml:space="preserve">tax specialists in the sector “Accounting, bookkeeping and auditing activities; tax</w:t>
      </w:r>
      <w:r>
        <w:t xml:space="preserve"> </w:t>
      </w:r>
      <w:r>
        <w:t xml:space="preserve">consultancy” of approximately EUR 45 per hour (average value for the EU in 2024), an</w:t>
      </w:r>
      <w:r>
        <w:t xml:space="preserve"> </w:t>
      </w:r>
      <w:r>
        <w:t xml:space="preserve">annual compliance cost of EUR 100,000 corresponds to around 2,200 hours of work input.</w:t>
      </w:r>
      <w:r>
        <w:t xml:space="preserve"> </w:t>
      </w:r>
      <w:r>
        <w:t xml:space="preserve">This is equivalent to approximately 1.3 to 1.5 full-time equivalent (FTE) staff dedicated to</w:t>
      </w:r>
      <w:r>
        <w:t xml:space="preserve"> </w:t>
      </w:r>
      <w:r>
        <w:t xml:space="preserve">DAC6-related compliance activities per MNE group. This approach provides a reasonable</w:t>
      </w:r>
      <w:r>
        <w:t xml:space="preserve"> </w:t>
      </w:r>
      <w:r>
        <w:t xml:space="preserve">approximation of the internal resources required by large MNEs to comply with DAC6</w:t>
      </w:r>
      <w:r>
        <w:t xml:space="preserve"> </w:t>
      </w:r>
      <w:r>
        <w:t xml:space="preserve">obligations.</w:t>
      </w:r>
      <w:r>
        <w:t xml:space="preserve"> </w:t>
      </w:r>
      <w:r>
        <w:t xml:space="preserve">Taken together, the estimated compliance cost savings for entities within the scope of Pillar</w:t>
      </w:r>
      <w:r>
        <w:t xml:space="preserve"> </w:t>
      </w:r>
      <w:r>
        <w:t xml:space="preserve">2 amount to approximately 3,000 MNEs × EUR 100,000 = EUR 300 million per year in</w:t>
      </w:r>
      <w:r>
        <w:t xml:space="preserve"> </w:t>
      </w:r>
      <w:r>
        <w:t xml:space="preserve">total (79).</w:t>
      </w:r>
      <w:r>
        <w:t xml:space="preserve"> </w:t>
      </w:r>
      <w:r>
        <w:t xml:space="preserve">The ATAD evaluation indicates that compliance costs vary significantly depending on the</w:t>
      </w:r>
      <w:r>
        <w:t xml:space="preserve"> </w:t>
      </w:r>
      <w:r>
        <w:t xml:space="preserve">size and complexity of the MNE group. While some firms report relatively limited</w:t>
      </w:r>
      <w:r>
        <w:t xml:space="preserve"> </w:t>
      </w:r>
      <w:r>
        <w:t xml:space="preserve">compliance efforts, large and complex groups often incur annual compliance costs in the</w:t>
      </w:r>
      <w:r>
        <w:t xml:space="preserve"> </w:t>
      </w:r>
      <w:r>
        <w:t xml:space="preserve">range of around EUR 100,000, corresponding to approximately 2–3 full-time equivalent</w:t>
      </w:r>
      <w:r>
        <w:t xml:space="preserve"> </w:t>
      </w:r>
      <w:r>
        <w:t xml:space="preserve">staff dedicated to compliance activities. At the same time, the evaluation also highlights</w:t>
      </w:r>
      <w:r>
        <w:t xml:space="preserve"> </w:t>
      </w:r>
      <w:r>
        <w:t xml:space="preserve">considerable uncertainty, with some firms reporting substantially higher costs in specific</w:t>
      </w:r>
      <w:r>
        <w:t xml:space="preserve"> </w:t>
      </w:r>
      <w:r>
        <w:t xml:space="preserve">cases, for example where significant external advisory support is required.</w:t>
      </w:r>
    </w:p>
    <w:p>
      <w:pPr>
        <w:pStyle w:val="BodyText"/>
      </w:pPr>
      <w:r>
        <w:t xml:space="preserve">78 Study prepared for the European Commission to support an evaluation of the Anti-tax Avoidance Directive (ATAD Evaluation), Final</w:t>
      </w:r>
      <w:r>
        <w:t xml:space="preserve"> </w:t>
      </w:r>
      <w:r>
        <w:t xml:space="preserve">Report (2026).</w:t>
      </w:r>
      <w:r>
        <w:t xml:space="preserve"> </w:t>
      </w:r>
      <w:r>
        <w:t xml:space="preserve">79 This estimate is consistent with the findings of the 2025 DAC Evaluation (Evaluation of the Directive 2011/16 and its amendments,</w:t>
      </w:r>
      <w:r>
        <w:t xml:space="preserve"> </w:t>
      </w:r>
      <w:r>
        <w:t xml:space="preserve">Final Report, Table 32, p. 149), which identifies recurrent administrative burdens of approximately EUR 300 million per year for large</w:t>
      </w:r>
      <w:r>
        <w:t xml:space="preserve"> </w:t>
      </w:r>
      <w:r>
        <w:t xml:space="preserve">and very large MNE groups in relation to DAC6 reporting over the period 2020–2022. This aligns with the central estimate used in the</w:t>
      </w:r>
      <w:r>
        <w:t xml:space="preserve"> </w:t>
      </w:r>
      <w:r>
        <w:t xml:space="preserve">present impact assessment for the compliance cost reductions associated with exempting Pillar 2 in-scope entities from DAC6 reporting</w:t>
      </w:r>
      <w:r>
        <w:t xml:space="preserve"> </w:t>
      </w:r>
      <w:r>
        <w:t xml:space="preserve">obligations.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To reflect this uncertainty, sensitivity analysis was carried out using alternative low- and</w:t>
      </w:r>
      <w:r>
        <w:t xml:space="preserve"> </w:t>
      </w:r>
      <w:r>
        <w:t xml:space="preserve">high-cost scenarios. Under a lower-bound assumption of annual compliance costs of EUR</w:t>
      </w:r>
      <w:r>
        <w:t xml:space="preserve"> </w:t>
      </w:r>
      <w:r>
        <w:t xml:space="preserve">75,000 per MNE group, the estimated compliance cost savings would amount to</w:t>
      </w:r>
      <w:r>
        <w:t xml:space="preserve"> </w:t>
      </w:r>
      <w:r>
        <w:t xml:space="preserve">approximately EUR 225 million per year (3,000 MNEs × EUR 75,000). Under a higher-cost</w:t>
      </w:r>
      <w:r>
        <w:t xml:space="preserve"> </w:t>
      </w:r>
      <w:r>
        <w:t xml:space="preserve">scenario assuming annual compliance costs of EUR 125,000 per MNE group, the estimated</w:t>
      </w:r>
      <w:r>
        <w:t xml:space="preserve"> </w:t>
      </w:r>
      <w:r>
        <w:t xml:space="preserve">savings would increase to approximately EUR 375 million per year (3,000 MNEs × EUR</w:t>
      </w:r>
      <w:r>
        <w:t xml:space="preserve"> </w:t>
      </w:r>
      <w:r>
        <w:t xml:space="preserve">125,000).</w:t>
      </w:r>
      <w:r>
        <w:t xml:space="preserve"> </w:t>
      </w:r>
      <w:r>
        <w:t xml:space="preserve">Overall, this suggests that the estimated annual compliance cost savings for Pillar 2 in-scope</w:t>
      </w:r>
      <w:r>
        <w:t xml:space="preserve"> </w:t>
      </w:r>
      <w:r>
        <w:t xml:space="preserve">entities are likely to fall within a range of approximately EUR 225 million to EUR 375</w:t>
      </w:r>
      <w:r>
        <w:t xml:space="preserve"> </w:t>
      </w:r>
      <w:r>
        <w:t xml:space="preserve">million, with EUR 300 million representing the central estimate used in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Compliance cost for companies outside of the scope of the Pillar 2 Directive.</w:t>
      </w:r>
      <w:r>
        <w:br/>
      </w:r>
      <w:r>
        <w:t xml:space="preserve">Policy option 1b extends policy option 1a by removing reporting obligations related to</w:t>
      </w:r>
      <w:r>
        <w:t xml:space="preserve"> </w:t>
      </w:r>
      <w:r>
        <w:t xml:space="preserve">generic hallmarks in Category A. According to the DAC evaluation, the average cost of</w:t>
      </w:r>
      <w:r>
        <w:t xml:space="preserve"> </w:t>
      </w:r>
      <w:r>
        <w:t xml:space="preserve">screening, assessing and reporting a DAC6 arrangement is estimated to range between EUR</w:t>
      </w:r>
      <w:r>
        <w:t xml:space="preserve"> </w:t>
      </w:r>
      <w:r>
        <w:t xml:space="preserve">3,000 and EUR 5,000 per disclosure. This range reflects the heterogeneity of reporting</w:t>
      </w:r>
      <w:r>
        <w:t xml:space="preserve"> </w:t>
      </w:r>
      <w:r>
        <w:t xml:space="preserve">obligations across different hallmarks. Some hallmarks require a more detailed assessment,</w:t>
      </w:r>
      <w:r>
        <w:t xml:space="preserve"> </w:t>
      </w:r>
      <w:r>
        <w:t xml:space="preserve">including legal and economic analysis, documentation of the underlying structure and the</w:t>
      </w:r>
      <w:r>
        <w:t xml:space="preserve"> </w:t>
      </w:r>
      <w:r>
        <w:t xml:space="preserve">preparation of comprehensive descriptions for reporting purposes. These cases often involve</w:t>
      </w:r>
      <w:r>
        <w:t xml:space="preserve"> </w:t>
      </w:r>
      <w:r>
        <w:t xml:space="preserve">significant input from tax, legal and compliance functions and may require external advisory</w:t>
      </w:r>
      <w:r>
        <w:t xml:space="preserve"> </w:t>
      </w:r>
      <w:r>
        <w:t xml:space="preserve">support. By contrast, other hallmarks are more straightforward in nature and may rely on</w:t>
      </w:r>
      <w:r>
        <w:t xml:space="preserve"> </w:t>
      </w:r>
      <w:r>
        <w:t xml:space="preserve">relatively simple criteria, in some cases amounting to binary (“yes/no”) determinations with</w:t>
      </w:r>
      <w:r>
        <w:t xml:space="preserve"> </w:t>
      </w:r>
      <w:r>
        <w:t xml:space="preserve">limited additional documentation requirements. In the case of the generic hallmarks under</w:t>
      </w:r>
      <w:r>
        <w:t xml:space="preserve"> </w:t>
      </w:r>
      <w:r>
        <w:t xml:space="preserve">Category A, which tend to involve broader and less precisely defined concepts and may</w:t>
      </w:r>
      <w:r>
        <w:t xml:space="preserve"> </w:t>
      </w:r>
      <w:r>
        <w:t xml:space="preserve">therefore require more extensive assessment and documentation, the upper bound of EUR</w:t>
      </w:r>
      <w:r>
        <w:t xml:space="preserve"> </w:t>
      </w:r>
      <w:r>
        <w:t xml:space="preserve">5,000 per disclosure is used for the purpose of the quantification to reflect their relatively</w:t>
      </w:r>
      <w:r>
        <w:t xml:space="preserve"> </w:t>
      </w:r>
      <w:r>
        <w:t xml:space="preserve">higher complexity.</w:t>
      </w:r>
      <w:r>
        <w:t xml:space="preserve"> </w:t>
      </w:r>
      <w:r>
        <w:t xml:space="preserve">For Policy Option 1b, which removes the generic hallmarks A.1, A.2(a), A.2(b) and A.3, the</w:t>
      </w:r>
      <w:r>
        <w:t xml:space="preserve"> </w:t>
      </w:r>
      <w:r>
        <w:t xml:space="preserve">estimation relies on DAC6 reporting statistics indicating that approximately 9,000</w:t>
      </w:r>
      <w:r>
        <w:t xml:space="preserve"> </w:t>
      </w:r>
      <w:r>
        <w:t xml:space="preserve">disclosures per year are associated with these A hallmarks 80.</w:t>
      </w:r>
      <w:r>
        <w:t xml:space="preserve"> </w:t>
      </w:r>
      <w:r>
        <w:t xml:space="preserve">According to the available information from Member States, approximately 8% of</w:t>
      </w:r>
      <w:r>
        <w:t xml:space="preserve"> </w:t>
      </w:r>
      <w:r>
        <w:t xml:space="preserve">disclosures are submitted by MNE groups within the scope of Pillar 2. Assuming that the</w:t>
      </w:r>
      <w:r>
        <w:t xml:space="preserve"> </w:t>
      </w:r>
      <w:r>
        <w:t xml:space="preserve">same proportion applies to the affected disclosures, 92% of those disclosures are filed by</w:t>
      </w:r>
      <w:r>
        <w:t xml:space="preserve"> </w:t>
      </w:r>
      <w:r>
        <w:t xml:space="preserve">companies outside of the scope of Pillar 2. Thus, the estimated annual compliance cost</w:t>
      </w:r>
      <w:r>
        <w:t xml:space="preserve"> </w:t>
      </w:r>
      <w:r>
        <w:t xml:space="preserve">savings for companies outside of the scope of Pillar 2 are calculated by multiplying the</w:t>
      </w:r>
      <w:r>
        <w:t xml:space="preserve"> </w:t>
      </w:r>
      <w:r>
        <w:t xml:space="preserve">number of relevant disclosures by the average cost per disclosure 81.</w:t>
      </w:r>
    </w:p>
    <w:p>
      <w:pPr>
        <w:pStyle w:val="BodyText"/>
      </w:pPr>
      <w:r>
        <w:t xml:space="preserve">80 The respective numbers of disclosures between July 2020 and December 2025, i.e. over a time horizon of roughly six years, were as</w:t>
      </w:r>
      <w:r>
        <w:t xml:space="preserve"> </w:t>
      </w:r>
      <w:r>
        <w:t xml:space="preserve">follows: A.1: 19,256, A.2(a): 672, A.2(b): 32, A.3: 33,785 (Source: DAC6 Reporting Statistics).</w:t>
      </w:r>
      <w:r>
        <w:t xml:space="preserve"> </w:t>
      </w:r>
      <w:r>
        <w:t xml:space="preserve">81 Estimates are based on disclosures associated with the relevant hallmarks. As DAC6 reports may refer to multiple hallmarks for a single</w:t>
      </w:r>
      <w:r>
        <w:t xml:space="preserve"> </w:t>
      </w:r>
      <w:r>
        <w:t xml:space="preserve">arrangement, the removal of a given hallmark does not necessarily eliminate all corresponding reports. However, the generic hallmarks</w:t>
      </w:r>
      <w:r>
        <w:t xml:space="preserve"> </w:t>
      </w:r>
      <w:r>
        <w:t xml:space="preserve">concerned are broad in scope and account for a significant share of disclosures, such that their removal is expected to eliminate most</w:t>
      </w:r>
      <w:r>
        <w:t xml:space="preserve"> </w:t>
      </w:r>
      <w:r>
        <w:t xml:space="preserve">associated reporting. Any residual reporting under more specific hallmarks is considered limited and not quantifiable. Estimates should</w:t>
      </w:r>
      <w:r>
        <w:t xml:space="preserve"> </w:t>
      </w:r>
      <w:r>
        <w:t xml:space="preserve">therefore be interpreted as indicative.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9,000 disclosures × 92% × EUR 5,000 = EUR 41.4 million (82)</w:t>
      </w:r>
      <w:r>
        <w:t xml:space="preserve"> </w:t>
      </w:r>
      <w:r>
        <w:t xml:space="preserve">Under Policy Option 1c, in addition to excluding companies within the scope of Pillar 2</w:t>
      </w:r>
      <w:r>
        <w:t xml:space="preserve"> </w:t>
      </w:r>
      <w:r>
        <w:t xml:space="preserve">from DAC6 reporting (Policy Option 1a), the MBT would be removed from the remaining</w:t>
      </w:r>
      <w:r>
        <w:t xml:space="preserve"> </w:t>
      </w:r>
      <w:r>
        <w:t xml:space="preserve">hallmarks currently subject to it, notably those in Category B and certain hallmarks in</w:t>
      </w:r>
      <w:r>
        <w:t xml:space="preserve"> </w:t>
      </w:r>
      <w:r>
        <w:t xml:space="preserve">Category C.</w:t>
      </w:r>
      <w:r>
        <w:t xml:space="preserve"> </w:t>
      </w:r>
      <w:r>
        <w:t xml:space="preserve">The impact of this change on disclosure volumes cannot be robustly quantified. There is no</w:t>
      </w:r>
      <w:r>
        <w:t xml:space="preserve"> </w:t>
      </w:r>
      <w:r>
        <w:t xml:space="preserve">historical evidence in which identical hallmarks have alternated between being subject to</w:t>
      </w:r>
      <w:r>
        <w:t xml:space="preserve"> </w:t>
      </w:r>
      <w:r>
        <w:t xml:space="preserve">and exempt from the MBT, which would be necessary to isolate its effect on reporting</w:t>
      </w:r>
      <w:r>
        <w:t xml:space="preserve"> </w:t>
      </w:r>
      <w:r>
        <w:t xml:space="preserve">behaviour. Alternative attempts to approximate the impact using comparisons between</w:t>
      </w:r>
      <w:r>
        <w:t xml:space="preserve"> </w:t>
      </w:r>
      <w:r>
        <w:t xml:space="preserve">different hallmarks are subject to significant limitations, as differences in disclosure</w:t>
      </w:r>
      <w:r>
        <w:t xml:space="preserve"> </w:t>
      </w:r>
      <w:r>
        <w:t xml:space="preserve">volumes across hallmarks are primarily driven by differences in their scope rather than by</w:t>
      </w:r>
      <w:r>
        <w:t xml:space="preserve"> </w:t>
      </w:r>
      <w:r>
        <w:t xml:space="preserve">the presence or absence of the MBT.</w:t>
      </w:r>
      <w:r>
        <w:t xml:space="preserve"> </w:t>
      </w:r>
      <w:r>
        <w:t xml:space="preserve">In the absence of reliable empirical evidence and given the methodological limitations</w:t>
      </w:r>
      <w:r>
        <w:t xml:space="preserve"> </w:t>
      </w:r>
      <w:r>
        <w:t xml:space="preserve">outlined above, no quantitative estimate of the impact on disclosure volumes or compliance</w:t>
      </w:r>
      <w:r>
        <w:t xml:space="preserve"> </w:t>
      </w:r>
      <w:r>
        <w:t xml:space="preserve">costs is provided.</w:t>
      </w:r>
      <w:r>
        <w:t xml:space="preserve"> </w:t>
      </w:r>
      <w:r>
        <w:t xml:space="preserve">2. DAC7 (Measure 2)</w:t>
      </w:r>
      <w:r>
        <w:t xml:space="preserve"> </w:t>
      </w:r>
      <w:r>
        <w:t xml:space="preserve">The quantification of compliance cost under Measure 2 is based on an approximation of</w:t>
      </w:r>
      <w:r>
        <w:t xml:space="preserve"> </w:t>
      </w:r>
      <w:r>
        <w:t xml:space="preserve">recurrent reporting costs incurred by platform operators and the estimated reduction in the</w:t>
      </w:r>
      <w:r>
        <w:t xml:space="preserve"> </w:t>
      </w:r>
      <w:r>
        <w:t xml:space="preserve">number of reportable sellers under the alternative threshold options.</w:t>
      </w:r>
      <w:r>
        <w:t xml:space="preserve"> </w:t>
      </w:r>
      <w:r>
        <w:t xml:space="preserve">According to DAC statistics (83), there were approximately 52,000 platforms operating in</w:t>
      </w:r>
      <w:r>
        <w:t xml:space="preserve"> </w:t>
      </w:r>
      <w:r>
        <w:t xml:space="preserve">the EU in 2024, reporting information on around 5 million sellers. Evidence from the Impact</w:t>
      </w:r>
      <w:r>
        <w:t xml:space="preserve"> </w:t>
      </w:r>
      <w:r>
        <w:t xml:space="preserve">Assessment on “Tax fraud and evasion – better cooperation between national tax authorities</w:t>
      </w:r>
      <w:r>
        <w:t xml:space="preserve"> </w:t>
      </w:r>
      <w:r>
        <w:t xml:space="preserve">on exchanging information” (84), provides an estimate of EUR 50,000 in recurrent annual</w:t>
      </w:r>
      <w:r>
        <w:t xml:space="preserve"> </w:t>
      </w:r>
      <w:r>
        <w:t xml:space="preserve">compliance costs incurred by platform operators to operate reporting systems under the</w:t>
      </w:r>
      <w:r>
        <w:t xml:space="preserve"> </w:t>
      </w:r>
      <w:r>
        <w:t xml:space="preserve">DAC framework (85).</w:t>
      </w:r>
      <w:r>
        <w:br/>
      </w:r>
      <w:r>
        <w:t xml:space="preserve">However, the reporting systems used by platform operators typically also serve multiple</w:t>
      </w:r>
      <w:r>
        <w:t xml:space="preserve"> </w:t>
      </w:r>
      <w:r>
        <w:t xml:space="preserve">regulatory and tax-related purposes beyond DAC7, including other DAC obligations (where</w:t>
      </w:r>
      <w:r>
        <w:t xml:space="preserve"> </w:t>
      </w:r>
      <w:r>
        <w:t xml:space="preserve">applicable) and, in some cases, requirements linked to other tax or regulatory frameworks</w:t>
      </w:r>
      <w:r>
        <w:t xml:space="preserve"> </w:t>
      </w:r>
      <w:r>
        <w:t xml:space="preserve">such as digital services taxation. As a result, only a share of the overall system costs can</w:t>
      </w:r>
      <w:r>
        <w:t xml:space="preserve"> </w:t>
      </w:r>
      <w:r>
        <w:t xml:space="preserve">reasonably be attributed specifically to DAC7. At the same time, DAC7 often constitutes</w:t>
      </w:r>
      <w:r>
        <w:t xml:space="preserve"> </w:t>
      </w:r>
      <w:r>
        <w:t xml:space="preserve">the primary reporting obligation for platform operators, suggesting that its cost share is non-</w:t>
      </w:r>
      <w:r>
        <w:t xml:space="preserve"> </w:t>
      </w:r>
      <w:r>
        <w:t xml:space="preserve">negligible. On this basis and considering both multi-purpose use and the central role of</w:t>
      </w:r>
      <w:r>
        <w:t xml:space="preserve"> </w:t>
      </w:r>
      <w:r>
        <w:t xml:space="preserve">DAC7 for platforms, a working assumption of 30% of recurrent reporting system costs being</w:t>
      </w:r>
    </w:p>
    <w:p>
      <w:pPr>
        <w:pStyle w:val="BodyText"/>
      </w:pPr>
      <w:r>
        <w:t xml:space="preserve">82 The DAC Evaluation does not separately isolate costs for this specific group. Instead, it reports costs for “small-scale MNEs” of</w:t>
      </w:r>
      <w:r>
        <w:t xml:space="preserve"> </w:t>
      </w:r>
      <w:r>
        <w:t xml:space="preserve">approximately EUR 20 million, while grouping larger non-Pillar 2 MNEs together with the largest MNE categories (Evaluation of the</w:t>
      </w:r>
      <w:r>
        <w:t xml:space="preserve"> </w:t>
      </w:r>
      <w:r>
        <w:t xml:space="preserve">Directive 2011/16 and its amendments, Final Report, Table 32, p. 149). Given that compliance costs for larger firms are substantially</w:t>
      </w:r>
      <w:r>
        <w:t xml:space="preserve"> </w:t>
      </w:r>
      <w:r>
        <w:t xml:space="preserve">higher than for small-scale MNEs, the implied costs for all non-Pillar 2 firms combined would likely exceed EUR 20 million and move</w:t>
      </w:r>
      <w:r>
        <w:t xml:space="preserve"> </w:t>
      </w:r>
      <w:r>
        <w:t xml:space="preserve">closer to the EUR 40 million estimated in the present impact assessment.</w:t>
      </w:r>
      <w:r>
        <w:t xml:space="preserve"> </w:t>
      </w:r>
      <w:r>
        <w:t xml:space="preserve">83 DAC7 Statistical Reporting – EU Statistics 2025.</w:t>
      </w:r>
      <w:r>
        <w:t xml:space="preserve"> </w:t>
      </w:r>
      <w:r>
        <w:t xml:space="preserve">84 European Commission, Impact Assessment – Tax fraud and evasion – better cooperation between national tax authorities on exchanging</w:t>
      </w:r>
      <w:r>
        <w:t xml:space="preserve"> </w:t>
      </w:r>
      <w:r>
        <w:t xml:space="preserve">information, 2020.</w:t>
      </w:r>
      <w:r>
        <w:t xml:space="preserve"> </w:t>
      </w:r>
      <w:r>
        <w:t xml:space="preserve">85 Available evidence from Eurostat indicates that prices in the relevant category “Information and communication (equipment)” have</w:t>
      </w:r>
      <w:r>
        <w:t xml:space="preserve"> </w:t>
      </w:r>
      <w:r>
        <w:t xml:space="preserve">remained broadly stable, if not slightly declining, over the period 2018–2025. This suggests that the EUR 50,000 estimate remains a</w:t>
      </w:r>
      <w:r>
        <w:t xml:space="preserve"> </w:t>
      </w:r>
      <w:r>
        <w:t xml:space="preserve">reasonable proxy in current prices. The report will include a reference to this evidence to justify the continued use of this figure.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attributable to DAC7 is applied. This results in estimated annual DAC7-related compliance</w:t>
      </w:r>
      <w:r>
        <w:t xml:space="preserve"> </w:t>
      </w:r>
      <w:r>
        <w:t xml:space="preserve">costs of 52,000 × EUR 50,000 × 30% = EUR 780 million.</w:t>
      </w:r>
      <w:r>
        <w:t xml:space="preserve"> </w:t>
      </w:r>
      <w:r>
        <w:t xml:space="preserve">With regard to the overall number of sellers active on platforms, no harmonised EU-wide</w:t>
      </w:r>
      <w:r>
        <w:t xml:space="preserve"> </w:t>
      </w:r>
      <w:r>
        <w:t xml:space="preserve">data are currently available. The analysis therefore relies on survey-based evidence from</w:t>
      </w:r>
      <w:r>
        <w:t xml:space="preserve"> </w:t>
      </w:r>
      <w:r>
        <w:t xml:space="preserve">Sweden as a benchmark. A representative household survey indicates that approximately</w:t>
      </w:r>
      <w:r>
        <w:t xml:space="preserve"> </w:t>
      </w:r>
      <w:r>
        <w:t xml:space="preserve">one in four individuals aged 16 and above sold goods or services via an online platform in</w:t>
      </w:r>
      <w:r>
        <w:t xml:space="preserve"> </w:t>
      </w:r>
      <w:r>
        <w:t xml:space="preserve">2024 (86). When extended to the total population, this corresponds to roughly 20% of the</w:t>
      </w:r>
      <w:r>
        <w:t xml:space="preserve"> </w:t>
      </w:r>
      <w:r>
        <w:t xml:space="preserve">population, or approximately 2.1 million individuals. This estimate is particularly relevant</w:t>
      </w:r>
      <w:r>
        <w:t xml:space="preserve"> </w:t>
      </w:r>
      <w:r>
        <w:t xml:space="preserve">for the present analysis, as the Swedish platform economy is predominantly goods-based,</w:t>
      </w:r>
      <w:r>
        <w:t xml:space="preserve"> </w:t>
      </w:r>
      <w:r>
        <w:t xml:space="preserve">with major platforms such as Blocket, Tradera and eBay focusing on the sale of second-</w:t>
      </w:r>
      <w:r>
        <w:t xml:space="preserve"> </w:t>
      </w:r>
      <w:r>
        <w:t xml:space="preserve">hand goods.</w:t>
      </w:r>
      <w:r>
        <w:t xml:space="preserve"> </w:t>
      </w:r>
      <w:r>
        <w:t xml:space="preserve">At the same time, the Swedish Tax Agency estimates that approximately 400,000 sellers</w:t>
      </w:r>
      <w:r>
        <w:t xml:space="preserve"> </w:t>
      </w:r>
      <w:r>
        <w:t xml:space="preserve">were reportable under DAC7 in 2024. This implies that around 19% of all platform sellers</w:t>
      </w:r>
      <w:r>
        <w:t xml:space="preserve"> </w:t>
      </w:r>
      <w:r>
        <w:t xml:space="preserve">fall within the current DAC7 reporting scope in Sweden.</w:t>
      </w:r>
      <w:r>
        <w:t xml:space="preserve"> </w:t>
      </w:r>
      <w:r>
        <w:t xml:space="preserve">This evidence is used as a basis to approximate the total number of platform sellers in the</w:t>
      </w:r>
      <w:r>
        <w:t xml:space="preserve"> </w:t>
      </w:r>
      <w:r>
        <w:t xml:space="preserve">EU through extrapolation. To account for differences in digital uptake across Member</w:t>
      </w:r>
      <w:r>
        <w:t xml:space="preserve"> </w:t>
      </w:r>
      <w:r>
        <w:t xml:space="preserve">States, countries are grouped into three terciles based on internet usage. For the tercile with</w:t>
      </w:r>
      <w:r>
        <w:t xml:space="preserve"> </w:t>
      </w:r>
      <w:r>
        <w:t xml:space="preserve">the highest level of internet usage (87), it is assumed that 20% of the overall population</w:t>
      </w:r>
      <w:r>
        <w:t xml:space="preserve"> </w:t>
      </w:r>
      <w:r>
        <w:t xml:space="preserve">engages in platform selling, consistent with the Swedish benchmark. For the middle tercile</w:t>
      </w:r>
      <w:r>
        <w:t xml:space="preserve"> </w:t>
      </w:r>
      <w:r>
        <w:t xml:space="preserve">(88), a share of 16% is assumed, and for the lowest tercile (89), 12%.</w:t>
      </w:r>
      <w:r>
        <w:t xml:space="preserve"> </w:t>
      </w:r>
      <w:r>
        <w:t xml:space="preserve">Applying these shares to the 2024 EU population results in an estimated total of</w:t>
      </w:r>
      <w:r>
        <w:t xml:space="preserve"> </w:t>
      </w:r>
      <w:r>
        <w:t xml:space="preserve">approximately 71 million individuals selling goods or services via platforms. Assuming that</w:t>
      </w:r>
      <w:r>
        <w:t xml:space="preserve"> </w:t>
      </w:r>
      <w:r>
        <w:t xml:space="preserve">the proportion of reportable sellers among all sellers is broadly comparable to the Swedish</w:t>
      </w:r>
      <w:r>
        <w:t xml:space="preserve"> </w:t>
      </w:r>
      <w:r>
        <w:t xml:space="preserve">case (19%), this implies that approximately 13.5 million sellers are currently reportable</w:t>
      </w:r>
      <w:r>
        <w:t xml:space="preserve"> </w:t>
      </w:r>
      <w:r>
        <w:t xml:space="preserve">under DAC7, while around 57.5 million sellers (81% of all sellers) fall below the current</w:t>
      </w:r>
      <w:r>
        <w:t xml:space="preserve"> </w:t>
      </w:r>
      <w:r>
        <w:t xml:space="preserve">reporting thresholds.</w:t>
      </w:r>
      <w:r>
        <w:t xml:space="preserve"> </w:t>
      </w:r>
      <w:r>
        <w:t xml:space="preserve">Dividing the estimated total DAC7-related compliance costs by the number of reportable</w:t>
      </w:r>
      <w:r>
        <w:t xml:space="preserve"> </w:t>
      </w:r>
      <w:r>
        <w:t xml:space="preserve">sellers yields an indicative per-seller compliance cost of approximately EUR 780 million ÷</w:t>
      </w:r>
      <w:r>
        <w:t xml:space="preserve"> </w:t>
      </w:r>
      <w:r>
        <w:t xml:space="preserve">13.5 million ≈ EUR 60 per reported seller.</w:t>
      </w:r>
      <w:r>
        <w:t xml:space="preserve"> </w:t>
      </w:r>
      <w:r>
        <w:t xml:space="preserve">To reflect uncertainty in both the allocation of system costs to DAC7 and the estimation of</w:t>
      </w:r>
      <w:r>
        <w:t xml:space="preserve"> </w:t>
      </w:r>
      <w:r>
        <w:t xml:space="preserve">the reportable seller base, a sensitivity range is applied, resulting in a per-seller cost of EUR</w:t>
      </w:r>
      <w:r>
        <w:t xml:space="preserve"> </w:t>
      </w:r>
      <w:r>
        <w:t xml:space="preserve">40 (low scenario), EUR 60 (central scenario) and EUR 80 (high scenario).</w:t>
      </w:r>
      <w:r>
        <w:t xml:space="preserve"> </w:t>
      </w:r>
      <w:r>
        <w:t xml:space="preserve">Note that DAC7 covers several categories of reportable activities, including immovable</w:t>
      </w:r>
      <w:r>
        <w:t xml:space="preserve"> </w:t>
      </w:r>
      <w:r>
        <w:t xml:space="preserve">property, transport, personal services and the sale of goods. Due to limited data availability,</w:t>
      </w:r>
      <w:r>
        <w:t xml:space="preserve"> </w:t>
      </w:r>
      <w:r>
        <w:t xml:space="preserve">the analysis does not distinguish between these categories, and in particular does not allow</w:t>
      </w:r>
      <w:r>
        <w:t xml:space="preserve"> </w:t>
      </w:r>
      <w:r>
        <w:t xml:space="preserve">for an identification of the share of sellers engaged in the sale of goods, to which the</w:t>
      </w:r>
      <w:r>
        <w:t xml:space="preserve"> </w:t>
      </w:r>
      <w:r>
        <w:t xml:space="preserve">reporting threshold applies. Empirical evidence from France, a relatively service-oriented</w:t>
      </w:r>
      <w:r>
        <w:t xml:space="preserve"> </w:t>
      </w:r>
      <w:r>
        <w:t xml:space="preserve">market (e.g. short-term accommodation platforms), suggests that the split between goods</w:t>
      </w:r>
    </w:p>
    <w:p>
      <w:pPr>
        <w:pStyle w:val="BodyText"/>
      </w:pPr>
      <w:r>
        <w:t xml:space="preserve">86 Befolkningens it-användning 2024, E-handel, Statistics Sweden.</w:t>
      </w:r>
      <w:r>
        <w:br/>
      </w:r>
      <w:r>
        <w:t xml:space="preserve">87 The first tercile (highest internet usage) comprises the following Member States: Austria, Belgium, Spain, Finland, Sweden,</w:t>
      </w:r>
      <w:r>
        <w:t xml:space="preserve"> </w:t>
      </w:r>
      <w:r>
        <w:t xml:space="preserve">Luxembourg, Ireland, the Netherlands and Denmark.</w:t>
      </w:r>
      <w:r>
        <w:t xml:space="preserve"> </w:t>
      </w:r>
      <w:r>
        <w:t xml:space="preserve">88 The second tercile (medium level of internet usage) comprises the following Member States: Estonia, Malta, Latvia, Romania, Hungary,</w:t>
      </w:r>
      <w:r>
        <w:t xml:space="preserve"> </w:t>
      </w:r>
      <w:r>
        <w:t xml:space="preserve">Czechia, Germany, Cyprus and France.</w:t>
      </w:r>
      <w:r>
        <w:t xml:space="preserve"> </w:t>
      </w:r>
      <w:r>
        <w:t xml:space="preserve">89 The third tercile (lowest level of internet usage) comprises the following Member States: Croatia, Greece, Bulgaria, Portugal, Lithuania,</w:t>
      </w:r>
      <w:r>
        <w:t xml:space="preserve"> </w:t>
      </w:r>
      <w:r>
        <w:t xml:space="preserve">Poland, Italy, Slovenia and Slovakia.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and services is broadly balanced (around 50/50 in value terms) (90). In other Member States,</w:t>
      </w:r>
      <w:r>
        <w:t xml:space="preserve"> </w:t>
      </w:r>
      <w:r>
        <w:t xml:space="preserve">such as Sweden, the composition is expected to be more skewed towards goods-based</w:t>
      </w:r>
      <w:r>
        <w:t xml:space="preserve"> </w:t>
      </w:r>
      <w:r>
        <w:t xml:space="preserve">activities. Accordingly, the estimates should be interpreted as indicative and may represent</w:t>
      </w:r>
      <w:r>
        <w:t xml:space="preserve"> </w:t>
      </w:r>
      <w:r>
        <w:t xml:space="preserve">an upper-bound approximation.</w:t>
      </w:r>
      <w:r>
        <w:t xml:space="preserve"> </w:t>
      </w:r>
      <w:r>
        <w:t xml:space="preserve">Policy option 2a – Removal of the activity threshold</w:t>
      </w:r>
      <w:r>
        <w:t xml:space="preserve"> </w:t>
      </w:r>
      <w:r>
        <w:t xml:space="preserve">Under the current rules, sellers must be reported if they either exceed 30 transactions or</w:t>
      </w:r>
      <w:r>
        <w:t xml:space="preserve"> </w:t>
      </w:r>
      <w:r>
        <w:t xml:space="preserve">receive more than EUR 2,000 in annual consideration (see illustration below). Option 2a</w:t>
      </w:r>
      <w:r>
        <w:t xml:space="preserve"> </w:t>
      </w:r>
      <w:r>
        <w:t xml:space="preserve">removes the activity threshold while maintaining the monetary threshold.</w:t>
      </w:r>
    </w:p>
    <w:p>
      <w:pPr>
        <w:pStyle w:val="BodyText"/>
      </w:pPr>
      <w:r>
        <w:t xml:space="preserve">According to information collected from some mayor platforms in the EU, approximately</w:t>
      </w:r>
      <w:r>
        <w:t xml:space="preserve"> </w:t>
      </w:r>
      <w:r>
        <w:t xml:space="preserve">79% of the reportable sellers are reported solely due to exceeding the 30-transaction</w:t>
      </w:r>
      <w:r>
        <w:t xml:space="preserve"> </w:t>
      </w:r>
      <w:r>
        <w:t xml:space="preserve">threshold while remaining below the EUR 2,000 monetary threshold.</w:t>
      </w:r>
      <w:r>
        <w:t xml:space="preserve"> </w:t>
      </w:r>
      <w:r>
        <w:t xml:space="preserve">Applying this share to the population of reported sellers of 13.5 million sellers implies that</w:t>
      </w:r>
      <w:r>
        <w:t xml:space="preserve"> </w:t>
      </w:r>
      <w:r>
        <w:t xml:space="preserve">approximately 10.7 million sellers per year (13.5 million sellers × 79%) would fall out of</w:t>
      </w:r>
      <w:r>
        <w:t xml:space="preserve"> </w:t>
      </w:r>
      <w:r>
        <w:t xml:space="preserve">scope under Policy option 2a.</w:t>
      </w:r>
      <w:r>
        <w:t xml:space="preserve"> </w:t>
      </w:r>
      <w:r>
        <w:t xml:space="preserve">The associated compliance cost savings are estimated as follows:</w:t>
      </w:r>
      <w:r>
        <w:t xml:space="preserve"> </w:t>
      </w:r>
      <w:r>
        <w:t xml:space="preserve">Low-cost scenario: 10.7 million sellers × EUR 40 = EUR 428 million</w:t>
      </w:r>
      <w:r>
        <w:t xml:space="preserve"> </w:t>
      </w:r>
      <w:r>
        <w:t xml:space="preserve">Central scenario: 10.7 million sellers × EUR 60 = EUR 642 million</w:t>
      </w:r>
      <w:r>
        <w:t xml:space="preserve"> </w:t>
      </w:r>
      <w:r>
        <w:t xml:space="preserve">High-cost scenario: 10.7 million sellers × EUR 80 = EUR 856 million</w:t>
      </w:r>
      <w:r>
        <w:t xml:space="preserve"> </w:t>
      </w:r>
      <w:r>
        <w:t xml:space="preserve">Policy option 2b – Removal of the activity threshold and increase of the monetary</w:t>
      </w:r>
      <w:r>
        <w:t xml:space="preserve"> </w:t>
      </w:r>
      <w:r>
        <w:t xml:space="preserve">threshold to EUR 3,000</w:t>
      </w:r>
      <w:r>
        <w:t xml:space="preserve"> </w:t>
      </w:r>
      <w:r>
        <w:t xml:space="preserve">Policy Option 2b removes the activity threshold and increases the monetary threshold from</w:t>
      </w:r>
      <w:r>
        <w:t xml:space="preserve"> </w:t>
      </w:r>
      <w:r>
        <w:t xml:space="preserve">EUR 2,000 to EUR 3,000.</w:t>
      </w:r>
    </w:p>
    <w:p>
      <w:pPr>
        <w:pStyle w:val="BodyText"/>
      </w:pPr>
      <w:r>
        <w:t xml:space="preserve">90 Statistique publique de la fiscalité, “Près de 40 Md€ de ventes sur les plateformes en 2022 : une diversité de profils de vendeurs”, DGFIP</w:t>
      </w:r>
      <w:r>
        <w:t xml:space="preserve"> </w:t>
      </w:r>
      <w:r>
        <w:t xml:space="preserve">Analyses N° 09.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Evidence from stakeholders’ consultation 91 suggest that the share of non-reportable sellers</w:t>
      </w:r>
      <w:r>
        <w:t xml:space="preserve"> </w:t>
      </w:r>
      <w:r>
        <w:t xml:space="preserve">is estimated to increase from approximately 81% under the current framework to around</w:t>
      </w:r>
      <w:r>
        <w:t xml:space="preserve"> </w:t>
      </w:r>
      <w:r>
        <w:t xml:space="preserve">97% under Option 2b, corresponding to an increase of about 16 percentage points. Applied</w:t>
      </w:r>
      <w:r>
        <w:t xml:space="preserve"> </w:t>
      </w:r>
      <w:r>
        <w:t xml:space="preserve">to an estimated seller population of 71 million, this implies that approximately 11.3 million</w:t>
      </w:r>
      <w:r>
        <w:t xml:space="preserve"> </w:t>
      </w:r>
      <w:r>
        <w:t xml:space="preserve">sellers (71 million sellers × 16%) would fall out of scope compared to the status quo.</w:t>
      </w:r>
      <w:r>
        <w:br/>
      </w:r>
      <w:r>
        <w:t xml:space="preserve">The associated compliance cost savings are estimated as follows:</w:t>
      </w:r>
      <w:r>
        <w:t xml:space="preserve"> </w:t>
      </w:r>
      <w:r>
        <w:t xml:space="preserve">Low-cost scenario: 11.3 million sellers × EUR 40 = EUR 452 million</w:t>
      </w:r>
      <w:r>
        <w:t xml:space="preserve"> </w:t>
      </w:r>
      <w:r>
        <w:t xml:space="preserve">Central scenario: 11.3 million sellers × EUR 60 = EUR 678 million</w:t>
      </w:r>
      <w:r>
        <w:t xml:space="preserve"> </w:t>
      </w:r>
      <w:r>
        <w:t xml:space="preserve">High-cost scenario: 11.3 million sellers × EUR 80 = EUR 904 million</w:t>
      </w:r>
      <w:r>
        <w:t xml:space="preserve"> </w:t>
      </w:r>
      <w:r>
        <w:t xml:space="preserve">Policy option 2c – Removal of the activity threshold and increase of the monetary</w:t>
      </w:r>
      <w:r>
        <w:t xml:space="preserve"> </w:t>
      </w:r>
      <w:r>
        <w:t xml:space="preserve">threshold to EUR 5,000</w:t>
      </w:r>
      <w:r>
        <w:t xml:space="preserve"> </w:t>
      </w:r>
      <w:r>
        <w:t xml:space="preserve">Policy option 2c removes the activity threshold and increases the monetary threshold from</w:t>
      </w:r>
      <w:r>
        <w:t xml:space="preserve"> </w:t>
      </w:r>
      <w:r>
        <w:t xml:space="preserve">EUR 2,000 to EUR 5,000.</w:t>
      </w:r>
      <w:r>
        <w:t xml:space="preserve"> </w:t>
      </w:r>
      <w:r>
        <w:t xml:space="preserve">Under this option approximately 98% of sellers would fall below the reporting threshold,</w:t>
      </w:r>
      <w:r>
        <w:t xml:space="preserve"> </w:t>
      </w:r>
      <w:r>
        <w:t xml:space="preserve">compared with approximately 81% under the current framework, according to information</w:t>
      </w:r>
      <w:r>
        <w:t xml:space="preserve"> </w:t>
      </w:r>
      <w:r>
        <w:t xml:space="preserve">collected from affected platform companies. This implies an increase of roughly 17</w:t>
      </w:r>
      <w:r>
        <w:t xml:space="preserve"> </w:t>
      </w:r>
      <w:r>
        <w:t xml:space="preserve">percentage points in the share of non-reportable sellers. This is based on information</w:t>
      </w:r>
      <w:r>
        <w:t xml:space="preserve"> </w:t>
      </w:r>
      <w:r>
        <w:t xml:space="preserve">obtained through stakeholder consultations, in particular from major platform operators in</w:t>
      </w:r>
      <w:r>
        <w:t xml:space="preserve"> </w:t>
      </w:r>
      <w:r>
        <w:t xml:space="preserve">the EU. These operators provided detailed simulations on the distribution of sellers across</w:t>
      </w:r>
      <w:r>
        <w:t xml:space="preserve"> </w:t>
      </w:r>
      <w:r>
        <w:t xml:space="preserve">different thresholds and the corresponding number of sellers that would fall out of scope</w:t>
      </w:r>
      <w:r>
        <w:t xml:space="preserve"> </w:t>
      </w:r>
      <w:r>
        <w:t xml:space="preserve">under alternative policy scenarios. This evidence was used to calibrate the estimates.</w:t>
      </w:r>
      <w:r>
        <w:t xml:space="preserve"> </w:t>
      </w:r>
      <w:r>
        <w:t xml:space="preserve">Applying this change to the seller population of 71 million sellers results in an estimated</w:t>
      </w:r>
      <w:r>
        <w:t xml:space="preserve"> </w:t>
      </w:r>
      <w:r>
        <w:t xml:space="preserve">reduction of approximately 12.1 million reported sellers per year (71 million sellers × 17%).</w:t>
      </w:r>
      <w:r>
        <w:t xml:space="preserve"> </w:t>
      </w:r>
      <w:r>
        <w:t xml:space="preserve">The associated compliance cost savings are estimated as follows:</w:t>
      </w:r>
      <w:r>
        <w:t xml:space="preserve"> </w:t>
      </w:r>
      <w:r>
        <w:t xml:space="preserve">Low-cost scenario: 12.1 million sellers × EUR 40 = EUR 484 million</w:t>
      </w:r>
      <w:r>
        <w:t xml:space="preserve"> </w:t>
      </w:r>
      <w:r>
        <w:t xml:space="preserve">Central scenario: 12.1 million sellers × EUR 60 = EUR 726 million</w:t>
      </w:r>
      <w:r>
        <w:t xml:space="preserve"> </w:t>
      </w:r>
      <w:r>
        <w:t xml:space="preserve">High-cost scenario: 12.1 million sellers × EUR 80 = EUR 968 million</w:t>
      </w:r>
      <w:r>
        <w:t xml:space="preserve"> </w:t>
      </w:r>
      <w:r>
        <w:t xml:space="preserve">3. DAC4 and DAC9 (Measure 3)</w:t>
      </w:r>
      <w:r>
        <w:t xml:space="preserve"> </w:t>
      </w:r>
      <w:r>
        <w:t xml:space="preserve">The current framework gives rise to a clear duplication of compliance costs for MNE groups,</w:t>
      </w:r>
      <w:r>
        <w:t xml:space="preserve"> </w:t>
      </w:r>
      <w:r>
        <w:t xml:space="preserve">stemming from overlapping notification requirements under DAC4 and DAC9. In practice,</w:t>
      </w:r>
      <w:r>
        <w:t xml:space="preserve"> </w:t>
      </w:r>
      <w:r>
        <w:t xml:space="preserve">constituent entities within an MNE group are required to submit separate notifications</w:t>
      </w:r>
      <w:r>
        <w:t xml:space="preserve"> </w:t>
      </w:r>
      <w:r>
        <w:t xml:space="preserve">identifying the reporting entity responsible for filing group-level information under each</w:t>
      </w:r>
      <w:r>
        <w:t xml:space="preserve"> </w:t>
      </w:r>
      <w:r>
        <w:t xml:space="preserve">framework, despite the fact that these notifications largely concern the same underlying</w:t>
      </w:r>
      <w:r>
        <w:t xml:space="preserve"> </w:t>
      </w:r>
      <w:r>
        <w:t xml:space="preserve">information. Differences in scope, timing and national implementation mean that these</w:t>
      </w:r>
      <w:r>
        <w:t xml:space="preserve"> </w:t>
      </w:r>
      <w:r>
        <w:t xml:space="preserve">notifications cannot be consolidated, requiring companies to establish parallel internal</w:t>
      </w:r>
    </w:p>
    <w:p>
      <w:pPr>
        <w:pStyle w:val="BodyText"/>
      </w:pPr>
      <w:r>
        <w:t xml:space="preserve">91 Data are available for thresholds at EUR 2,000, EUR 5,000 and EUR 10,000. These were used to approximate the intermediate value</w:t>
      </w:r>
      <w:r>
        <w:t xml:space="preserve"> </w:t>
      </w:r>
      <w:r>
        <w:t xml:space="preserve">by applying a non-linear interpolation, reflecting the fact that the share of exempted sellers increases at a decreasing rate and gradually</w:t>
      </w:r>
      <w:r>
        <w:t xml:space="preserve"> </w:t>
      </w:r>
      <w:r>
        <w:t xml:space="preserve">converges towards 100% at higher thresholds.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processes for data collection and submission. As a result, MNE groups must devote</w:t>
      </w:r>
      <w:r>
        <w:t xml:space="preserve"> </w:t>
      </w:r>
      <w:r>
        <w:t xml:space="preserve">additional administrative resources to monitor multiple reporting obligations across</w:t>
      </w:r>
      <w:r>
        <w:t xml:space="preserve"> </w:t>
      </w:r>
      <w:r>
        <w:t xml:space="preserve">jurisdictions, often involving repeated coordination across the group structure for essentially</w:t>
      </w:r>
      <w:r>
        <w:t xml:space="preserve"> </w:t>
      </w:r>
      <w:r>
        <w:t xml:space="preserve">identical information. This duplication increases compliance costs and creates unnecessary</w:t>
      </w:r>
      <w:r>
        <w:t xml:space="preserve"> </w:t>
      </w:r>
      <w:r>
        <w:t xml:space="preserve">complexity, without generating corresponding additional benefits for tax administrations.</w:t>
      </w:r>
      <w:r>
        <w:t xml:space="preserve"> </w:t>
      </w:r>
      <w:r>
        <w:t xml:space="preserve">Policy Option 3a introduces a single harmonised notification requirement covering both</w:t>
      </w:r>
      <w:r>
        <w:t xml:space="preserve"> </w:t>
      </w:r>
      <w:r>
        <w:t xml:space="preserve">DAC4 and DAC9. The estimation is based on the number of MNE entities currently required</w:t>
      </w:r>
      <w:r>
        <w:t xml:space="preserve"> </w:t>
      </w:r>
      <w:r>
        <w:t xml:space="preserve">to submit such notifications and on assumptions regarding the staff time required to prepare</w:t>
      </w:r>
      <w:r>
        <w:t xml:space="preserve"> </w:t>
      </w:r>
      <w:r>
        <w:t xml:space="preserve">them.</w:t>
      </w:r>
      <w:r>
        <w:t xml:space="preserve"> </w:t>
      </w:r>
      <w:r>
        <w:t xml:space="preserve">Under the current framework, each constituent entity is required to submit a DAC4</w:t>
      </w:r>
      <w:r>
        <w:t xml:space="preserve"> </w:t>
      </w:r>
      <w:r>
        <w:t xml:space="preserve">notification identifying the reporting entity within the group and the jurisdiction where the</w:t>
      </w:r>
      <w:r>
        <w:t xml:space="preserve"> </w:t>
      </w:r>
      <w:r>
        <w:t xml:space="preserve">Country-by-Country report will be filed. This requires internal coordination to gather the</w:t>
      </w:r>
      <w:r>
        <w:t xml:space="preserve"> </w:t>
      </w:r>
      <w:r>
        <w:t xml:space="preserve">relevant information, communicate across the group structure and prepare and report the</w:t>
      </w:r>
      <w:r>
        <w:t xml:space="preserve"> </w:t>
      </w:r>
      <w:r>
        <w:t xml:space="preserve">notification; according to information from stakeholders, it can be assumed that these</w:t>
      </w:r>
      <w:r>
        <w:t xml:space="preserve"> </w:t>
      </w:r>
      <w:r>
        <w:t xml:space="preserve">activities require approximately 28 hours per entity per year.</w:t>
      </w:r>
      <w:r>
        <w:t xml:space="preserve"> </w:t>
      </w:r>
      <w:r>
        <w:t xml:space="preserve">Applying average EU labour costs for the sector “Accounting, bookkeeping and auditing</w:t>
      </w:r>
      <w:r>
        <w:t xml:space="preserve"> </w:t>
      </w:r>
      <w:r>
        <w:t xml:space="preserve">activities; tax consultancy”, the estimated labour cost of preparing a notification corresponds</w:t>
      </w:r>
      <w:r>
        <w:t xml:space="preserve"> </w:t>
      </w:r>
      <w:r>
        <w:t xml:space="preserve">to approximately EUR 1,270 per entity.</w:t>
      </w:r>
      <w:r>
        <w:t xml:space="preserve"> </w:t>
      </w:r>
      <w:r>
        <w:t xml:space="preserve">Available information from the company level database ORBIS indicates that approximately</w:t>
      </w:r>
      <w:r>
        <w:t xml:space="preserve"> </w:t>
      </w:r>
      <w:r>
        <w:t xml:space="preserve">4,700 MNE groups worldwide meet the relevant DAC4 and DAC9 reporting thresholds, i.e. </w:t>
      </w:r>
      <w:r>
        <w:t xml:space="preserve"> </w:t>
      </w:r>
      <w:r>
        <w:t xml:space="preserve">are within the scope of Pillar 2, and have operations within the EU. These groups collectively</w:t>
      </w:r>
      <w:r>
        <w:t xml:space="preserve"> </w:t>
      </w:r>
      <w:r>
        <w:t xml:space="preserve">account for approximately 109,000 constituent entities (subsidiaries) located in the EU as of</w:t>
      </w:r>
      <w:r>
        <w:t xml:space="preserve"> </w:t>
      </w:r>
      <w:r>
        <w:t xml:space="preserve">2024.</w:t>
      </w:r>
      <w:r>
        <w:t xml:space="preserve"> </w:t>
      </w:r>
      <w:r>
        <w:t xml:space="preserve">The annual compliance cost burden for DAC4 notifications can therefore be approximated</w:t>
      </w:r>
      <w:r>
        <w:t xml:space="preserve"> </w:t>
      </w:r>
      <w:r>
        <w:t xml:space="preserve">as 109,000 entities × EUR 1,270 ≈ EUR 135 million per year (92).</w:t>
      </w:r>
      <w:r>
        <w:t xml:space="preserve"> </w:t>
      </w:r>
      <w:r>
        <w:t xml:space="preserve">Assuming a similar notification obligation for DAC9 and that no operational synergies arise</w:t>
      </w:r>
      <w:r>
        <w:t xml:space="preserve"> </w:t>
      </w:r>
      <w:r>
        <w:t xml:space="preserve">between DAC4 and DAC9 notifications, the combined compliance burden for both</w:t>
      </w:r>
      <w:r>
        <w:t xml:space="preserve"> </w:t>
      </w:r>
      <w:r>
        <w:t xml:space="preserve">notifications could reach approximately EUR 135 million × 2 = EUR 270 million per year.</w:t>
      </w:r>
      <w:r>
        <w:t xml:space="preserve"> </w:t>
      </w:r>
      <w:r>
        <w:t xml:space="preserve">Under Policy Option 3b, a single harmonised notification covering both DAC4 and DAC9</w:t>
      </w:r>
      <w:r>
        <w:t xml:space="preserve"> </w:t>
      </w:r>
      <w:r>
        <w:t xml:space="preserve">would be introduced. Instead of each constituent entity submitting a separate notification, a</w:t>
      </w:r>
      <w:r>
        <w:t xml:space="preserve"> </w:t>
      </w:r>
      <w:r>
        <w:t xml:space="preserve">single notification would be prepared and submitted for the entire MNE group.</w:t>
      </w:r>
      <w:r>
        <w:t xml:space="preserve"> </w:t>
      </w:r>
      <w:r>
        <w:t xml:space="preserve">Assuming that the internal coordination effort required to prepare this notification remains</w:t>
      </w:r>
      <w:r>
        <w:t xml:space="preserve"> </w:t>
      </w:r>
      <w:r>
        <w:t xml:space="preserve">approximately 28 hours per MNE group per year, the associated compliance costs can be</w:t>
      </w:r>
      <w:r>
        <w:t xml:space="preserve"> </w:t>
      </w:r>
      <w:r>
        <w:t xml:space="preserve">approximated as 4,700 groups × EUR 1,270 ≈ EUR 6 million per year.</w:t>
      </w:r>
    </w:p>
    <w:p>
      <w:pPr>
        <w:pStyle w:val="BodyText"/>
      </w:pPr>
      <w:r>
        <w:t xml:space="preserve">92 The DAC Evaluation reports total recurrent compliance costs of approximately EUR 56 million in 2022, with estimated firm-level costs</w:t>
      </w:r>
      <w:r>
        <w:t xml:space="preserve"> </w:t>
      </w:r>
      <w:r>
        <w:t xml:space="preserve">ranging from around EUR 8,000 for smaller MNE groups to approximately EUR 45,000 for larger groups (Evaluation of the Directive</w:t>
      </w:r>
      <w:r>
        <w:t xml:space="preserve"> </w:t>
      </w:r>
      <w:r>
        <w:t xml:space="preserve">2011/16 and its amendments, Final Report, Table 27, p. 145). In the present impact assessment, DAC4-related compliance costs are</w:t>
      </w:r>
      <w:r>
        <w:t xml:space="preserve"> </w:t>
      </w:r>
      <w:r>
        <w:t xml:space="preserve">estimated at around EUR 135 million for approximately 4,700 MNE groups, corresponding to average annual costs of around EUR 29,000</w:t>
      </w:r>
      <w:r>
        <w:t xml:space="preserve"> </w:t>
      </w:r>
      <w:r>
        <w:t xml:space="preserve">per group. Importantly, this average lies well within the range identified in the DAC Evaluation. The difference in aggregate estimates</w:t>
      </w:r>
      <w:r>
        <w:t xml:space="preserve"> </w:t>
      </w:r>
      <w:r>
        <w:t xml:space="preserve">mainly reflects different assumptions regarding the distribution of firms across cost categories. While the DAC Evaluation assumes that</w:t>
      </w:r>
      <w:r>
        <w:t xml:space="preserve"> </w:t>
      </w:r>
      <w:r>
        <w:t xml:space="preserve">only around 10% of MNE groups incur higher compliance costs, stakeholder evidence collected for the present impact assessment suggests</w:t>
      </w:r>
      <w:r>
        <w:t xml:space="preserve"> </w:t>
      </w:r>
      <w:r>
        <w:t xml:space="preserve">a more balanced distribution between lower- and higher-cost firms, resulting in a higher aggregate estimate.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The resulting reduction in compliance costs is therefore estimated as EUR 270 million −</w:t>
      </w:r>
      <w:r>
        <w:t xml:space="preserve"> </w:t>
      </w:r>
      <w:r>
        <w:t xml:space="preserve">EUR 6 million ≈ EUR 264 million per year.</w:t>
      </w:r>
      <w:r>
        <w:t xml:space="preserve"> </w:t>
      </w:r>
      <w:r>
        <w:t xml:space="preserve">These estimates are intended to illustrate the order of magnitude of the potential savings</w:t>
      </w:r>
      <w:r>
        <w:t xml:space="preserve"> </w:t>
      </w:r>
      <w:r>
        <w:t xml:space="preserve">associated with eliminating duplicative notification requirements. They rely on simplifying</w:t>
      </w:r>
      <w:r>
        <w:t xml:space="preserve"> </w:t>
      </w:r>
      <w:r>
        <w:t xml:space="preserve">assumptions regarding the time required for internal coordination and the average labour</w:t>
      </w:r>
      <w:r>
        <w:t xml:space="preserve"> </w:t>
      </w:r>
      <w:r>
        <w:t xml:space="preserve">costs involved in preparing notifications.</w:t>
      </w:r>
      <w:r>
        <w:t xml:space="preserve"> </w:t>
      </w:r>
      <w:r>
        <w:t xml:space="preserve">4. Improving the verification of TINs (Measure 4)93</w:t>
      </w:r>
      <w:r>
        <w:t xml:space="preserve"> </w:t>
      </w:r>
      <w:r>
        <w:t xml:space="preserve">Policy option 4a – Centralised TIN verification system (access limited to tax</w:t>
      </w:r>
      <w:r>
        <w:t xml:space="preserve"> </w:t>
      </w:r>
      <w:r>
        <w:t xml:space="preserve">administrations)</w:t>
      </w:r>
      <w:r>
        <w:t xml:space="preserve"> </w:t>
      </w:r>
      <w:r>
        <w:t xml:space="preserve">The cost estimates for the introduction of a centralised TIN verification system accessible</w:t>
      </w:r>
      <w:r>
        <w:t xml:space="preserve"> </w:t>
      </w:r>
      <w:r>
        <w:t xml:space="preserve">only to Member States’ tax administrations are based on benchmark comparisons with</w:t>
      </w:r>
      <w:r>
        <w:t xml:space="preserve"> </w:t>
      </w:r>
      <w:r>
        <w:t xml:space="preserve">existing EU IT systems (notably VIES and DAC infrastructures), complemented by</w:t>
      </w:r>
      <w:r>
        <w:t xml:space="preserve"> </w:t>
      </w:r>
      <w:r>
        <w:t xml:space="preserve">available evidence from the DAC evaluation and limited stakeholder input. Estimates are</w:t>
      </w:r>
      <w:r>
        <w:t xml:space="preserve"> </w:t>
      </w:r>
      <w:r>
        <w:t xml:space="preserve">presented separately for EU-level (central component) and national-level (Member State)</w:t>
      </w:r>
      <w:r>
        <w:t xml:space="preserve"> </w:t>
      </w:r>
      <w:r>
        <w:t xml:space="preserve">costs.</w:t>
      </w:r>
      <w:r>
        <w:t xml:space="preserve"> </w:t>
      </w:r>
      <w:r>
        <w:t xml:space="preserve">At EU level, one-off development costs for the central component are estimated in the range</w:t>
      </w:r>
      <w:r>
        <w:t xml:space="preserve"> </w:t>
      </w:r>
      <w:r>
        <w:t xml:space="preserve">of EUR 300,000 to EUR 700,000. This range is derived from two benchmarks. The lower</w:t>
      </w:r>
      <w:r>
        <w:t xml:space="preserve"> </w:t>
      </w:r>
      <w:r>
        <w:t xml:space="preserve">bound reflects the cost of the modernisation of the VIES-on-the-web application</w:t>
      </w:r>
      <w:r>
        <w:t xml:space="preserve"> </w:t>
      </w:r>
      <w:r>
        <w:t xml:space="preserve">(approximately EUR 300,000), while the upper bound is informed by the development of</w:t>
      </w:r>
      <w:r>
        <w:t xml:space="preserve"> </w:t>
      </w:r>
      <w:r>
        <w:t xml:space="preserve">the central component for DAC3 exchanges (approximately EUR 715,000, based on the</w:t>
      </w:r>
      <w:r>
        <w:t xml:space="preserve"> </w:t>
      </w:r>
      <w:r>
        <w:t xml:space="preserve">DAC evaluation). Given that the TIN validation tool would require additional functionalities</w:t>
      </w:r>
      <w:r>
        <w:t xml:space="preserve"> </w:t>
      </w:r>
      <w:r>
        <w:t xml:space="preserve">compared to VIES (notably bulk request splitting, routing and reassembly) but remains less</w:t>
      </w:r>
      <w:r>
        <w:t xml:space="preserve"> </w:t>
      </w:r>
      <w:r>
        <w:t xml:space="preserve">complex than a full central repository such as DAC3, these two benchmarks are considered</w:t>
      </w:r>
      <w:r>
        <w:t xml:space="preserve"> </w:t>
      </w:r>
      <w:r>
        <w:t xml:space="preserve">appropriate lower and upper bounds.</w:t>
      </w:r>
      <w:r>
        <w:t xml:space="preserve"> </w:t>
      </w:r>
      <w:r>
        <w:t xml:space="preserve">In addition, the development of common specifications and validation rules is estimated at</w:t>
      </w:r>
      <w:r>
        <w:t xml:space="preserve"> </w:t>
      </w:r>
      <w:r>
        <w:t xml:space="preserve">EUR 150,000, based on the cost of developing a comparable “call-off stock” module within</w:t>
      </w:r>
      <w:r>
        <w:t xml:space="preserve"> </w:t>
      </w:r>
      <w:r>
        <w:t xml:space="preserve">VIES. Training costs for tax administrations are estimated at EUR 20,000, based on average</w:t>
      </w:r>
      <w:r>
        <w:t xml:space="preserve"> </w:t>
      </w:r>
      <w:r>
        <w:t xml:space="preserve">costs for in-person IT training under the Fiscalis programme. This results in total EU-level</w:t>
      </w:r>
      <w:r>
        <w:t xml:space="preserve"> </w:t>
      </w:r>
      <w:r>
        <w:t xml:space="preserve">one-off costs in the range of EUR 470,000 to EUR 870,000.</w:t>
      </w:r>
      <w:r>
        <w:t xml:space="preserve"> </w:t>
      </w:r>
      <w:r>
        <w:t xml:space="preserve">Recurrent EU-level costs, including infrastructure, operations, maintenance and technical</w:t>
      </w:r>
      <w:r>
        <w:t xml:space="preserve"> </w:t>
      </w:r>
      <w:r>
        <w:t xml:space="preserve">assistance, are estimated at EUR 600,000 per year. This estimate is based on two consistent</w:t>
      </w:r>
      <w:r>
        <w:t xml:space="preserve"> </w:t>
      </w:r>
      <w:r>
        <w:t xml:space="preserve">benchmarks: the operational costs of VIES-on-the-web (approximately EUR 600,000</w:t>
      </w:r>
      <w:r>
        <w:t xml:space="preserve"> </w:t>
      </w:r>
      <w:r>
        <w:t xml:space="preserve">annually) and the recurrent costs associated with DAC6 central systems, which are of a</w:t>
      </w:r>
      <w:r>
        <w:t xml:space="preserve"> </w:t>
      </w:r>
      <w:r>
        <w:t xml:space="preserve">similar magnitude.</w:t>
      </w:r>
      <w:r>
        <w:t xml:space="preserve"> </w:t>
      </w:r>
      <w:r>
        <w:t xml:space="preserve">At national level, one-off implementation costs are estimated at approximately EUR 11</w:t>
      </w:r>
      <w:r>
        <w:t xml:space="preserve"> </w:t>
      </w:r>
      <w:r>
        <w:t xml:space="preserve">million across the EU, corresponding to roughly EUR 265,000 per Member State on</w:t>
      </w:r>
      <w:r>
        <w:t xml:space="preserve"> </w:t>
      </w:r>
      <w:r>
        <w:t xml:space="preserve">average. This estimate is based on observed public procurement data for the implementation</w:t>
      </w:r>
      <w:r>
        <w:t xml:space="preserve"> </w:t>
      </w:r>
      <w:r>
        <w:t xml:space="preserve">of the BRIS, which provides a relevant benchmark for interoperability projects between</w:t>
      </w:r>
    </w:p>
    <w:p>
      <w:pPr>
        <w:pStyle w:val="BodyText"/>
      </w:pPr>
      <w:r>
        <w:t xml:space="preserve">93 For the purpose of the cost assessment under Policy Options 4a and 4b, it is assumed that the TIN verification system would provide</w:t>
      </w:r>
      <w:r>
        <w:t xml:space="preserve"> </w:t>
      </w:r>
      <w:r>
        <w:t xml:space="preserve">only a binary yes/no response indicating whether the taxpayer identifiers match the information held in the relevant national register. An</w:t>
      </w:r>
      <w:r>
        <w:t xml:space="preserve"> </w:t>
      </w:r>
      <w:r>
        <w:t xml:space="preserve">alternative design would be to provide “close match” feedback for individual queries, indicating that the information submitted is</w:t>
      </w:r>
      <w:r>
        <w:t xml:space="preserve"> </w:t>
      </w:r>
      <w:r>
        <w:t xml:space="preserve">sufficiently close to the correct taxpayer identifiers and signalling the degree of proximity to the correct information. Such a functionality</w:t>
      </w:r>
      <w:r>
        <w:t xml:space="preserve"> </w:t>
      </w:r>
      <w:r>
        <w:t xml:space="preserve">could improve error resolution but would also imply additional technical and operational complexity.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national systems and EU-level infrastructure. A multiplier of 1.5 has been applied to account</w:t>
      </w:r>
      <w:r>
        <w:t xml:space="preserve"> </w:t>
      </w:r>
      <w:r>
        <w:t xml:space="preserve">for additional complexity in cases where TIN data are held by multiple authorities (e.g. </w:t>
      </w:r>
      <w:r>
        <w:t xml:space="preserve"> </w:t>
      </w:r>
      <w:r>
        <w:t xml:space="preserve">separate registries for natural and legal persons), including the need for coordination</w:t>
      </w:r>
      <w:r>
        <w:t xml:space="preserve"> </w:t>
      </w:r>
      <w:r>
        <w:t xml:space="preserve">arrangements and system integration. The resulting estimate reflects an average cost across</w:t>
      </w:r>
      <w:r>
        <w:t xml:space="preserve"> </w:t>
      </w:r>
      <w:r>
        <w:t xml:space="preserve">Member States, with potentially significant variation depending on national institutional</w:t>
      </w:r>
      <w:r>
        <w:t xml:space="preserve"> </w:t>
      </w:r>
      <w:r>
        <w:t xml:space="preserve">setups.</w:t>
      </w:r>
      <w:r>
        <w:t xml:space="preserve"> </w:t>
      </w:r>
      <w:r>
        <w:t xml:space="preserve">Recurrent national costs consist of both maintenance costs and administrative costs</w:t>
      </w:r>
      <w:r>
        <w:t xml:space="preserve"> </w:t>
      </w:r>
      <w:r>
        <w:t xml:space="preserve">associated with TIN validation. Maintenance costs are estimated at 12% to 18% of initial</w:t>
      </w:r>
      <w:r>
        <w:t xml:space="preserve"> </w:t>
      </w:r>
      <w:r>
        <w:t xml:space="preserve">development costs, corresponding to EUR 1.4 to 2 million annually at EU level, in line with</w:t>
      </w:r>
      <w:r>
        <w:t xml:space="preserve"> </w:t>
      </w:r>
      <w:r>
        <w:t xml:space="preserve">standard industry benchmarks for IT systems.</w:t>
      </w:r>
      <w:r>
        <w:t xml:space="preserve"> </w:t>
      </w:r>
      <w:r>
        <w:t xml:space="preserve">The administrative burden for TIN validation is estimated not to exceed EUR 10 million per</w:t>
      </w:r>
      <w:r>
        <w:t xml:space="preserve"> </w:t>
      </w:r>
      <w:r>
        <w:t xml:space="preserve">year across the EU. This estimate is derived by benchmarking against overall recurring</w:t>
      </w:r>
      <w:r>
        <w:t xml:space="preserve"> </w:t>
      </w:r>
      <w:r>
        <w:t xml:space="preserve">administrative costs for the AEOI under the DAC framework, which are estimated at EUR</w:t>
      </w:r>
      <w:r>
        <w:t xml:space="preserve"> </w:t>
      </w:r>
      <w:r>
        <w:t xml:space="preserve">20 to 40 million annually at EU level. Given that TIN validation represents a more narrowly</w:t>
      </w:r>
      <w:r>
        <w:t xml:space="preserve"> </w:t>
      </w:r>
      <w:r>
        <w:t xml:space="preserve">defined and highly automatable task within this broader framework, the associated costs are</w:t>
      </w:r>
      <w:r>
        <w:t xml:space="preserve"> </w:t>
      </w:r>
      <w:r>
        <w:t xml:space="preserve">assumed to be significantly lower. This assumption is further supported by limited</w:t>
      </w:r>
      <w:r>
        <w:t xml:space="preserve"> </w:t>
      </w:r>
      <w:r>
        <w:t xml:space="preserve">stakeholder input, which indicates substantial variation across Member States. Reported</w:t>
      </w:r>
      <w:r>
        <w:t xml:space="preserve"> </w:t>
      </w:r>
      <w:r>
        <w:t xml:space="preserve">estimates range from approximately EUR 40,000 per year in low-cost cases to up to EUR</w:t>
      </w:r>
      <w:r>
        <w:t xml:space="preserve"> </w:t>
      </w:r>
      <w:r>
        <w:t xml:space="preserve">0.5 million per year (corresponding to around 10 FTEs) in higher-cost scenarios. Even the</w:t>
      </w:r>
      <w:r>
        <w:t xml:space="preserve"> </w:t>
      </w:r>
      <w:r>
        <w:t xml:space="preserve">upper bound of these estimates would imply aggregate EU-level costs in the order of EUR</w:t>
      </w:r>
      <w:r>
        <w:t xml:space="preserve"> </w:t>
      </w:r>
      <w:r>
        <w:t xml:space="preserve">13–14 million annually, which supports the use of EUR 10 million as a conservative upper-</w:t>
      </w:r>
      <w:r>
        <w:t xml:space="preserve"> </w:t>
      </w:r>
      <w:r>
        <w:t xml:space="preserve">bound estimate.</w:t>
      </w:r>
      <w:r>
        <w:t xml:space="preserve"> </w:t>
      </w:r>
      <w:r>
        <w:t xml:space="preserve">No additional costs are expected for reporting entities under this option, as the validation</w:t>
      </w:r>
      <w:r>
        <w:t xml:space="preserve"> </w:t>
      </w:r>
      <w:r>
        <w:t xml:space="preserve">process would be carried out exclusively by tax administrations.</w:t>
      </w:r>
    </w:p>
    <w:p>
      <w:pPr>
        <w:pStyle w:val="BodyText"/>
      </w:pPr>
      <w:r>
        <w:t xml:space="preserve">Policy option 4b – Centralised TIN verification system (optional access to reporting</w:t>
      </w:r>
      <w:r>
        <w:t xml:space="preserve"> </w:t>
      </w:r>
      <w:r>
        <w:t xml:space="preserve">entities)</w:t>
      </w:r>
      <w:r>
        <w:t xml:space="preserve"> </w:t>
      </w:r>
      <w:r>
        <w:t xml:space="preserve">This option assumes a centralised TIN validation tool providing binary (yes/no) feedback</w:t>
      </w:r>
      <w:r>
        <w:t xml:space="preserve"> </w:t>
      </w:r>
      <w:r>
        <w:t xml:space="preserve">and accessible to reporting entities. Costs are assessed at EU level, national level (tax</w:t>
      </w:r>
      <w:r>
        <w:t xml:space="preserve"> </w:t>
      </w:r>
      <w:r>
        <w:t xml:space="preserve">authorities), and for reporting entities.</w:t>
      </w:r>
      <w:r>
        <w:t xml:space="preserve"> </w:t>
      </w:r>
      <w:r>
        <w:t xml:space="preserve">At EU level, one-off development costs for the central component are estimated at EUR</w:t>
      </w:r>
      <w:r>
        <w:t xml:space="preserve"> </w:t>
      </w:r>
      <w:r>
        <w:t xml:space="preserve">600,000 to EUR 1.4 million, reflecting the need to scale the system to accommodate</w:t>
      </w:r>
      <w:r>
        <w:t xml:space="preserve"> </w:t>
      </w:r>
      <w:r>
        <w:t xml:space="preserve">potential access by reporting entities. This estimate builds on the cost range identified for</w:t>
      </w:r>
      <w:r>
        <w:t xml:space="preserve"> </w:t>
      </w:r>
      <w:r>
        <w:t xml:space="preserve">the tax-administration-only system (EUR 300,000–700,000) and applies an approximate</w:t>
      </w:r>
      <w:r>
        <w:t xml:space="preserve"> </w:t>
      </w:r>
      <w:r>
        <w:t xml:space="preserve">doubling factor to reflect higher system capacity requirements, including increased</w:t>
      </w:r>
      <w:r>
        <w:t xml:space="preserve"> </w:t>
      </w:r>
      <w:r>
        <w:t xml:space="preserve">concurrency, authentication and bulk processing functionalities. The development of</w:t>
      </w:r>
      <w:r>
        <w:t xml:space="preserve"> </w:t>
      </w:r>
      <w:r>
        <w:t xml:space="preserve">common specifications and access management rules is estimated at EUR 350,000, based</w:t>
      </w:r>
      <w:r>
        <w:t xml:space="preserve"> </w:t>
      </w:r>
      <w:r>
        <w:t xml:space="preserve">on benchmarks from VIES developments and the expected need for coordination among</w:t>
      </w:r>
      <w:r>
        <w:t xml:space="preserve"> </w:t>
      </w:r>
      <w:r>
        <w:t xml:space="preserve">Member States (comparable to the cost of an expert team under Fiscalis). Training costs for</w:t>
      </w:r>
      <w:r>
        <w:t xml:space="preserve"> </w:t>
      </w:r>
      <w:r>
        <w:t xml:space="preserve">tax administrations are estimated at EUR 20,000. Overall, total EU-level one-off costs are</w:t>
      </w:r>
      <w:r>
        <w:t xml:space="preserve"> </w:t>
      </w:r>
      <w:r>
        <w:t xml:space="preserve">estimated at EUR 970,000 to EUR 1.77 million.</w:t>
      </w:r>
      <w:r>
        <w:t xml:space="preserve"> </w:t>
      </w:r>
      <w:r>
        <w:t xml:space="preserve">Recurrent EU-level costs, including infrastructure, maintenance, and technical support, are</w:t>
      </w:r>
      <w:r>
        <w:t xml:space="preserve"> </w:t>
      </w:r>
      <w:r>
        <w:t xml:space="preserve">estimated at EUR 1.8 to 2.4 million per year. This estimate reflects a three- to fourfold</w:t>
      </w:r>
      <w:r>
        <w:t xml:space="preserve"> </w:t>
      </w:r>
      <w:r>
        <w:t xml:space="preserve">increase compared to systems limited to tax authority access (e.g., DAC6), driven by higher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expected system load, authentication requirements and fragmented user access patterns. The</w:t>
      </w:r>
      <w:r>
        <w:t xml:space="preserve"> </w:t>
      </w:r>
      <w:r>
        <w:t xml:space="preserve">resulting range is broadly consistent with observed costs for systems with private-sector</w:t>
      </w:r>
      <w:r>
        <w:t xml:space="preserve"> </w:t>
      </w:r>
      <w:r>
        <w:t xml:space="preserve">access, such as VIES-on-the-web.</w:t>
      </w:r>
      <w:r>
        <w:t xml:space="preserve"> </w:t>
      </w:r>
      <w:r>
        <w:t xml:space="preserve">At national level, one-off costs for tax administrations are estimated at EUR 15 to 25 million</w:t>
      </w:r>
      <w:r>
        <w:t xml:space="preserve"> </w:t>
      </w:r>
      <w:r>
        <w:t xml:space="preserve">across the EU. These costs include the development of national access points (estimated at</w:t>
      </w:r>
      <w:r>
        <w:t xml:space="preserve"> </w:t>
      </w:r>
      <w:r>
        <w:t xml:space="preserve">EUR 14–20 million), based on public procurement benchmarks for interoperability systems</w:t>
      </w:r>
      <w:r>
        <w:t xml:space="preserve"> </w:t>
      </w:r>
      <w:r>
        <w:t xml:space="preserve">such as BRIS, and additional costs for implementing authorisation and access management</w:t>
      </w:r>
      <w:r>
        <w:t xml:space="preserve"> </w:t>
      </w:r>
      <w:r>
        <w:t xml:space="preserve">systems (estimated at EUR 1–5 million). The increase compared to the tax-authority-only</w:t>
      </w:r>
      <w:r>
        <w:t xml:space="preserve"> </w:t>
      </w:r>
      <w:r>
        <w:t xml:space="preserve">scenario reflects the need to accommodate higher volumes of concurrent requests and to</w:t>
      </w:r>
      <w:r>
        <w:t xml:space="preserve"> </w:t>
      </w:r>
      <w:r>
        <w:t xml:space="preserve">implement secure access for reporting entities.</w:t>
      </w:r>
      <w:r>
        <w:t xml:space="preserve"> </w:t>
      </w:r>
      <w:r>
        <w:t xml:space="preserve">Recurrent national IT costs are estimated at EUR 4.5 to 12 million per year across the EU,</w:t>
      </w:r>
      <w:r>
        <w:t xml:space="preserve"> </w:t>
      </w:r>
      <w:r>
        <w:t xml:space="preserve">comprising maintenance of national access points (EUR 3–7 million annually) and technical</w:t>
      </w:r>
      <w:r>
        <w:t xml:space="preserve"> </w:t>
      </w:r>
      <w:r>
        <w:t xml:space="preserve">assistance and troubleshooting (EUR 1.5–5 million annually). These estimates are based on</w:t>
      </w:r>
      <w:r>
        <w:t xml:space="preserve"> </w:t>
      </w:r>
      <w:r>
        <w:t xml:space="preserve">standard industry benchmarks for maintenance (20–28% of development costs) and on</w:t>
      </w:r>
      <w:r>
        <w:t xml:space="preserve"> </w:t>
      </w:r>
      <w:r>
        <w:t xml:space="preserve">expected increases in user support needs resulting from a broader and more heterogeneous</w:t>
      </w:r>
      <w:r>
        <w:t xml:space="preserve"> </w:t>
      </w:r>
      <w:r>
        <w:t xml:space="preserve">user base.</w:t>
      </w:r>
      <w:r>
        <w:t xml:space="preserve"> </w:t>
      </w:r>
      <w:r>
        <w:t xml:space="preserve">The administrative burden for tax authorities associated with TIN validation is expected to</w:t>
      </w:r>
      <w:r>
        <w:t xml:space="preserve"> </w:t>
      </w:r>
      <w:r>
        <w:t xml:space="preserve">be significantly reduced compared to a tax-administration-only validation model. Reporting</w:t>
      </w:r>
      <w:r>
        <w:t xml:space="preserve"> </w:t>
      </w:r>
      <w:r>
        <w:t xml:space="preserve">entities would perform a share of validations voluntarily, reducing the volume of TINs to be</w:t>
      </w:r>
      <w:r>
        <w:t xml:space="preserve"> </w:t>
      </w:r>
      <w:r>
        <w:t xml:space="preserve">processed by tax authorities. Residual administrative costs are estimated at EUR 1 to 6</w:t>
      </w:r>
      <w:r>
        <w:t xml:space="preserve"> </w:t>
      </w:r>
      <w:r>
        <w:t xml:space="preserve">million per year at EU level, corresponding to validation of approximately 5% to 60% of</w:t>
      </w:r>
      <w:r>
        <w:t xml:space="preserve"> </w:t>
      </w:r>
      <w:r>
        <w:t xml:space="preserve">TINs not pre-validated by reporting entities.</w:t>
      </w:r>
      <w:r>
        <w:t xml:space="preserve"> </w:t>
      </w:r>
      <w:r>
        <w:t xml:space="preserve">Under this option, reporting entities would be granted access to the validation tool on a</w:t>
      </w:r>
      <w:r>
        <w:t xml:space="preserve"> </w:t>
      </w:r>
      <w:r>
        <w:t xml:space="preserve">voluntary basis and would not be subject to any legal obligation to use it. As a result, no</w:t>
      </w:r>
      <w:r>
        <w:t xml:space="preserve"> </w:t>
      </w:r>
      <w:r>
        <w:t xml:space="preserve">mandatory compliance costs arise for businesses. Reporting entities that choose to make use</w:t>
      </w:r>
      <w:r>
        <w:t xml:space="preserve"> </w:t>
      </w:r>
      <w:r>
        <w:t xml:space="preserve">of the tool may incur certain implementation and operational costs, including IT integration</w:t>
      </w:r>
      <w:r>
        <w:t xml:space="preserve"> </w:t>
      </w:r>
      <w:r>
        <w:t xml:space="preserve">and adjustments to existing processes. However, these costs are expected to be at least</w:t>
      </w:r>
      <w:r>
        <w:t xml:space="preserve"> </w:t>
      </w:r>
      <w:r>
        <w:t xml:space="preserve">partially offset by reductions in other data collection and verification requirements, such as</w:t>
      </w:r>
      <w:r>
        <w:t xml:space="preserve"> </w:t>
      </w:r>
      <w:r>
        <w:t xml:space="preserve">the need to obtain and report supplementary identifiers (e.g. date of birth or address) in cases</w:t>
      </w:r>
      <w:r>
        <w:t xml:space="preserve"> </w:t>
      </w:r>
      <w:r>
        <w:t xml:space="preserve">of missing or inaccurate TINs. Given the voluntary nature of the instrument and the</w:t>
      </w:r>
      <w:r>
        <w:t xml:space="preserve"> </w:t>
      </w:r>
      <w:r>
        <w:t xml:space="preserve">offsetting effects between additional costs and potential savings, it is not possible to provide</w:t>
      </w:r>
      <w:r>
        <w:t xml:space="preserve"> </w:t>
      </w:r>
      <w:r>
        <w:t xml:space="preserve">a robust ex ante quantification of the net cost impact for reporting entities under this PO.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</w:t>
      </w:r>
      <w:r>
        <w:t xml:space="preserve"> </w:t>
      </w:r>
      <w:r>
        <w:t xml:space="preserve">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Chapters 5, 6, 7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Chapters 5, 6, 7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Chapters 5, 6, 7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Chapters 5, 6, 7</w:t>
      </w:r>
    </w:p>
    <w:p>
      <w:pPr>
        <w:pStyle w:val="Compact"/>
        <w:numPr>
          <w:ilvl w:val="0"/>
          <w:numId w:val="1008"/>
        </w:numPr>
      </w:pPr>
      <w:r>
        <w:t xml:space="preserve">Synthetic assessment</w:t>
      </w:r>
      <w:r>
        <w:br/>
      </w:r>
      <w:r>
        <w:t xml:space="preserve">The preferred options are expected to have a positive overall impact on competitiveness. By</w:t>
      </w:r>
      <w:r>
        <w:t xml:space="preserve"> </w:t>
      </w:r>
      <w:r>
        <w:t xml:space="preserve">simplifying and streamlining reporting and notification obligations across several DAC</w:t>
      </w:r>
      <w:r>
        <w:t xml:space="preserve"> </w:t>
      </w:r>
      <w:r>
        <w:t xml:space="preserve">instruments, the initiative reduces administrative burdens and recurring compliance costs</w:t>
      </w:r>
      <w:r>
        <w:t xml:space="preserve"> </w:t>
      </w:r>
      <w:r>
        <w:t xml:space="preserve">for businesses operating within the Internal Market. The removal of certain reporting</w:t>
      </w:r>
      <w:r>
        <w:t xml:space="preserve"> </w:t>
      </w:r>
      <w:r>
        <w:t xml:space="preserve">requirements, the clarification of legal concepts, and the reduction of duplication in</w:t>
      </w:r>
      <w:r>
        <w:t xml:space="preserve"> </w:t>
      </w:r>
      <w:r>
        <w:t xml:space="preserve">reporting and notification processes are expected to improve legal certainty and reduce</w:t>
      </w:r>
      <w:r>
        <w:t xml:space="preserve"> </w:t>
      </w:r>
      <w:r>
        <w:t xml:space="preserve">operational complexity.</w:t>
      </w:r>
      <w:r>
        <w:t xml:space="preserve"> </w:t>
      </w:r>
      <w:r>
        <w:t xml:space="preserve">These changes are likely to strengthen business’ cost competitiveness by lowering fixed</w:t>
      </w:r>
      <w:r>
        <w:t xml:space="preserve"> </w:t>
      </w:r>
      <w:r>
        <w:t xml:space="preserve">compliance costs and reducing the need for external advisory services. In addition, greater</w:t>
      </w:r>
      <w:r>
        <w:t xml:space="preserve"> </w:t>
      </w:r>
      <w:r>
        <w:t xml:space="preserve">consistency in the application of rules across Member States is expected to facilitate cross-</w:t>
      </w:r>
      <w:r>
        <w:t xml:space="preserve"> </w:t>
      </w:r>
      <w:r>
        <w:t xml:space="preserve">border business activities and reduce frictions associated with divergent national practices</w:t>
      </w:r>
      <w:r>
        <w:t xml:space="preserve"> </w:t>
      </w:r>
      <w:r>
        <w:t xml:space="preserve">as well as regulatory arbitrage. This is expected to contribute to a more efficient functioning</w:t>
      </w:r>
      <w:r>
        <w:t xml:space="preserve"> </w:t>
      </w:r>
      <w:r>
        <w:t xml:space="preserve">of the Internal Market and improve the overall business environment for EU businesses.</w:t>
      </w:r>
      <w:r>
        <w:t xml:space="preserve"> </w:t>
      </w:r>
      <w:r>
        <w:t xml:space="preserve">While the initiative does not directly target innovation, the reduction in compliance costs</w:t>
      </w:r>
      <w:r>
        <w:t xml:space="preserve"> </w:t>
      </w:r>
      <w:r>
        <w:t xml:space="preserve">will free up financial and administrative resources that can be dedicated to support</w:t>
      </w:r>
      <w:r>
        <w:t xml:space="preserve"> </w:t>
      </w:r>
      <w:r>
        <w:t xml:space="preserve">investment and growth. These resources may be reallocated to productive activities,</w:t>
      </w:r>
      <w:r>
        <w:t xml:space="preserve"> </w:t>
      </w:r>
      <w:r>
        <w:t xml:space="preserve">including digitalisation, expansion or innovation-related investments, depending on</w:t>
      </w:r>
      <w:r>
        <w:t xml:space="preserve"> </w:t>
      </w:r>
      <w:r>
        <w:t xml:space="preserve">company-specific decisions.</w:t>
      </w:r>
    </w:p>
    <w:p>
      <w:pPr>
        <w:pStyle w:val="Compact"/>
        <w:numPr>
          <w:ilvl w:val="0"/>
          <w:numId w:val="1008"/>
        </w:numPr>
      </w:pPr>
      <w:r>
        <w:t xml:space="preserve">Competitive position of the most affected sectors</w:t>
      </w:r>
      <w:r>
        <w:t xml:space="preserve"> </w:t>
      </w:r>
      <w:r>
        <w:t xml:space="preserve">The initiative is horizontal in nature and does not target specific sectors. It applies broadly</w:t>
      </w:r>
      <w:r>
        <w:t xml:space="preserve"> </w:t>
      </w:r>
      <w:r>
        <w:t xml:space="preserve">to businesses subject to reporting obligations under the DAC framework. However, the</w:t>
      </w:r>
      <w:r>
        <w:t xml:space="preserve"> </w:t>
      </w:r>
      <w:r>
        <w:t xml:space="preserve">impact is expected to be more pronounced in sectors with a higher exposure to cross-border</w:t>
      </w:r>
      <w:r>
        <w:t xml:space="preserve"> </w:t>
      </w:r>
      <w:r>
        <w:t xml:space="preserve">transactions, complex organisational structures or platform-based business models.</w:t>
      </w:r>
      <w:r>
        <w:t xml:space="preserve"> </w:t>
      </w:r>
      <w:r>
        <w:t xml:space="preserve">In particular, MNE groups engaged in cross-border activities may benefit from reduced</w:t>
      </w:r>
      <w:r>
        <w:t xml:space="preserve"> </w:t>
      </w:r>
      <w:r>
        <w:t xml:space="preserve">duplication in notification and reporting requirements (notably under DAC4 and DAC9) and</w:t>
      </w:r>
      <w:r>
        <w:t xml:space="preserve"> </w:t>
      </w:r>
      <w:r>
        <w:t xml:space="preserve">from increased legal clarity under DAC6. Similarly, digital platform operators subject to</w:t>
      </w:r>
      <w:r>
        <w:t xml:space="preserve"> </w:t>
      </w:r>
      <w:r>
        <w:t xml:space="preserve">DAC7 reporting obligations are expected to benefit from simplified thresholds and reduced</w:t>
      </w:r>
    </w:p>
    <w:p>
      <w:pPr>
        <w:pStyle w:val="FirstParagraph"/>
      </w:pPr>
      <w:r>
        <w:t xml:space="preserve">96</w:t>
      </w:r>
      <w:r>
        <w:t xml:space="preserve"> </w:t>
      </w:r>
      <w:r>
        <w:t xml:space="preserve">reporting scope, particularly where large volumes of low-value transactions are currently</w:t>
      </w:r>
      <w:r>
        <w:t xml:space="preserve"> </w:t>
      </w:r>
      <w:r>
        <w:t xml:space="preserve">captured.</w:t>
      </w:r>
      <w:r>
        <w:t xml:space="preserve"> </w:t>
      </w:r>
      <w:r>
        <w:t xml:space="preserve">It should be noted that SMEs and smaller businesses are generally less engaged in cross-</w:t>
      </w:r>
      <w:r>
        <w:t xml:space="preserve"> </w:t>
      </w:r>
      <w:r>
        <w:t xml:space="preserve">border activities and are therefore, both in absolute and relative terms, less frequently</w:t>
      </w:r>
      <w:r>
        <w:t xml:space="preserve"> </w:t>
      </w:r>
      <w:r>
        <w:t xml:space="preserve">captured by DAC reporting obligations compared to large MNEs. As a result, they are, to</w:t>
      </w:r>
      <w:r>
        <w:t xml:space="preserve"> </w:t>
      </w:r>
      <w:r>
        <w:t xml:space="preserve">some extent, in a more favourable starting position under the baseline. At the same time,</w:t>
      </w:r>
      <w:r>
        <w:t xml:space="preserve"> </w:t>
      </w:r>
      <w:r>
        <w:t xml:space="preserve">while the initiative does not include SME-specific measures, SMEs and smaller businesses</w:t>
      </w:r>
      <w:r>
        <w:t xml:space="preserve"> </w:t>
      </w:r>
      <w:r>
        <w:t xml:space="preserve">are still expected to benefit from the proposed simplifications alongside larger businesses.</w:t>
      </w:r>
      <w:r>
        <w:t xml:space="preserve"> </w:t>
      </w:r>
      <w:r>
        <w:t xml:space="preserve">In addition, SMEs are likely to benefit disproportionately in relative terms, as compliance</w:t>
      </w:r>
      <w:r>
        <w:t xml:space="preserve"> </w:t>
      </w:r>
      <w:r>
        <w:t xml:space="preserve">costs tend to represent a higher share of their operating costs. The reduction in administrative</w:t>
      </w:r>
      <w:r>
        <w:t xml:space="preserve"> </w:t>
      </w:r>
      <w:r>
        <w:t xml:space="preserve">burdens may therefore improve their ability to participate in cross-border economic</w:t>
      </w:r>
      <w:r>
        <w:t xml:space="preserve"> </w:t>
      </w:r>
      <w:r>
        <w:t xml:space="preserve">activities within the Internal Market.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ANNEX 6: SME CHECK</w:t>
      </w:r>
      <w:r>
        <w:br/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The initiative is relevant for SMEs as tax compliance costs generally impose a</w:t>
      </w:r>
      <w:r>
        <w:t xml:space="preserve"> </w:t>
      </w:r>
      <w:r>
        <w:t xml:space="preserve">proportionally higher burden on smaller businesses compared to large enterprises. While</w:t>
      </w:r>
      <w:r>
        <w:t xml:space="preserve"> </w:t>
      </w:r>
      <w:r>
        <w:t xml:space="preserve">the DAC Recast does not introduce SME-specific exemptions, it aims at simplifying and</w:t>
      </w:r>
      <w:r>
        <w:t xml:space="preserve"> </w:t>
      </w:r>
      <w:r>
        <w:t xml:space="preserve">streamlining reporting and notification obligations under several DAC instruments. These</w:t>
      </w:r>
      <w:r>
        <w:t xml:space="preserve"> </w:t>
      </w:r>
      <w:r>
        <w:t xml:space="preserve">simplifications are expected to reduce administrative complexity, legal uncertainty and</w:t>
      </w:r>
      <w:r>
        <w:t xml:space="preserve"> </w:t>
      </w:r>
      <w:r>
        <w:t xml:space="preserve">recurring compliance costs for all businesses, including SMEs.</w:t>
      </w:r>
      <w:r>
        <w:t xml:space="preserve"> </w:t>
      </w:r>
      <w:r>
        <w:t xml:space="preserve">Evidence from DAC6 reporting suggests that, among taxpayer-filed reports, only a limited</w:t>
      </w:r>
      <w:r>
        <w:t xml:space="preserve"> </w:t>
      </w:r>
      <w:r>
        <w:t xml:space="preserve">share (approximately 7–9%) is attributable to large MNE groups within the scope of</w:t>
      </w:r>
      <w:r>
        <w:t xml:space="preserve"> </w:t>
      </w:r>
      <w:r>
        <w:t xml:space="preserve">Pillar 2. This implies that the majority of reporting companies are outside this group and</w:t>
      </w:r>
      <w:r>
        <w:t xml:space="preserve"> </w:t>
      </w:r>
      <w:r>
        <w:t xml:space="preserve">include a significant number of SMEs. For example, the share of SMEs, i.e. those with less</w:t>
      </w:r>
      <w:r>
        <w:t xml:space="preserve"> </w:t>
      </w:r>
      <w:r>
        <w:t xml:space="preserve">than 50 employees, in all European MNEs accounts to as much as two thirds of the total.</w:t>
      </w:r>
      <w:r>
        <w:t xml:space="preserve"> </w:t>
      </w:r>
      <w:r>
        <w:t xml:space="preserve">Thus, they are directly affected by the compliance burden and are expected to benefit from</w:t>
      </w:r>
      <w:r>
        <w:t xml:space="preserve"> </w:t>
      </w:r>
      <w:r>
        <w:t xml:space="preserve">its reduction. In addition, evidence collected through the call for evidence indicates that</w:t>
      </w:r>
      <w:r>
        <w:t xml:space="preserve"> </w:t>
      </w:r>
      <w:r>
        <w:t xml:space="preserve">more than three quarters of responding companies filing DAC6 reports identified</w:t>
      </w:r>
      <w:r>
        <w:t xml:space="preserve"> </w:t>
      </w:r>
      <w:r>
        <w:t xml:space="preserve">themselves as small or medium-sized enterprises. This further illustrates that SMEs</w:t>
      </w:r>
      <w:r>
        <w:t xml:space="preserve"> </w:t>
      </w:r>
      <w:r>
        <w:t xml:space="preserve">potentially account for a substantial share of DAC6 reporting activity and are therefore</w:t>
      </w:r>
      <w:r>
        <w:t xml:space="preserve"> </w:t>
      </w:r>
      <w:r>
        <w:t xml:space="preserve">expected to benefit significantly from the reduction in compliance burdens resulting from</w:t>
      </w:r>
      <w:r>
        <w:t xml:space="preserve"> </w:t>
      </w:r>
      <w:r>
        <w:t xml:space="preserve">the proposed simplifications. A similar pattern can be expected for platform operators</w:t>
      </w:r>
      <w:r>
        <w:t xml:space="preserve"> </w:t>
      </w:r>
      <w:r>
        <w:t xml:space="preserve">under DAC7, where a substantial proportion are SMEs, which are likely to benefit directly</w:t>
      </w:r>
      <w:r>
        <w:t xml:space="preserve"> </w:t>
      </w:r>
      <w:r>
        <w:t xml:space="preserve">from the simplification of reporting obligations.</w:t>
      </w:r>
      <w:r>
        <w:t xml:space="preserve"> </w:t>
      </w:r>
      <w:r>
        <w:t xml:space="preserve">Given that compliance costs tend to be relatively higher for SMEs in proportion to their</w:t>
      </w:r>
      <w:r>
        <w:t xml:space="preserve"> </w:t>
      </w:r>
      <w:r>
        <w:t xml:space="preserve">size, any reduction in reporting obligations is expected to have a comparatively stronger</w:t>
      </w:r>
      <w:r>
        <w:t xml:space="preserve"> </w:t>
      </w:r>
      <w:r>
        <w:t xml:space="preserve">positive effect on SMEs. In addition, greater legal clarity and reduced fragmentation</w:t>
      </w:r>
      <w:r>
        <w:t xml:space="preserve"> </w:t>
      </w:r>
      <w:r>
        <w:t xml:space="preserve">across Member States may facilitate SMEs’ participation in cross-border activities within</w:t>
      </w:r>
      <w:r>
        <w:t xml:space="preserve"> </w:t>
      </w:r>
      <w:r>
        <w:t xml:space="preserve">the Internal Market.</w:t>
      </w:r>
    </w:p>
    <w:p>
      <w:pPr>
        <w:pStyle w:val="Compact"/>
        <w:numPr>
          <w:ilvl w:val="0"/>
          <w:numId w:val="1009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  <w:r>
        <w:t xml:space="preserve"> </w:t>
      </w:r>
      <w:r>
        <w:t xml:space="preserve">Yes, SMEs are directly affected across all sectors to the extent that they are subject to</w:t>
      </w:r>
      <w:r>
        <w:t xml:space="preserve"> </w:t>
      </w:r>
      <w:r>
        <w:t xml:space="preserve">DAC reporting obligations (notably under DAC6 and DAC7).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Not available. DAC reporting data do not provide a comprehensive breakdown of</w:t>
      </w:r>
      <w:r>
        <w:t xml:space="preserve"> </w:t>
      </w:r>
      <w:r>
        <w:t xml:space="preserve">reporting entities by company size at EU level.</w:t>
      </w:r>
      <w:r>
        <w:t xml:space="preserve"> </w:t>
      </w:r>
      <w:r>
        <w:t xml:space="preserve">Estimated number of employees in directly affected SMEs</w:t>
      </w:r>
    </w:p>
    <w:p>
      <w:pPr>
        <w:pStyle w:val="FirstParagraph"/>
      </w:pPr>
      <w:r>
        <w:t xml:space="preserve">98</w:t>
      </w:r>
      <w:r>
        <w:t xml:space="preserve"> </w:t>
      </w:r>
      <w:r>
        <w:t xml:space="preserve">Not available.</w:t>
      </w:r>
      <w:r>
        <w:t xml:space="preserve"> </w:t>
      </w:r>
      <w:r>
        <w:t xml:space="preserve">Are SMEs indirectly affected? (Yes/No) In which sectors? What is the estimated</w:t>
      </w:r>
      <w:r>
        <w:t xml:space="preserve"> </w:t>
      </w:r>
      <w:r>
        <w:t xml:space="preserve">number of indirectly affected SMEs and employees?</w:t>
      </w:r>
      <w:r>
        <w:t xml:space="preserve"> </w:t>
      </w:r>
      <w:r>
        <w:t xml:space="preserve">SMEs are primarily directly affected. Indirect effects may arise through improved</w:t>
      </w:r>
      <w:r>
        <w:t xml:space="preserve"> </w:t>
      </w:r>
      <w:r>
        <w:t xml:space="preserve">functioning of the Internal Market and reduced administrative complexity, but these are</w:t>
      </w:r>
      <w:r>
        <w:t xml:space="preserve"> </w:t>
      </w:r>
      <w:r>
        <w:t xml:space="preserve">not quantifiable.</w:t>
      </w:r>
    </w:p>
    <w:p>
      <w:pPr>
        <w:numPr>
          <w:ilvl w:val="0"/>
          <w:numId w:val="1010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Stakeholder input was gathered through consultations with business representatives,</w:t>
      </w:r>
      <w:r>
        <w:t xml:space="preserve"> </w:t>
      </w:r>
      <w:r>
        <w:t xml:space="preserve">including platforms and industry associations, which reflect the views of a broad range of</w:t>
      </w:r>
      <w:r>
        <w:t xml:space="preserve"> </w:t>
      </w:r>
      <w:r>
        <w:t xml:space="preserve">businesses, including SMEs. These consultations highlighted the importance of reducing</w:t>
      </w:r>
      <w:r>
        <w:t xml:space="preserve"> </w:t>
      </w:r>
      <w:r>
        <w:t xml:space="preserve">administrative burdens and simplifying reporting obligations, particularly for businesses</w:t>
      </w:r>
      <w:r>
        <w:t xml:space="preserve"> </w:t>
      </w:r>
      <w:r>
        <w:t xml:space="preserve">with limited administrative capacity.</w:t>
      </w:r>
      <w:r>
        <w:t xml:space="preserve"> </w:t>
      </w:r>
      <w:r>
        <w:t xml:space="preserve">Are SMEs’ views different from those of large businesses? (Yes/No)</w:t>
      </w:r>
      <w:r>
        <w:t xml:space="preserve"> </w:t>
      </w:r>
      <w:r>
        <w:t xml:space="preserve">Partially. While both SMEs and large businesses support simplification, SMEs tend to</w:t>
      </w:r>
      <w:r>
        <w:t xml:space="preserve"> </w:t>
      </w:r>
      <w:r>
        <w:t xml:space="preserve">emphasise more strongly the burden of compliance costs and administrative complexity,</w:t>
      </w:r>
      <w:r>
        <w:t xml:space="preserve"> </w:t>
      </w:r>
      <w:r>
        <w:t xml:space="preserve">which can represent a larger relative cost burden.</w:t>
      </w:r>
    </w:p>
    <w:p>
      <w:pPr>
        <w:numPr>
          <w:ilvl w:val="0"/>
          <w:numId w:val="1010"/>
        </w:numPr>
      </w:pPr>
      <w:r>
        <w:t xml:space="preserve">ASSESSMENT OF IMPACTS ON SMES94</w:t>
      </w:r>
      <w:r>
        <w:t xml:space="preserve"> </w:t>
      </w:r>
      <w:r>
        <w:t xml:space="preserve">What are the estimated direct costs for SMEs of the preferred policy option?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No significant additional direct costs are expected for SMEs. The initiative primarily</w:t>
      </w:r>
      <w:r>
        <w:t xml:space="preserve"> </w:t>
      </w:r>
      <w:r>
        <w:t xml:space="preserve">introduces simplifications and reductions in existing reporting and notification</w:t>
      </w:r>
      <w:r>
        <w:t xml:space="preserve"> </w:t>
      </w:r>
      <w:r>
        <w:t xml:space="preserve">requirements.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option95?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SMEs are expected to benefit from reduced compliance costs associated with DAC</w:t>
      </w:r>
      <w:r>
        <w:t xml:space="preserve"> </w:t>
      </w:r>
      <w:r>
        <w:t xml:space="preserve">reporting obligations, particularly under DAC6 and DAC7. As SMEs typically face higher</w:t>
      </w:r>
      <w:r>
        <w:t xml:space="preserve"> </w:t>
      </w:r>
      <w:r>
        <w:t xml:space="preserve">compliance costs relative to their size, these savings are likely to be proportionally more</w:t>
      </w:r>
    </w:p>
    <w:p>
      <w:pPr>
        <w:pStyle w:val="FirstParagraph"/>
      </w:pPr>
      <w:r>
        <w:t xml:space="preserve">94 The costs and benefits data in this annex are consistent with the data in annex 3. The preferred option includes the mitigating measures</w:t>
      </w:r>
      <w:r>
        <w:t xml:space="preserve"> </w:t>
      </w:r>
      <w:r>
        <w:t xml:space="preserve">listed in section 4.</w:t>
      </w:r>
      <w:r>
        <w:br/>
      </w:r>
      <w:r>
        <w:t xml:space="preserve">95 The direct benefits for SMEs can also be cost savings.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significant for smaller businesses. Simplified rules and reduced reporting obligations may</w:t>
      </w:r>
      <w:r>
        <w:t xml:space="preserve"> </w:t>
      </w:r>
      <w:r>
        <w:t xml:space="preserve">also lower the need for external advisory services and internal administrative resources.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While overall compliance cost savings have been estimated at aggregate level, it is not</w:t>
      </w:r>
      <w:r>
        <w:t xml:space="preserve"> </w:t>
      </w:r>
      <w:r>
        <w:t xml:space="preserve">possible to isolate the share accruing specifically to SMEs due to data limitations</w:t>
      </w:r>
      <w:r>
        <w:t xml:space="preserve"> </w:t>
      </w:r>
      <w:r>
        <w:t xml:space="preserve">regarding the size distribution of reporting entities.</w:t>
      </w:r>
      <w:r>
        <w:t xml:space="preserve"> </w:t>
      </w:r>
      <w:r>
        <w:t xml:space="preserve">What are the indirect impacts of this initiative on SMEs?</w:t>
      </w:r>
      <w:r>
        <w:t xml:space="preserve"> </w:t>
      </w:r>
      <w:r>
        <w:t xml:space="preserve">The initiative may indirectly benefit SMEs by improving legal clarity, reducing</w:t>
      </w:r>
      <w:r>
        <w:t xml:space="preserve"> </w:t>
      </w:r>
      <w:r>
        <w:t xml:space="preserve">fragmentation across Member States, and lowering barriers to cross-border activity.</w:t>
      </w:r>
      <w:r>
        <w:t xml:space="preserve"> </w:t>
      </w:r>
      <w:r>
        <w:t xml:space="preserve">These effects may support SME growth and participation in the Internal Market, although</w:t>
      </w:r>
      <w:r>
        <w:t xml:space="preserve"> </w:t>
      </w:r>
      <w:r>
        <w:t xml:space="preserve">they cannot be quantified.</w:t>
      </w:r>
    </w:p>
    <w:p>
      <w:pPr>
        <w:pStyle w:val="Compact"/>
        <w:numPr>
          <w:ilvl w:val="0"/>
          <w:numId w:val="1011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(Yes/No)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No</w:t>
      </w:r>
      <w:r>
        <w:t xml:space="preserve"> </w:t>
      </w:r>
      <w:r>
        <w:t xml:space="preserve">Have mitigating measures been included in the preferred option/proposal? (Yes/No)</w:t>
      </w:r>
      <w:r>
        <w:br/>
      </w:r>
      <w:r>
        <w:t xml:space="preserve">No</w:t>
      </w:r>
    </w:p>
    <w:p>
      <w:pPr>
        <w:pStyle w:val="FirstParagraph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Yes. The initiative is expected to generate compliance cost savings for businesses subject</w:t>
      </w:r>
      <w:r>
        <w:t xml:space="preserve"> </w:t>
      </w:r>
      <w:r>
        <w:t xml:space="preserve">to DAC reporting obligations. Given that SMEs represent a large share of reporting</w:t>
      </w:r>
      <w:r>
        <w:t xml:space="preserve"> </w:t>
      </w:r>
      <w:r>
        <w:t xml:space="preserve">entities and face relatively higher compliance costs, a substantial portion of these savings</w:t>
      </w:r>
      <w:r>
        <w:t xml:space="preserve"> </w:t>
      </w:r>
      <w:r>
        <w:t xml:space="preserve">is expected to accrue to SMEs. However, due to data limitations, the exact contribution to</w:t>
      </w:r>
      <w:r>
        <w:t xml:space="preserve"> </w:t>
      </w:r>
      <w:r>
        <w:t xml:space="preserve">the 35% burden reduction target cannot be quantified.</w:t>
      </w:r>
      <w:r>
        <w:t xml:space="preserve"> </w:t>
      </w:r>
      <w:r>
        <w:t xml:space="preserve">ADDITIONAL INFORMATION</w:t>
      </w:r>
      <w:r>
        <w:br/>
      </w:r>
      <w:r>
        <w:t xml:space="preserve">None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ANNEX 7: OVERVIEW OF SELECTED REPORTING AND EXCHANGE</w:t>
      </w:r>
      <w:r>
        <w:t xml:space="preserve"> </w:t>
      </w:r>
      <w:r>
        <w:t xml:space="preserve">MECHANISMS IN THE DIRECTIVE ON ADMINISTRATIVE</w:t>
      </w:r>
      <w:r>
        <w:t xml:space="preserve"> </w:t>
      </w:r>
      <w:r>
        <w:t xml:space="preserve">COOPERATION (DAC)</w:t>
      </w:r>
      <w:r>
        <w:t xml:space="preserve"> </w:t>
      </w:r>
      <w:r>
        <w:t xml:space="preserve">Council Directive 2011/16/EU on administrative cooperation in the field of taxation (DAC)</w:t>
      </w:r>
      <w:r>
        <w:t xml:space="preserve"> </w:t>
      </w:r>
      <w:r>
        <w:t xml:space="preserve">establishes the framework for administrative cooperation and exchange of information</w:t>
      </w:r>
      <w:r>
        <w:t xml:space="preserve"> </w:t>
      </w:r>
      <w:r>
        <w:t xml:space="preserve">between Member States’ tax authorities. The Directive provides for different forms of</w:t>
      </w:r>
      <w:r>
        <w:t xml:space="preserve"> </w:t>
      </w:r>
      <w:r>
        <w:t xml:space="preserve">cooperation, including exchange of information on request, spontaneous exchange of</w:t>
      </w:r>
      <w:r>
        <w:t xml:space="preserve"> </w:t>
      </w:r>
      <w:r>
        <w:t xml:space="preserve">information and automatic exchange of information.</w:t>
      </w:r>
      <w:r>
        <w:t xml:space="preserve"> </w:t>
      </w:r>
      <w:r>
        <w:t xml:space="preserve">Since its adoption, the Directive has been amended several times in order to extend the scope</w:t>
      </w:r>
      <w:r>
        <w:t xml:space="preserve"> </w:t>
      </w:r>
      <w:r>
        <w:t xml:space="preserve">of information exchanged between tax authorities and to address emerging risks related to</w:t>
      </w:r>
      <w:r>
        <w:t xml:space="preserve"> </w:t>
      </w:r>
      <w:r>
        <w:t xml:space="preserve">tax evasion, tax avoidance and aggressive tax planning.</w:t>
      </w:r>
      <w:r>
        <w:t xml:space="preserve"> </w:t>
      </w:r>
      <w:r>
        <w:t xml:space="preserve">This annex provides a brief overview of the rationale for not amending DAC2, DAC3 and</w:t>
      </w:r>
      <w:r>
        <w:t xml:space="preserve"> </w:t>
      </w:r>
      <w:r>
        <w:t xml:space="preserve">DAC8 and conversely details the amendments which are relevant for this impact assessment,</w:t>
      </w:r>
      <w:r>
        <w:t xml:space="preserve"> </w:t>
      </w:r>
      <w:r>
        <w:t xml:space="preserve">namely DAC1, DAC4, DAC6, and DAC7 and DAC9.</w:t>
      </w:r>
    </w:p>
    <w:p>
      <w:pPr>
        <w:pStyle w:val="BodyText"/>
      </w:pPr>
      <w:r>
        <w:t xml:space="preserve">DAC2 – Automatic exchange of financial account information</w:t>
      </w:r>
    </w:p>
    <w:p>
      <w:pPr>
        <w:pStyle w:val="BodyText"/>
      </w:pPr>
      <w:r>
        <w:t xml:space="preserve">DAC2 implements into EU law the Common Reporting Standard (CRS) developed by the</w:t>
      </w:r>
      <w:r>
        <w:t xml:space="preserve"> </w:t>
      </w:r>
      <w:r>
        <w:t xml:space="preserve">OECD. This is an international standard which is in force since 2014 and has already been</w:t>
      </w:r>
      <w:r>
        <w:t xml:space="preserve"> </w:t>
      </w:r>
      <w:r>
        <w:t xml:space="preserve">subject to revision in 2022 to reflect global developments (the changes have been</w:t>
      </w:r>
      <w:r>
        <w:t xml:space="preserve"> </w:t>
      </w:r>
      <w:r>
        <w:t xml:space="preserve">incorporated into EU law through DAC8). No further issues have emerged in relation to</w:t>
      </w:r>
      <w:r>
        <w:t xml:space="preserve"> </w:t>
      </w:r>
      <w:r>
        <w:t xml:space="preserve">DAC2, and this directive has not been identified by stakeholders as an area where there is</w:t>
      </w:r>
      <w:r>
        <w:t xml:space="preserve"> </w:t>
      </w:r>
      <w:r>
        <w:t xml:space="preserve">potential for simplification.</w:t>
      </w:r>
    </w:p>
    <w:p>
      <w:pPr>
        <w:pStyle w:val="BodyText"/>
      </w:pPr>
      <w:r>
        <w:t xml:space="preserve">DAC3 – Exchange of cross-border rulings and advance pricing agreements</w:t>
      </w:r>
    </w:p>
    <w:p>
      <w:pPr>
        <w:pStyle w:val="BodyText"/>
      </w:pPr>
      <w:r>
        <w:t xml:space="preserve">In 2015, the DAC was amended by Council Directive (EU) 2015/2376 (DAC3). DAC3</w:t>
      </w:r>
      <w:r>
        <w:t xml:space="preserve"> </w:t>
      </w:r>
      <w:r>
        <w:t xml:space="preserve">extends the scope of the existing provisions in relation to AEOI and administrative</w:t>
      </w:r>
      <w:r>
        <w:t xml:space="preserve"> </w:t>
      </w:r>
      <w:r>
        <w:t xml:space="preserve">cooperation between EU Member States. DAC3 obliges tax administrations to automatically</w:t>
      </w:r>
      <w:r>
        <w:t xml:space="preserve"> </w:t>
      </w:r>
      <w:r>
        <w:t xml:space="preserve">exchange information on advance cross-border tax rulings and advance pricing agreements</w:t>
      </w:r>
      <w:r>
        <w:t xml:space="preserve"> </w:t>
      </w:r>
      <w:r>
        <w:t xml:space="preserve">with other Member States. No potential for simplification of this reporting framework has</w:t>
      </w:r>
      <w:r>
        <w:t xml:space="preserve"> </w:t>
      </w:r>
      <w:r>
        <w:t xml:space="preserve">been identified by the Commission services or stakeholders.</w:t>
      </w:r>
    </w:p>
    <w:p>
      <w:pPr>
        <w:pStyle w:val="BodyText"/>
      </w:pPr>
      <w:r>
        <w:t xml:space="preserve">DAC8 – Automatic exchange of crypto-assets information</w:t>
      </w:r>
    </w:p>
    <w:p>
      <w:pPr>
        <w:pStyle w:val="BodyText"/>
      </w:pPr>
      <w:r>
        <w:t xml:space="preserve">DAC8 implements into EU law the OECD Crypto-Asset Reporting Framework (CARF). As</w:t>
      </w:r>
      <w:r>
        <w:t xml:space="preserve"> </w:t>
      </w:r>
      <w:r>
        <w:t xml:space="preserve">the directive only applies from 1 January 2026 and no reporting has yet taken place, no</w:t>
      </w:r>
      <w:r>
        <w:t xml:space="preserve"> </w:t>
      </w:r>
      <w:r>
        <w:t xml:space="preserve">potential for simplification of this reporting framework has been identified so far by the</w:t>
      </w:r>
      <w:r>
        <w:t xml:space="preserve"> </w:t>
      </w:r>
      <w:r>
        <w:t xml:space="preserve">OECD, the Commission services or stakeholders.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DAC1 – Automatic exchange of information on certain categories of income and assets</w:t>
      </w:r>
      <w:r>
        <w:t xml:space="preserve"> </w:t>
      </w:r>
      <w:r>
        <w:t xml:space="preserve">DAC1 introduced the automatic exchange of information (AEOI) between Member States</w:t>
      </w:r>
      <w:r>
        <w:t xml:space="preserve"> </w:t>
      </w:r>
      <w:r>
        <w:t xml:space="preserve">(MS) on certain categories of income received and assets held by taxpayers in another MS</w:t>
      </w:r>
      <w:r>
        <w:t xml:space="preserve"> </w:t>
      </w:r>
      <w:r>
        <w:t xml:space="preserve">than their MS of residence.</w:t>
      </w:r>
      <w:r>
        <w:t xml:space="preserve"> </w:t>
      </w:r>
      <w:r>
        <w:t xml:space="preserve">The main goal of DAC1 AEOI is to ensure tax fairness between the taxation of income</w:t>
      </w:r>
      <w:r>
        <w:t xml:space="preserve"> </w:t>
      </w:r>
      <w:r>
        <w:t xml:space="preserve">received and wealth held nationally by EU taxpayers and income received and wealth held</w:t>
      </w:r>
      <w:r>
        <w:t xml:space="preserve"> </w:t>
      </w:r>
      <w:r>
        <w:t xml:space="preserve">in other MS. MS can also use the information received to check if taxes have been levied in</w:t>
      </w:r>
      <w:r>
        <w:t xml:space="preserve"> </w:t>
      </w:r>
      <w:r>
        <w:t xml:space="preserve">the other MS to avoid double taxation of the taxpayer.</w:t>
      </w:r>
      <w:r>
        <w:t xml:space="preserve"> </w:t>
      </w:r>
      <w:r>
        <w:t xml:space="preserve">The categories of information covered include:</w:t>
      </w:r>
      <w:r>
        <w:t xml:space="preserve"> </w:t>
      </w:r>
      <w:r>
        <w:t xml:space="preserve">•</w:t>
      </w:r>
      <w:r>
        <w:t xml:space="preserve"> </w:t>
      </w:r>
      <w:r>
        <w:t xml:space="preserve">Employment income</w:t>
      </w:r>
      <w:r>
        <w:t xml:space="preserve"> </w:t>
      </w:r>
      <w:r>
        <w:t xml:space="preserve">•</w:t>
      </w:r>
      <w:r>
        <w:t xml:space="preserve"> </w:t>
      </w:r>
      <w:r>
        <w:t xml:space="preserve">Directors’ fees</w:t>
      </w:r>
      <w:r>
        <w:t xml:space="preserve"> </w:t>
      </w:r>
      <w:r>
        <w:t xml:space="preserve">•</w:t>
      </w:r>
      <w:r>
        <w:t xml:space="preserve"> </w:t>
      </w:r>
      <w:r>
        <w:t xml:space="preserve">Pensions</w:t>
      </w:r>
      <w:r>
        <w:t xml:space="preserve"> </w:t>
      </w:r>
      <w:r>
        <w:t xml:space="preserve">•</w:t>
      </w:r>
      <w:r>
        <w:t xml:space="preserve"> </w:t>
      </w:r>
      <w:r>
        <w:t xml:space="preserve">Ownership of and income from immovable property</w:t>
      </w:r>
      <w:r>
        <w:t xml:space="preserve"> </w:t>
      </w:r>
      <w:r>
        <w:t xml:space="preserve">•</w:t>
      </w:r>
      <w:r>
        <w:t xml:space="preserve"> </w:t>
      </w:r>
      <w:r>
        <w:t xml:space="preserve">Life insurance products</w:t>
      </w:r>
      <w:r>
        <w:t xml:space="preserve"> </w:t>
      </w:r>
      <w:r>
        <w:t xml:space="preserve">•</w:t>
      </w:r>
      <w:r>
        <w:t xml:space="preserve"> </w:t>
      </w:r>
      <w:r>
        <w:t xml:space="preserve">Royalties (added via later amendments, e.g., DAC7/DAC8 context)</w:t>
      </w:r>
      <w:r>
        <w:t xml:space="preserve"> </w:t>
      </w:r>
      <w:r>
        <w:t xml:space="preserve">•</w:t>
      </w:r>
      <w:r>
        <w:t xml:space="preserve"> </w:t>
      </w:r>
      <w:r>
        <w:t xml:space="preserve">Non-custodial dividends (added as from 2026 via DAC8-related expansions)</w:t>
      </w:r>
    </w:p>
    <w:p>
      <w:pPr>
        <w:pStyle w:val="BodyText"/>
      </w:pPr>
      <w:r>
        <w:t xml:space="preserve">MS have reported substantial revenue gains. For instance, in tax year 2022, DAC1-related</w:t>
      </w:r>
      <w:r>
        <w:t xml:space="preserve"> </w:t>
      </w:r>
      <w:r>
        <w:t xml:space="preserve">exchanges on employment and pension income alone contributed to approximately EUR</w:t>
      </w:r>
      <w:r>
        <w:t xml:space="preserve"> </w:t>
      </w:r>
      <w:r>
        <w:t xml:space="preserve">117 million in additional tax revenues, primarily through enhanced risk assessments, audits,</w:t>
      </w:r>
      <w:r>
        <w:t xml:space="preserve"> </w:t>
      </w:r>
      <w:r>
        <w:t xml:space="preserve">and voluntary disclosures.</w:t>
      </w:r>
      <w:r>
        <w:t xml:space="preserve"> </w:t>
      </w:r>
      <w:r>
        <w:t xml:space="preserve">DAC4 – Automatic exchange of Country-by-Country reports</w:t>
      </w:r>
      <w:r>
        <w:t xml:space="preserve"> </w:t>
      </w:r>
      <w:r>
        <w:t xml:space="preserve">DAC4 (Council Directive (EU) 2016/881) introduced the automatic exchange of Country-</w:t>
      </w:r>
      <w:r>
        <w:t xml:space="preserve"> </w:t>
      </w:r>
      <w:r>
        <w:t xml:space="preserve">by-Country (CbC) reports for large MNE groups, implementing the OECD BEPS (Base</w:t>
      </w:r>
      <w:r>
        <w:t xml:space="preserve"> </w:t>
      </w:r>
      <w:r>
        <w:t xml:space="preserve">Erosion and Profit Shifting) Action 13 standard within the EU legal framework.</w:t>
      </w:r>
      <w:r>
        <w:t xml:space="preserve"> </w:t>
      </w:r>
      <w:r>
        <w:t xml:space="preserve">Multinational groups with consolidated annual revenues exceeding EUR 750 million are</w:t>
      </w:r>
      <w:r>
        <w:t xml:space="preserve"> </w:t>
      </w:r>
      <w:r>
        <w:t xml:space="preserve">required to file a Country-by-Country report with the tax authority of the jurisdiction of the</w:t>
      </w:r>
      <w:r>
        <w:t xml:space="preserve"> </w:t>
      </w:r>
      <w:r>
        <w:t xml:space="preserve">ultimate parent entity of the group. The report shall contain aggregated information for each</w:t>
      </w:r>
      <w:r>
        <w:t xml:space="preserve"> </w:t>
      </w:r>
      <w:r>
        <w:t xml:space="preserve">tax jurisdiction in which the group operates, including:</w:t>
      </w:r>
      <w:r>
        <w:t xml:space="preserve"> </w:t>
      </w:r>
      <w:r>
        <w:t xml:space="preserve">•</w:t>
      </w:r>
      <w:r>
        <w:t xml:space="preserve"> </w:t>
      </w:r>
      <w:r>
        <w:t xml:space="preserve">Revenues</w:t>
      </w:r>
      <w:r>
        <w:t xml:space="preserve"> </w:t>
      </w:r>
      <w:r>
        <w:t xml:space="preserve">•</w:t>
      </w:r>
      <w:r>
        <w:t xml:space="preserve"> </w:t>
      </w:r>
      <w:r>
        <w:t xml:space="preserve">Profit or loss before income tax</w:t>
      </w:r>
      <w:r>
        <w:t xml:space="preserve"> </w:t>
      </w:r>
      <w:r>
        <w:t xml:space="preserve">•</w:t>
      </w:r>
      <w:r>
        <w:t xml:space="preserve"> </w:t>
      </w:r>
      <w:r>
        <w:t xml:space="preserve">Income tax paid and accrued</w:t>
      </w:r>
      <w:r>
        <w:t xml:space="preserve"> </w:t>
      </w:r>
      <w:r>
        <w:t xml:space="preserve">•</w:t>
      </w:r>
      <w:r>
        <w:t xml:space="preserve"> </w:t>
      </w:r>
      <w:r>
        <w:t xml:space="preserve">Number of employees</w:t>
      </w:r>
      <w:r>
        <w:t xml:space="preserve"> </w:t>
      </w:r>
      <w:r>
        <w:t xml:space="preserve">•</w:t>
      </w:r>
      <w:r>
        <w:t xml:space="preserve"> </w:t>
      </w:r>
      <w:r>
        <w:t xml:space="preserve">Stated capital, accumulated earnings, and tangible assets</w:t>
      </w:r>
      <w:r>
        <w:t xml:space="preserve"> </w:t>
      </w:r>
      <w:r>
        <w:t xml:space="preserve">•</w:t>
      </w:r>
      <w:r>
        <w:t xml:space="preserve"> </w:t>
      </w:r>
      <w:r>
        <w:t xml:space="preserve">Other economic activity indicators</w:t>
      </w:r>
    </w:p>
    <w:p>
      <w:pPr>
        <w:pStyle w:val="BodyText"/>
      </w:pPr>
      <w:r>
        <w:t xml:space="preserve">Key mechanisms:</w:t>
      </w:r>
      <w:r>
        <w:t xml:space="preserve"> </w:t>
      </w:r>
      <w:r>
        <w:t xml:space="preserve">• Filing deadline: 12 months after the last day of the reporting fiscal year.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• Automatic exchange to all MS where the group has resident constituent entities or</w:t>
      </w:r>
      <w:r>
        <w:t xml:space="preserve"> </w:t>
      </w:r>
      <w:r>
        <w:t xml:space="preserve">permanent establishments subject to tax.</w:t>
      </w:r>
      <w:r>
        <w:t xml:space="preserve"> </w:t>
      </w:r>
      <w:r>
        <w:t xml:space="preserve">• Used for high-level transfer pricing risk assessment and BEPS detection (not as</w:t>
      </w:r>
      <w:r>
        <w:t xml:space="preserve"> </w:t>
      </w:r>
      <w:r>
        <w:t xml:space="preserve">direct audit evidence).</w:t>
      </w:r>
      <w:r>
        <w:t xml:space="preserve"> </w:t>
      </w:r>
      <w:r>
        <w:t xml:space="preserve">The information is intended to support high-level transfer pricing risk assessments and the</w:t>
      </w:r>
      <w:r>
        <w:t xml:space="preserve"> </w:t>
      </w:r>
      <w:r>
        <w:t xml:space="preserve">identification of potential BEPS risks. Since first exchanges in 2018 (for 2016 data), DAC4</w:t>
      </w:r>
      <w:r>
        <w:t xml:space="preserve"> </w:t>
      </w:r>
      <w:r>
        <w:t xml:space="preserve">has significantly improved tax authorities’ ability to identify profit-shifting risks,</w:t>
      </w:r>
      <w:r>
        <w:t xml:space="preserve"> </w:t>
      </w:r>
      <w:r>
        <w:t xml:space="preserve">contributing to global efforts against aggressive tax planning.</w:t>
      </w:r>
      <w:r>
        <w:t xml:space="preserve"> </w:t>
      </w:r>
      <w:r>
        <w:t xml:space="preserve">DAC6 – Mandatory disclosure of cross-border arrangements</w:t>
      </w:r>
      <w:r>
        <w:t xml:space="preserve"> </w:t>
      </w:r>
      <w:r>
        <w:t xml:space="preserve">DAC6 (Council Directive (EU) 2018/822) introduced mandatory disclosure rules (MDR)</w:t>
      </w:r>
      <w:r>
        <w:t xml:space="preserve"> </w:t>
      </w:r>
      <w:r>
        <w:t xml:space="preserve">for certain cross-border arrangements that may present a risk of tax avoidance. It reflects a</w:t>
      </w:r>
      <w:r>
        <w:t xml:space="preserve"> </w:t>
      </w:r>
      <w:r>
        <w:t xml:space="preserve">fundamental shift in tax transparency from reactive enforcement towards proactive</w:t>
      </w:r>
      <w:r>
        <w:t xml:space="preserve"> </w:t>
      </w:r>
      <w:r>
        <w:t xml:space="preserve">information gathering, enabling tax administrations to detect emerging risks before they</w:t>
      </w:r>
      <w:r>
        <w:t xml:space="preserve"> </w:t>
      </w:r>
      <w:r>
        <w:t xml:space="preserve">fully materialise.</w:t>
      </w:r>
      <w:r>
        <w:t xml:space="preserve"> </w:t>
      </w:r>
      <w:r>
        <w:t xml:space="preserve">The reporting obligation primarily applies to intermediaries, meaning professionals who</w:t>
      </w:r>
      <w:r>
        <w:t xml:space="preserve"> </w:t>
      </w:r>
      <w:r>
        <w:t xml:space="preserve">help design or implement tax-related structures. The notion of intermediary is intentionally</w:t>
      </w:r>
      <w:r>
        <w:t xml:space="preserve"> </w:t>
      </w:r>
      <w:r>
        <w:t xml:space="preserve">broad and function-based, capturing both primary actors (e.g. designers and promoters) and</w:t>
      </w:r>
      <w:r>
        <w:t xml:space="preserve"> </w:t>
      </w:r>
      <w:r>
        <w:t xml:space="preserve">secondary actors (e.g. service providers assisting with implementation), such as tax advisors,</w:t>
      </w:r>
      <w:r>
        <w:t xml:space="preserve"> </w:t>
      </w:r>
      <w:r>
        <w:t xml:space="preserve">lawyers, accountants, and sometimes financial institutions. In practice, this broad scope has</w:t>
      </w:r>
      <w:r>
        <w:t xml:space="preserve"> </w:t>
      </w:r>
      <w:r>
        <w:t xml:space="preserve">ensured extensive coverage of the advisory ecosystem, although it has also raised issues of</w:t>
      </w:r>
      <w:r>
        <w:t xml:space="preserve"> </w:t>
      </w:r>
      <w:r>
        <w:t xml:space="preserve">overlap and duplication in reporting obligations.</w:t>
      </w:r>
      <w:r>
        <w:br/>
      </w:r>
      <w:r>
        <w:t xml:space="preserve">Where no intermediary is involved, or where reporting is prevented (notably due to legal</w:t>
      </w:r>
      <w:r>
        <w:t xml:space="preserve"> </w:t>
      </w:r>
      <w:r>
        <w:t xml:space="preserve">professional privilege), the obligation shifts to the taxpayer, creating a cascade mechanism</w:t>
      </w:r>
      <w:r>
        <w:t xml:space="preserve"> </w:t>
      </w:r>
      <w:r>
        <w:t xml:space="preserve">to safeguard reporting completeness. This mechanism determines who must report the</w:t>
      </w:r>
      <w:r>
        <w:t xml:space="preserve"> </w:t>
      </w:r>
      <w:r>
        <w:t xml:space="preserve">arrangement. It works like a chain of responsibility, ensuring that at least one party reports</w:t>
      </w:r>
      <w:r>
        <w:t xml:space="preserve"> </w:t>
      </w:r>
      <w:r>
        <w:t xml:space="preserve">the information:</w:t>
      </w:r>
      <w:r>
        <w:t xml:space="preserve"> </w:t>
      </w:r>
      <w:r>
        <w:t xml:space="preserve">1.</w:t>
      </w:r>
      <w:r>
        <w:t xml:space="preserve"> </w:t>
      </w:r>
      <w:r>
        <w:t xml:space="preserve">First level: intermediary (primary responsibility)</w:t>
      </w:r>
      <w:r>
        <w:t xml:space="preserve"> </w:t>
      </w:r>
      <w:r>
        <w:t xml:space="preserve">-</w:t>
      </w:r>
      <w:r>
        <w:t xml:space="preserve"> </w:t>
      </w:r>
      <w:r>
        <w:t xml:space="preserve">The obligation normally falls on the intermediary who designed or promoted the</w:t>
      </w:r>
      <w:r>
        <w:t xml:space="preserve"> </w:t>
      </w:r>
      <w:r>
        <w:t xml:space="preserve">arrangement. Example: A tax advisor creates a cross-border structure for a client</w:t>
      </w:r>
      <w:r>
        <w:t xml:space="preserve"> </w:t>
      </w:r>
      <w:r>
        <w:t xml:space="preserve">→ the advisor must report it.</w:t>
      </w:r>
      <w:r>
        <w:t xml:space="preserve"> </w:t>
      </w:r>
      <w:r>
        <w:t xml:space="preserve">2.</w:t>
      </w:r>
      <w:r>
        <w:t xml:space="preserve"> </w:t>
      </w:r>
      <w:r>
        <w:t xml:space="preserve">Second level: other intermediaries (if applicable)</w:t>
      </w:r>
      <w:r>
        <w:t xml:space="preserve"> </w:t>
      </w:r>
      <w:r>
        <w:t xml:space="preserve">-</w:t>
      </w:r>
      <w:r>
        <w:t xml:space="preserve"> </w:t>
      </w:r>
      <w:r>
        <w:t xml:space="preserve">If there are multiple intermediaries involved (e.g. a lawyer and a bank), any of them</w:t>
      </w:r>
      <w:r>
        <w:t xml:space="preserve"> </w:t>
      </w:r>
      <w:r>
        <w:t xml:space="preserve">may have a reporting obligation. In practice, they may agree that one of them</w:t>
      </w:r>
      <w:r>
        <w:t xml:space="preserve"> </w:t>
      </w:r>
      <w:r>
        <w:t xml:space="preserve">reports, but all remain potentially responsible.</w:t>
      </w:r>
      <w:r>
        <w:t xml:space="preserve"> </w:t>
      </w:r>
      <w:r>
        <w:t xml:space="preserve">3.</w:t>
      </w:r>
      <w:r>
        <w:t xml:space="preserve"> </w:t>
      </w:r>
      <w:r>
        <w:t xml:space="preserve">Third level: taxpayer (fallback)</w:t>
      </w:r>
      <w:r>
        <w:t xml:space="preserve"> </w:t>
      </w:r>
      <w:r>
        <w:t xml:space="preserve">-</w:t>
      </w:r>
      <w:r>
        <w:t xml:space="preserve"> </w:t>
      </w:r>
      <w:r>
        <w:t xml:space="preserve">The obligation shifts to the taxpayer if: there is no intermediary (e.g. the</w:t>
      </w:r>
      <w:r>
        <w:t xml:space="preserve"> </w:t>
      </w:r>
      <w:r>
        <w:t xml:space="preserve">arrangement is designed in-house), or the intermediary is exempt from reporting</w:t>
      </w:r>
      <w:r>
        <w:t xml:space="preserve"> </w:t>
      </w:r>
      <w:r>
        <w:t xml:space="preserve">(e.g. due to legal professional privilege), or the intermediary is located outside the</w:t>
      </w:r>
      <w:r>
        <w:t xml:space="preserve"> </w:t>
      </w:r>
      <w:r>
        <w:t xml:space="preserve">EU and therefore not subject to DAC6.</w:t>
      </w:r>
      <w:r>
        <w:t xml:space="preserve"> </w:t>
      </w:r>
      <w:r>
        <w:t xml:space="preserve">Arrangements are reportable if they meet one hallmark (certain predefined characteristics).</w:t>
      </w:r>
      <w:r>
        <w:t xml:space="preserve"> </w:t>
      </w:r>
      <w:r>
        <w:t xml:space="preserve">Some hallmarks are subject to the main benefit test (MBT). This test asks whether it is</w:t>
      </w:r>
      <w:r>
        <w:t xml:space="preserve"> </w:t>
      </w:r>
      <w:r>
        <w:t xml:space="preserve">reasonable to conclude that obtaining a tax advantage is one of the main reasons for the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arrangement. In simpler terms, if the main purpose of a structure is to save taxes, it is more</w:t>
      </w:r>
      <w:r>
        <w:t xml:space="preserve"> </w:t>
      </w:r>
      <w:r>
        <w:t xml:space="preserve">likely to be reportable. The hallmarks are designed as risk indicators rather than legal</w:t>
      </w:r>
      <w:r>
        <w:t xml:space="preserve"> </w:t>
      </w:r>
      <w:r>
        <w:t xml:space="preserve">definitions of avoidance, and their breadth allows the framework to capture both known and</w:t>
      </w:r>
      <w:r>
        <w:t xml:space="preserve"> </w:t>
      </w:r>
      <w:r>
        <w:t xml:space="preserve">novel tax planning strategies:</w:t>
      </w:r>
      <w:r>
        <w:t xml:space="preserve"> </w:t>
      </w:r>
      <w:r>
        <w:t xml:space="preserve">• Category A (Generic hallmarks- MBT): These cover common features of</w:t>
      </w:r>
      <w:r>
        <w:t xml:space="preserve"> </w:t>
      </w:r>
      <w:r>
        <w:t xml:space="preserve">marketed tax schemes, such as confidentiality clauses (where clients are not allowed</w:t>
      </w:r>
      <w:r>
        <w:t xml:space="preserve"> </w:t>
      </w:r>
      <w:r>
        <w:t xml:space="preserve">to disclose how the scheme works) or fee structures linked to tax savings. These are</w:t>
      </w:r>
      <w:r>
        <w:t xml:space="preserve"> </w:t>
      </w:r>
      <w:r>
        <w:t xml:space="preserve">often standardized solutions sold to multiple clients.</w:t>
      </w:r>
    </w:p>
    <w:p>
      <w:pPr>
        <w:pStyle w:val="Compact"/>
        <w:numPr>
          <w:ilvl w:val="0"/>
          <w:numId w:val="1012"/>
        </w:numPr>
      </w:pPr>
      <w:r>
        <w:t xml:space="preserve">An arrangement where the relevant taxpayer or a participant in the arrangement</w:t>
      </w:r>
      <w:r>
        <w:t xml:space="preserve"> </w:t>
      </w:r>
      <w:r>
        <w:t xml:space="preserve">undertakes to comply with a condition of confidentiality which may require them not to</w:t>
      </w:r>
      <w:r>
        <w:t xml:space="preserve"> </w:t>
      </w:r>
      <w:r>
        <w:t xml:space="preserve">disclose how the arrangement could secure a tax advantage vis-à-vis other intermediaries</w:t>
      </w:r>
      <w:r>
        <w:t xml:space="preserve"> </w:t>
      </w:r>
      <w:r>
        <w:t xml:space="preserve">or the tax authorities.</w:t>
      </w:r>
    </w:p>
    <w:p>
      <w:pPr>
        <w:pStyle w:val="Compact"/>
        <w:numPr>
          <w:ilvl w:val="0"/>
          <w:numId w:val="1012"/>
        </w:numPr>
      </w:pPr>
      <w:r>
        <w:t xml:space="preserve">An arrangement where the intermediary is entitled to receive a fee (or interest,</w:t>
      </w:r>
      <w:r>
        <w:t xml:space="preserve"> </w:t>
      </w:r>
      <w:r>
        <w:t xml:space="preserve">remuneration for finance costs and other charges) for the arrangement and that fee is fixed</w:t>
      </w:r>
      <w:r>
        <w:t xml:space="preserve"> </w:t>
      </w:r>
      <w:r>
        <w:t xml:space="preserve">by reference to:</w:t>
      </w:r>
    </w:p>
    <w:p>
      <w:pPr>
        <w:pStyle w:val="Compact"/>
        <w:numPr>
          <w:ilvl w:val="0"/>
          <w:numId w:val="1013"/>
        </w:numPr>
      </w:pPr>
      <w:r>
        <w:t xml:space="preserve">the amount of the tax advantage derived from the arrangement; or</w:t>
      </w:r>
    </w:p>
    <w:p>
      <w:pPr>
        <w:pStyle w:val="Compact"/>
        <w:numPr>
          <w:ilvl w:val="0"/>
          <w:numId w:val="1013"/>
        </w:numPr>
      </w:pPr>
      <w:r>
        <w:t xml:space="preserve">whether or not a tax advantage is actually derived from the arrangement. This would</w:t>
      </w:r>
      <w:r>
        <w:t xml:space="preserve"> </w:t>
      </w:r>
      <w:r>
        <w:t xml:space="preserve">include an obligation on the intermediary to partially or fully refund the fees where the</w:t>
      </w:r>
      <w:r>
        <w:t xml:space="preserve"> </w:t>
      </w:r>
      <w:r>
        <w:t xml:space="preserve">intended tax advantage derived from the arrangement was not partially or fully achieved.</w:t>
      </w:r>
    </w:p>
    <w:p>
      <w:pPr>
        <w:pStyle w:val="Compact"/>
        <w:numPr>
          <w:ilvl w:val="0"/>
          <w:numId w:val="1014"/>
        </w:numPr>
      </w:pPr>
      <w:r>
        <w:t xml:space="preserve">An arrangement that has substantially standardised documentation and/or structure and</w:t>
      </w:r>
      <w:r>
        <w:t xml:space="preserve"> </w:t>
      </w:r>
      <w:r>
        <w:t xml:space="preserve">is available to more than one relevant taxpayer without a need to be substantially customised</w:t>
      </w:r>
      <w:r>
        <w:t xml:space="preserve"> </w:t>
      </w:r>
      <w:r>
        <w:t xml:space="preserve">for implementation.</w:t>
      </w:r>
    </w:p>
    <w:p>
      <w:pPr>
        <w:pStyle w:val="FirstParagraph"/>
      </w:pPr>
      <w:r>
        <w:t xml:space="preserve">• Category B (Specific hallmarks – MBT): These refers to concrete strategies, such</w:t>
      </w:r>
      <w:r>
        <w:t xml:space="preserve"> </w:t>
      </w:r>
      <w:r>
        <w:t xml:space="preserve">as buying a company mainly to use its tax losses to reduce taxable profits, even if</w:t>
      </w:r>
      <w:r>
        <w:t xml:space="preserve"> </w:t>
      </w:r>
      <w:r>
        <w:t xml:space="preserve">there is little real economic activity behind the transaction.</w:t>
      </w:r>
    </w:p>
    <w:p>
      <w:pPr>
        <w:pStyle w:val="Compact"/>
        <w:numPr>
          <w:ilvl w:val="0"/>
          <w:numId w:val="1015"/>
        </w:numPr>
      </w:pPr>
      <w:r>
        <w:t xml:space="preserve">An arrangement whereby a participant in the arrangement takes contrived steps which</w:t>
      </w:r>
      <w:r>
        <w:t xml:space="preserve"> </w:t>
      </w:r>
      <w:r>
        <w:t xml:space="preserve">consist in acquiring a lossmaking company, discontinuing the main activity of such company</w:t>
      </w:r>
      <w:r>
        <w:t xml:space="preserve"> </w:t>
      </w:r>
      <w:r>
        <w:t xml:space="preserve">and using its losses in order to reduce its tax liability, including through a transfer of those</w:t>
      </w:r>
      <w:r>
        <w:t xml:space="preserve"> </w:t>
      </w:r>
      <w:r>
        <w:t xml:space="preserve">losses to another jurisdiction or by the acceleration of the use of those losses.</w:t>
      </w:r>
    </w:p>
    <w:p>
      <w:pPr>
        <w:pStyle w:val="Compact"/>
        <w:numPr>
          <w:ilvl w:val="0"/>
          <w:numId w:val="1015"/>
        </w:numPr>
      </w:pPr>
      <w:r>
        <w:t xml:space="preserve">An arrangement that has the effect of converting income into capital, gifts or other</w:t>
      </w:r>
      <w:r>
        <w:t xml:space="preserve"> </w:t>
      </w:r>
      <w:r>
        <w:t xml:space="preserve">categories of revenue which are taxed at a lower level or exempt from tax.</w:t>
      </w:r>
    </w:p>
    <w:p>
      <w:pPr>
        <w:pStyle w:val="Compact"/>
        <w:numPr>
          <w:ilvl w:val="0"/>
          <w:numId w:val="1015"/>
        </w:numPr>
      </w:pPr>
      <w:r>
        <w:t xml:space="preserve">An arrangement which includes circular transactions resulting in the round-tripping of</w:t>
      </w:r>
      <w:r>
        <w:t xml:space="preserve"> </w:t>
      </w:r>
      <w:r>
        <w:t xml:space="preserve">funds, namely through involving interposed entities without other primary commercial</w:t>
      </w:r>
      <w:r>
        <w:t xml:space="preserve"> </w:t>
      </w:r>
      <w:r>
        <w:t xml:space="preserve">function or transactions that offset or cancel each other or that have other similar features.</w:t>
      </w:r>
    </w:p>
    <w:p>
      <w:pPr>
        <w:pStyle w:val="FirstParagraph"/>
      </w:pPr>
      <w:r>
        <w:t xml:space="preserve">• Category C (Specific hallmarks - Cross-border payments): These focus on</w:t>
      </w:r>
      <w:r>
        <w:t xml:space="preserve"> </w:t>
      </w:r>
      <w:r>
        <w:t xml:space="preserve">payments between countries that may reduce tax, for example when a company</w:t>
      </w:r>
      <w:r>
        <w:t xml:space="preserve"> </w:t>
      </w:r>
      <w:r>
        <w:t xml:space="preserve">makes payments to another entity located in a country with very low or no taxation.</w:t>
      </w:r>
      <w:r>
        <w:t xml:space="preserve"> </w:t>
      </w:r>
      <w:r>
        <w:t xml:space="preserve">This category captures many common international tax planning structures. (e.g.,</w:t>
      </w:r>
      <w:r>
        <w:t xml:space="preserve"> </w:t>
      </w:r>
      <w:r>
        <w:t xml:space="preserve">deductible payments to low-tax jurisdictions, misaligned tax treatments).</w:t>
      </w:r>
      <w:r>
        <w:t xml:space="preserve"> </w:t>
      </w:r>
      <w:r>
        <w:t xml:space="preserve">1. An arrangement that involves deductible cross-border payments made between two or</w:t>
      </w:r>
      <w:r>
        <w:t xml:space="preserve"> </w:t>
      </w:r>
      <w:r>
        <w:t xml:space="preserve">more associated</w:t>
      </w:r>
      <w:r>
        <w:t xml:space="preserve"> </w:t>
      </w:r>
      <w:r>
        <w:t xml:space="preserve">enterprises where at least one of the following conditions occurs: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(a) the recipient is not resident for tax purposes in any tax jurisdiction;</w:t>
      </w:r>
      <w:r>
        <w:t xml:space="preserve"> </w:t>
      </w:r>
      <w:r>
        <w:t xml:space="preserve">(b) although the recipient is resident for tax purposes in a jurisdiction, that jurisdiction</w:t>
      </w:r>
      <w:r>
        <w:t xml:space="preserve"> </w:t>
      </w:r>
      <w:r>
        <w:t xml:space="preserve">either:</w:t>
      </w:r>
      <w:r>
        <w:t xml:space="preserve"> </w:t>
      </w:r>
      <w:r>
        <w:t xml:space="preserve">(i) does not impose any corporate tax or imposes corporate tax at the rate of zero</w:t>
      </w:r>
      <w:r>
        <w:t xml:space="preserve"> </w:t>
      </w:r>
      <w:r>
        <w:t xml:space="preserve">or almost zero; or</w:t>
      </w:r>
      <w:r>
        <w:t xml:space="preserve"> </w:t>
      </w:r>
      <w:r>
        <w:t xml:space="preserve">(ii) is included in a list of third-country jurisdictions which have been assessed by</w:t>
      </w:r>
      <w:r>
        <w:t xml:space="preserve"> </w:t>
      </w:r>
      <w:r>
        <w:t xml:space="preserve">MS collectively or within the framework of the OECD as being non-cooperative;</w:t>
      </w:r>
      <w:r>
        <w:t xml:space="preserve"> </w:t>
      </w:r>
      <w:r>
        <w:t xml:space="preserve">(c) the payment benefits from a full exemption from tax in the jurisdiction where the</w:t>
      </w:r>
      <w:r>
        <w:t xml:space="preserve"> </w:t>
      </w:r>
      <w:r>
        <w:t xml:space="preserve">recipient is resident for tax purposes;</w:t>
      </w:r>
      <w:r>
        <w:t xml:space="preserve"> </w:t>
      </w:r>
      <w:r>
        <w:t xml:space="preserve">(d) the payment benefits from a preferential tax regime in the jurisdiction where the</w:t>
      </w:r>
      <w:r>
        <w:t xml:space="preserve"> </w:t>
      </w:r>
      <w:r>
        <w:t xml:space="preserve">recipient is resident for tax purposes;</w:t>
      </w:r>
      <w:r>
        <w:t xml:space="preserve"> </w:t>
      </w:r>
      <w:r>
        <w:t xml:space="preserve">2. Deductions for the same depreciation on the asset are claimed in more than one</w:t>
      </w:r>
      <w:r>
        <w:t xml:space="preserve"> </w:t>
      </w:r>
      <w:r>
        <w:t xml:space="preserve">jurisdiction.</w:t>
      </w:r>
      <w:r>
        <w:t xml:space="preserve"> </w:t>
      </w:r>
      <w:r>
        <w:t xml:space="preserve">3. Relief from double taxation in respect of the same item of income or capital is claimed in</w:t>
      </w:r>
      <w:r>
        <w:t xml:space="preserve"> </w:t>
      </w:r>
      <w:r>
        <w:t xml:space="preserve">more than one jurisdiction.</w:t>
      </w:r>
      <w:r>
        <w:t xml:space="preserve"> </w:t>
      </w:r>
      <w:r>
        <w:t xml:space="preserve">4. There is an arrangement that includes transfers of assets and where there is a material</w:t>
      </w:r>
      <w:r>
        <w:t xml:space="preserve"> </w:t>
      </w:r>
      <w:r>
        <w:t xml:space="preserve">difference in the amount being treated as payable in consideration for the assets in those</w:t>
      </w:r>
      <w:r>
        <w:t xml:space="preserve"> </w:t>
      </w:r>
      <w:r>
        <w:t xml:space="preserve">jurisdictions involved.</w:t>
      </w:r>
    </w:p>
    <w:p>
      <w:pPr>
        <w:pStyle w:val="BodyText"/>
      </w:pPr>
      <w:r>
        <w:t xml:space="preserve">• Category D (Transparency hallmarks -automatic exchange/ beneficial</w:t>
      </w:r>
      <w:r>
        <w:t xml:space="preserve"> </w:t>
      </w:r>
      <w:r>
        <w:t xml:space="preserve">ownership): These aim at arrangements that try to hide information from tax</w:t>
      </w:r>
      <w:r>
        <w:t xml:space="preserve"> </w:t>
      </w:r>
      <w:r>
        <w:t xml:space="preserve">authorities, for example by obscuring who really owns assets or by circumventing</w:t>
      </w:r>
      <w:r>
        <w:t xml:space="preserve"> </w:t>
      </w:r>
      <w:r>
        <w:t xml:space="preserve">international information exchange systems. (e.g., undermining CRS/DAC rules).</w:t>
      </w:r>
    </w:p>
    <w:p>
      <w:pPr>
        <w:pStyle w:val="Compact"/>
        <w:numPr>
          <w:ilvl w:val="0"/>
          <w:numId w:val="1016"/>
        </w:numPr>
      </w:pPr>
      <w:r>
        <w:t xml:space="preserve">An arrangement which may have the effect of undermining the reporting obligation under</w:t>
      </w:r>
      <w:r>
        <w:t xml:space="preserve"> </w:t>
      </w:r>
      <w:r>
        <w:t xml:space="preserve">the laws implementing Union legislation or any equivalent agreements on the automatic</w:t>
      </w:r>
      <w:r>
        <w:t xml:space="preserve"> </w:t>
      </w:r>
      <w:r>
        <w:t xml:space="preserve">exchange of Financial Account information, including agreements with third countries, or</w:t>
      </w:r>
      <w:r>
        <w:t xml:space="preserve"> </w:t>
      </w:r>
      <w:r>
        <w:t xml:space="preserve">which takes advantage of the absence of such legislation or agreements. Such arrangements</w:t>
      </w:r>
      <w:r>
        <w:t xml:space="preserve"> </w:t>
      </w:r>
      <w:r>
        <w:t xml:space="preserve">include at least the following:</w:t>
      </w:r>
    </w:p>
    <w:p>
      <w:pPr>
        <w:pStyle w:val="Compact"/>
        <w:numPr>
          <w:ilvl w:val="0"/>
          <w:numId w:val="1017"/>
        </w:numPr>
      </w:pPr>
      <w:r>
        <w:t xml:space="preserve">the use of an account, product or investment that is not, or purports not to be, a</w:t>
      </w:r>
      <w:r>
        <w:t xml:space="preserve"> </w:t>
      </w:r>
      <w:r>
        <w:t xml:space="preserve">Financial Account, but has features that are substantially similar to those of a Financial</w:t>
      </w:r>
      <w:r>
        <w:t xml:space="preserve"> </w:t>
      </w:r>
      <w:r>
        <w:t xml:space="preserve">Account;</w:t>
      </w:r>
    </w:p>
    <w:p>
      <w:pPr>
        <w:pStyle w:val="Compact"/>
        <w:numPr>
          <w:ilvl w:val="0"/>
          <w:numId w:val="1017"/>
        </w:numPr>
      </w:pPr>
      <w:r>
        <w:t xml:space="preserve">the transfer of Financial Accounts or assets to, or the use of jurisdictions that are not</w:t>
      </w:r>
      <w:r>
        <w:t xml:space="preserve"> </w:t>
      </w:r>
      <w:r>
        <w:t xml:space="preserve">bound by the automatic exchange of Financial Account information with the State of</w:t>
      </w:r>
      <w:r>
        <w:t xml:space="preserve"> </w:t>
      </w:r>
      <w:r>
        <w:t xml:space="preserve">residence of the relevant taxpayer;</w:t>
      </w:r>
    </w:p>
    <w:p>
      <w:pPr>
        <w:pStyle w:val="Compact"/>
        <w:numPr>
          <w:ilvl w:val="0"/>
          <w:numId w:val="1017"/>
        </w:numPr>
      </w:pPr>
      <w:r>
        <w:t xml:space="preserve">the reclassification of income and capital into products or payments that are not</w:t>
      </w:r>
      <w:r>
        <w:t xml:space="preserve"> </w:t>
      </w:r>
      <w:r>
        <w:t xml:space="preserve">subject to the automatic exchange of Financial Account information;</w:t>
      </w:r>
    </w:p>
    <w:p>
      <w:pPr>
        <w:pStyle w:val="Compact"/>
        <w:numPr>
          <w:ilvl w:val="0"/>
          <w:numId w:val="1017"/>
        </w:numPr>
      </w:pPr>
      <w:r>
        <w:t xml:space="preserve">the transfer or conversion of a Financial Institution or a Financial Account or the</w:t>
      </w:r>
      <w:r>
        <w:t xml:space="preserve"> </w:t>
      </w:r>
      <w:r>
        <w:t xml:space="preserve">assets therein into a Financial Institution or a Financial Account or assets not subject to</w:t>
      </w:r>
      <w:r>
        <w:t xml:space="preserve"> </w:t>
      </w:r>
      <w:r>
        <w:t xml:space="preserve">reporting under the automatic exchange of Financial Account information;</w:t>
      </w:r>
    </w:p>
    <w:p>
      <w:pPr>
        <w:pStyle w:val="Compact"/>
        <w:numPr>
          <w:ilvl w:val="0"/>
          <w:numId w:val="1017"/>
        </w:numPr>
      </w:pPr>
      <w:r>
        <w:t xml:space="preserve">the use of legal entities, arrangements or structures that eliminate or purport to</w:t>
      </w:r>
      <w:r>
        <w:t xml:space="preserve"> </w:t>
      </w:r>
      <w:r>
        <w:t xml:space="preserve">eliminate reporting of one or more Account Holders or Controlling Persons under the</w:t>
      </w:r>
      <w:r>
        <w:t xml:space="preserve"> </w:t>
      </w:r>
      <w:r>
        <w:t xml:space="preserve">automatic exchange of Financial Account information;</w:t>
      </w:r>
    </w:p>
    <w:p>
      <w:pPr>
        <w:pStyle w:val="Compact"/>
        <w:numPr>
          <w:ilvl w:val="0"/>
          <w:numId w:val="1017"/>
        </w:numPr>
      </w:pPr>
      <w:r>
        <w:t xml:space="preserve">arrangements that undermine, or exploit weaknesses in, the due diligence procedures</w:t>
      </w:r>
      <w:r>
        <w:t xml:space="preserve"> </w:t>
      </w:r>
      <w:r>
        <w:t xml:space="preserve">used by Financial Institutions to comply with their obligations to report Financial</w:t>
      </w:r>
      <w:r>
        <w:t xml:space="preserve"> </w:t>
      </w:r>
      <w:r>
        <w:t xml:space="preserve">Account information, including the use of jurisdictions with inadequate or weak regimes</w:t>
      </w:r>
    </w:p>
    <w:p>
      <w:pPr>
        <w:pStyle w:val="FirstParagraph"/>
      </w:pPr>
      <w:r>
        <w:t xml:space="preserve">105</w:t>
      </w:r>
      <w:r>
        <w:t xml:space="preserve"> </w:t>
      </w:r>
      <w:r>
        <w:t xml:space="preserve">of enforcement of anti-money-laundering legislation or with weak transparency</w:t>
      </w:r>
      <w:r>
        <w:t xml:space="preserve"> </w:t>
      </w:r>
      <w:r>
        <w:t xml:space="preserve">requirements for legal persons or legal arrangements.</w:t>
      </w:r>
      <w:r>
        <w:t xml:space="preserve"> </w:t>
      </w:r>
      <w:r>
        <w:t xml:space="preserve">2. An arrangement involving a non-transparent legal or beneficial ownership chain with the</w:t>
      </w:r>
      <w:r>
        <w:t xml:space="preserve"> </w:t>
      </w:r>
      <w:r>
        <w:t xml:space="preserve">use of persons, legal arrangements or structures:</w:t>
      </w:r>
      <w:r>
        <w:t xml:space="preserve"> </w:t>
      </w:r>
      <w:r>
        <w:t xml:space="preserve">(a) that do not carry on a substantive economic activity supported by adequate staff,</w:t>
      </w:r>
      <w:r>
        <w:t xml:space="preserve"> </w:t>
      </w:r>
      <w:r>
        <w:t xml:space="preserve">equipment, assets and premises; and</w:t>
      </w:r>
      <w:r>
        <w:t xml:space="preserve"> </w:t>
      </w:r>
      <w:r>
        <w:t xml:space="preserve">(b) that are incorporated, managed, resident, controlled or established in any jurisdiction</w:t>
      </w:r>
      <w:r>
        <w:t xml:space="preserve"> </w:t>
      </w:r>
      <w:r>
        <w:t xml:space="preserve">other than the jurisdiction of residence of one or more of the beneficial owners of the</w:t>
      </w:r>
      <w:r>
        <w:t xml:space="preserve"> </w:t>
      </w:r>
      <w:r>
        <w:t xml:space="preserve">assets held by such persons, legal arrangements or structures; and</w:t>
      </w:r>
      <w:r>
        <w:t xml:space="preserve"> </w:t>
      </w:r>
      <w:r>
        <w:t xml:space="preserve">(c) where the beneficial owners of such persons, legal arrangements or structures, as</w:t>
      </w:r>
      <w:r>
        <w:t xml:space="preserve"> </w:t>
      </w:r>
      <w:r>
        <w:t xml:space="preserve">defined in Directive (EU) 2015/849, are made unidentifiable.</w:t>
      </w:r>
    </w:p>
    <w:p>
      <w:pPr>
        <w:pStyle w:val="BodyText"/>
      </w:pPr>
      <w:r>
        <w:t xml:space="preserve">• Category E (Transfer Pricing hallmarks): These relate to how MNEs price</w:t>
      </w:r>
      <w:r>
        <w:t xml:space="preserve"> </w:t>
      </w:r>
      <w:r>
        <w:t xml:space="preserve">transactions within their group, such as transferring intellectual property between</w:t>
      </w:r>
      <w:r>
        <w:t xml:space="preserve"> </w:t>
      </w:r>
      <w:r>
        <w:t xml:space="preserve">subsidiaries in different countries to shift profits, (e.g., unilateral safe harbours, hard-</w:t>
      </w:r>
      <w:r>
        <w:t xml:space="preserve"> </w:t>
      </w:r>
      <w:r>
        <w:t xml:space="preserve">to-value intangibles).</w:t>
      </w:r>
    </w:p>
    <w:p>
      <w:pPr>
        <w:pStyle w:val="Compact"/>
        <w:numPr>
          <w:ilvl w:val="0"/>
          <w:numId w:val="1018"/>
        </w:numPr>
      </w:pPr>
      <w:r>
        <w:t xml:space="preserve">An arrangement which involves the use of unilateral safe harbour rules.</w:t>
      </w:r>
    </w:p>
    <w:p>
      <w:pPr>
        <w:pStyle w:val="Compact"/>
        <w:numPr>
          <w:ilvl w:val="0"/>
          <w:numId w:val="1018"/>
        </w:numPr>
      </w:pPr>
      <w:r>
        <w:t xml:space="preserve">An arrangement involving the transfer of hard-to-value intangibles. The term “hard-to-</w:t>
      </w:r>
      <w:r>
        <w:t xml:space="preserve"> </w:t>
      </w:r>
      <w:r>
        <w:t xml:space="preserve">value intangibles” covers intangibles or rights in intangibles for which, at the time of their</w:t>
      </w:r>
      <w:r>
        <w:t xml:space="preserve"> </w:t>
      </w:r>
      <w:r>
        <w:t xml:space="preserve">transfer between associated enterprises:</w:t>
      </w:r>
    </w:p>
    <w:p>
      <w:pPr>
        <w:pStyle w:val="Compact"/>
        <w:numPr>
          <w:ilvl w:val="0"/>
          <w:numId w:val="1019"/>
        </w:numPr>
      </w:pPr>
      <w:r>
        <w:t xml:space="preserve">no reliable comparables exist; and</w:t>
      </w:r>
    </w:p>
    <w:p>
      <w:pPr>
        <w:pStyle w:val="Compact"/>
        <w:numPr>
          <w:ilvl w:val="0"/>
          <w:numId w:val="1019"/>
        </w:numPr>
      </w:pPr>
      <w:r>
        <w:t xml:space="preserve">at the time the transaction was entered into, the projections of future cash flows or</w:t>
      </w:r>
      <w:r>
        <w:t xml:space="preserve"> </w:t>
      </w:r>
      <w:r>
        <w:t xml:space="preserve">income expected to be derived from the transferred intangible, or the assumptions used</w:t>
      </w:r>
      <w:r>
        <w:t xml:space="preserve"> </w:t>
      </w:r>
      <w:r>
        <w:t xml:space="preserve">in valuing the intangible are highly uncertain, making it difficult to predict the level of</w:t>
      </w:r>
      <w:r>
        <w:t xml:space="preserve"> </w:t>
      </w:r>
      <w:r>
        <w:t xml:space="preserve">ultimate success of the intangible at the time of the transfer.</w:t>
      </w:r>
    </w:p>
    <w:p>
      <w:pPr>
        <w:pStyle w:val="Compact"/>
        <w:numPr>
          <w:ilvl w:val="0"/>
          <w:numId w:val="1020"/>
        </w:numPr>
      </w:pPr>
      <w:r>
        <w:t xml:space="preserve">An arrangement involving an intragroup cross-border transfer of functions and/or risks</w:t>
      </w:r>
      <w:r>
        <w:t xml:space="preserve"> </w:t>
      </w:r>
      <w:r>
        <w:t xml:space="preserve">and/or assets, if the projected annual earnings before interest and taxes (EBIT), during the</w:t>
      </w:r>
      <w:r>
        <w:t xml:space="preserve"> </w:t>
      </w:r>
      <w:r>
        <w:t xml:space="preserve">three-year period after the transfer, of the transferor or transferors, are less than 50 % of</w:t>
      </w:r>
      <w:r>
        <w:t xml:space="preserve"> </w:t>
      </w:r>
      <w:r>
        <w:t xml:space="preserve">the projected annual EBIT of such transferor or transferors if the transfer had not been</w:t>
      </w:r>
      <w:r>
        <w:t xml:space="preserve"> </w:t>
      </w:r>
      <w:r>
        <w:t xml:space="preserve">made.’</w:t>
      </w:r>
      <w:r>
        <w:t xml:space="preserve"> </w:t>
      </w:r>
      <w:r>
        <w:t xml:space="preserve">Information reported to national tax authorities is subsequently exchanged automatically</w:t>
      </w:r>
      <w:r>
        <w:t xml:space="preserve"> </w:t>
      </w:r>
      <w:r>
        <w:t xml:space="preserve">between MS within a month. This exchange is made by standardized XML schema for</w:t>
      </w:r>
      <w:r>
        <w:t xml:space="preserve"> </w:t>
      </w:r>
      <w:r>
        <w:t xml:space="preserve">data via a central depository provided by the Commission services and accessible by</w:t>
      </w:r>
      <w:r>
        <w:t xml:space="preserve"> </w:t>
      </w:r>
      <w:r>
        <w:t xml:space="preserve">Member States The data shared includes who is involved, what the arrangement looks like,</w:t>
      </w:r>
      <w:r>
        <w:t xml:space="preserve"> </w:t>
      </w:r>
      <w:r>
        <w:t xml:space="preserve">which hallmarks apply, and when it was implemented. The system enables all Member</w:t>
      </w:r>
      <w:r>
        <w:t xml:space="preserve"> </w:t>
      </w:r>
      <w:r>
        <w:t xml:space="preserve">States to access the information, creating a shared repository of intelligence on cross-</w:t>
      </w:r>
      <w:r>
        <w:t xml:space="preserve"> </w:t>
      </w:r>
      <w:r>
        <w:t xml:space="preserve">border tax arrangements.</w:t>
      </w:r>
      <w:r>
        <w:t xml:space="preserve"> </w:t>
      </w:r>
      <w:r>
        <w:t xml:space="preserve">The reporting framework aims to provide tax administrations with early information on</w:t>
      </w:r>
      <w:r>
        <w:t xml:space="preserve"> </w:t>
      </w:r>
      <w:r>
        <w:t xml:space="preserve">potentially aggressive tax planning arrangements, thereby supporting risk assessment</w:t>
      </w:r>
      <w:r>
        <w:t xml:space="preserve"> </w:t>
      </w:r>
      <w:r>
        <w:t xml:space="preserve">and enforcement activities.</w:t>
      </w:r>
      <w:r>
        <w:br/>
      </w:r>
      <w:r>
        <w:t xml:space="preserve">Figure 2 on the following page includes an explanatory chart on the functioning of the</w:t>
      </w:r>
      <w:r>
        <w:t xml:space="preserve"> </w:t>
      </w:r>
      <w:r>
        <w:t xml:space="preserve">hallmarks and the Main Benefit Test.</w:t>
      </w:r>
    </w:p>
    <w:p>
      <w:pPr>
        <w:pStyle w:val="FirstParagraph"/>
      </w:pPr>
      <w:r>
        <w:t xml:space="preserve">106</w:t>
      </w:r>
      <w:r>
        <w:t xml:space="preserve"> </w:t>
      </w:r>
      <w:r>
        <w:t xml:space="preserve">Figure 2- DAC6 explanatory chart</w:t>
      </w:r>
    </w:p>
    <w:p>
      <w:pPr>
        <w:pStyle w:val="BodyText"/>
      </w:pPr>
      <w:r>
        <w:t xml:space="preserve">Focusing on the distribution of reported arrangements across the different hallmarks under</w:t>
      </w:r>
      <w:r>
        <w:t xml:space="preserve"> </w:t>
      </w:r>
      <w:r>
        <w:t xml:space="preserve">DAC6. The total number of hallmark disclosures (Figure 3) does not equal 79,000 reports</w:t>
      </w:r>
      <w:r>
        <w:t xml:space="preserve"> </w:t>
      </w:r>
      <w:r>
        <w:t xml:space="preserve">because a single report may include multiple hallmarks. As a result, the same arrangement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can be counted under more than one hallmark category, leading to a higher cumulative total</w:t>
      </w:r>
      <w:r>
        <w:t xml:space="preserve"> </w:t>
      </w:r>
      <w:r>
        <w:t xml:space="preserve">when aggregating across hallmarks than the number of individual reports submitted.</w:t>
      </w:r>
      <w:r>
        <w:t xml:space="preserve"> </w:t>
      </w:r>
      <w:r>
        <w:t xml:space="preserve">Figure 3- Number of Disclosures affected by hallmarks</w:t>
      </w:r>
    </w:p>
    <w:p>
      <w:pPr>
        <w:pStyle w:val="BodyText"/>
      </w:pPr>
      <w:r>
        <w:t xml:space="preserve">Figure 4- Total number of reported cross-border arrangements under the DAC6</w:t>
      </w:r>
      <w:r>
        <w:t xml:space="preserve"> </w:t>
      </w:r>
      <w:r>
        <w:t xml:space="preserve">Directive across MS from 2020 to 2025.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DAC7 – Reporting obligations for digital platform operators</w:t>
      </w:r>
      <w:r>
        <w:t xml:space="preserve"> </w:t>
      </w:r>
      <w:r>
        <w:t xml:space="preserve">DAC7 (Council Directive (EU) 2021/514 amending Directive 2011/16/EU) introduced</w:t>
      </w:r>
      <w:r>
        <w:t xml:space="preserve"> </w:t>
      </w:r>
      <w:r>
        <w:t xml:space="preserve">reporting obligations for digital platform operators facilitating certain activities carried</w:t>
      </w:r>
      <w:r>
        <w:t xml:space="preserve"> </w:t>
      </w:r>
      <w:r>
        <w:t xml:space="preserve">out by sellers through digital platforms.</w:t>
      </w:r>
      <w:r>
        <w:t xml:space="preserve"> </w:t>
      </w:r>
      <w:r>
        <w:t xml:space="preserve">Platform operators are required to collect and report information on sellers generating</w:t>
      </w:r>
      <w:r>
        <w:t xml:space="preserve"> </w:t>
      </w:r>
      <w:r>
        <w:t xml:space="preserve">income through their platforms. More concretely:</w:t>
      </w:r>
      <w:r>
        <w:t xml:space="preserve"> </w:t>
      </w:r>
      <w:r>
        <w:t xml:space="preserve">• Relevant activities: Rental of immovable property, personal services, sale of goods,</w:t>
      </w:r>
      <w:r>
        <w:t xml:space="preserve"> </w:t>
      </w:r>
      <w:r>
        <w:t xml:space="preserve">rental of means of transport.</w:t>
      </w:r>
      <w:r>
        <w:t xml:space="preserve"> </w:t>
      </w:r>
      <w:r>
        <w:t xml:space="preserve">• Reporting platform operators: EU-resident/established operators; non-EU operators</w:t>
      </w:r>
      <w:r>
        <w:t xml:space="preserve"> </w:t>
      </w:r>
      <w:r>
        <w:t xml:space="preserve">if facilitating EU sellers or EU immovable property rentals.</w:t>
      </w:r>
      <w:r>
        <w:t xml:space="preserve"> </w:t>
      </w:r>
      <w:r>
        <w:t xml:space="preserve">• Reportable sellers: Active sellers (≥30 transactions or &gt;EUR 2,000 consideration</w:t>
      </w:r>
      <w:r>
        <w:t xml:space="preserve"> </w:t>
      </w:r>
      <w:r>
        <w:t xml:space="preserve">annually for goods, with exemptions applicable to all activities for listed entities,</w:t>
      </w:r>
      <w:r>
        <w:t xml:space="preserve"> </w:t>
      </w:r>
      <w:r>
        <w:t xml:space="preserve">government bodies, etc.).</w:t>
      </w:r>
      <w:r>
        <w:t xml:space="preserve"> </w:t>
      </w:r>
      <w:r>
        <w:t xml:space="preserve">The information reported includes, among other elements:</w:t>
      </w:r>
      <w:r>
        <w:t xml:space="preserve"> </w:t>
      </w:r>
      <w:r>
        <w:t xml:space="preserve">•</w:t>
      </w:r>
      <w:r>
        <w:t xml:space="preserve"> </w:t>
      </w:r>
      <w:r>
        <w:t xml:space="preserve">identification details of the seller (individuals: name, address, TIN, DOB; entities:</w:t>
      </w:r>
      <w:r>
        <w:t xml:space="preserve"> </w:t>
      </w:r>
      <w:r>
        <w:t xml:space="preserve">name, address, TIN, incorporation details)</w:t>
      </w:r>
      <w:r>
        <w:t xml:space="preserve"> </w:t>
      </w:r>
      <w:r>
        <w:t xml:space="preserve">•</w:t>
      </w:r>
      <w:r>
        <w:t xml:space="preserve"> </w:t>
      </w:r>
      <w:r>
        <w:t xml:space="preserve">the total consideration paid or credited to the seller</w:t>
      </w:r>
      <w:r>
        <w:t xml:space="preserve"> </w:t>
      </w:r>
      <w:r>
        <w:t xml:space="preserve">•</w:t>
      </w:r>
      <w:r>
        <w:t xml:space="preserve"> </w:t>
      </w:r>
      <w:r>
        <w:t xml:space="preserve">fees or commissions charged by the platform</w:t>
      </w:r>
      <w:r>
        <w:t xml:space="preserve"> </w:t>
      </w:r>
      <w:r>
        <w:t xml:space="preserve">•</w:t>
      </w:r>
      <w:r>
        <w:t xml:space="preserve"> </w:t>
      </w:r>
      <w:r>
        <w:t xml:space="preserve">the number of relevant transactions carried out</w:t>
      </w:r>
    </w:p>
    <w:p>
      <w:pPr>
        <w:pStyle w:val="BodyText"/>
      </w:pPr>
      <w:r>
        <w:t xml:space="preserve">The information is reported to the tax authority of the MS where the platform operator is</w:t>
      </w:r>
      <w:r>
        <w:t xml:space="preserve"> </w:t>
      </w:r>
      <w:r>
        <w:t xml:space="preserve">registered and subsequently exchanged with the MS of residence of the seller.</w:t>
      </w:r>
      <w:r>
        <w:t xml:space="preserve"> </w:t>
      </w:r>
      <w:r>
        <w:t xml:space="preserve">The objective of this framework is to improve tax transparency in MS and facilitate the</w:t>
      </w:r>
      <w:r>
        <w:t xml:space="preserve"> </w:t>
      </w:r>
      <w:r>
        <w:t xml:space="preserve">taxation of income generated through the platform economy.</w:t>
      </w:r>
      <w:r>
        <w:t xml:space="preserve"> </w:t>
      </w:r>
      <w:r>
        <w:t xml:space="preserve">DAC9 - Automatic exchange for the purposes of the Pillar 2 Directive</w:t>
      </w:r>
    </w:p>
    <w:p>
      <w:pPr>
        <w:pStyle w:val="BodyText"/>
      </w:pPr>
      <w:r>
        <w:t xml:space="preserve">DAC9 operationalises the implementation in the EU of the Pillar 2 Directive by enabling in</w:t>
      </w:r>
      <w:r>
        <w:t xml:space="preserve"> </w:t>
      </w:r>
      <w:r>
        <w:t xml:space="preserve">scope MNEs to file, at central level, the information to be reported and requiring Member</w:t>
      </w:r>
      <w:r>
        <w:t xml:space="preserve"> </w:t>
      </w:r>
      <w:r>
        <w:t xml:space="preserve">States tax authorities to subsequently exchange this information. As the directive only</w:t>
      </w:r>
      <w:r>
        <w:t xml:space="preserve"> </w:t>
      </w:r>
      <w:r>
        <w:t xml:space="preserve">applies from 1 January 2026 and no reporting has yet taken place, no potential for</w:t>
      </w:r>
      <w:r>
        <w:t xml:space="preserve"> </w:t>
      </w:r>
      <w:r>
        <w:t xml:space="preserve">simplification of this reporting framework has been identified so far by the OECD, the</w:t>
      </w:r>
      <w:r>
        <w:t xml:space="preserve"> </w:t>
      </w:r>
      <w:r>
        <w:t xml:space="preserve">Commission services or stakeholders.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ANNEX 8: PRACTICAL EXAMPLES OF NATIONAL</w:t>
      </w:r>
      <w:r>
        <w:t xml:space="preserve"> </w:t>
      </w:r>
      <w:r>
        <w:t xml:space="preserve">TAXATION RULES FOR THE SALE OF GOODS (DAC7)</w:t>
      </w:r>
      <w:r>
        <w:t xml:space="preserve"> </w:t>
      </w:r>
      <w:r>
        <w:t xml:space="preserve">As detailed earlier in this report, 26 Member States reached a provisional agreement at</w:t>
      </w:r>
      <w:r>
        <w:t xml:space="preserve"> </w:t>
      </w:r>
      <w:r>
        <w:t xml:space="preserve">technical level at the OECD, to remove the activity threshold and increase the monetary</w:t>
      </w:r>
      <w:r>
        <w:t xml:space="preserve"> </w:t>
      </w:r>
      <w:r>
        <w:t xml:space="preserve">threshold to EUR 3,000. in relation to the Model Rules for Digital Platform Operators</w:t>
      </w:r>
      <w:r>
        <w:t xml:space="preserve"> </w:t>
      </w:r>
      <w:r>
        <w:t xml:space="preserve">(MRDP), which are implemented in the EU through DAC7.</w:t>
      </w:r>
      <w:r>
        <w:br/>
      </w:r>
      <w:r>
        <w:t xml:space="preserve">This provisional technical agreement is reflective of the fact that Member States do not view</w:t>
      </w:r>
      <w:r>
        <w:t xml:space="preserve"> </w:t>
      </w:r>
      <w:r>
        <w:t xml:space="preserve">an increase of the threshold as negatively impacting on their ability to effectively apply their</w:t>
      </w:r>
      <w:r>
        <w:t xml:space="preserve"> </w:t>
      </w:r>
      <w:r>
        <w:t xml:space="preserve">national taxation rules. While the application of national taxation rules is dependent on</w:t>
      </w:r>
      <w:r>
        <w:t xml:space="preserve"> </w:t>
      </w:r>
      <w:r>
        <w:t xml:space="preserve">specific personal circumstances e.g. entitlement to tax credits and allowances based on</w:t>
      </w:r>
      <w:r>
        <w:t xml:space="preserve"> </w:t>
      </w:r>
      <w:r>
        <w:t xml:space="preserve">marital and parental status etc, general practical examples of certain national taxation rules</w:t>
      </w:r>
      <w:r>
        <w:t xml:space="preserve"> </w:t>
      </w:r>
      <w:r>
        <w:t xml:space="preserve">applicable to personal income are included below.</w:t>
      </w:r>
      <w:r>
        <w:t xml:space="preserve"> </w:t>
      </w:r>
      <w:r>
        <w:t xml:space="preserve">Member State</w:t>
      </w:r>
      <w:r>
        <w:t xml:space="preserve"> </w:t>
      </w:r>
      <w:r>
        <w:t xml:space="preserve">Nature of tax-free amount</w:t>
      </w:r>
      <w:r>
        <w:t xml:space="preserve"> </w:t>
      </w:r>
      <w:r>
        <w:t xml:space="preserve">Tax free amount annual</w:t>
      </w:r>
      <w:r>
        <w:t xml:space="preserve"> </w:t>
      </w:r>
      <w:r>
        <w:t xml:space="preserve">Austria</w:t>
      </w:r>
      <w:r>
        <w:br/>
      </w:r>
      <w:r>
        <w:t xml:space="preserve">Statutory % band</w:t>
      </w:r>
      <w:r>
        <w:t xml:space="preserve"> </w:t>
      </w:r>
      <w:r>
        <w:t xml:space="preserve">€0–€13,539 at 0%</w:t>
      </w:r>
      <w:r>
        <w:t xml:space="preserve"> </w:t>
      </w:r>
      <w:r>
        <w:t xml:space="preserve">Croatia</w:t>
      </w:r>
      <w:r>
        <w:t xml:space="preserve"> </w:t>
      </w:r>
      <w:r>
        <w:t xml:space="preserve">Personal allowance (deduction) €7,200</w:t>
      </w:r>
      <w:r>
        <w:br/>
      </w:r>
      <w:r>
        <w:t xml:space="preserve">Cyprus</w:t>
      </w:r>
      <w:r>
        <w:t xml:space="preserve"> </w:t>
      </w:r>
      <w:r>
        <w:t xml:space="preserve">Statutory % band</w:t>
      </w:r>
      <w:r>
        <w:t xml:space="preserve"> </w:t>
      </w:r>
      <w:r>
        <w:t xml:space="preserve">€0–€19,500 at 0%</w:t>
      </w:r>
      <w:r>
        <w:t xml:space="preserve"> </w:t>
      </w:r>
      <w:r>
        <w:t xml:space="preserve">Germany</w:t>
      </w:r>
      <w:r>
        <w:t xml:space="preserve"> </w:t>
      </w:r>
      <w:r>
        <w:t xml:space="preserve">Statutory basic allowance</w:t>
      </w:r>
      <w:r>
        <w:t xml:space="preserve"> </w:t>
      </w:r>
      <w:r>
        <w:t xml:space="preserve">€12,096</w:t>
      </w:r>
      <w:r>
        <w:t xml:space="preserve"> </w:t>
      </w:r>
      <w:r>
        <w:t xml:space="preserve">Ireland</w:t>
      </w:r>
      <w:r>
        <w:t xml:space="preserve"> </w:t>
      </w:r>
      <w:r>
        <w:t xml:space="preserve">Tax Credit System</w:t>
      </w:r>
      <w:r>
        <w:t xml:space="preserve"> </w:t>
      </w:r>
      <w:r>
        <w:t xml:space="preserve">€4,000 credits</w:t>
      </w:r>
      <w:r>
        <w:t xml:space="preserve"> </w:t>
      </w:r>
      <w:r>
        <w:t xml:space="preserve">Luxembourg</w:t>
      </w:r>
      <w:r>
        <w:t xml:space="preserve"> </w:t>
      </w:r>
      <w:r>
        <w:t xml:space="preserve">Statutory % band</w:t>
      </w:r>
      <w:r>
        <w:t xml:space="preserve"> </w:t>
      </w:r>
      <w:r>
        <w:t xml:space="preserve">€0–€13,230 at 0%</w:t>
      </w:r>
      <w:r>
        <w:t xml:space="preserve"> </w:t>
      </w:r>
      <w:r>
        <w:t xml:space="preserve">Malta</w:t>
      </w:r>
      <w:r>
        <w:t xml:space="preserve"> </w:t>
      </w:r>
      <w:r>
        <w:t xml:space="preserve">Statutory % band</w:t>
      </w:r>
      <w:r>
        <w:t xml:space="preserve"> </w:t>
      </w:r>
      <w:r>
        <w:t xml:space="preserve">€0–€12,000 at 0%</w:t>
      </w:r>
      <w:r>
        <w:t xml:space="preserve"> </w:t>
      </w:r>
      <w:r>
        <w:t xml:space="preserve">Poland</w:t>
      </w:r>
      <w:r>
        <w:t xml:space="preserve"> </w:t>
      </w:r>
      <w:r>
        <w:t xml:space="preserve">Statutory 0% band</w:t>
      </w:r>
      <w:r>
        <w:t xml:space="preserve"> </w:t>
      </w:r>
      <w:r>
        <w:t xml:space="preserve">30,000 PLN</w:t>
      </w:r>
      <w:r>
        <w:t xml:space="preserve"> </w:t>
      </w:r>
      <w:r>
        <w:t xml:space="preserve">Approx €7,000</w:t>
      </w:r>
      <w:r>
        <w:t xml:space="preserve"> </w:t>
      </w:r>
      <w:r>
        <w:t xml:space="preserve">Slovakia</w:t>
      </w:r>
      <w:r>
        <w:t xml:space="preserve"> </w:t>
      </w:r>
      <w:r>
        <w:t xml:space="preserve">Likely exempt based on details</w:t>
      </w:r>
      <w:r>
        <w:t xml:space="preserve"> </w:t>
      </w:r>
      <w:r>
        <w:t xml:space="preserve">on website.</w:t>
      </w:r>
      <w:r>
        <w:t xml:space="preserve"> </w:t>
      </w:r>
      <w:r>
        <w:t xml:space="preserve">If the taxpayer’s tax base in</w:t>
      </w:r>
      <w:r>
        <w:t xml:space="preserve"> </w:t>
      </w:r>
      <w:r>
        <w:t xml:space="preserve">2025 is equal to or less than</w:t>
      </w:r>
      <w:r>
        <w:t xml:space="preserve"> </w:t>
      </w:r>
      <w:r>
        <w:t xml:space="preserve">EUR 25,426.27, the non-</w:t>
      </w:r>
      <w:r>
        <w:t xml:space="preserve"> </w:t>
      </w:r>
      <w:r>
        <w:t xml:space="preserve">taxable part is the amount of</w:t>
      </w:r>
      <w:r>
        <w:t xml:space="preserve"> </w:t>
      </w:r>
      <w:r>
        <w:t xml:space="preserve">EUR 5,753.79</w:t>
      </w:r>
      <w:r>
        <w:t xml:space="preserve"> </w:t>
      </w:r>
      <w:r>
        <w:t xml:space="preserve">Slovenia</w:t>
      </w:r>
      <w:r>
        <w:t xml:space="preserve"> </w:t>
      </w:r>
      <w:r>
        <w:t xml:space="preserve">Statutory % band</w:t>
      </w:r>
      <w:r>
        <w:t xml:space="preserve"> </w:t>
      </w:r>
      <w:r>
        <w:t xml:space="preserve">€0–€9,210.26 at 0%</w:t>
      </w:r>
      <w:r>
        <w:t xml:space="preserve"> </w:t>
      </w:r>
      <w:r>
        <w:t xml:space="preserve">Spain</w:t>
      </w:r>
      <w:r>
        <w:t xml:space="preserve"> </w:t>
      </w:r>
      <w:r>
        <w:t xml:space="preserve">Personal allowance to reduce</w:t>
      </w:r>
      <w:r>
        <w:t xml:space="preserve"> </w:t>
      </w:r>
      <w:r>
        <w:t xml:space="preserve">taxable income</w:t>
      </w:r>
      <w:r>
        <w:t xml:space="preserve"> </w:t>
      </w:r>
      <w:r>
        <w:t xml:space="preserve">€5,500 per annum</w:t>
      </w:r>
      <w:r>
        <w:t xml:space="preserve"> </w:t>
      </w:r>
      <w:r>
        <w:t xml:space="preserve">Sweden</w:t>
      </w:r>
      <w:r>
        <w:t xml:space="preserve"> </w:t>
      </w:r>
      <w:r>
        <w:t xml:space="preserve">Profit dependent</w:t>
      </w:r>
      <w:r>
        <w:t xml:space="preserve"> </w:t>
      </w:r>
      <w:r>
        <w:t xml:space="preserve">SEK 50,000</w:t>
      </w:r>
      <w:r>
        <w:t xml:space="preserve"> </w:t>
      </w:r>
      <w:r>
        <w:t xml:space="preserve">Approx €4,600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ANNEX 9: RATIONALE FOR DIVERGING AUTOMATIC</w:t>
      </w:r>
      <w:r>
        <w:t xml:space="preserve"> </w:t>
      </w:r>
      <w:r>
        <w:t xml:space="preserve">MATCHING RATES</w:t>
      </w:r>
      <w:r>
        <w:t xml:space="preserve"> </w:t>
      </w:r>
      <w:r>
        <w:t xml:space="preserve">The differences in the automatic matching rates across the individual DAC’s can be</w:t>
      </w:r>
      <w:r>
        <w:t xml:space="preserve"> </w:t>
      </w:r>
      <w:r>
        <w:t xml:space="preserve">explained by the fact that there is a direct correlation between the legislative requirements</w:t>
      </w:r>
      <w:r>
        <w:t xml:space="preserve"> </w:t>
      </w:r>
      <w:r>
        <w:t xml:space="preserve">to collect and verify identification information and automatic matching rates. A detailed</w:t>
      </w:r>
      <w:r>
        <w:t xml:space="preserve"> </w:t>
      </w:r>
      <w:r>
        <w:t xml:space="preserve">explanation of the divergent legislative requirements under each DAC is included below.</w:t>
      </w:r>
      <w:r>
        <w:t xml:space="preserve"> </w:t>
      </w:r>
      <w:r>
        <w:t xml:space="preserve">While this represents the ‘as is’ position it is important to note that Article 27c of Council</w:t>
      </w:r>
      <w:r>
        <w:t xml:space="preserve"> </w:t>
      </w:r>
      <w:r>
        <w:t xml:space="preserve">Directive (EU) 2023/2226 ‘DAC8’ introduce new and improved requirements for reporting</w:t>
      </w:r>
      <w:r>
        <w:t xml:space="preserve"> </w:t>
      </w:r>
      <w:r>
        <w:t xml:space="preserve">entities and tax administrations to report the taxpayer identification number (TIN). However,</w:t>
      </w:r>
      <w:r>
        <w:t xml:space="preserve"> </w:t>
      </w:r>
      <w:r>
        <w:t xml:space="preserve">these new requirements do not apply until the commencement of the taxable period 1</w:t>
      </w:r>
      <w:r>
        <w:t xml:space="preserve"> </w:t>
      </w:r>
      <w:r>
        <w:t xml:space="preserve">January 2028 for DAC3, DAC4 and DAC6 and the taxable period 1 January 2030 for DAC1.</w:t>
      </w:r>
      <w:r>
        <w:t xml:space="preserve"> </w:t>
      </w:r>
      <w:r>
        <w:t xml:space="preserve">Irrespective of these new requirements in the absence of a centralised tool to verify the TIN</w:t>
      </w:r>
      <w:r>
        <w:t xml:space="preserve"> </w:t>
      </w:r>
      <w:r>
        <w:t xml:space="preserve">an automatic matching rate of 100% cannot be achieved.</w:t>
      </w:r>
      <w:r>
        <w:br/>
      </w:r>
      <w:r>
        <w:t xml:space="preserve">For DAC1 there are no third-party due diligence and reporting requirements. The tax</w:t>
      </w:r>
      <w:r>
        <w:t xml:space="preserve"> </w:t>
      </w:r>
      <w:r>
        <w:t xml:space="preserve">authorities of Member States are only required to report and exchange information that is</w:t>
      </w:r>
      <w:r>
        <w:t xml:space="preserve"> </w:t>
      </w:r>
      <w:r>
        <w:t xml:space="preserve">available in their tax files. Consequentially, the tax authorities of Member States routinely</w:t>
      </w:r>
      <w:r>
        <w:t xml:space="preserve"> </w:t>
      </w:r>
      <w:r>
        <w:t xml:space="preserve">collect only the TIN relevant to their own Member State and do not routinely collect any</w:t>
      </w:r>
      <w:r>
        <w:t xml:space="preserve"> </w:t>
      </w:r>
      <w:r>
        <w:t xml:space="preserve">other TIN. Therefore, receiving Member States receive a very limited subset of</w:t>
      </w:r>
      <w:r>
        <w:t xml:space="preserve"> </w:t>
      </w:r>
      <w:r>
        <w:t xml:space="preserve">identification information i.e. name, date of birth and non-resident address to the extent that</w:t>
      </w:r>
      <w:r>
        <w:t xml:space="preserve"> </w:t>
      </w:r>
      <w:r>
        <w:t xml:space="preserve">this information is routinely collected by the tax administration of the sending Member</w:t>
      </w:r>
      <w:r>
        <w:t xml:space="preserve"> </w:t>
      </w:r>
      <w:r>
        <w:t xml:space="preserve">State. Also, the directive does not require tax administrations to verify this information.</w:t>
      </w:r>
      <w:r>
        <w:t xml:space="preserve"> </w:t>
      </w:r>
      <w:r>
        <w:t xml:space="preserve">Consequentially, the automatic matching rates of 39.3% (Employment Income), 41.6%</w:t>
      </w:r>
      <w:r>
        <w:t xml:space="preserve"> </w:t>
      </w:r>
      <w:r>
        <w:t xml:space="preserve">(Directors Fees), 46.9% (Pensions) and 24.2% (Life Insurance Products) are reflective of</w:t>
      </w:r>
      <w:r>
        <w:t xml:space="preserve"> </w:t>
      </w:r>
      <w:r>
        <w:t xml:space="preserve">the current ‘availability’ limitations of the legislative framework and absence of a</w:t>
      </w:r>
      <w:r>
        <w:t xml:space="preserve"> </w:t>
      </w:r>
      <w:r>
        <w:t xml:space="preserve">centralised tool to verify the TIN.</w:t>
      </w:r>
      <w:r>
        <w:t xml:space="preserve"> </w:t>
      </w:r>
      <w:r>
        <w:t xml:space="preserve">For DAC2, Financial Institutions are required to collect and report the name, address,</w:t>
      </w:r>
      <w:r>
        <w:t xml:space="preserve"> </w:t>
      </w:r>
      <w:r>
        <w:t xml:space="preserve">Member State of residence, TIN, and date and place of birth of each reportable person. These</w:t>
      </w:r>
      <w:r>
        <w:t xml:space="preserve"> </w:t>
      </w:r>
      <w:r>
        <w:t xml:space="preserve">reporting requirements are supplemented by due diligence requirements whereby Financial</w:t>
      </w:r>
      <w:r>
        <w:t xml:space="preserve"> </w:t>
      </w:r>
      <w:r>
        <w:t xml:space="preserve">Institutions are required to attain a self-certification from every account holder of a new</w:t>
      </w:r>
      <w:r>
        <w:t xml:space="preserve"> </w:t>
      </w:r>
      <w:r>
        <w:t xml:space="preserve">account, including any documentation collected pursuant to anti-money laundering/know</w:t>
      </w:r>
      <w:r>
        <w:t xml:space="preserve"> </w:t>
      </w:r>
      <w:r>
        <w:t xml:space="preserve">your customer procedures. A new account is any account opened on or after 1 January 2016.</w:t>
      </w:r>
      <w:r>
        <w:t xml:space="preserve"> </w:t>
      </w:r>
      <w:r>
        <w:t xml:space="preserve">A pre-existing account is any account opened prior to 1 January 2016. Financial Institutions</w:t>
      </w:r>
      <w:r>
        <w:t xml:space="preserve"> </w:t>
      </w:r>
      <w:r>
        <w:t xml:space="preserve">are subject to less onerous due diligence requirements for pre-existing accounts as they are</w:t>
      </w:r>
      <w:r>
        <w:t xml:space="preserve"> </w:t>
      </w:r>
      <w:r>
        <w:t xml:space="preserve">only required to rely upon their existing records. Consequentially, the associated accuracy</w:t>
      </w:r>
      <w:r>
        <w:t xml:space="preserve"> </w:t>
      </w:r>
      <w:r>
        <w:t xml:space="preserve">and completeness of identification information that is reported and exchanged is lower for</w:t>
      </w:r>
      <w:r>
        <w:t xml:space="preserve"> </w:t>
      </w:r>
      <w:r>
        <w:t xml:space="preserve">pre-existing accounts than for new accounts. Therefore, the automatic matching rate of</w:t>
      </w:r>
      <w:r>
        <w:t xml:space="preserve"> </w:t>
      </w:r>
      <w:r>
        <w:t xml:space="preserve">67.9% is reflective of the higher collection and validation requirements for new accounts</w:t>
      </w:r>
      <w:r>
        <w:t xml:space="preserve"> </w:t>
      </w:r>
      <w:r>
        <w:t xml:space="preserve">and more limited requirements for pre-existing accounts. This is also compounded by the</w:t>
      </w:r>
      <w:r>
        <w:t xml:space="preserve"> </w:t>
      </w:r>
      <w:r>
        <w:t xml:space="preserve">absence of a centralised tool to verify the TIN.</w:t>
      </w:r>
    </w:p>
    <w:p>
      <w:pPr>
        <w:pStyle w:val="BodyText"/>
      </w:pPr>
      <w:r>
        <w:t xml:space="preserve">Under DAC3, tax administrations that issue, amend or renew an advance cross-border ruling</w:t>
      </w:r>
      <w:r>
        <w:t xml:space="preserve"> </w:t>
      </w:r>
      <w:r>
        <w:t xml:space="preserve">or an advance pricing arrangement are required to automatically exchange certain</w:t>
      </w:r>
      <w:r>
        <w:t xml:space="preserve"> </w:t>
      </w:r>
      <w:r>
        <w:t xml:space="preserve">information to all other Member States. The information that is required to be automatically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exchanged includes the identification of the person, other than a natural person, and where</w:t>
      </w:r>
      <w:r>
        <w:t xml:space="preserve"> </w:t>
      </w:r>
      <w:r>
        <w:t xml:space="preserve">appropriate the group of persons to which it belongs. However, the directive is not</w:t>
      </w:r>
      <w:r>
        <w:t xml:space="preserve"> </w:t>
      </w:r>
      <w:r>
        <w:t xml:space="preserve">prescriptive on the type of identification information that must be provided for example the</w:t>
      </w:r>
      <w:r>
        <w:t xml:space="preserve"> </w:t>
      </w:r>
      <w:r>
        <w:t xml:space="preserve">directive does not require that the TIN of the Member State of residence must be provided.</w:t>
      </w:r>
      <w:r>
        <w:t xml:space="preserve"> </w:t>
      </w:r>
      <w:r>
        <w:t xml:space="preserve">Also, the directive does not require tax administrations to verify this information.</w:t>
      </w:r>
      <w:r>
        <w:t xml:space="preserve"> </w:t>
      </w:r>
      <w:r>
        <w:t xml:space="preserve">Consequentially, the significantly lower automatic matching rate of 27.3% is reflective of</w:t>
      </w:r>
      <w:r>
        <w:t xml:space="preserve"> </w:t>
      </w:r>
      <w:r>
        <w:t xml:space="preserve">the absence of the legislative requirement to collect and verify the TIN. This is also</w:t>
      </w:r>
      <w:r>
        <w:t xml:space="preserve"> </w:t>
      </w:r>
      <w:r>
        <w:t xml:space="preserve">compounded by the absence of a centralised tool to verify the TIN.</w:t>
      </w:r>
      <w:r>
        <w:t xml:space="preserve"> </w:t>
      </w:r>
      <w:r>
        <w:t xml:space="preserve">For DAC4, MNE groups are required to report specified information on their constituent</w:t>
      </w:r>
      <w:r>
        <w:t xml:space="preserve"> </w:t>
      </w:r>
      <w:r>
        <w:t xml:space="preserve">entities. The directive requires that in circumstances where the relevant constituent entity</w:t>
      </w:r>
      <w:r>
        <w:t xml:space="preserve"> </w:t>
      </w:r>
      <w:r>
        <w:t xml:space="preserve">has a TIN this must be mandatorily provided, and where the constituent entity does not have</w:t>
      </w:r>
      <w:r>
        <w:t xml:space="preserve"> </w:t>
      </w:r>
      <w:r>
        <w:t xml:space="preserve">a TIN, this information is not required. Consequentially, the automatic matching rate of</w:t>
      </w:r>
      <w:r>
        <w:t xml:space="preserve"> </w:t>
      </w:r>
      <w:r>
        <w:t xml:space="preserve">81.5% is reflective of these legislative requirements yet remains limited due to the absence</w:t>
      </w:r>
      <w:r>
        <w:t xml:space="preserve"> </w:t>
      </w:r>
      <w:r>
        <w:t xml:space="preserve">dedicated verification requirements and the absence of a centralised tool to verify the TIN.</w:t>
      </w:r>
      <w:r>
        <w:t xml:space="preserve"> </w:t>
      </w:r>
      <w:r>
        <w:t xml:space="preserve">For DAC6, intermediaries and relevant taxpayers are required to report their name, date and</w:t>
      </w:r>
      <w:r>
        <w:t xml:space="preserve"> </w:t>
      </w:r>
      <w:r>
        <w:t xml:space="preserve">place of birth (in the case of an individual), residence for tax purposes and the TIN. While</w:t>
      </w:r>
      <w:r>
        <w:t xml:space="preserve"> </w:t>
      </w:r>
      <w:r>
        <w:t xml:space="preserve">the legislation supports the reporting of the TIN there is no requirement for intermediaries</w:t>
      </w:r>
      <w:r>
        <w:t xml:space="preserve"> </w:t>
      </w:r>
      <w:r>
        <w:t xml:space="preserve">to verify the reported information. Consequentially, the automatic matching rate of 56.8%</w:t>
      </w:r>
      <w:r>
        <w:t xml:space="preserve"> </w:t>
      </w:r>
      <w:r>
        <w:t xml:space="preserve">is reflective of the absence of a requirement to verify the reported information and a</w:t>
      </w:r>
      <w:r>
        <w:t xml:space="preserve"> </w:t>
      </w:r>
      <w:r>
        <w:t xml:space="preserve">centralised tool to verify the TIN.</w:t>
      </w:r>
      <w:r>
        <w:t xml:space="preserve"> </w:t>
      </w:r>
      <w:r>
        <w:t xml:space="preserve">For DAC7, reporting platform operators are required to collect and report the name, address,</w:t>
      </w:r>
      <w:r>
        <w:t xml:space="preserve"> </w:t>
      </w:r>
      <w:r>
        <w:t xml:space="preserve">TIN and in the absence of a TIN, the place of birth, the VAT identification number (where</w:t>
      </w:r>
      <w:r>
        <w:t xml:space="preserve"> </w:t>
      </w:r>
      <w:r>
        <w:t xml:space="preserve">available) and the date of birth of the individual seller. Where the seller is an entity seller</w:t>
      </w:r>
      <w:r>
        <w:t xml:space="preserve"> </w:t>
      </w:r>
      <w:r>
        <w:t xml:space="preserve">the business registration number is also required to be collected and reported. The directive</w:t>
      </w:r>
      <w:r>
        <w:t xml:space="preserve"> </w:t>
      </w:r>
      <w:r>
        <w:t xml:space="preserve">requires reporting platform operators to also verify the collected information. The automatic</w:t>
      </w:r>
      <w:r>
        <w:t xml:space="preserve"> </w:t>
      </w:r>
      <w:r>
        <w:t xml:space="preserve">matching rate of 69.7% is reflective of the fact that there is no centralised system to verify</w:t>
      </w:r>
      <w:r>
        <w:t xml:space="preserve"> </w:t>
      </w:r>
      <w:r>
        <w:t xml:space="preserve">the TIN.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4350">
    <w:nsid w:val="0A994350"/>
    <w:multiLevelType w:val="multilevel"/>
    <w:lvl w:ilvl="0">
      <w:start w:val="50"/>
      <w:numFmt w:val="decimal"/>
      <w:lvlText w:val="(%1)"/>
      <w:lvlJc w:val="left"/>
      <w:pPr>
        <w:ind w:left="720" w:hanging="360"/>
      </w:pPr>
    </w:lvl>
    <w:lvl w:ilvl="1">
      <w:start w:val="50"/>
      <w:numFmt w:val="decimal"/>
      <w:lvlText w:val="(%2)"/>
      <w:lvlJc w:val="left"/>
      <w:pPr>
        <w:ind w:left="1440" w:hanging="360"/>
      </w:pPr>
    </w:lvl>
    <w:lvl w:ilvl="2">
      <w:start w:val="50"/>
      <w:numFmt w:val="decimal"/>
      <w:lvlText w:val="(%3)"/>
      <w:lvlJc w:val="left"/>
      <w:pPr>
        <w:ind w:left="2160" w:hanging="360"/>
      </w:pPr>
    </w:lvl>
    <w:lvl w:ilvl="3">
      <w:start w:val="50"/>
      <w:numFmt w:val="decimal"/>
      <w:lvlText w:val="(%4)"/>
      <w:lvlJc w:val="left"/>
      <w:pPr>
        <w:ind w:left="2880" w:hanging="360"/>
      </w:pPr>
    </w:lvl>
    <w:lvl w:ilvl="4">
      <w:start w:val="50"/>
      <w:numFmt w:val="decimal"/>
      <w:lvlText w:val="(%5)"/>
      <w:lvlJc w:val="left"/>
      <w:pPr>
        <w:ind w:left="3600" w:hanging="360"/>
      </w:pPr>
    </w:lvl>
    <w:lvl w:ilvl="5">
      <w:start w:val="50"/>
      <w:numFmt w:val="decimal"/>
      <w:lvlText w:val="(%6)"/>
      <w:lvlJc w:val="left"/>
      <w:pPr>
        <w:ind w:left="4320" w:hanging="360"/>
      </w:pPr>
    </w:lvl>
    <w:lvl w:ilvl="6">
      <w:start w:val="50"/>
      <w:numFmt w:val="decimal"/>
      <w:lvlText w:val="(%7)"/>
      <w:lvlJc w:val="left"/>
      <w:pPr>
        <w:ind w:left="5040" w:hanging="360"/>
      </w:pPr>
    </w:lvl>
    <w:lvl w:ilvl="7">
      <w:start w:val="50"/>
      <w:numFmt w:val="decimal"/>
      <w:lvlText w:val="(%8)"/>
      <w:lvlJc w:val="left"/>
      <w:pPr>
        <w:ind w:left="5760" w:hanging="360"/>
      </w:pPr>
    </w:lvl>
    <w:lvl w:ilvl="8">
      <w:start w:val="50"/>
      <w:numFmt w:val="decimal"/>
      <w:lvlText w:val="(%9)"/>
      <w:lvlJc w:val="left"/>
      <w:pPr>
        <w:ind w:left="6480" w:hanging="360"/>
      </w:pPr>
    </w:lvl>
  </w:abstractNum>
  <w:abstractNum w:abstractNumId="994360">
    <w:nsid w:val="0A994360"/>
    <w:multiLevelType w:val="multilevel"/>
    <w:lvl w:ilvl="0">
      <w:start w:val="60"/>
      <w:numFmt w:val="decimal"/>
      <w:lvlText w:val="(%1)"/>
      <w:lvlJc w:val="left"/>
      <w:pPr>
        <w:ind w:left="720" w:hanging="360"/>
      </w:pPr>
    </w:lvl>
    <w:lvl w:ilvl="1">
      <w:start w:val="60"/>
      <w:numFmt w:val="decimal"/>
      <w:lvlText w:val="(%2)"/>
      <w:lvlJc w:val="left"/>
      <w:pPr>
        <w:ind w:left="1440" w:hanging="360"/>
      </w:pPr>
    </w:lvl>
    <w:lvl w:ilvl="2">
      <w:start w:val="60"/>
      <w:numFmt w:val="decimal"/>
      <w:lvlText w:val="(%3)"/>
      <w:lvlJc w:val="left"/>
      <w:pPr>
        <w:ind w:left="2160" w:hanging="360"/>
      </w:pPr>
    </w:lvl>
    <w:lvl w:ilvl="3">
      <w:start w:val="60"/>
      <w:numFmt w:val="decimal"/>
      <w:lvlText w:val="(%4)"/>
      <w:lvlJc w:val="left"/>
      <w:pPr>
        <w:ind w:left="2880" w:hanging="360"/>
      </w:pPr>
    </w:lvl>
    <w:lvl w:ilvl="4">
      <w:start w:val="60"/>
      <w:numFmt w:val="decimal"/>
      <w:lvlText w:val="(%5)"/>
      <w:lvlJc w:val="left"/>
      <w:pPr>
        <w:ind w:left="3600" w:hanging="360"/>
      </w:pPr>
    </w:lvl>
    <w:lvl w:ilvl="5">
      <w:start w:val="60"/>
      <w:numFmt w:val="decimal"/>
      <w:lvlText w:val="(%6)"/>
      <w:lvlJc w:val="left"/>
      <w:pPr>
        <w:ind w:left="4320" w:hanging="360"/>
      </w:pPr>
    </w:lvl>
    <w:lvl w:ilvl="6">
      <w:start w:val="60"/>
      <w:numFmt w:val="decimal"/>
      <w:lvlText w:val="(%7)"/>
      <w:lvlJc w:val="left"/>
      <w:pPr>
        <w:ind w:left="5040" w:hanging="360"/>
      </w:pPr>
    </w:lvl>
    <w:lvl w:ilvl="7">
      <w:start w:val="60"/>
      <w:numFmt w:val="decimal"/>
      <w:lvlText w:val="(%8)"/>
      <w:lvlJc w:val="left"/>
      <w:pPr>
        <w:ind w:left="5760" w:hanging="360"/>
      </w:pPr>
    </w:lvl>
    <w:lvl w:ilvl="8">
      <w:start w:val="60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3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03">
    <w:abstractNumId w:val="9943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2026-07-31T16:48:43Z</dcterms:created>
  <dcterms:modified xsi:type="dcterms:W3CDTF">2026-07-31T16:48:43Z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