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3.6.2026</w:t>
      </w:r>
      <w:r>
        <w:br/>
      </w:r>
      <w:r>
        <w:t xml:space="preserve">SWD(2026) 504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a framework of measures for strengthening Europe’s semiconductor ecosystem</w:t>
      </w:r>
      <w:r>
        <w:t xml:space="preserve"> </w:t>
      </w:r>
      <w:r>
        <w:t xml:space="preserve">repealing Regulation (EU) 2023/1782 (Chips Act 2.0)</w:t>
      </w:r>
    </w:p>
    <w:p>
      <w:pPr>
        <w:pStyle w:val="BodyText"/>
      </w:pPr>
      <w:r>
        <w:t xml:space="preserve">{COM(2026) 504 final} - {SEC(2026) 504 final} - {SWD(2026) 505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………………………………………….. 9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……………………………………………………………………………………………….. 9</w:t>
      </w:r>
      <w:r>
        <w:t xml:space="preserve"> </w:t>
      </w:r>
      <w:r>
        <w:t xml:space="preserve">1.2</w:t>
      </w:r>
      <w:r>
        <w:t xml:space="preserve"> </w:t>
      </w:r>
      <w:r>
        <w:t xml:space="preserve">RELEVANT EXISTING EU LEGISLATION AND RELATED INITIATIVES ……………………………… 13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 16</w:t>
      </w:r>
      <w:r>
        <w:t xml:space="preserve"> </w:t>
      </w:r>
      <w:r>
        <w:t xml:space="preserve">2.1</w:t>
      </w:r>
      <w:r>
        <w:t xml:space="preserve"> </w:t>
      </w:r>
      <w:r>
        <w:t xml:space="preserve">WHAT IS/ARE THE PROBLEMS? ………………………………………………………………………………… 16</w:t>
      </w:r>
      <w:r>
        <w:t xml:space="preserve"> </w:t>
      </w:r>
      <w:r>
        <w:t xml:space="preserve">2.1.1</w:t>
      </w:r>
      <w:r>
        <w:t xml:space="preserve"> </w:t>
      </w:r>
      <w:r>
        <w:t xml:space="preserve">P1: Overdependence on third countries for semiconductor design and manufacturing . 16</w:t>
      </w:r>
      <w:r>
        <w:t xml:space="preserve"> </w:t>
      </w:r>
      <w:r>
        <w:t xml:space="preserve">2.1.1.1</w:t>
      </w:r>
      <w:r>
        <w:t xml:space="preserve"> </w:t>
      </w:r>
      <w:r>
        <w:t xml:space="preserve">Market concentration and clustering in the semiconductor industry …………………………….. 17</w:t>
      </w:r>
      <w:r>
        <w:t xml:space="preserve"> </w:t>
      </w:r>
      <w:r>
        <w:t xml:space="preserve">2.1.1.2</w:t>
      </w:r>
      <w:r>
        <w:t xml:space="preserve"> </w:t>
      </w:r>
      <w:r>
        <w:t xml:space="preserve">Semiconductor dependencies in the EU …………………………………………………………………… 18</w:t>
      </w:r>
      <w:r>
        <w:t xml:space="preserve"> </w:t>
      </w:r>
      <w:r>
        <w:t xml:space="preserve">2.1.1.3</w:t>
      </w:r>
      <w:r>
        <w:t xml:space="preserve"> </w:t>
      </w:r>
      <w:r>
        <w:t xml:space="preserve">Leading-edge chips ……………………………………………………………………………………………….. 20</w:t>
      </w:r>
      <w:r>
        <w:t xml:space="preserve"> </w:t>
      </w:r>
      <w:r>
        <w:t xml:space="preserve">2.1.1.4</w:t>
      </w:r>
      <w:r>
        <w:t xml:space="preserve"> </w:t>
      </w:r>
      <w:r>
        <w:t xml:space="preserve">Mature node chips…………………………………………………………………………………………………. 21</w:t>
      </w:r>
      <w:r>
        <w:t xml:space="preserve"> </w:t>
      </w:r>
      <w:r>
        <w:t xml:space="preserve">2.1.1.5</w:t>
      </w:r>
      <w:r>
        <w:t xml:space="preserve"> </w:t>
      </w:r>
      <w:r>
        <w:t xml:space="preserve">Memory chips ………………………………………………………………………………………………………. 22</w:t>
      </w:r>
      <w:r>
        <w:t xml:space="preserve"> </w:t>
      </w:r>
      <w:r>
        <w:t xml:space="preserve">2.1.1.6</w:t>
      </w:r>
      <w:r>
        <w:t xml:space="preserve"> </w:t>
      </w:r>
      <w:r>
        <w:t xml:space="preserve">Upstream value chain segments ………………………………………………………………………………. 24</w:t>
      </w:r>
      <w:r>
        <w:t xml:space="preserve"> </w:t>
      </w:r>
      <w:r>
        <w:t xml:space="preserve">2.1.1.6.1</w:t>
      </w:r>
      <w:r>
        <w:t xml:space="preserve"> </w:t>
      </w:r>
      <w:r>
        <w:t xml:space="preserve">Electronic Design Automation ……………………………………………………………………………. 24</w:t>
      </w:r>
      <w:r>
        <w:t xml:space="preserve"> </w:t>
      </w:r>
      <w:r>
        <w:t xml:space="preserve">2.1.1.6.2</w:t>
      </w:r>
      <w:r>
        <w:t xml:space="preserve"> </w:t>
      </w:r>
      <w:r>
        <w:t xml:space="preserve">Materials …………………………………………………………………………………………………………. 25</w:t>
      </w:r>
      <w:r>
        <w:t xml:space="preserve"> </w:t>
      </w:r>
      <w:r>
        <w:t xml:space="preserve">2.1.1.6.3</w:t>
      </w:r>
      <w:r>
        <w:t xml:space="preserve"> </w:t>
      </w:r>
      <w:r>
        <w:t xml:space="preserve">Ultra-high-purity process gases and chemicals ……………………………………………………… 27</w:t>
      </w:r>
      <w:r>
        <w:t xml:space="preserve"> </w:t>
      </w:r>
      <w:r>
        <w:t xml:space="preserve">2.1.1.6.4</w:t>
      </w:r>
      <w:r>
        <w:t xml:space="preserve"> </w:t>
      </w:r>
      <w:r>
        <w:t xml:space="preserve">Manufactured inputs …………………………………………………………………………………………. 28</w:t>
      </w:r>
      <w:r>
        <w:t xml:space="preserve"> </w:t>
      </w:r>
      <w:r>
        <w:t xml:space="preserve">2.1.1.6.5</w:t>
      </w:r>
      <w:r>
        <w:t xml:space="preserve"> </w:t>
      </w:r>
      <w:r>
        <w:t xml:space="preserve">Manufacturing equipment ………………………………………………………………………………….. 29</w:t>
      </w:r>
      <w:r>
        <w:t xml:space="preserve"> </w:t>
      </w:r>
      <w:r>
        <w:t xml:space="preserve">2.1.1.7</w:t>
      </w:r>
      <w:r>
        <w:t xml:space="preserve"> </w:t>
      </w:r>
      <w:r>
        <w:t xml:space="preserve">Conclusion …………………………………………………………………………………………………………… 30</w:t>
      </w:r>
      <w:r>
        <w:t xml:space="preserve"> </w:t>
      </w:r>
      <w:r>
        <w:t xml:space="preserve">2.1.2</w:t>
      </w:r>
      <w:r>
        <w:t xml:space="preserve"> </w:t>
      </w:r>
      <w:r>
        <w:t xml:space="preserve">P2: Insufficient crisis preparedness capabilities ……………………………………………………. 30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CONSEQUENCES? ……………………………………………………………………………. 31</w:t>
      </w:r>
      <w:r>
        <w:t xml:space="preserve"> </w:t>
      </w:r>
      <w:r>
        <w:t xml:space="preserve">2.3</w:t>
      </w:r>
      <w:r>
        <w:t xml:space="preserve"> </w:t>
      </w:r>
      <w:r>
        <w:t xml:space="preserve">WHAT ARE THE PROBLEM DRIVERS? ………………………………………………………………………… 32</w:t>
      </w:r>
      <w:r>
        <w:t xml:space="preserve"> </w:t>
      </w:r>
      <w:r>
        <w:t xml:space="preserve">2.3.1</w:t>
      </w:r>
      <w:r>
        <w:t xml:space="preserve"> </w:t>
      </w:r>
      <w:r>
        <w:t xml:space="preserve">PD1: Geopolitical tensions leading to disruptions and weaponisation of semiconductor</w:t>
      </w:r>
      <w:r>
        <w:t xml:space="preserve"> </w:t>
      </w:r>
      <w:r>
        <w:t xml:space="preserve">supply chains ……………………………………………………………………………………………………………….. 32</w:t>
      </w:r>
      <w:r>
        <w:t xml:space="preserve"> </w:t>
      </w:r>
      <w:r>
        <w:t xml:space="preserve">2.3.2</w:t>
      </w:r>
      <w:r>
        <w:t xml:space="preserve"> </w:t>
      </w:r>
      <w:r>
        <w:t xml:space="preserve">PD2: Underdeveloped European semiconductor design and manufacturing capabilities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2.3.3</w:t>
      </w:r>
      <w:r>
        <w:t xml:space="preserve"> </w:t>
      </w:r>
      <w:r>
        <w:t xml:space="preserve">PD3: Insufficient support and advanced facilities for scaling up innovative start-ups .. 37</w:t>
      </w:r>
      <w:r>
        <w:t xml:space="preserve"> </w:t>
      </w:r>
      <w:r>
        <w:t xml:space="preserve">2.3.4</w:t>
      </w:r>
      <w:r>
        <w:t xml:space="preserve"> </w:t>
      </w:r>
      <w:r>
        <w:t xml:space="preserve">PD4: Lack of demand for European advanced chips from user industries ………………… 40</w:t>
      </w:r>
      <w:r>
        <w:t xml:space="preserve"> </w:t>
      </w:r>
      <w:r>
        <w:t xml:space="preserve">2.3.5</w:t>
      </w:r>
      <w:r>
        <w:t xml:space="preserve"> </w:t>
      </w:r>
      <w:r>
        <w:t xml:space="preserve">PD5: Insufficient information available to public authorities on the resilience of the</w:t>
      </w:r>
      <w:r>
        <w:t xml:space="preserve"> </w:t>
      </w:r>
      <w:r>
        <w:t xml:space="preserve">European semiconductor supply chain …………………………………………………………………………….. 43</w:t>
      </w:r>
      <w:r>
        <w:t xml:space="preserve"> </w:t>
      </w:r>
      <w:r>
        <w:t xml:space="preserve">2.4</w:t>
      </w:r>
      <w:r>
        <w:t xml:space="preserve"> </w:t>
      </w:r>
      <w:r>
        <w:t xml:space="preserve">HOW LIKELY IS THE PROBLEM TO PERSIST? ………………………………………………………………. 45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………………………………………………………………………………….. 46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 46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……………………………………………………………….. 47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………………………………………………………….. 47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………………………………………………………….. 48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……………………………………………………………………………………………. 48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…………………………………………………………………………………………….. 49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OPTIONS?………………………………………………… 49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………………………………….. 49</w:t>
      </w:r>
      <w:r>
        <w:t xml:space="preserve"> </w:t>
      </w:r>
      <w:r>
        <w:t xml:space="preserve">5.1.1</w:t>
      </w:r>
      <w:r>
        <w:t xml:space="preserve"> </w:t>
      </w:r>
      <w:r>
        <w:t xml:space="preserve">Current state-of-play …………………………………………………………………………………………. 49</w:t>
      </w:r>
      <w:r>
        <w:t xml:space="preserve"> </w:t>
      </w:r>
      <w:r>
        <w:t xml:space="preserve">5.1.2</w:t>
      </w:r>
      <w:r>
        <w:t xml:space="preserve"> </w:t>
      </w:r>
      <w:r>
        <w:t xml:space="preserve">Economic impacts ……………………………………………………………………………………………… 50</w:t>
      </w:r>
      <w:r>
        <w:t xml:space="preserve"> </w:t>
      </w:r>
      <w:r>
        <w:t xml:space="preserve">5.1.2.1</w:t>
      </w:r>
      <w:r>
        <w:t xml:space="preserve"> </w:t>
      </w:r>
      <w:r>
        <w:t xml:space="preserve">Expected EU semiconductor firms’ revenues ……………………………………………………………. 50</w:t>
      </w:r>
      <w:r>
        <w:t xml:space="preserve"> </w:t>
      </w:r>
      <w:r>
        <w:t xml:space="preserve">5.1.2.2</w:t>
      </w:r>
      <w:r>
        <w:t xml:space="preserve"> </w:t>
      </w:r>
      <w:r>
        <w:t xml:space="preserve">Manufacturing capacity …………………………………………………………………………………………. 52</w:t>
      </w:r>
      <w:r>
        <w:t xml:space="preserve"> </w:t>
      </w:r>
      <w:r>
        <w:t xml:space="preserve">5.1.2.3</w:t>
      </w:r>
      <w:r>
        <w:t xml:space="preserve"> </w:t>
      </w:r>
      <w:r>
        <w:t xml:space="preserve">Demand ……………………………………………………………………………………………………………….. 54</w:t>
      </w:r>
      <w:r>
        <w:t xml:space="preserve"> </w:t>
      </w:r>
      <w:r>
        <w:t xml:space="preserve">5.1.2.4</w:t>
      </w:r>
      <w:r>
        <w:t xml:space="preserve"> </w:t>
      </w:r>
      <w:r>
        <w:t xml:space="preserve">The cost (price) competitiveness of the EU industry ………………………………………………….. 54</w:t>
      </w:r>
      <w:r>
        <w:t xml:space="preserve"> </w:t>
      </w:r>
      <w:r>
        <w:t xml:space="preserve">5.1.2.5</w:t>
      </w:r>
      <w:r>
        <w:t xml:space="preserve"> </w:t>
      </w:r>
      <w:r>
        <w:t xml:space="preserve">R&amp;D&amp;I leadership in the EU semiconductor industry ……………………………………………….. 55</w:t>
      </w:r>
      <w:r>
        <w:t xml:space="preserve"> </w:t>
      </w:r>
      <w:r>
        <w:t xml:space="preserve">5.1.3</w:t>
      </w:r>
      <w:r>
        <w:t xml:space="preserve"> </w:t>
      </w:r>
      <w:r>
        <w:t xml:space="preserve">Environmental impacts ………………………………………………………………………………………. 55</w:t>
      </w:r>
      <w:r>
        <w:t xml:space="preserve"> </w:t>
      </w:r>
      <w:r>
        <w:t xml:space="preserve">5.1.4</w:t>
      </w:r>
      <w:r>
        <w:t xml:space="preserve"> </w:t>
      </w:r>
      <w:r>
        <w:t xml:space="preserve">Social impacts …………………………………………………………………………………………………… 56</w:t>
      </w:r>
      <w:r>
        <w:t xml:space="preserve"> </w:t>
      </w:r>
      <w:r>
        <w:t xml:space="preserve">5.1.4.1</w:t>
      </w:r>
      <w:r>
        <w:t xml:space="preserve"> </w:t>
      </w:r>
      <w:r>
        <w:t xml:space="preserve">Jobs in the EU semiconductor industry ……………………………………………………………………. 56</w:t>
      </w:r>
      <w:r>
        <w:t xml:space="preserve"> </w:t>
      </w:r>
      <w:r>
        <w:t xml:space="preserve">5.1.5</w:t>
      </w:r>
      <w:r>
        <w:t xml:space="preserve"> </w:t>
      </w:r>
      <w:r>
        <w:t xml:space="preserve">Governance ………………………………………………………………………………………………………. 57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5.1.5.1</w:t>
      </w:r>
      <w:r>
        <w:t xml:space="preserve"> </w:t>
      </w:r>
      <w:r>
        <w:t xml:space="preserve">Supply chain monitoring ………………………………………………………………………………………… 57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…………………………………………………………………….. 57</w:t>
      </w:r>
      <w:r>
        <w:t xml:space="preserve"> </w:t>
      </w:r>
      <w:r>
        <w:t xml:space="preserve">5.2.1</w:t>
      </w:r>
      <w:r>
        <w:t xml:space="preserve"> </w:t>
      </w:r>
      <w:r>
        <w:t xml:space="preserve">Policy Option 0: “The status quo/baseline scenario” …………………………………………….. 58</w:t>
      </w:r>
      <w:r>
        <w:t xml:space="preserve"> </w:t>
      </w:r>
      <w:r>
        <w:t xml:space="preserve">5.2.2</w:t>
      </w:r>
      <w:r>
        <w:t xml:space="preserve"> </w:t>
      </w:r>
      <w:r>
        <w:t xml:space="preserve">Policy Option 1: “Measures that focus on the framework conditions” …………………….. 58</w:t>
      </w:r>
      <w:r>
        <w:t xml:space="preserve"> </w:t>
      </w:r>
      <w:r>
        <w:t xml:space="preserve">5.2.2.1</w:t>
      </w:r>
      <w:r>
        <w:t xml:space="preserve"> </w:t>
      </w:r>
      <w:r>
        <w:t xml:space="preserve">PM1: Increased R&amp;D&amp;I support through the Chips JU ……………………………………………… 58</w:t>
      </w:r>
      <w:r>
        <w:t xml:space="preserve"> </w:t>
      </w:r>
      <w:r>
        <w:t xml:space="preserve">5.2.2.2</w:t>
      </w:r>
      <w:r>
        <w:t xml:space="preserve"> </w:t>
      </w:r>
      <w:r>
        <w:t xml:space="preserve">PM2: Clarification of the scope of ‘first-of-a-kind’ ……………………………………………………. 59</w:t>
      </w:r>
      <w:r>
        <w:t xml:space="preserve"> </w:t>
      </w:r>
      <w:r>
        <w:t xml:space="preserve">5.2.2.3</w:t>
      </w:r>
      <w:r>
        <w:t xml:space="preserve"> </w:t>
      </w:r>
      <w:r>
        <w:t xml:space="preserve">PM3: Fast-track permitting procedures ……………………………………………………………………. 60</w:t>
      </w:r>
      <w:r>
        <w:t xml:space="preserve"> </w:t>
      </w:r>
      <w:r>
        <w:t xml:space="preserve">5.2.2.4</w:t>
      </w:r>
      <w:r>
        <w:t xml:space="preserve"> </w:t>
      </w:r>
      <w:r>
        <w:t xml:space="preserve">PM4: European Semiconductor Regions of Excellence Label …………………………………….. 60</w:t>
      </w:r>
      <w:r>
        <w:t xml:space="preserve"> </w:t>
      </w:r>
      <w:r>
        <w:t xml:space="preserve">5.2.2.5</w:t>
      </w:r>
      <w:r>
        <w:t xml:space="preserve"> </w:t>
      </w:r>
      <w:r>
        <w:t xml:space="preserve">PM5: Establishment of a Business-to-business Semiconductor Supply Chain Platform ….. 60</w:t>
      </w:r>
      <w:r>
        <w:t xml:space="preserve"> </w:t>
      </w:r>
      <w:r>
        <w:t xml:space="preserve">5.2.2.6</w:t>
      </w:r>
      <w:r>
        <w:t xml:space="preserve"> </w:t>
      </w:r>
      <w:r>
        <w:t xml:space="preserve">PM6: Information requests for aggregate data sent to the Platform in pre-crisis stage ……. 61</w:t>
      </w:r>
      <w:r>
        <w:t xml:space="preserve"> </w:t>
      </w:r>
      <w:r>
        <w:t xml:space="preserve">5.2.2.7</w:t>
      </w:r>
      <w:r>
        <w:t xml:space="preserve"> </w:t>
      </w:r>
      <w:r>
        <w:t xml:space="preserve">PM7: Increased investment in skills initiatives………………………………………………………….. 61</w:t>
      </w:r>
      <w:r>
        <w:t xml:space="preserve"> </w:t>
      </w:r>
      <w:r>
        <w:t xml:space="preserve">5.2.3</w:t>
      </w:r>
      <w:r>
        <w:t xml:space="preserve"> </w:t>
      </w:r>
      <w:r>
        <w:t xml:space="preserve">Policy Option 2: “Strategic sovereignty” …………………………………………………………….. 62</w:t>
      </w:r>
      <w:r>
        <w:t xml:space="preserve"> </w:t>
      </w:r>
      <w:r>
        <w:t xml:space="preserve">5.2.3.1</w:t>
      </w:r>
      <w:r>
        <w:t xml:space="preserve"> </w:t>
      </w:r>
      <w:r>
        <w:t xml:space="preserve">PM8: Strategic Projects …………………………………………………………………………………………. 62</w:t>
      </w:r>
      <w:r>
        <w:t xml:space="preserve"> </w:t>
      </w:r>
      <w:r>
        <w:t xml:space="preserve">5.2.3.2</w:t>
      </w:r>
      <w:r>
        <w:t xml:space="preserve"> </w:t>
      </w:r>
      <w:r>
        <w:t xml:space="preserve">PM9: Innovation procurement and support for grand challenges …………………………………. 63</w:t>
      </w:r>
      <w:r>
        <w:t xml:space="preserve"> </w:t>
      </w:r>
      <w:r>
        <w:t xml:space="preserve">5.2.3.2.1</w:t>
      </w:r>
      <w:r>
        <w:t xml:space="preserve"> </w:t>
      </w:r>
      <w:r>
        <w:t xml:space="preserve">Innovation procurement …………………………………………………………………………………….. 63</w:t>
      </w:r>
      <w:r>
        <w:t xml:space="preserve"> </w:t>
      </w:r>
      <w:r>
        <w:t xml:space="preserve">5.2.3.2.2</w:t>
      </w:r>
      <w:r>
        <w:t xml:space="preserve"> </w:t>
      </w:r>
      <w:r>
        <w:t xml:space="preserve">Grand challenges ………………………………………………………………………………………………. 64</w:t>
      </w:r>
      <w:r>
        <w:t xml:space="preserve"> </w:t>
      </w:r>
      <w:r>
        <w:t xml:space="preserve">5.2.3.3</w:t>
      </w:r>
      <w:r>
        <w:t xml:space="preserve"> </w:t>
      </w:r>
      <w:r>
        <w:t xml:space="preserve">PM10: Recommend a security of supply declaration for semiconductors in public</w:t>
      </w:r>
      <w:r>
        <w:t xml:space="preserve"> </w:t>
      </w:r>
      <w:r>
        <w:t xml:space="preserve">procurement ………………………………………………………………………………………………………………………….. 65</w:t>
      </w:r>
      <w:r>
        <w:t xml:space="preserve"> </w:t>
      </w:r>
      <w:r>
        <w:t xml:space="preserve">5.2.4</w:t>
      </w:r>
      <w:r>
        <w:t xml:space="preserve"> </w:t>
      </w:r>
      <w:r>
        <w:t xml:space="preserve">Overview of policy options …………………………………………………………………………………. 65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……………………………………………………………….. 66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………………………………………. 67</w:t>
      </w:r>
      <w:r>
        <w:t xml:space="preserve"> </w:t>
      </w:r>
      <w:r>
        <w:t xml:space="preserve">6.1</w:t>
      </w:r>
      <w:r>
        <w:t xml:space="preserve"> </w:t>
      </w:r>
      <w:r>
        <w:t xml:space="preserve">PO1 “MEASURES THAT FOCUS ON IMPROVING THE FRAMEWORK</w:t>
      </w:r>
      <w:r>
        <w:t xml:space="preserve"> </w:t>
      </w:r>
      <w:r>
        <w:t xml:space="preserve">CONDITIONS” ……………………………………………………………………………………………………………….. 67</w:t>
      </w:r>
      <w:r>
        <w:t xml:space="preserve"> </w:t>
      </w:r>
      <w:r>
        <w:t xml:space="preserve">6.1.1</w:t>
      </w:r>
      <w:r>
        <w:t xml:space="preserve"> </w:t>
      </w:r>
      <w:r>
        <w:t xml:space="preserve">Economic impacts ……………………………………………………………………………………………… 67</w:t>
      </w:r>
      <w:r>
        <w:t xml:space="preserve"> </w:t>
      </w:r>
      <w:r>
        <w:t xml:space="preserve">6.1.1.1</w:t>
      </w:r>
      <w:r>
        <w:t xml:space="preserve"> </w:t>
      </w:r>
      <w:r>
        <w:t xml:space="preserve">Impacts on EU semiconductor firms’ revenues …………………………………………………………. 67</w:t>
      </w:r>
      <w:r>
        <w:t xml:space="preserve"> </w:t>
      </w:r>
      <w:r>
        <w:t xml:space="preserve">6.1.1.2</w:t>
      </w:r>
      <w:r>
        <w:t xml:space="preserve"> </w:t>
      </w:r>
      <w:r>
        <w:t xml:space="preserve">Semiconductor value chain …………………………………………………………………………………….. 68</w:t>
      </w:r>
      <w:r>
        <w:t xml:space="preserve"> </w:t>
      </w:r>
      <w:r>
        <w:t xml:space="preserve">6.1.1.3</w:t>
      </w:r>
      <w:r>
        <w:t xml:space="preserve"> </w:t>
      </w:r>
      <w:r>
        <w:t xml:space="preserve">Impacts on manufacturing capacity …………………………………………………………………………. 69</w:t>
      </w:r>
      <w:r>
        <w:t xml:space="preserve"> </w:t>
      </w:r>
      <w:r>
        <w:t xml:space="preserve">6.1.1.4</w:t>
      </w:r>
      <w:r>
        <w:t xml:space="preserve"> </w:t>
      </w:r>
      <w:r>
        <w:t xml:space="preserve">Impacts on demand ……………………………………………………………………………………………….. 70</w:t>
      </w:r>
      <w:r>
        <w:t xml:space="preserve"> </w:t>
      </w:r>
      <w:r>
        <w:t xml:space="preserve">6.1.1.5</w:t>
      </w:r>
      <w:r>
        <w:t xml:space="preserve"> </w:t>
      </w:r>
      <w:r>
        <w:t xml:space="preserve">Impacts on the cost (price) competitiveness of the EU industry. ………………………………….. 70</w:t>
      </w:r>
      <w:r>
        <w:t xml:space="preserve"> </w:t>
      </w:r>
      <w:r>
        <w:t xml:space="preserve">6.1.1.6</w:t>
      </w:r>
      <w:r>
        <w:t xml:space="preserve"> </w:t>
      </w:r>
      <w:r>
        <w:t xml:space="preserve">Impacts on public budget ……………………………………………………………………………………….. 71</w:t>
      </w:r>
      <w:r>
        <w:t xml:space="preserve"> </w:t>
      </w:r>
      <w:r>
        <w:t xml:space="preserve">6.1.1.7</w:t>
      </w:r>
      <w:r>
        <w:t xml:space="preserve"> </w:t>
      </w:r>
      <w:r>
        <w:t xml:space="preserve">Impacts on R&amp;D and innovation ecosystem ……………………………………………………………… 71</w:t>
      </w:r>
      <w:r>
        <w:t xml:space="preserve"> </w:t>
      </w:r>
      <w:r>
        <w:t xml:space="preserve">6.1.1.8</w:t>
      </w:r>
      <w:r>
        <w:t xml:space="preserve"> </w:t>
      </w:r>
      <w:r>
        <w:t xml:space="preserve">Impacts on SME/start-up ecosystem ………………………………………………………………………… 72</w:t>
      </w:r>
      <w:r>
        <w:t xml:space="preserve"> </w:t>
      </w:r>
      <w:r>
        <w:t xml:space="preserve">6.1.2</w:t>
      </w:r>
      <w:r>
        <w:t xml:space="preserve"> </w:t>
      </w:r>
      <w:r>
        <w:t xml:space="preserve">Environmental impacts ………………………………………………………………………………………. 72</w:t>
      </w:r>
      <w:r>
        <w:t xml:space="preserve"> </w:t>
      </w:r>
      <w:r>
        <w:t xml:space="preserve">6.1.3</w:t>
      </w:r>
      <w:r>
        <w:t xml:space="preserve"> </w:t>
      </w:r>
      <w:r>
        <w:t xml:space="preserve">Social impacts …………………………………………………………………………………………………… 73</w:t>
      </w:r>
      <w:r>
        <w:t xml:space="preserve"> </w:t>
      </w:r>
      <w:r>
        <w:t xml:space="preserve">6.1.3.1</w:t>
      </w:r>
      <w:r>
        <w:t xml:space="preserve"> </w:t>
      </w:r>
      <w:r>
        <w:t xml:space="preserve">Impact on skills. ……………………………………………………………………………………………………. 73</w:t>
      </w:r>
      <w:r>
        <w:t xml:space="preserve"> </w:t>
      </w:r>
      <w:r>
        <w:t xml:space="preserve">6.1.3.2</w:t>
      </w:r>
      <w:r>
        <w:t xml:space="preserve"> </w:t>
      </w:r>
      <w:r>
        <w:t xml:space="preserve">Impacts on territorial cohesion. ………………………………………………………………………………. 75</w:t>
      </w:r>
      <w:r>
        <w:t xml:space="preserve"> </w:t>
      </w:r>
      <w:r>
        <w:t xml:space="preserve">6.1.3.3</w:t>
      </w:r>
      <w:r>
        <w:t xml:space="preserve"> </w:t>
      </w:r>
      <w:r>
        <w:t xml:space="preserve">Impacts on security of supply …………………………………………………………………………………. 75</w:t>
      </w:r>
      <w:r>
        <w:t xml:space="preserve"> </w:t>
      </w:r>
      <w:r>
        <w:t xml:space="preserve">6.1.4</w:t>
      </w:r>
      <w:r>
        <w:t xml:space="preserve"> </w:t>
      </w:r>
      <w:r>
        <w:t xml:space="preserve">Governance ………………………………………………………………………………………………………. 75</w:t>
      </w:r>
      <w:r>
        <w:t xml:space="preserve"> </w:t>
      </w:r>
      <w:r>
        <w:t xml:space="preserve">6.1.4.1</w:t>
      </w:r>
      <w:r>
        <w:t xml:space="preserve"> </w:t>
      </w:r>
      <w:r>
        <w:t xml:space="preserve">Impacts on governance ………………………………………………………………………………………….. 75</w:t>
      </w:r>
      <w:r>
        <w:t xml:space="preserve"> </w:t>
      </w:r>
      <w:r>
        <w:t xml:space="preserve">6.2</w:t>
      </w:r>
      <w:r>
        <w:t xml:space="preserve"> </w:t>
      </w:r>
      <w:r>
        <w:t xml:space="preserve">PO2 “STRATEGIC SOVEREIGNTY” ……………………………………………………………………. 78</w:t>
      </w:r>
      <w:r>
        <w:t xml:space="preserve"> </w:t>
      </w:r>
      <w:r>
        <w:t xml:space="preserve">6.2.1</w:t>
      </w:r>
      <w:r>
        <w:t xml:space="preserve"> </w:t>
      </w:r>
      <w:r>
        <w:t xml:space="preserve">Economic impacts ……………………………………………………………………………………………… 78</w:t>
      </w:r>
      <w:r>
        <w:t xml:space="preserve"> </w:t>
      </w:r>
      <w:r>
        <w:t xml:space="preserve">6.2.1.1</w:t>
      </w:r>
      <w:r>
        <w:t xml:space="preserve"> </w:t>
      </w:r>
      <w:r>
        <w:t xml:space="preserve">Impacts on EU semiconductor firms’ revenues …………………………………………………………. 78</w:t>
      </w:r>
      <w:r>
        <w:t xml:space="preserve"> </w:t>
      </w:r>
      <w:r>
        <w:t xml:space="preserve">6.2.1.1.1</w:t>
      </w:r>
      <w:r>
        <w:t xml:space="preserve"> </w:t>
      </w:r>
      <w:r>
        <w:t xml:space="preserve">Semiconductor firms …………………………………………………………………………………………. 78</w:t>
      </w:r>
      <w:r>
        <w:t xml:space="preserve"> </w:t>
      </w:r>
      <w:r>
        <w:t xml:space="preserve">6.2.1.1.2</w:t>
      </w:r>
      <w:r>
        <w:t xml:space="preserve"> </w:t>
      </w:r>
      <w:r>
        <w:t xml:space="preserve">Value chain ……………………………………………………………………………………………………… 79</w:t>
      </w:r>
      <w:r>
        <w:t xml:space="preserve"> </w:t>
      </w:r>
      <w:r>
        <w:t xml:space="preserve">6.2.1.2</w:t>
      </w:r>
      <w:r>
        <w:t xml:space="preserve"> </w:t>
      </w:r>
      <w:r>
        <w:t xml:space="preserve">Impacts on manufacturing capacity …………………………………………………………………………. 80</w:t>
      </w:r>
      <w:r>
        <w:t xml:space="preserve"> </w:t>
      </w:r>
      <w:r>
        <w:t xml:space="preserve">6.2.1.3</w:t>
      </w:r>
      <w:r>
        <w:t xml:space="preserve"> </w:t>
      </w:r>
      <w:r>
        <w:t xml:space="preserve">Impacts on demand ……………………………………………………………………………………………….. 81</w:t>
      </w:r>
      <w:r>
        <w:t xml:space="preserve"> </w:t>
      </w:r>
      <w:r>
        <w:t xml:space="preserve">6.2.1.4</w:t>
      </w:r>
      <w:r>
        <w:t xml:space="preserve"> </w:t>
      </w:r>
      <w:r>
        <w:t xml:space="preserve">The cost (price) competitiveness of the EU industry ………………………………………………….. 84</w:t>
      </w:r>
      <w:r>
        <w:t xml:space="preserve"> </w:t>
      </w:r>
      <w:r>
        <w:t xml:space="preserve">6.2.1.5</w:t>
      </w:r>
      <w:r>
        <w:t xml:space="preserve"> </w:t>
      </w:r>
      <w:r>
        <w:t xml:space="preserve">Impacts on public budgets ……………………………………………………………………………………… 85</w:t>
      </w:r>
      <w:r>
        <w:t xml:space="preserve"> </w:t>
      </w:r>
      <w:r>
        <w:t xml:space="preserve">6.2.1.6</w:t>
      </w:r>
      <w:r>
        <w:t xml:space="preserve"> </w:t>
      </w:r>
      <w:r>
        <w:t xml:space="preserve">Impacts on R&amp;D and innovation ecosystem ……………………………………………………………… 87</w:t>
      </w:r>
      <w:r>
        <w:t xml:space="preserve"> </w:t>
      </w:r>
      <w:r>
        <w:t xml:space="preserve">6.2.1.7</w:t>
      </w:r>
      <w:r>
        <w:t xml:space="preserve"> </w:t>
      </w:r>
      <w:r>
        <w:t xml:space="preserve">Impacts on SME/start-up ecosystem ………………………………………………………………………… 87</w:t>
      </w:r>
      <w:r>
        <w:t xml:space="preserve"> </w:t>
      </w:r>
      <w:r>
        <w:t xml:space="preserve">6.2.2</w:t>
      </w:r>
      <w:r>
        <w:t xml:space="preserve"> </w:t>
      </w:r>
      <w:r>
        <w:t xml:space="preserve">Environmental impact ………………………………………………………………………………………… 88</w:t>
      </w:r>
      <w:r>
        <w:t xml:space="preserve"> </w:t>
      </w:r>
      <w:r>
        <w:t xml:space="preserve">6.2.3</w:t>
      </w:r>
      <w:r>
        <w:t xml:space="preserve"> </w:t>
      </w:r>
      <w:r>
        <w:t xml:space="preserve">Social Impacts…………………………………………………………………………………………………… 89</w:t>
      </w:r>
      <w:r>
        <w:t xml:space="preserve"> </w:t>
      </w:r>
      <w:r>
        <w:t xml:space="preserve">6.2.3.1</w:t>
      </w:r>
      <w:r>
        <w:t xml:space="preserve"> </w:t>
      </w:r>
      <w:r>
        <w:t xml:space="preserve">Impacts on the labour market………………………………………………………………………………….. 89</w:t>
      </w:r>
      <w:r>
        <w:t xml:space="preserve"> </w:t>
      </w:r>
      <w:r>
        <w:t xml:space="preserve">6.2.3.2</w:t>
      </w:r>
      <w:r>
        <w:t xml:space="preserve"> </w:t>
      </w:r>
      <w:r>
        <w:t xml:space="preserve">Impacts on territorial cohesion ……………………………………………………………………………….. 90</w:t>
      </w:r>
      <w:r>
        <w:t xml:space="preserve"> </w:t>
      </w:r>
      <w:r>
        <w:t xml:space="preserve">6.2.3.3</w:t>
      </w:r>
      <w:r>
        <w:t xml:space="preserve"> </w:t>
      </w:r>
      <w:r>
        <w:t xml:space="preserve">Impacts on security of supply …………………………………………………………………………………. 90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 90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………………………………………………………………………………………………. 94</w:t>
      </w:r>
      <w:r>
        <w:t xml:space="preserve"> </w:t>
      </w:r>
      <w:r>
        <w:t xml:space="preserve">8.1</w:t>
      </w:r>
      <w:r>
        <w:t xml:space="preserve"> </w:t>
      </w:r>
      <w:r>
        <w:t xml:space="preserve">REASONS FOR THE PREFERRED OPTION …………………………………………………………………….. 94</w:t>
      </w:r>
      <w:r>
        <w:t xml:space="preserve"> </w:t>
      </w:r>
      <w:r>
        <w:t xml:space="preserve">8.2</w:t>
      </w:r>
      <w:r>
        <w:t xml:space="preserve"> </w:t>
      </w:r>
      <w:r>
        <w:t xml:space="preserve">IMPLEMENTATION …………………………………………………………………………………………………. 96</w:t>
      </w:r>
      <w:r>
        <w:t xml:space="preserve"> </w:t>
      </w:r>
      <w:r>
        <w:t xml:space="preserve">8.2.1</w:t>
      </w:r>
      <w:r>
        <w:t xml:space="preserve"> </w:t>
      </w:r>
      <w:r>
        <w:t xml:space="preserve">Strategy for implementation ……………………………………………………………………………….. 96</w:t>
      </w:r>
      <w:r>
        <w:t xml:space="preserve"> </w:t>
      </w:r>
      <w:r>
        <w:t xml:space="preserve">8.2.1.1</w:t>
      </w:r>
      <w:r>
        <w:t xml:space="preserve"> </w:t>
      </w:r>
      <w:r>
        <w:t xml:space="preserve">Scaling-up a new generation of European semiconductor market actors ………………………. 97</w:t>
      </w:r>
      <w:r>
        <w:t xml:space="preserve"> </w:t>
      </w:r>
      <w:r>
        <w:t xml:space="preserve">8.2.1.2</w:t>
      </w:r>
      <w:r>
        <w:t xml:space="preserve"> </w:t>
      </w:r>
      <w:r>
        <w:t xml:space="preserve">Embedding resilience – selective investments on crucial components of the value chain 100</w:t>
      </w:r>
      <w:r>
        <w:t xml:space="preserve"> </w:t>
      </w:r>
      <w:r>
        <w:t xml:space="preserve">8.2.1.2.1</w:t>
      </w:r>
      <w:r>
        <w:t xml:space="preserve"> </w:t>
      </w:r>
      <w:r>
        <w:t xml:space="preserve">Crucial strategic importance …………………………………………………………………………….. 100</w:t>
      </w:r>
      <w:r>
        <w:t xml:space="preserve"> </w:t>
      </w:r>
      <w:r>
        <w:t xml:space="preserve">8.2.1.2.2</w:t>
      </w:r>
      <w:r>
        <w:t xml:space="preserve"> </w:t>
      </w:r>
      <w:r>
        <w:t xml:space="preserve">Market opportunity …………………………………………………………………………………………. 100</w:t>
      </w:r>
      <w:r>
        <w:t xml:space="preserve"> </w:t>
      </w:r>
      <w:r>
        <w:t xml:space="preserve">8.2.2</w:t>
      </w:r>
      <w:r>
        <w:t xml:space="preserve"> </w:t>
      </w:r>
      <w:r>
        <w:t xml:space="preserve">Budget ……………………………………………………………………………………………………………. 101</w:t>
      </w:r>
      <w:r>
        <w:t xml:space="preserve"> </w:t>
      </w:r>
      <w:r>
        <w:t xml:space="preserve">8.2.3</w:t>
      </w:r>
      <w:r>
        <w:t xml:space="preserve"> </w:t>
      </w:r>
      <w:r>
        <w:t xml:space="preserve">Risks and unintended consequences …………………………………………………………………… 102</w:t>
      </w:r>
      <w:r>
        <w:t xml:space="preserve"> </w:t>
      </w:r>
      <w:r>
        <w:t xml:space="preserve">8.2.4</w:t>
      </w:r>
      <w:r>
        <w:t xml:space="preserve"> </w:t>
      </w:r>
      <w:r>
        <w:t xml:space="preserve">Total cost benefit overview ……………………………………………………………………………….. 103</w:t>
      </w:r>
      <w:r>
        <w:t xml:space="preserve"> </w:t>
      </w:r>
      <w:r>
        <w:t xml:space="preserve">8.3</w:t>
      </w:r>
      <w:r>
        <w:t xml:space="preserve"> </w:t>
      </w:r>
      <w:r>
        <w:t xml:space="preserve">REFIT (SIMPLIFICATION AND IMPROVED EFFICIENCY) ……………………………………………… 104</w:t>
      </w:r>
      <w:r>
        <w:t xml:space="preserve"> </w:t>
      </w:r>
      <w:r>
        <w:t xml:space="preserve">8.3.1</w:t>
      </w:r>
      <w:r>
        <w:t xml:space="preserve"> </w:t>
      </w:r>
      <w:r>
        <w:t xml:space="preserve">Simplification benefits ……………………………………………………………………………………… 104</w:t>
      </w:r>
      <w:r>
        <w:t xml:space="preserve"> </w:t>
      </w:r>
      <w:r>
        <w:t xml:space="preserve">8.3.2</w:t>
      </w:r>
      <w:r>
        <w:t xml:space="preserve"> </w:t>
      </w:r>
      <w:r>
        <w:t xml:space="preserve">Administrative impacts (OIOO perspective) ……………………………………………………….. 104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 105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Advanced nodes</w:t>
      </w:r>
      <w:r>
        <w:t xml:space="preserve"> </w:t>
      </w:r>
      <w:r>
        <w:t xml:space="preserve">Semiconductor manufacturing processes at the leading edge of</w:t>
      </w:r>
      <w:r>
        <w:t xml:space="preserve"> </w:t>
      </w:r>
      <w:r>
        <w:t xml:space="preserve">miniaturisation, conventionally referring to nodes at or below 7nm.</w:t>
      </w:r>
      <w:r>
        <w:t xml:space="preserve"> </w:t>
      </w:r>
      <w:r>
        <w:t xml:space="preserve">They deliver higher performance and energy efficiency and are</w:t>
      </w:r>
      <w:r>
        <w:t xml:space="preserve"> </w:t>
      </w:r>
      <w:r>
        <w:t xml:space="preserve">primarily used for high-performance computing, AI accelerators and</w:t>
      </w:r>
      <w:r>
        <w:t xml:space="preserve"> </w:t>
      </w:r>
      <w:r>
        <w:t xml:space="preserve">flagship mobile processors. Note that modern node designations no</w:t>
      </w:r>
      <w:r>
        <w:t xml:space="preserve"> </w:t>
      </w:r>
      <w:r>
        <w:t xml:space="preserve">longer correspond to a specific physical transistor dimension.</w:t>
      </w:r>
      <w:r>
        <w:t xml:space="preserve"> </w:t>
      </w:r>
      <w:r>
        <w:t xml:space="preserve">AI chips</w:t>
      </w:r>
      <w:r>
        <w:t xml:space="preserve"> </w:t>
      </w:r>
      <w:r>
        <w:t xml:space="preserve">Logic chips optimised for the matrix and tensor operations that</w:t>
      </w:r>
      <w:r>
        <w:t xml:space="preserve"> </w:t>
      </w:r>
      <w:r>
        <w:t xml:space="preserve">underpin machine-learning training and inference. The category</w:t>
      </w:r>
      <w:r>
        <w:t xml:space="preserve"> </w:t>
      </w:r>
      <w:r>
        <w:t xml:space="preserve">includes GPUs, dedicated AI accelerators (e.g. TPUs, NPUs), FPGAs</w:t>
      </w:r>
      <w:r>
        <w:t xml:space="preserve"> </w:t>
      </w:r>
      <w:r>
        <w:t xml:space="preserve">and purpose-built ASICs.</w:t>
      </w:r>
      <w:r>
        <w:t xml:space="preserve"> </w:t>
      </w:r>
      <w:r>
        <w:t xml:space="preserve">Back-end</w:t>
      </w:r>
      <w:r>
        <w:t xml:space="preserve"> </w:t>
      </w:r>
      <w:r>
        <w:t xml:space="preserve">The stages of semiconductor manufacturing that follow wafer</w:t>
      </w:r>
      <w:r>
        <w:t xml:space="preserve"> </w:t>
      </w:r>
      <w:r>
        <w:t xml:space="preserve">fabrication, comprising dicing, assembly, packaging and test of the</w:t>
      </w:r>
      <w:r>
        <w:t xml:space="preserve"> </w:t>
      </w:r>
      <w:r>
        <w:t xml:space="preserve">finished device.</w:t>
      </w:r>
      <w:r>
        <w:t xml:space="preserve"> </w:t>
      </w:r>
      <w:r>
        <w:t xml:space="preserve">Chiplet</w:t>
      </w:r>
      <w:r>
        <w:t xml:space="preserve"> </w:t>
      </w:r>
      <w:r>
        <w:t xml:space="preserve">A small, independent die designed to perform one or more specific</w:t>
      </w:r>
      <w:r>
        <w:t xml:space="preserve"> </w:t>
      </w:r>
      <w:r>
        <w:t xml:space="preserve">functions and intended to be combined with other chiplets within a</w:t>
      </w:r>
      <w:r>
        <w:t xml:space="preserve"> </w:t>
      </w:r>
      <w:r>
        <w:t xml:space="preserve">single advanced package, allowing modular design and mixing of</w:t>
      </w:r>
      <w:r>
        <w:t xml:space="preserve"> </w:t>
      </w:r>
      <w:r>
        <w:t xml:space="preserve">process nodes.</w:t>
      </w:r>
      <w:r>
        <w:t xml:space="preserve"> </w:t>
      </w:r>
      <w:r>
        <w:t xml:space="preserve">Chips for Europe</w:t>
      </w:r>
      <w:r>
        <w:t xml:space="preserve"> </w:t>
      </w:r>
      <w:r>
        <w:t xml:space="preserve">Initiative</w:t>
      </w:r>
      <w:r>
        <w:t xml:space="preserve"> </w:t>
      </w:r>
      <w:r>
        <w:t xml:space="preserve">The framework established under Pillar I of the Chips Act to build</w:t>
      </w:r>
      <w:r>
        <w:t xml:space="preserve"> </w:t>
      </w:r>
      <w:r>
        <w:t xml:space="preserve">large-scale technological capacity and support research and</w:t>
      </w:r>
      <w:r>
        <w:t xml:space="preserve"> </w:t>
      </w:r>
      <w:r>
        <w:t xml:space="preserve">innovation across the Union’s semiconductor value chain. It covers</w:t>
      </w:r>
      <w:r>
        <w:t xml:space="preserve"> </w:t>
      </w:r>
      <w:r>
        <w:t xml:space="preserve">design capacities, pilot lines, quantum chips, competence centres and</w:t>
      </w:r>
      <w:r>
        <w:t xml:space="preserve"> </w:t>
      </w:r>
      <w:r>
        <w:t xml:space="preserve">access to finance.</w:t>
      </w:r>
      <w:r>
        <w:t xml:space="preserve"> </w:t>
      </w:r>
      <w:r>
        <w:t xml:space="preserve">Competence centre</w:t>
      </w:r>
      <w:r>
        <w:t xml:space="preserve"> </w:t>
      </w:r>
      <w:r>
        <w:t xml:space="preserve">Facilities forming a Union-wide network, at least one per Member</w:t>
      </w:r>
      <w:r>
        <w:t xml:space="preserve"> </w:t>
      </w:r>
      <w:r>
        <w:t xml:space="preserve">State, that provide access to design services, pilot lines, expertise and</w:t>
      </w:r>
      <w:r>
        <w:t xml:space="preserve"> </w:t>
      </w:r>
      <w:r>
        <w:t xml:space="preserve">training to support stakeholders in the semiconductor ecosystem, in</w:t>
      </w:r>
      <w:r>
        <w:t xml:space="preserve"> </w:t>
      </w:r>
      <w:r>
        <w:t xml:space="preserve">particular SMEs. They facilitate technology transfer, skills</w:t>
      </w:r>
      <w:r>
        <w:t xml:space="preserve"> </w:t>
      </w:r>
      <w:r>
        <w:t xml:space="preserve">development, and links between students and semiconductor</w:t>
      </w:r>
      <w:r>
        <w:t xml:space="preserve"> </w:t>
      </w:r>
      <w:r>
        <w:t xml:space="preserve">companies across the Union.</w:t>
      </w:r>
      <w:r>
        <w:t xml:space="preserve"> </w:t>
      </w:r>
      <w:r>
        <w:t xml:space="preserve">Compound</w:t>
      </w:r>
      <w:r>
        <w:t xml:space="preserve"> </w:t>
      </w:r>
      <w:r>
        <w:t xml:space="preserve">semiconductors</w:t>
      </w:r>
      <w:r>
        <w:t xml:space="preserve"> </w:t>
      </w:r>
      <w:r>
        <w:t xml:space="preserve">Semiconductors made from two or more chemical elements, in</w:t>
      </w:r>
      <w:r>
        <w:t xml:space="preserve"> </w:t>
      </w:r>
      <w:r>
        <w:t xml:space="preserve">contrast to elemental semiconductors such as silicon. Key examples</w:t>
      </w:r>
      <w:r>
        <w:t xml:space="preserve"> </w:t>
      </w:r>
      <w:r>
        <w:t xml:space="preserve">include silicon carbide (SiC) and gallium nitride (GaN), used in</w:t>
      </w:r>
      <w:r>
        <w:t xml:space="preserve"> </w:t>
      </w:r>
      <w:r>
        <w:t xml:space="preserve">power electronics and RF applications, and gallium arsenide (GaAs)</w:t>
      </w:r>
      <w:r>
        <w:t xml:space="preserve"> </w:t>
      </w:r>
      <w:r>
        <w:t xml:space="preserve">and indium phosphide (InP), used in optoelectronics and high-</w:t>
      </w:r>
      <w:r>
        <w:t xml:space="preserve"> </w:t>
      </w:r>
      <w:r>
        <w:t xml:space="preserve">frequency communications. They offer performance characteristics</w:t>
      </w:r>
      <w:r>
        <w:t xml:space="preserve"> </w:t>
      </w:r>
      <w:r>
        <w:t xml:space="preserve">such as high voltage, high frequency, high temperature tolerance, that</w:t>
      </w:r>
      <w:r>
        <w:t xml:space="preserve"> </w:t>
      </w:r>
      <w:r>
        <w:t xml:space="preserve">silicon cannot match, and are strategically important for automotive</w:t>
      </w:r>
      <w:r>
        <w:t xml:space="preserve"> </w:t>
      </w:r>
      <w:r>
        <w:t xml:space="preserve">electrification, renewable energy and telecommunications.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Deep Ultraviolet</w:t>
      </w:r>
      <w:r>
        <w:t xml:space="preserve"> </w:t>
      </w:r>
      <w:r>
        <w:t xml:space="preserve">lithography (DUV)</w:t>
      </w:r>
      <w:r>
        <w:t xml:space="preserve"> </w:t>
      </w:r>
      <w:r>
        <w:t xml:space="preserve">A lithography technology using ultraviolet light at 248nm or 193nm</w:t>
      </w:r>
      <w:r>
        <w:t xml:space="preserve"> </w:t>
      </w:r>
      <w:r>
        <w:t xml:space="preserve">wavelengths (the latter typically in an immersion configuration) to</w:t>
      </w:r>
      <w:r>
        <w:t xml:space="preserve"> </w:t>
      </w:r>
      <w:r>
        <w:t xml:space="preserve">pattern wafers. DUV remains the workhorse of semiconductor</w:t>
      </w:r>
      <w:r>
        <w:t xml:space="preserve"> </w:t>
      </w:r>
      <w:r>
        <w:t xml:space="preserve">manufacturing for mature nodes and, with multi-patterning</w:t>
      </w:r>
      <w:r>
        <w:t xml:space="preserve"> </w:t>
      </w:r>
      <w:r>
        <w:t xml:space="preserve">techniques, can produce features down to around the 7nm node.</w:t>
      </w:r>
      <w:r>
        <w:t xml:space="preserve"> </w:t>
      </w:r>
      <w:r>
        <w:t xml:space="preserve">Design Centre of</w:t>
      </w:r>
      <w:r>
        <w:t xml:space="preserve"> </w:t>
      </w:r>
      <w:r>
        <w:t xml:space="preserve">Excellence</w:t>
      </w:r>
      <w:r>
        <w:t xml:space="preserve"> </w:t>
      </w:r>
      <w:r>
        <w:t xml:space="preserve">A label that may be awarded by the Commission to design centres</w:t>
      </w:r>
      <w:r>
        <w:t xml:space="preserve"> </w:t>
      </w:r>
      <w:r>
        <w:t xml:space="preserve">established in the Union that significantly enhance the Union’s</w:t>
      </w:r>
      <w:r>
        <w:t xml:space="preserve"> </w:t>
      </w:r>
      <w:r>
        <w:t xml:space="preserve">capabilities in innovative chip design, either through their service</w:t>
      </w:r>
      <w:r>
        <w:t xml:space="preserve"> </w:t>
      </w:r>
      <w:r>
        <w:t xml:space="preserve">offerings or through the development, promotion and strengthening</w:t>
      </w:r>
      <w:r>
        <w:t xml:space="preserve"> </w:t>
      </w:r>
      <w:r>
        <w:t xml:space="preserve">of design skills. Such centres are recognised as serving the public</w:t>
      </w:r>
      <w:r>
        <w:t xml:space="preserve"> </w:t>
      </w:r>
      <w:r>
        <w:t xml:space="preserve">interest and contributing to the resilience of the Union’s</w:t>
      </w:r>
      <w:r>
        <w:t xml:space="preserve"> </w:t>
      </w:r>
      <w:r>
        <w:t xml:space="preserve">semiconductor ecosystem.</w:t>
      </w:r>
      <w:r>
        <w:t xml:space="preserve"> </w:t>
      </w:r>
      <w:r>
        <w:t xml:space="preserve">Electronic Design</w:t>
      </w:r>
      <w:r>
        <w:t xml:space="preserve"> </w:t>
      </w:r>
      <w:r>
        <w:t xml:space="preserve">Automation (EDA)</w:t>
      </w:r>
      <w:r>
        <w:t xml:space="preserve"> </w:t>
      </w:r>
      <w:r>
        <w:t xml:space="preserve">The category of software tools used to design, simulate, verify and</w:t>
      </w:r>
      <w:r>
        <w:t xml:space="preserve"> </w:t>
      </w:r>
      <w:r>
        <w:t xml:space="preserve">prepare for manufacturing the integrated circuits and printed circuit</w:t>
      </w:r>
      <w:r>
        <w:t xml:space="preserve"> </w:t>
      </w:r>
      <w:r>
        <w:t xml:space="preserve">boards that make up electronic systems. EDA tools are indispensable</w:t>
      </w:r>
      <w:r>
        <w:t xml:space="preserve"> </w:t>
      </w:r>
      <w:r>
        <w:t xml:space="preserve">to modern chip design, particularly at advanced nodes, and the</w:t>
      </w:r>
      <w:r>
        <w:t xml:space="preserve"> </w:t>
      </w:r>
      <w:r>
        <w:t xml:space="preserve">market is highly concentrated among a small number of global</w:t>
      </w:r>
      <w:r>
        <w:t xml:space="preserve"> </w:t>
      </w:r>
      <w:r>
        <w:t xml:space="preserve">suppliers.</w:t>
      </w:r>
      <w:r>
        <w:t xml:space="preserve"> </w:t>
      </w:r>
      <w:r>
        <w:t xml:space="preserve">European</w:t>
      </w:r>
      <w:r>
        <w:t xml:space="preserve"> </w:t>
      </w:r>
      <w:r>
        <w:t xml:space="preserve">Semiconductor Board</w:t>
      </w:r>
      <w:r>
        <w:t xml:space="preserve"> </w:t>
      </w:r>
      <w:r>
        <w:t xml:space="preserve">(ESB)</w:t>
      </w:r>
      <w:r>
        <w:t xml:space="preserve"> </w:t>
      </w:r>
      <w:r>
        <w:t xml:space="preserve">The governance body composed of high-level representatives of all</w:t>
      </w:r>
      <w:r>
        <w:t xml:space="preserve"> </w:t>
      </w:r>
      <w:r>
        <w:t xml:space="preserve">Member States and chaired by the Commission, responsible for</w:t>
      </w:r>
      <w:r>
        <w:t xml:space="preserve"> </w:t>
      </w:r>
      <w:r>
        <w:t xml:space="preserve">facilitating implementation of, cooperation under and information</w:t>
      </w:r>
      <w:r>
        <w:t xml:space="preserve"> </w:t>
      </w:r>
      <w:r>
        <w:t xml:space="preserve">exchange relating to the Chips Act, including advising on</w:t>
      </w:r>
      <w:r>
        <w:t xml:space="preserve"> </w:t>
      </w:r>
      <w:r>
        <w:t xml:space="preserve">international cooperation, crisis response, and the assessment of</w:t>
      </w:r>
      <w:r>
        <w:t xml:space="preserve"> </w:t>
      </w:r>
      <w:r>
        <w:t xml:space="preserve">integrated production facilities and open EU foundries.</w:t>
      </w:r>
      <w:r>
        <w:t xml:space="preserve"> </w:t>
      </w:r>
      <w:r>
        <w:t xml:space="preserve">Extreme Ultraviolet</w:t>
      </w:r>
      <w:r>
        <w:t xml:space="preserve"> </w:t>
      </w:r>
      <w:r>
        <w:t xml:space="preserve">lithography (EUV)</w:t>
      </w:r>
      <w:r>
        <w:t xml:space="preserve"> </w:t>
      </w:r>
      <w:r>
        <w:t xml:space="preserve">A lithography technology using 13.5nm wavelength light to pattern</w:t>
      </w:r>
      <w:r>
        <w:t xml:space="preserve"> </w:t>
      </w:r>
      <w:r>
        <w:t xml:space="preserve">the finest features on advanced-node wafers. EUV is essential for</w:t>
      </w:r>
      <w:r>
        <w:t xml:space="preserve"> </w:t>
      </w:r>
      <w:r>
        <w:t xml:space="preserve">manufacturing at and below the 7nm node and is supplied globally by</w:t>
      </w:r>
      <w:r>
        <w:t xml:space="preserve"> </w:t>
      </w:r>
      <w:r>
        <w:t xml:space="preserve">a single company (ASML, headquartered in the Netherlands), making</w:t>
      </w:r>
      <w:r>
        <w:t xml:space="preserve"> </w:t>
      </w:r>
      <w:r>
        <w:t xml:space="preserve">it a strategic chokepoint in the semiconductor value chain.</w:t>
      </w:r>
      <w:r>
        <w:t xml:space="preserve"> </w:t>
      </w:r>
      <w:r>
        <w:t xml:space="preserve">Fabless</w:t>
      </w:r>
      <w:r>
        <w:t xml:space="preserve"> </w:t>
      </w:r>
      <w:r>
        <w:t xml:space="preserve">A semiconductor company that designs and sells integrated circuits</w:t>
      </w:r>
      <w:r>
        <w:t xml:space="preserve"> </w:t>
      </w:r>
      <w:r>
        <w:t xml:space="preserve">but does not own or operate a wafer fabrication plant, instead</w:t>
      </w:r>
      <w:r>
        <w:t xml:space="preserve"> </w:t>
      </w:r>
      <w:r>
        <w:t xml:space="preserve">outsourcing manufacturing to a foundry. The fabless model separates</w:t>
      </w:r>
      <w:r>
        <w:t xml:space="preserve"> </w:t>
      </w:r>
      <w:r>
        <w:t xml:space="preserve">design from production and is the counterpart to the foundry model.</w:t>
      </w:r>
      <w:r>
        <w:t xml:space="preserve"> </w:t>
      </w:r>
      <w:r>
        <w:t xml:space="preserve">First-of-a-kind facility</w:t>
      </w:r>
      <w:r>
        <w:t xml:space="preserve"> </w:t>
      </w:r>
      <w:r>
        <w:t xml:space="preserve">(FOAK)</w:t>
      </w:r>
      <w:r>
        <w:t xml:space="preserve"> </w:t>
      </w:r>
      <w:r>
        <w:t xml:space="preserve">A new or substantially upgraded semiconductor manufacturing</w:t>
      </w:r>
      <w:r>
        <w:t xml:space="preserve"> </w:t>
      </w:r>
      <w:r>
        <w:t xml:space="preserve">facility, or a facility for the production of equipment or key</w:t>
      </w:r>
      <w:r>
        <w:t xml:space="preserve"> </w:t>
      </w:r>
      <w:r>
        <w:t xml:space="preserve">components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equipment</w:t>
      </w:r>
      <w:r>
        <w:t xml:space="preserve"> </w:t>
      </w:r>
      <w:r>
        <w:t xml:space="preserve">predominantly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semiconductor manufacturing, which provides innovation with regard</w:t>
      </w:r>
      <w:r>
        <w:t xml:space="preserve"> </w:t>
      </w:r>
      <w:r>
        <w:t xml:space="preserve">to the manufacturing process or final product that is not yet</w:t>
      </w:r>
      <w:r>
        <w:t xml:space="preserve"> </w:t>
      </w:r>
      <w:r>
        <w:t xml:space="preserve">substantively present or committed to be built within the Union. The</w:t>
      </w:r>
      <w:r>
        <w:t xml:space="preserve"> </w:t>
      </w:r>
      <w:r>
        <w:t xml:space="preserve">innovation may concern improvements in computing power, security,</w:t>
      </w:r>
      <w:r>
        <w:t xml:space="preserve"> </w:t>
      </w:r>
      <w:r>
        <w:t xml:space="preserve">safety or reliability, energy and environmental performance, the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technology</w:t>
      </w:r>
      <w:r>
        <w:t xml:space="preserve"> </w:t>
      </w:r>
      <w:r>
        <w:t xml:space="preserve">node</w:t>
      </w:r>
      <w:r>
        <w:t xml:space="preserve"> </w:t>
      </w:r>
      <w:r>
        <w:t xml:space="preserve">or</w:t>
      </w:r>
      <w:r>
        <w:t xml:space="preserve"> </w:t>
      </w:r>
      <w:r>
        <w:t xml:space="preserve">substrate</w:t>
      </w:r>
      <w:r>
        <w:t xml:space="preserve"> </w:t>
      </w:r>
      <w:r>
        <w:t xml:space="preserve">materials,</w:t>
      </w:r>
      <w:r>
        <w:t xml:space="preserve"> </w:t>
      </w:r>
      <w:r>
        <w:t xml:space="preserve">production-process</w:t>
      </w:r>
      <w:r>
        <w:t xml:space="preserve"> </w:t>
      </w:r>
      <w:r>
        <w:t xml:space="preserve">efficiency, recyclability, or the reduction of production inputs.</w:t>
      </w:r>
      <w:r>
        <w:t xml:space="preserve"> </w:t>
      </w:r>
      <w:r>
        <w:t xml:space="preserve">Foundry</w:t>
      </w:r>
      <w:r>
        <w:t xml:space="preserve"> </w:t>
      </w:r>
      <w:r>
        <w:t xml:space="preserve">A semiconductor manufacturing company that fabricates wafers on</w:t>
      </w:r>
      <w:r>
        <w:t xml:space="preserve"> </w:t>
      </w:r>
      <w:r>
        <w:t xml:space="preserve">behalf of other firms, typically fabless companies, IDMs or system</w:t>
      </w:r>
      <w:r>
        <w:t xml:space="preserve"> </w:t>
      </w:r>
      <w:r>
        <w:t xml:space="preserve">companies, according to their designs, without selling chips under its</w:t>
      </w:r>
      <w:r>
        <w:t xml:space="preserve"> </w:t>
      </w:r>
      <w:r>
        <w:t xml:space="preserve">own brand. A pure-play foundry undertakes no design of its own.</w:t>
      </w:r>
      <w:r>
        <w:t xml:space="preserve"> </w:t>
      </w:r>
      <w:r>
        <w:t xml:space="preserve">Front-end</w:t>
      </w:r>
      <w:r>
        <w:t xml:space="preserve"> </w:t>
      </w:r>
      <w:r>
        <w:t xml:space="preserve">The stages of semiconductor manufacturing from a blank wafer</w:t>
      </w:r>
      <w:r>
        <w:t xml:space="preserve"> </w:t>
      </w:r>
      <w:r>
        <w:t xml:space="preserve">through to a completed, patterned wafer, comprising lithography,</w:t>
      </w:r>
      <w:r>
        <w:t xml:space="preserve"> </w:t>
      </w:r>
      <w:r>
        <w:t xml:space="preserve">etching, deposition, doping and related process steps.</w:t>
      </w:r>
      <w:r>
        <w:t xml:space="preserve"> </w:t>
      </w:r>
      <w:r>
        <w:t xml:space="preserve">Heterogeneous</w:t>
      </w:r>
      <w:r>
        <w:t xml:space="preserve"> </w:t>
      </w:r>
      <w:r>
        <w:t xml:space="preserve">integration</w:t>
      </w:r>
      <w:r>
        <w:t xml:space="preserve"> </w:t>
      </w:r>
      <w:r>
        <w:t xml:space="preserve">The assembly and interconnection within a single advanced package</w:t>
      </w:r>
      <w:r>
        <w:t xml:space="preserve"> </w:t>
      </w:r>
      <w:r>
        <w:t xml:space="preserve">of multiple components, such as chiplets, memory stacks, photonic</w:t>
      </w:r>
      <w:r>
        <w:t xml:space="preserve"> </w:t>
      </w:r>
      <w:r>
        <w:t xml:space="preserve">devices or sensors, that may be produced on different process</w:t>
      </w:r>
      <w:r>
        <w:t xml:space="preserve"> </w:t>
      </w:r>
      <w:r>
        <w:t xml:space="preserve">technologies or from different materials. It is a leading alternative to</w:t>
      </w:r>
      <w:r>
        <w:t xml:space="preserve"> </w:t>
      </w:r>
      <w:r>
        <w:t xml:space="preserve">traditional monolithic scaling and underpins the chiplet ecosystem.</w:t>
      </w:r>
      <w:r>
        <w:t xml:space="preserve"> </w:t>
      </w:r>
      <w:r>
        <w:t xml:space="preserve">Important Projects of</w:t>
      </w:r>
      <w:r>
        <w:t xml:space="preserve"> </w:t>
      </w:r>
      <w:r>
        <w:t xml:space="preserve">Common European</w:t>
      </w:r>
      <w:r>
        <w:t xml:space="preserve"> </w:t>
      </w:r>
      <w:r>
        <w:t xml:space="preserve">Interest (IPCEI)</w:t>
      </w:r>
      <w:r>
        <w:t xml:space="preserve"> </w:t>
      </w:r>
      <w:r>
        <w:t xml:space="preserve">Large-scale projects bringing together companies and research</w:t>
      </w:r>
      <w:r>
        <w:t xml:space="preserve"> </w:t>
      </w:r>
      <w:r>
        <w:t xml:space="preserve">centres from several Member States to deliver significant benefits to</w:t>
      </w:r>
      <w:r>
        <w:t xml:space="preserve"> </w:t>
      </w:r>
      <w:r>
        <w:t xml:space="preserve">strategic EU goals such as competitiveness, sustainable growth,</w:t>
      </w:r>
      <w:r>
        <w:t xml:space="preserve"> </w:t>
      </w:r>
      <w:r>
        <w:t xml:space="preserve">addressing societal challenges and creating value across the Union.</w:t>
      </w:r>
      <w:r>
        <w:t xml:space="preserve"> </w:t>
      </w:r>
      <w:r>
        <w:t xml:space="preserve">Integrated Device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(IDMs)</w:t>
      </w:r>
      <w:r>
        <w:t xml:space="preserve"> </w:t>
      </w:r>
      <w:r>
        <w:t xml:space="preserve">Semiconductor companies that design, manufacture (in their own</w:t>
      </w:r>
      <w:r>
        <w:t xml:space="preserve"> </w:t>
      </w:r>
      <w:r>
        <w:t xml:space="preserve">fabs) and sell integrated-circuit products, in contrast to the fabless–</w:t>
      </w:r>
      <w:r>
        <w:t xml:space="preserve"> </w:t>
      </w:r>
      <w:r>
        <w:t xml:space="preserve">foundry model.</w:t>
      </w:r>
      <w:r>
        <w:t xml:space="preserve"> </w:t>
      </w:r>
      <w:r>
        <w:t xml:space="preserve">IP block</w:t>
      </w:r>
      <w:r>
        <w:t xml:space="preserve"> </w:t>
      </w:r>
      <w:r>
        <w:t xml:space="preserve">A reusable, pre-designed and pre-verified unit of logic, cell or chip</w:t>
      </w:r>
      <w:r>
        <w:t xml:space="preserve"> </w:t>
      </w:r>
      <w:r>
        <w:t xml:space="preserve">layout that can be licensed and integrated into a larger integrated-</w:t>
      </w:r>
      <w:r>
        <w:t xml:space="preserve"> </w:t>
      </w:r>
      <w:r>
        <w:t xml:space="preserve">circuit design. Also referred to as a semiconductor IP core or design</w:t>
      </w:r>
      <w:r>
        <w:t xml:space="preserve"> </w:t>
      </w:r>
      <w:r>
        <w:t xml:space="preserve">IP, IP blocks (e.g. CPU cores, memory controllers, interface PHYs)</w:t>
      </w:r>
      <w:r>
        <w:t xml:space="preserve"> </w:t>
      </w:r>
      <w:r>
        <w:t xml:space="preserve">shorten design cycles and are a key input to modern system-on-chip</w:t>
      </w:r>
      <w:r>
        <w:t xml:space="preserve"> </w:t>
      </w:r>
      <w:r>
        <w:t xml:space="preserve">development.</w:t>
      </w:r>
      <w:r>
        <w:t xml:space="preserve"> </w:t>
      </w:r>
      <w:r>
        <w:t xml:space="preserve">Lithography</w:t>
      </w:r>
      <w:r>
        <w:t xml:space="preserve"> </w:t>
      </w:r>
      <w:r>
        <w:t xml:space="preserve">The patterning step in semiconductor manufacturing in which the</w:t>
      </w:r>
      <w:r>
        <w:t xml:space="preserve"> </w:t>
      </w:r>
      <w:r>
        <w:t xml:space="preserve">circuit design is transferred onto the wafer using light projected</w:t>
      </w:r>
      <w:r>
        <w:t xml:space="preserve"> </w:t>
      </w:r>
      <w:r>
        <w:t xml:space="preserve">through a mask onto a light-sensitive coating (photoresist).</w:t>
      </w:r>
      <w:r>
        <w:t xml:space="preserve"> </w:t>
      </w:r>
      <w:r>
        <w:t xml:space="preserve">Lithography is the principal driver of feature-size scaling and one of</w:t>
      </w:r>
      <w:r>
        <w:t xml:space="preserve"> </w:t>
      </w:r>
      <w:r>
        <w:t xml:space="preserve">the most capital-intensive and technologically demanding steps in</w:t>
      </w:r>
      <w:r>
        <w:t xml:space="preserve"> </w:t>
      </w:r>
      <w:r>
        <w:t xml:space="preserve">chip production.</w:t>
      </w:r>
      <w:r>
        <w:t xml:space="preserve"> </w:t>
      </w:r>
      <w:r>
        <w:t xml:space="preserve">Mature technology</w:t>
      </w:r>
      <w:r>
        <w:t xml:space="preserve"> </w:t>
      </w:r>
      <w:r>
        <w:t xml:space="preserve">nodes</w:t>
      </w:r>
      <w:r>
        <w:t xml:space="preserve"> </w:t>
      </w:r>
      <w:r>
        <w:t xml:space="preserve">Established semiconductor manufacturing processes, conventionally</w:t>
      </w:r>
      <w:r>
        <w:t xml:space="preserve"> </w:t>
      </w:r>
      <w:r>
        <w:t xml:space="preserve">referring to nodes at or above 28nm. They offer lower cost, high</w:t>
      </w:r>
      <w:r>
        <w:t xml:space="preserve"> </w:t>
      </w:r>
      <w:r>
        <w:t xml:space="preserve">production stability and long product lifecycles, and remain dominant</w:t>
      </w:r>
      <w:r>
        <w:t xml:space="preserve"> </w:t>
      </w:r>
      <w:r>
        <w:t xml:space="preserve">in high-volume applications such as automotive electronics, power</w:t>
      </w:r>
      <w:r>
        <w:t xml:space="preserve"> </w:t>
      </w:r>
      <w:r>
        <w:t xml:space="preserve">management, industrial controls and consumer products. Also</w:t>
      </w:r>
      <w:r>
        <w:t xml:space="preserve"> </w:t>
      </w:r>
      <w:r>
        <w:t xml:space="preserve">referred to as legacy nodes.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Memory chips</w:t>
      </w:r>
      <w:r>
        <w:t xml:space="preserve"> </w:t>
      </w:r>
      <w:r>
        <w:t xml:space="preserve">Semiconductor devices designed to store data, distinct from logic</w:t>
      </w:r>
      <w:r>
        <w:t xml:space="preserve"> </w:t>
      </w:r>
      <w:r>
        <w:t xml:space="preserve">chips, which process it. The main families are DRAM (dynamic</w:t>
      </w:r>
      <w:r>
        <w:t xml:space="preserve"> </w:t>
      </w:r>
      <w:r>
        <w:t xml:space="preserve">random-access memory, used as main system memory), NAND flash</w:t>
      </w:r>
      <w:r>
        <w:t xml:space="preserve"> </w:t>
      </w:r>
      <w:r>
        <w:t xml:space="preserve">(non-volatile storage for SSDs and mobile devices) and NOR flash</w:t>
      </w:r>
      <w:r>
        <w:t xml:space="preserve"> </w:t>
      </w:r>
      <w:r>
        <w:t xml:space="preserve">(typically used for code storage).</w:t>
      </w:r>
      <w:r>
        <w:br/>
      </w:r>
      <w:r>
        <w:t xml:space="preserve">Microcontroller</w:t>
      </w:r>
      <w:r>
        <w:t xml:space="preserve"> </w:t>
      </w:r>
      <w:r>
        <w:t xml:space="preserve">(MCU)</w:t>
      </w:r>
      <w:r>
        <w:t xml:space="preserve"> </w:t>
      </w:r>
      <w:r>
        <w:t xml:space="preserve">A small, self-contained integrated circuit combining a processor core,</w:t>
      </w:r>
      <w:r>
        <w:t xml:space="preserve"> </w:t>
      </w:r>
      <w:r>
        <w:t xml:space="preserve">memory and input/output peripherals on a single chip, designed for</w:t>
      </w:r>
      <w:r>
        <w:t xml:space="preserve"> </w:t>
      </w:r>
      <w:r>
        <w:t xml:space="preserve">embedded control applications. MCUs are produced predominantly at</w:t>
      </w:r>
      <w:r>
        <w:t xml:space="preserve"> </w:t>
      </w:r>
      <w:r>
        <w:t xml:space="preserve">mature nodes and are central to automotive, industrial and consumer</w:t>
      </w:r>
      <w:r>
        <w:t xml:space="preserve"> </w:t>
      </w:r>
      <w:r>
        <w:t xml:space="preserve">electronics. Shortages of automotive MCUs were a defining feature</w:t>
      </w:r>
      <w:r>
        <w:t xml:space="preserve"> </w:t>
      </w:r>
      <w:r>
        <w:t xml:space="preserve">of the 2021–2023 semiconductor crisis.</w:t>
      </w:r>
      <w:r>
        <w:t xml:space="preserve"> </w:t>
      </w:r>
      <w:r>
        <w:t xml:space="preserve">Moore’s Law</w:t>
      </w:r>
      <w:r>
        <w:t xml:space="preserve"> </w:t>
      </w:r>
      <w:r>
        <w:t xml:space="preserve">The empirical observation, formulated by Gordon Moore in 1965 and</w:t>
      </w:r>
      <w:r>
        <w:t xml:space="preserve"> </w:t>
      </w:r>
      <w:r>
        <w:t xml:space="preserve">revised in 1975, that the number of transistors on an integrated circuit</w:t>
      </w:r>
      <w:r>
        <w:t xml:space="preserve"> </w:t>
      </w:r>
      <w:r>
        <w:t xml:space="preserve">doubles roughly every two years. Although it is not a physical law, it</w:t>
      </w:r>
      <w:r>
        <w:t xml:space="preserve"> </w:t>
      </w:r>
      <w:r>
        <w:t xml:space="preserve">has served for decades as a guiding target for the industry and as a</w:t>
      </w:r>
      <w:r>
        <w:t xml:space="preserve"> </w:t>
      </w:r>
      <w:r>
        <w:t xml:space="preserve">proxy for progress in cost, performance and energy efficiency. The</w:t>
      </w:r>
      <w:r>
        <w:t xml:space="preserve"> </w:t>
      </w:r>
      <w:r>
        <w:t xml:space="preserve">pace of scaling has slowed at advanced nodes, prompting greater</w:t>
      </w:r>
      <w:r>
        <w:t xml:space="preserve"> </w:t>
      </w:r>
      <w:r>
        <w:t xml:space="preserve">emphasis on architectural innovation, advanced packaging and</w:t>
      </w:r>
      <w:r>
        <w:t xml:space="preserve"> </w:t>
      </w:r>
      <w:r>
        <w:t xml:space="preserve">heterogeneous integration.</w:t>
      </w:r>
      <w:r>
        <w:t xml:space="preserve"> </w:t>
      </w:r>
      <w:r>
        <w:t xml:space="preserve">Original Equipment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(OEMs)</w:t>
      </w:r>
      <w:r>
        <w:t xml:space="preserve"> </w:t>
      </w:r>
      <w:r>
        <w:t xml:space="preserve">Companies that produce systems or components which are integrated</w:t>
      </w:r>
      <w:r>
        <w:t xml:space="preserve"> </w:t>
      </w:r>
      <w:r>
        <w:t xml:space="preserve">into another company’s end product. In the semiconductor context,</w:t>
      </w:r>
      <w:r>
        <w:t xml:space="preserve"> </w:t>
      </w:r>
      <w:r>
        <w:t xml:space="preserve">OEMs typically incorporate chips and modules supplied by others</w:t>
      </w:r>
      <w:r>
        <w:t xml:space="preserve"> </w:t>
      </w:r>
      <w:r>
        <w:t xml:space="preserve">into the products they design, brand and sell.</w:t>
      </w:r>
      <w:r>
        <w:t xml:space="preserve"> </w:t>
      </w:r>
      <w:r>
        <w:t xml:space="preserve">Photonic chips</w:t>
      </w:r>
      <w:r>
        <w:t xml:space="preserve"> </w:t>
      </w:r>
      <w:r>
        <w:t xml:space="preserve">Integrated circuits that process or transmit information using light</w:t>
      </w:r>
      <w:r>
        <w:t xml:space="preserve"> </w:t>
      </w:r>
      <w:r>
        <w:t xml:space="preserve">(photons) rather than, or in addition to, electrical signals. Silicon</w:t>
      </w:r>
      <w:r>
        <w:t xml:space="preserve"> </w:t>
      </w:r>
      <w:r>
        <w:t xml:space="preserve">photonics i.e. photonic devices fabricated using CMOS-compatible</w:t>
      </w:r>
      <w:r>
        <w:t xml:space="preserve"> </w:t>
      </w:r>
      <w:r>
        <w:t xml:space="preserve">silicon processes, is a particularly active area, with applications in</w:t>
      </w:r>
      <w:r>
        <w:t xml:space="preserve"> </w:t>
      </w:r>
      <w:r>
        <w:t xml:space="preserve">high-bandwidth</w:t>
      </w:r>
      <w:r>
        <w:t xml:space="preserve"> </w:t>
      </w:r>
      <w:r>
        <w:t xml:space="preserve">data-centre</w:t>
      </w:r>
      <w:r>
        <w:t xml:space="preserve"> </w:t>
      </w:r>
      <w:r>
        <w:t xml:space="preserve">interconnects,</w:t>
      </w:r>
      <w:r>
        <w:t xml:space="preserve"> </w:t>
      </w:r>
      <w:r>
        <w:t xml:space="preserve">telecommunications,</w:t>
      </w:r>
      <w:r>
        <w:t xml:space="preserve"> </w:t>
      </w:r>
      <w:r>
        <w:t xml:space="preserve">sensing and emerging quantum technologies.</w:t>
      </w:r>
      <w:r>
        <w:t xml:space="preserve"> </w:t>
      </w:r>
      <w:r>
        <w:t xml:space="preserve">Pilot line</w:t>
      </w:r>
      <w:r>
        <w:t xml:space="preserve"> </w:t>
      </w:r>
      <w:r>
        <w:t xml:space="preserve">An experimental project or experimental production addressing</w:t>
      </w:r>
      <w:r>
        <w:t xml:space="preserve"> </w:t>
      </w:r>
      <w:r>
        <w:t xml:space="preserve">higher technology readiness levels (TRL 3 to 8), used to further</w:t>
      </w:r>
      <w:r>
        <w:t xml:space="preserve"> </w:t>
      </w:r>
      <w:r>
        <w:t xml:space="preserve">develop the enabling infrastructure required to test, demonstrate,</w:t>
      </w:r>
      <w:r>
        <w:t xml:space="preserve"> </w:t>
      </w:r>
      <w:r>
        <w:t xml:space="preserve">validate and calibrate a product or system against its model</w:t>
      </w:r>
      <w:r>
        <w:t xml:space="preserve"> </w:t>
      </w:r>
      <w:r>
        <w:t xml:space="preserve">assumptions.</w:t>
      </w:r>
      <w:r>
        <w:t xml:space="preserve"> </w:t>
      </w:r>
      <w:r>
        <w:t xml:space="preserve">Quantum chips</w:t>
      </w:r>
      <w:r>
        <w:t xml:space="preserve"> </w:t>
      </w:r>
      <w:r>
        <w:t xml:space="preserve">Integrated devices that exploit quantum-mechanical phenomena such</w:t>
      </w:r>
      <w:r>
        <w:t xml:space="preserve"> </w:t>
      </w:r>
      <w:r>
        <w:t xml:space="preserve">as superposition and entanglement to perform computation, sensing</w:t>
      </w:r>
      <w:r>
        <w:t xml:space="preserve"> </w:t>
      </w:r>
      <w:r>
        <w:t xml:space="preserve">or communication tasks. Several physical implementations are under</w:t>
      </w:r>
      <w:r>
        <w:t xml:space="preserve"> </w:t>
      </w:r>
      <w:r>
        <w:t xml:space="preserve">active development, including superconducting circuits, trapped ions,</w:t>
      </w:r>
      <w:r>
        <w:t xml:space="preserve"> </w:t>
      </w:r>
      <w:r>
        <w:t xml:space="preserve">photonic platforms and silicon-spin qubits. Quantum chips are</w:t>
      </w:r>
      <w:r>
        <w:t xml:space="preserve"> </w:t>
      </w:r>
      <w:r>
        <w:t xml:space="preserve">explicitly supported under Pillar I of the Chips Act.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Substrate</w:t>
      </w:r>
      <w:r>
        <w:t xml:space="preserve"> </w:t>
      </w:r>
      <w:r>
        <w:t xml:space="preserve">The underlying material on which semiconductor devices are</w:t>
      </w:r>
      <w:r>
        <w:t xml:space="preserve"> </w:t>
      </w:r>
      <w:r>
        <w:t xml:space="preserve">fabricated. The dominant substrate is monocrystalline silicon,</w:t>
      </w:r>
      <w:r>
        <w:t xml:space="preserve"> </w:t>
      </w:r>
      <w:r>
        <w:t xml:space="preserve">supplied as wafers; other substrates include silicon carbide and</w:t>
      </w:r>
      <w:r>
        <w:t xml:space="preserve"> </w:t>
      </w:r>
      <w:r>
        <w:t xml:space="preserve">gallium nitride (for power and RF devices), gallium arsenide and</w:t>
      </w:r>
      <w:r>
        <w:t xml:space="preserve"> </w:t>
      </w:r>
      <w:r>
        <w:t xml:space="preserve">indium phosphide (for optoelectronics), and silicon-on-insulator</w:t>
      </w:r>
      <w:r>
        <w:t xml:space="preserve"> </w:t>
      </w:r>
      <w:r>
        <w:t xml:space="preserve">(SOI) variants for specialised applications. The choice of substrate</w:t>
      </w:r>
      <w:r>
        <w:t xml:space="preserve"> </w:t>
      </w:r>
      <w:r>
        <w:t xml:space="preserve">determines key device characteristics and constrains the available</w:t>
      </w:r>
      <w:r>
        <w:t xml:space="preserve"> </w:t>
      </w:r>
      <w:r>
        <w:t xml:space="preserve">process technology.</w:t>
      </w:r>
      <w:r>
        <w:t xml:space="preserve"> </w:t>
      </w:r>
      <w:r>
        <w:t xml:space="preserve">System-on-Chip (SoC)</w:t>
      </w:r>
      <w:r>
        <w:t xml:space="preserve"> </w:t>
      </w:r>
      <w:r>
        <w:t xml:space="preserve">An integrated circuit that combines on a single die all the major</w:t>
      </w:r>
      <w:r>
        <w:t xml:space="preserve"> </w:t>
      </w:r>
      <w:r>
        <w:t xml:space="preserve">functional components of a complete electronic system — typically</w:t>
      </w:r>
      <w:r>
        <w:t xml:space="preserve"> </w:t>
      </w:r>
      <w:r>
        <w:t xml:space="preserve">including one or more processor cores, memory, input/output</w:t>
      </w:r>
      <w:r>
        <w:t xml:space="preserve"> </w:t>
      </w:r>
      <w:r>
        <w:t xml:space="preserve">interfaces and specialised accelerators. SoCs are common in</w:t>
      </w:r>
      <w:r>
        <w:t xml:space="preserve"> </w:t>
      </w:r>
      <w:r>
        <w:t xml:space="preserve">smartphones, embedded systems and increasingly in automotive and</w:t>
      </w:r>
      <w:r>
        <w:t xml:space="preserve"> </w:t>
      </w:r>
      <w:r>
        <w:t xml:space="preserve">AI applications, and are usually assembled from a mix of in-house</w:t>
      </w:r>
      <w:r>
        <w:t xml:space="preserve"> </w:t>
      </w:r>
      <w:r>
        <w:t xml:space="preserve">and licensed IP blocks.</w:t>
      </w:r>
      <w:r>
        <w:t xml:space="preserve"> </w:t>
      </w:r>
      <w:r>
        <w:t xml:space="preserve">Technology node</w:t>
      </w:r>
      <w:r>
        <w:t xml:space="preserve"> </w:t>
      </w:r>
      <w:r>
        <w:t xml:space="preserve">A designation referring to a specific semiconductor manufacturing</w:t>
      </w:r>
      <w:r>
        <w:t xml:space="preserve"> </w:t>
      </w:r>
      <w:r>
        <w:t xml:space="preserve">process generation and its associated design rules. Historically tied to</w:t>
      </w:r>
      <w:r>
        <w:t xml:space="preserve"> </w:t>
      </w:r>
      <w:r>
        <w:t xml:space="preserve">a physical transistor dimension (notably gate length), the term is</w:t>
      </w:r>
      <w:r>
        <w:t xml:space="preserve"> </w:t>
      </w:r>
      <w:r>
        <w:t xml:space="preserve">today primarily a marketing and benchmarking label that signals a</w:t>
      </w:r>
      <w:r>
        <w:t xml:space="preserve"> </w:t>
      </w:r>
      <w:r>
        <w:t xml:space="preserve">generation of performance and density rather than a measurable</w:t>
      </w:r>
      <w:r>
        <w:t xml:space="preserve"> </w:t>
      </w:r>
      <w:r>
        <w:t xml:space="preserve">feature size.</w:t>
      </w:r>
      <w:r>
        <w:t xml:space="preserve"> </w:t>
      </w:r>
      <w:r>
        <w:t xml:space="preserve">Transistor</w:t>
      </w:r>
      <w:r>
        <w:t xml:space="preserve"> </w:t>
      </w:r>
      <w:r>
        <w:t xml:space="preserve">The fundamental building block of modern integrated circuits: a</w:t>
      </w:r>
      <w:r>
        <w:t xml:space="preserve"> </w:t>
      </w:r>
      <w:r>
        <w:t xml:space="preserve">semiconductor device that acts as an electronic switch or amplifier by</w:t>
      </w:r>
      <w:r>
        <w:t xml:space="preserve"> </w:t>
      </w:r>
      <w:r>
        <w:t xml:space="preserve">controlling current flow between two terminals through a voltage or</w:t>
      </w:r>
      <w:r>
        <w:t xml:space="preserve"> </w:t>
      </w:r>
      <w:r>
        <w:t xml:space="preserve">current applied to a third. Billions of transistors, typically of the</w:t>
      </w:r>
      <w:r>
        <w:t xml:space="preserve"> </w:t>
      </w:r>
      <w:r>
        <w:t xml:space="preserve">MOSFET family (including FinFET and gate-all-around variants at</w:t>
      </w:r>
      <w:r>
        <w:t xml:space="preserve"> </w:t>
      </w:r>
      <w:r>
        <w:t xml:space="preserve">advanced nodes), are integrated on a single chip.</w:t>
      </w:r>
      <w:r>
        <w:t xml:space="preserve"> </w:t>
      </w:r>
      <w:r>
        <w:t xml:space="preserve">Yield</w:t>
      </w:r>
      <w:r>
        <w:t xml:space="preserve"> </w:t>
      </w:r>
      <w:r>
        <w:t xml:space="preserve">The proportion of functional dies produced on a wafer relative to the</w:t>
      </w:r>
      <w:r>
        <w:t xml:space="preserve"> </w:t>
      </w:r>
      <w:r>
        <w:t xml:space="preserve">maximum theoretical number. Yield is a critical determinant of the</w:t>
      </w:r>
      <w:r>
        <w:t xml:space="preserve"> </w:t>
      </w:r>
      <w:r>
        <w:t xml:space="preserve">unit cost and economic viability of a semiconductor process,</w:t>
      </w:r>
      <w:r>
        <w:t xml:space="preserve"> </w:t>
      </w:r>
      <w:r>
        <w:t xml:space="preserve">particularly at advanced nodes where defect sensitivity is high and a</w:t>
      </w:r>
      <w:r>
        <w:t xml:space="preserve"> </w:t>
      </w:r>
      <w:r>
        <w:t xml:space="preserve">single fab can represent investments of well over EUR 10 billion.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Semiconductors underpin all digital technologies from household appliances to defence</w:t>
      </w:r>
      <w:r>
        <w:t xml:space="preserve"> </w:t>
      </w:r>
      <w:r>
        <w:t xml:space="preserve">equipment to the data centres at the core of the artificial intelligence (AI) revolution. Since</w:t>
      </w:r>
      <w:r>
        <w:t xml:space="preserve"> </w:t>
      </w:r>
      <w:r>
        <w:t xml:space="preserve">2020, a series of shortages of supply stemming from crises, such as the COVID-19 pandemic,</w:t>
      </w:r>
      <w:r>
        <w:t xml:space="preserve"> </w:t>
      </w:r>
      <w:r>
        <w:t xml:space="preserve">disruptions, such as the recent Nexperia case, and the ongoing supply-demand mismatch in</w:t>
      </w:r>
      <w:r>
        <w:t xml:space="preserve"> </w:t>
      </w:r>
      <w:r>
        <w:t xml:space="preserve">the memory market expose how excessive external dependencies can render entire markets</w:t>
      </w:r>
      <w:r>
        <w:t xml:space="preserve"> </w:t>
      </w:r>
      <w:r>
        <w:t xml:space="preserve">vulnerable. Increased geopolitical rivalry, including Sino-American tensions, and the</w:t>
      </w:r>
      <w:r>
        <w:t xml:space="preserve"> </w:t>
      </w:r>
      <w:r>
        <w:t xml:space="preserve">emergence of AI have further amplified the crucial role of semiconductors, which have</w:t>
      </w:r>
      <w:r>
        <w:t xml:space="preserve"> </w:t>
      </w:r>
      <w:r>
        <w:t xml:space="preserve">become a strategic asset in geopolitics. Without question, chips occupy an essential place in</w:t>
      </w:r>
      <w:r>
        <w:t xml:space="preserve"> </w:t>
      </w:r>
      <w:r>
        <w:t xml:space="preserve">the global technological race.</w:t>
      </w:r>
      <w:r>
        <w:t xml:space="preserve"> </w:t>
      </w:r>
      <w:r>
        <w:t xml:space="preserve">Semiconductors are the third most traded commodity globally (after oil and vehicles),</w:t>
      </w:r>
      <w:r>
        <w:t xml:space="preserve"> </w:t>
      </w:r>
      <w:r>
        <w:t xml:space="preserve">reaching revenues of USD 700.9 billion in 2025(1). It is widely expected that the market size</w:t>
      </w:r>
      <w:r>
        <w:t xml:space="preserve"> </w:t>
      </w:r>
      <w:r>
        <w:t xml:space="preserve">of the semiconductor industry will reach USD 1 trillion by 2026(2). The industry’s role as a</w:t>
      </w:r>
      <w:r>
        <w:t xml:space="preserve"> </w:t>
      </w:r>
      <w:r>
        <w:t xml:space="preserve">critical supplier to most modern industries and to the infrastructure that supports the rest, has</w:t>
      </w:r>
      <w:r>
        <w:t xml:space="preserve"> </w:t>
      </w:r>
      <w:r>
        <w:t xml:space="preserve">elevated it to an important strategic resource which, in a more transactional world, can be a</w:t>
      </w:r>
      <w:r>
        <w:t xml:space="preserve"> </w:t>
      </w:r>
      <w:r>
        <w:t xml:space="preserve">source of geopolitical leverage. Regions without significant capabilities in this domain find</w:t>
      </w:r>
      <w:r>
        <w:t xml:space="preserve"> </w:t>
      </w:r>
      <w:r>
        <w:t xml:space="preserve">themselves dependent on components that others can restrict or condition in an increasingly</w:t>
      </w:r>
      <w:r>
        <w:t xml:space="preserve"> </w:t>
      </w:r>
      <w:r>
        <w:t xml:space="preserve">coercive global environment.</w:t>
      </w:r>
      <w:r>
        <w:t xml:space="preserve"> </w:t>
      </w:r>
      <w:r>
        <w:t xml:space="preserve">The European Chips Act, which has been in force since September 2023, has served as a</w:t>
      </w:r>
      <w:r>
        <w:t xml:space="preserve"> </w:t>
      </w:r>
      <w:r>
        <w:t xml:space="preserve">catalyst for renewed momentum and investment in the European semiconductor industry. It is</w:t>
      </w:r>
      <w:r>
        <w:t xml:space="preserve"> </w:t>
      </w:r>
      <w:r>
        <w:t xml:space="preserve">a prime example of a new wave of European industrial policies and was conceived to</w:t>
      </w:r>
      <w:r>
        <w:t xml:space="preserve"> </w:t>
      </w:r>
      <w:r>
        <w:t xml:space="preserve">reinforce the semiconductor ecosystem in the EU, ensure the security of supply chains and</w:t>
      </w:r>
      <w:r>
        <w:t xml:space="preserve"> </w:t>
      </w:r>
      <w:r>
        <w:t xml:space="preserve">reduce external dependencies. It focuses on five strategic objectives:</w:t>
      </w:r>
      <w:r>
        <w:t xml:space="preserve"> </w:t>
      </w:r>
      <w:r>
        <w:t xml:space="preserve">1. Strengthening research and technological leadership</w:t>
      </w:r>
      <w:r>
        <w:t xml:space="preserve"> </w:t>
      </w:r>
      <w:r>
        <w:t xml:space="preserve">2. Building and reinforcing the EU’s capacity to innovate in the design, manufacturing</w:t>
      </w:r>
      <w:r>
        <w:t xml:space="preserve"> </w:t>
      </w:r>
      <w:r>
        <w:t xml:space="preserve">and packaging of advanced chips</w:t>
      </w:r>
      <w:r>
        <w:t xml:space="preserve"> </w:t>
      </w:r>
      <w:r>
        <w:t xml:space="preserve">3. Putting in place an adequate framework to increase production by 2030</w:t>
      </w:r>
      <w:r>
        <w:t xml:space="preserve"> </w:t>
      </w:r>
      <w:r>
        <w:t xml:space="preserve">4. Addressing the skills shortage and attracting new talent</w:t>
      </w:r>
      <w:r>
        <w:t xml:space="preserve"> </w:t>
      </w:r>
      <w:r>
        <w:t xml:space="preserve">5. Developing an in-depth understanding of global semiconductor supply chains</w:t>
      </w:r>
      <w:r>
        <w:t xml:space="preserve"> </w:t>
      </w:r>
      <w:r>
        <w:t xml:space="preserve">Under Pillar I of the Chips Act, the Chips for Europe Initiative(3), over 85% of the Union’s</w:t>
      </w:r>
      <w:r>
        <w:t xml:space="preserve"> </w:t>
      </w:r>
      <w:r>
        <w:t xml:space="preserve">budget has been committed to the deployment of five pilot lines, a network of competence</w:t>
      </w:r>
      <w:r>
        <w:t xml:space="preserve"> </w:t>
      </w:r>
      <w:r>
        <w:t xml:space="preserve">centres in all Member States, a Design Platform, six quantum chip pilot lines, skills</w:t>
      </w:r>
      <w:r>
        <w:t xml:space="preserve"> </w:t>
      </w:r>
      <w:r>
        <w:t xml:space="preserve">development activities and scale-up investment in start-ups via the Chips Fund(4).</w:t>
      </w:r>
    </w:p>
    <w:p>
      <w:pPr>
        <w:pStyle w:val="Compact"/>
        <w:numPr>
          <w:ilvl w:val="0"/>
          <w:numId w:val="1001"/>
        </w:numPr>
      </w:pPr>
      <w:r>
        <w:t xml:space="preserve">WSTS Semiconductor Market Forecast Spring 2025</w:t>
      </w:r>
    </w:p>
    <w:p>
      <w:pPr>
        <w:pStyle w:val="Compact"/>
        <w:numPr>
          <w:ilvl w:val="0"/>
          <w:numId w:val="1001"/>
        </w:numPr>
      </w:pPr>
      <w:r>
        <w:t xml:space="preserve">Global chip sales expected to hit $1 trillion this year, industry group says | Reuters</w:t>
      </w:r>
    </w:p>
    <w:p>
      <w:pPr>
        <w:pStyle w:val="Compact"/>
        <w:numPr>
          <w:ilvl w:val="0"/>
          <w:numId w:val="1001"/>
        </w:numPr>
      </w:pPr>
      <w:r>
        <w:t xml:space="preserve">European Chips Act: The Chips for Europe Initiative | Shaping Europe’s digital future</w:t>
      </w:r>
    </w:p>
    <w:p>
      <w:pPr>
        <w:pStyle w:val="Compact"/>
        <w:numPr>
          <w:ilvl w:val="0"/>
          <w:numId w:val="1001"/>
        </w:numPr>
      </w:pPr>
      <w:r>
        <w:t xml:space="preserve">A detailed analysis of these initiatives and the state of play of the implementation can be found in the annexed</w:t>
      </w:r>
      <w:r>
        <w:t xml:space="preserve"> </w:t>
      </w:r>
      <w:r>
        <w:t xml:space="preserve">Evaluation of the Chips Act.</w:t>
      </w:r>
    </w:p>
    <w:p>
      <w:pPr>
        <w:pStyle w:val="FirstParagraph"/>
      </w:pPr>
      <w:r>
        <w:t xml:space="preserve">10</w:t>
      </w:r>
    </w:p>
    <w:p>
      <w:pPr>
        <w:pStyle w:val="BodyText"/>
      </w:pPr>
      <w:r>
        <w:t xml:space="preserve">Through Pillar II(5), the Chips Act has triggered around EUR 80 billion in announced or</w:t>
      </w:r>
      <w:r>
        <w:t xml:space="preserve"> </w:t>
      </w:r>
      <w:r>
        <w:t xml:space="preserve">planned manufacturing investments in the Union. Key projects include the European</w:t>
      </w:r>
      <w:r>
        <w:t xml:space="preserve"> </w:t>
      </w:r>
      <w:r>
        <w:t xml:space="preserve">Semiconductor Manufacturing Company’s (ESMC) fab in Dresden (Germany) - bringing</w:t>
      </w:r>
      <w:r>
        <w:t xml:space="preserve"> </w:t>
      </w:r>
      <w:r>
        <w:t xml:space="preserve">FinFET technology (6) to the EU; the SiliconBox facility in Novara (Italy) - a first advanced</w:t>
      </w:r>
      <w:r>
        <w:t xml:space="preserve"> </w:t>
      </w:r>
      <w:r>
        <w:t xml:space="preserve">packaging facility in the EU; and the STMicroelectronics Silicon Carbide (SiC) campus in</w:t>
      </w:r>
      <w:r>
        <w:t xml:space="preserve"> </w:t>
      </w:r>
      <w:r>
        <w:t xml:space="preserve">Catania (Italy) - now the world’s largest SiC facility.</w:t>
      </w:r>
      <w:r>
        <w:br/>
      </w:r>
      <w:r>
        <w:t xml:space="preserve">By the end of 2025, the Commission had approved eleven First-of-a-Kind projects, worth</w:t>
      </w:r>
      <w:r>
        <w:t xml:space="preserve"> </w:t>
      </w:r>
      <w:r>
        <w:t xml:space="preserve">over EUR 31.6 billion of public and private investment. These projects include investments in</w:t>
      </w:r>
      <w:r>
        <w:t xml:space="preserve"> </w:t>
      </w:r>
      <w:r>
        <w:t xml:space="preserve">mainstream semiconductor technologies to meet the needs of key European user industries,</w:t>
      </w:r>
      <w:r>
        <w:t xml:space="preserve"> </w:t>
      </w:r>
      <w:r>
        <w:t xml:space="preserve">such as automotive(7). Once these investments materialise, it is expected that the</w:t>
      </w:r>
      <w:r>
        <w:t xml:space="preserve"> </w:t>
      </w:r>
      <w:r>
        <w:t xml:space="preserve">manufacturing capacity of the Union will increase by 30%, from 1.07 million wafers per</w:t>
      </w:r>
      <w:r>
        <w:t xml:space="preserve"> </w:t>
      </w:r>
      <w:r>
        <w:t xml:space="preserve">month in 2023 to over 1.39 million wafers per month in 2030.(8)</w:t>
      </w:r>
      <w:r>
        <w:br/>
      </w:r>
      <w:r>
        <w:t xml:space="preserve">As part of the activities under Pillar III of the Chips Act(9), through the European</w:t>
      </w:r>
      <w:r>
        <w:t xml:space="preserve"> </w:t>
      </w:r>
      <w:r>
        <w:t xml:space="preserve">Semiconductor Board (ESB), the Commission and Member States are coordinating more</w:t>
      </w:r>
      <w:r>
        <w:t xml:space="preserve"> </w:t>
      </w:r>
      <w:r>
        <w:t xml:space="preserve">closely their activities and jointly building a crisis response mechanism, as set out in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Nevertheless, despite this considerable progress and the Union’s strengths in key segments of</w:t>
      </w:r>
      <w:r>
        <w:t xml:space="preserve"> </w:t>
      </w:r>
      <w:r>
        <w:t xml:space="preserve">the semiconductor value chain such as mainstream semiconductor production (including</w:t>
      </w:r>
      <w:r>
        <w:t xml:space="preserve"> </w:t>
      </w:r>
      <w:r>
        <w:t xml:space="preserve">power electronics, embedded systems components, photonics, sensors), manufacturing</w:t>
      </w:r>
      <w:r>
        <w:t xml:space="preserve"> </w:t>
      </w:r>
      <w:r>
        <w:t xml:space="preserve">equipment and materials, clear gaps in capabilities still need to be addressed. To this end, the</w:t>
      </w:r>
      <w:r>
        <w:t xml:space="preserve"> </w:t>
      </w:r>
      <w:r>
        <w:t xml:space="preserve">EU must double down on its efforts to create an investment environment that is conducive for</w:t>
      </w:r>
      <w:r>
        <w:t xml:space="preserve"> </w:t>
      </w:r>
      <w:r>
        <w:t xml:space="preserve">advanced front-end manufacturing, advanced packaging and heterogeneous integration fabs,</w:t>
      </w:r>
      <w:r>
        <w:t xml:space="preserve"> </w:t>
      </w:r>
      <w:r>
        <w:t xml:space="preserve">as well as the ramp-up of leading-edge design activities, while maintaining a strong and</w:t>
      </w:r>
      <w:r>
        <w:t xml:space="preserve"> </w:t>
      </w:r>
      <w:r>
        <w:t xml:space="preserve">competitive industry for more mature technologies. The vulnerabilities generated by these</w:t>
      </w:r>
      <w:r>
        <w:t xml:space="preserve"> </w:t>
      </w:r>
      <w:r>
        <w:t xml:space="preserve">capability gaps become more consequential as productivity gains from the deployment of AI</w:t>
      </w:r>
      <w:r>
        <w:t xml:space="preserve"> </w:t>
      </w:r>
      <w:r>
        <w:t xml:space="preserve">become more pronounced(10).</w:t>
      </w:r>
      <w:r>
        <w:t xml:space="preserve"> </w:t>
      </w:r>
      <w:r>
        <w:t xml:space="preserve">Since the adoption of the Chips Act, the dynamics of the semiconductor market have shifted</w:t>
      </w:r>
      <w:r>
        <w:t xml:space="preserve"> </w:t>
      </w:r>
      <w:r>
        <w:t xml:space="preserve">drastically, with AI becoming the key driver of revenues. Over the past two years, market</w:t>
      </w:r>
      <w:r>
        <w:t xml:space="preserve"> </w:t>
      </w:r>
      <w:r>
        <w:t xml:space="preserve">growth has been largely driven by chips for AI datacentres (processors, memory), whilst most</w:t>
      </w:r>
      <w:r>
        <w:t xml:space="preserve"> </w:t>
      </w:r>
      <w:r>
        <w:t xml:space="preserve">other segments have remained stagnant. This trend is expected to continue. According to</w:t>
      </w:r>
      <w:r>
        <w:t xml:space="preserve"> </w:t>
      </w:r>
      <w:r>
        <w:t xml:space="preserve">McKinsey (11), between 2023 and 2030, the AI logic chip segment is projected to grow at a</w:t>
      </w:r>
      <w:r>
        <w:t xml:space="preserve"> </w:t>
      </w:r>
      <w:r>
        <w:t xml:space="preserve">compound annual growth rate (CAGR) of 18-29%, while AI memory chips are expected to</w:t>
      </w:r>
      <w:r>
        <w:t xml:space="preserve"> </w:t>
      </w:r>
      <w:r>
        <w:t xml:space="preserve">grow at a CAGR of 17-23%, in contrast to most other semiconductor segments (excluding the</w:t>
      </w:r>
      <w:r>
        <w:t xml:space="preserve"> </w:t>
      </w:r>
      <w:r>
        <w:t xml:space="preserve">China market) that are likely to show a more subdued performance, with average growth of</w:t>
      </w:r>
    </w:p>
    <w:p>
      <w:pPr>
        <w:pStyle w:val="Compact"/>
        <w:numPr>
          <w:ilvl w:val="0"/>
          <w:numId w:val="1002"/>
        </w:numPr>
      </w:pPr>
      <w:r>
        <w:t xml:space="preserve">European Chips Act: Security of supply and resilience | Shaping Europe’s digital future</w:t>
      </w:r>
    </w:p>
    <w:p>
      <w:pPr>
        <w:pStyle w:val="Compact"/>
        <w:numPr>
          <w:ilvl w:val="0"/>
          <w:numId w:val="1002"/>
        </w:numPr>
      </w:pPr>
      <w:r>
        <w:t xml:space="preserve">The FinFET (Fin Field Effect Transistor) process is a 3D process adopted to overcome the limitations of</w:t>
      </w:r>
      <w:r>
        <w:t xml:space="preserve"> </w:t>
      </w:r>
      <w:r>
        <w:t xml:space="preserve">conventional planar (2D) transistor structures and is used mostly for technology nodes between 16nm and 5nm.</w:t>
      </w:r>
    </w:p>
    <w:p>
      <w:pPr>
        <w:pStyle w:val="Compact"/>
        <w:numPr>
          <w:ilvl w:val="0"/>
          <w:numId w:val="1002"/>
        </w:numPr>
      </w:pPr>
      <w:r>
        <w:t xml:space="preserve">JRC, EU’s strengths and weaknesses in the global semiconductor sector, 2025</w:t>
      </w:r>
    </w:p>
    <w:p>
      <w:pPr>
        <w:pStyle w:val="Compact"/>
        <w:numPr>
          <w:ilvl w:val="0"/>
          <w:numId w:val="1002"/>
        </w:numPr>
      </w:pPr>
      <w:r>
        <w:t xml:space="preserve">IDC, Semiconductors market data by feature size, sector and region, CNECT/2022/MVP/0084 – Second</w:t>
      </w:r>
      <w:r>
        <w:t xml:space="preserve"> </w:t>
      </w:r>
      <w:r>
        <w:t xml:space="preserve">Interim Report. Risks here include economic downturns or market turbulations.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European Chips Act: Monitoring and crisis response | Shaping Europe’s digital future</w:t>
      </w:r>
    </w:p>
    <w:p>
      <w:pPr>
        <w:pStyle w:val="Compact"/>
        <w:numPr>
          <w:ilvl w:val="0"/>
          <w:numId w:val="1002"/>
        </w:numPr>
      </w:pPr>
      <w:r>
        <w:t xml:space="preserve">The AI productivity take-off is finally visible</w:t>
      </w:r>
    </w:p>
    <w:p>
      <w:pPr>
        <w:pStyle w:val="Compact"/>
        <w:numPr>
          <w:ilvl w:val="0"/>
          <w:numId w:val="1002"/>
        </w:numPr>
      </w:pPr>
      <w:r>
        <w:t xml:space="preserve">AI’s uneven impact on semiconductor industry market share | McKinsey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around 3%. For the foreseeable future, AI-related components are expected to drive growth,</w:t>
      </w:r>
      <w:r>
        <w:t xml:space="preserve"> </w:t>
      </w:r>
      <w:r>
        <w:t xml:space="preserve">and as seen in Figure 1, they should represent over 70% of the total semiconductor market by</w:t>
      </w:r>
      <w:r>
        <w:t xml:space="preserve"> </w:t>
      </w:r>
      <w:r>
        <w:t xml:space="preserve">2030(12).</w:t>
      </w:r>
      <w:r>
        <w:t xml:space="preserve"> </w:t>
      </w:r>
      <w:r>
        <w:t xml:space="preserve">This shift in market dynamics is coupled with the stark reality that the EU finds itself without</w:t>
      </w:r>
      <w:r>
        <w:t xml:space="preserve"> </w:t>
      </w:r>
      <w:r>
        <w:t xml:space="preserve">the sovereign means to compete effectively in a world where access to advanced AI</w:t>
      </w:r>
      <w:r>
        <w:t xml:space="preserve"> </w:t>
      </w:r>
      <w:r>
        <w:t xml:space="preserve">technologies is becoming a key determinant of competitiveness. Unlike its main global</w:t>
      </w:r>
      <w:r>
        <w:t xml:space="preserve"> </w:t>
      </w:r>
      <w:r>
        <w:t xml:space="preserve">competitors, the EU lacks the capacity necessary to capture a meaningful share of the rapidly</w:t>
      </w:r>
      <w:r>
        <w:t xml:space="preserve"> </w:t>
      </w:r>
      <w:r>
        <w:t xml:space="preserve">expanding AI-driven market. As a result, the Union’s dependence on third country suppliers</w:t>
      </w:r>
      <w:r>
        <w:t xml:space="preserve"> </w:t>
      </w:r>
      <w:r>
        <w:t xml:space="preserve">for cutting-edge semiconductor manufacturing is near-total, exposing critical downstream</w:t>
      </w:r>
      <w:r>
        <w:t xml:space="preserve"> </w:t>
      </w:r>
      <w:r>
        <w:t xml:space="preserve">industries to significant supply chain vulnerabilities and risks.</w:t>
      </w:r>
      <w:r>
        <w:br/>
      </w:r>
      <w:r>
        <w:t xml:space="preserve">This needs to be addressed alongside continued consolidation of current European strengths</w:t>
      </w:r>
      <w:r>
        <w:t xml:space="preserve"> </w:t>
      </w:r>
      <w:r>
        <w:t xml:space="preserve">that are crucial for important industrial verticals in the EU, such as automotive, industrial</w:t>
      </w:r>
      <w:r>
        <w:t xml:space="preserve"> </w:t>
      </w:r>
      <w:r>
        <w:t xml:space="preserve">automation, aerospace and defence, and telecommunications. These however require</w:t>
      </w:r>
      <w:r>
        <w:t xml:space="preserve"> </w:t>
      </w:r>
      <w:r>
        <w:t xml:space="preserve">relatively small volumes of semiconductors that are unable to sustainably maintain a viable</w:t>
      </w:r>
      <w:r>
        <w:t xml:space="preserve"> </w:t>
      </w:r>
      <w:r>
        <w:t xml:space="preserve">semiconductor manufacturing ecosystem on their own, especially at more leading-edge</w:t>
      </w:r>
      <w:r>
        <w:t xml:space="preserve"> </w:t>
      </w:r>
      <w:r>
        <w:t xml:space="preserve">technologies. Therefore, to safeguard the security of supply of these critical sectors, more</w:t>
      </w:r>
      <w:r>
        <w:t xml:space="preserve"> </w:t>
      </w:r>
      <w:r>
        <w:t xml:space="preserve">needs to be done to stimulate demand in other sectors, which then create the conditions for a</w:t>
      </w:r>
      <w:r>
        <w:t xml:space="preserve"> </w:t>
      </w:r>
      <w:r>
        <w:t xml:space="preserve">sustainable ramp-up of supply.</w:t>
      </w:r>
    </w:p>
    <w:p>
      <w:pPr>
        <w:pStyle w:val="BodyText"/>
      </w:pPr>
      <w:r>
        <w:t xml:space="preserve">Figure 1 - Total Semiconductor Market and AI-related Share by Product (Source: IBS)13</w:t>
      </w:r>
      <w:r>
        <w:t xml:space="preserve"> </w:t>
      </w:r>
      <w:r>
        <w:t xml:space="preserve">To this end, humanoid robots and wearables are emerging application areas that are expected</w:t>
      </w:r>
      <w:r>
        <w:t xml:space="preserve"> </w:t>
      </w:r>
      <w:r>
        <w:t xml:space="preserve">to generate significant future demand for semiconductors (14). Although both markets remain</w:t>
      </w:r>
      <w:r>
        <w:t xml:space="preserve"> </w:t>
      </w:r>
      <w:r>
        <w:t xml:space="preserve">relatively small today, their projected growth is a sign of potential over the medium to long</w:t>
      </w:r>
      <w:r>
        <w:t xml:space="preserve"> </w:t>
      </w:r>
      <w:r>
        <w:t xml:space="preserve">term until 2035-2040 and the EU could benefit from it. While industrial robots are already</w:t>
      </w:r>
      <w:r>
        <w:t xml:space="preserve"> </w:t>
      </w:r>
      <w:r>
        <w:t xml:space="preserve">crucial factors in deploying automation in factories, humanoid robots are expected to expand</w:t>
      </w:r>
    </w:p>
    <w:p>
      <w:pPr>
        <w:pStyle w:val="Compact"/>
        <w:numPr>
          <w:ilvl w:val="0"/>
          <w:numId w:val="1003"/>
        </w:numPr>
      </w:pPr>
      <w:r>
        <w:t xml:space="preserve">IBS, Global Semiconductor Industry Service, Semiconductor Market by Application Part 1, February 2025.</w:t>
      </w:r>
    </w:p>
    <w:p>
      <w:pPr>
        <w:pStyle w:val="Compact"/>
        <w:numPr>
          <w:ilvl w:val="0"/>
          <w:numId w:val="1003"/>
        </w:numPr>
      </w:pPr>
      <w:r>
        <w:t xml:space="preserve">IBS, Global Semiconductor Industry Service, Semiconductor Market by Application Part 1, February 2025.</w:t>
      </w:r>
    </w:p>
    <w:p>
      <w:pPr>
        <w:pStyle w:val="Compact"/>
        <w:numPr>
          <w:ilvl w:val="0"/>
          <w:numId w:val="1003"/>
        </w:numPr>
      </w:pPr>
      <w:r>
        <w:t xml:space="preserve">McKinsey | The next big arenas of competition</w:t>
      </w:r>
    </w:p>
    <w:p>
      <w:pPr>
        <w:pStyle w:val="FirstParagraph"/>
      </w:pPr>
      <w:r>
        <w:t xml:space="preserve">12</w:t>
      </w:r>
    </w:p>
    <w:p>
      <w:pPr>
        <w:pStyle w:val="BodyText"/>
      </w:pPr>
      <w:r>
        <w:t xml:space="preserve">rapidly due to their potential in services, care, and human–machine interaction. The global</w:t>
      </w:r>
      <w:r>
        <w:t xml:space="preserve"> </w:t>
      </w:r>
      <w:r>
        <w:t xml:space="preserve">semiconductor market for humanoid robots is estimated at EUR 360 million in 2024, and,</w:t>
      </w:r>
      <w:r>
        <w:t xml:space="preserve"> </w:t>
      </w:r>
      <w:r>
        <w:t xml:space="preserve">under an optimistic uptake scenario, it is projected to grow at 26.2% annually to reach EUR</w:t>
      </w:r>
      <w:r>
        <w:t xml:space="preserve"> </w:t>
      </w:r>
      <w:r>
        <w:t xml:space="preserve">4.7 billion by 2035 (15). In the EU27, direct semiconductor consumption is estimated at EUR</w:t>
      </w:r>
      <w:r>
        <w:t xml:space="preserve"> </w:t>
      </w:r>
      <w:r>
        <w:t xml:space="preserve">70 million in 2024, increasing to EUR 770 million by 2035 (23.8% annual growth).</w:t>
      </w:r>
      <w:r>
        <w:t xml:space="preserve"> </w:t>
      </w:r>
      <w:r>
        <w:t xml:space="preserve">Wearables constitute a second future-oriented market, combining consumer and healthcare</w:t>
      </w:r>
      <w:r>
        <w:t xml:space="preserve"> </w:t>
      </w:r>
      <w:r>
        <w:t xml:space="preserve">applications. The global semiconductor market for wearables amounts to EUR 17 billion in</w:t>
      </w:r>
      <w:r>
        <w:t xml:space="preserve"> </w:t>
      </w:r>
      <w:r>
        <w:t xml:space="preserve">2024 and is expected to grow at 6.3% annually, reaching EUR 33.2 billion by 2035 (16).</w:t>
      </w:r>
      <w:r>
        <w:t xml:space="preserve"> </w:t>
      </w:r>
      <w:r>
        <w:t xml:space="preserve">Both applications present an opportunity for Europe since they require compute capacity at</w:t>
      </w:r>
      <w:r>
        <w:t xml:space="preserve"> </w:t>
      </w:r>
      <w:r>
        <w:t xml:space="preserve">the edge, an area where the Union has considerable expertise and know-how. This will</w:t>
      </w:r>
      <w:r>
        <w:t xml:space="preserve"> </w:t>
      </w:r>
      <w:r>
        <w:t xml:space="preserve">however require significant private investment, stimulated by public support, to ensure that</w:t>
      </w:r>
      <w:r>
        <w:t xml:space="preserve"> </w:t>
      </w:r>
      <w:r>
        <w:t xml:space="preserve">incumbent and upcoming semiconductor suppliers in the EU are in a position to capture</w:t>
      </w:r>
      <w:r>
        <w:t xml:space="preserve"> </w:t>
      </w:r>
      <w:r>
        <w:t xml:space="preserve">significant shares of these future markets. A robust semiconductor industry in the Union</w:t>
      </w:r>
      <w:r>
        <w:t xml:space="preserve"> </w:t>
      </w:r>
      <w:r>
        <w:t xml:space="preserve">requires a three-pronged approach that carves out a space for European semiconductor</w:t>
      </w:r>
      <w:r>
        <w:t xml:space="preserve"> </w:t>
      </w:r>
      <w:r>
        <w:t xml:space="preserve">solutions in the AI ecosystem, consolidates current strengths, and ventures into new markets</w:t>
      </w:r>
      <w:r>
        <w:t xml:space="preserve"> </w:t>
      </w:r>
      <w:r>
        <w:t xml:space="preserve">Against this backdrop, both Member States and the European Parliament have called for a</w:t>
      </w:r>
      <w:r>
        <w:t xml:space="preserve"> </w:t>
      </w:r>
      <w:r>
        <w:t xml:space="preserve">renewed impetus to the EU’s efforts in the field of semiconductors. Through the ‘Semicon</w:t>
      </w:r>
      <w:r>
        <w:t xml:space="preserve"> </w:t>
      </w:r>
      <w:r>
        <w:t xml:space="preserve">Coalition’ (17), all 27 EU Member States have called for a coordinated approach to ensure</w:t>
      </w:r>
      <w:r>
        <w:t xml:space="preserve"> </w:t>
      </w:r>
      <w:r>
        <w:t xml:space="preserve">prosperity, indispensability and resilience:</w:t>
      </w:r>
      <w:r>
        <w:t xml:space="preserve"> </w:t>
      </w:r>
      <w:r>
        <w:t xml:space="preserve">• Prosperity: enabling a competitive European semiconductor ecosystem that enhances</w:t>
      </w:r>
      <w:r>
        <w:t xml:space="preserve"> </w:t>
      </w:r>
      <w:r>
        <w:t xml:space="preserve">Europe’s economic welfare and value creation across end-markets.</w:t>
      </w:r>
      <w:r>
        <w:br/>
      </w:r>
      <w:r>
        <w:t xml:space="preserve">• Indispensability: maintain and develop Europe’s technological and innovation</w:t>
      </w:r>
      <w:r>
        <w:t xml:space="preserve"> </w:t>
      </w:r>
      <w:r>
        <w:t xml:space="preserve">leadership to secure critical control points in the global semiconductor value chain.</w:t>
      </w:r>
      <w:r>
        <w:br/>
      </w:r>
      <w:r>
        <w:t xml:space="preserve">• Resilience: secure a stable and reliable supply of trustworthy semiconductors for</w:t>
      </w:r>
      <w:r>
        <w:t xml:space="preserve"> </w:t>
      </w:r>
      <w:r>
        <w:t xml:space="preserve">Europe’s most critical sectors, particularly in times of global disruption or geopolitical</w:t>
      </w:r>
      <w:r>
        <w:t xml:space="preserve"> </w:t>
      </w:r>
      <w:r>
        <w:t xml:space="preserve">uncertainty.</w:t>
      </w:r>
      <w:r>
        <w:t xml:space="preserve"> </w:t>
      </w:r>
      <w:r>
        <w:t xml:space="preserve">In March 2025, 54 Members of the European Parliament signed a letter (18) to the</w:t>
      </w:r>
      <w:r>
        <w:t xml:space="preserve"> </w:t>
      </w:r>
      <w:r>
        <w:t xml:space="preserve">Commission calling for a revised Chips Act, with a core focus on “AI chips and other</w:t>
      </w:r>
      <w:r>
        <w:t xml:space="preserve"> </w:t>
      </w:r>
      <w:r>
        <w:t xml:space="preserve">semiconductor technologies that were not adequately covered under the initial proposal”.</w:t>
      </w:r>
      <w:r>
        <w:t xml:space="preserve"> </w:t>
      </w:r>
      <w:r>
        <w:t xml:space="preserve">Similarly, the European Parliament adopted an own-initiative report on European</w:t>
      </w:r>
      <w:r>
        <w:t xml:space="preserve"> </w:t>
      </w:r>
      <w:r>
        <w:t xml:space="preserve">Technological Sovereignty and Digital Infrastructure (19) calling for urgent action to boost EU</w:t>
      </w:r>
      <w:r>
        <w:t xml:space="preserve"> </w:t>
      </w:r>
      <w:r>
        <w:t xml:space="preserve">domestic semiconductor manufacturing, to put advanced AI chips at the core of the revision</w:t>
      </w:r>
      <w:r>
        <w:t xml:space="preserve"> </w:t>
      </w:r>
      <w:r>
        <w:t xml:space="preserve">of the Chips Act, and to adapt the Chips Act to the architecture of the proposed Multiannual</w:t>
      </w:r>
    </w:p>
    <w:p>
      <w:pPr>
        <w:pStyle w:val="Compact"/>
        <w:numPr>
          <w:ilvl w:val="0"/>
          <w:numId w:val="1004"/>
        </w:numPr>
      </w:pPr>
      <w:r>
        <w:t xml:space="preserve">Decision Etudes &amp; Conseil and YOLE Group, Competitiveness of the EU semiconductor manufacturing</w:t>
      </w:r>
      <w:r>
        <w:t xml:space="preserve"> </w:t>
      </w:r>
      <w:r>
        <w:t xml:space="preserve">industry, Nov.2025.</w:t>
      </w:r>
    </w:p>
    <w:p>
      <w:pPr>
        <w:pStyle w:val="Compact"/>
        <w:numPr>
          <w:ilvl w:val="0"/>
          <w:numId w:val="1004"/>
        </w:numPr>
      </w:pPr>
      <w:r>
        <w:t xml:space="preserve">Decision Etudes &amp; Conseil and YOLE Group, Competitiveness of the EU semiconductor manufacturing</w:t>
      </w:r>
      <w:r>
        <w:t xml:space="preserve"> </w:t>
      </w:r>
      <w:r>
        <w:t xml:space="preserve">industry, Nov.2025.</w:t>
      </w:r>
    </w:p>
    <w:p>
      <w:pPr>
        <w:pStyle w:val="Compact"/>
        <w:numPr>
          <w:ilvl w:val="0"/>
          <w:numId w:val="1004"/>
        </w:numPr>
      </w:pPr>
      <w:r>
        <w:t xml:space="preserve">Semicon Coalition calls for reinforced Chips Act | Shaping Europe’s digital future</w:t>
      </w:r>
    </w:p>
    <w:p>
      <w:pPr>
        <w:pStyle w:val="Compact"/>
        <w:numPr>
          <w:ilvl w:val="0"/>
          <w:numId w:val="1004"/>
        </w:numPr>
      </w:pPr>
      <w:r>
        <w:t xml:space="preserve">MEPs urge the Commission to propose a Chips Act 2.0 | Euractiv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REPORT on European technological sovereignty and digital infrastructure | A10-0107/2025 | European</w:t>
      </w:r>
      <w:r>
        <w:t xml:space="preserve"> </w:t>
      </w:r>
      <w:r>
        <w:t xml:space="preserve">Parliament</w:t>
      </w:r>
    </w:p>
    <w:p>
      <w:pPr>
        <w:pStyle w:val="FirstParagraph"/>
      </w:pPr>
      <w:r>
        <w:t xml:space="preserve">13</w:t>
      </w:r>
    </w:p>
    <w:p>
      <w:pPr>
        <w:pStyle w:val="BodyText"/>
      </w:pPr>
      <w:r>
        <w:t xml:space="preserve">Financial Framework (MFF), particularly to the European Competitiveness Fund proposal</w:t>
      </w:r>
      <w:r>
        <w:t xml:space="preserve"> </w:t>
      </w:r>
      <w:r>
        <w:t xml:space="preserve">(20).</w:t>
      </w:r>
      <w:r>
        <w:t xml:space="preserve"> </w:t>
      </w:r>
      <w:r>
        <w:t xml:space="preserve">1.2</w:t>
      </w:r>
      <w:r>
        <w:t xml:space="preserve"> </w:t>
      </w:r>
      <w:r>
        <w:t xml:space="preserve">Relevant existing EU legislation and related initiatives</w:t>
      </w:r>
      <w:r>
        <w:t xml:space="preserve"> </w:t>
      </w:r>
      <w:r>
        <w:t xml:space="preserve">Semiconductors are critical enablers of the green and digital transitions, and their strategic</w:t>
      </w:r>
      <w:r>
        <w:t xml:space="preserve"> </w:t>
      </w:r>
      <w:r>
        <w:t xml:space="preserve">importance for the EU is further amplified by geopolitical tensions, the Union’s current over-</w:t>
      </w:r>
      <w:r>
        <w:t xml:space="preserve"> </w:t>
      </w:r>
      <w:r>
        <w:t xml:space="preserve">dependence on advanced manufacturing and design, and the increasing weaponisation of</w:t>
      </w:r>
      <w:r>
        <w:t xml:space="preserve"> </w:t>
      </w:r>
      <w:r>
        <w:t xml:space="preserve">these dependencies by third countries. In this context, Chips Act 2.0 is indispensable to the</w:t>
      </w:r>
      <w:r>
        <w:t xml:space="preserve"> </w:t>
      </w:r>
      <w:r>
        <w:t xml:space="preserve">achievement of the Commission’s political priorities, notably “A new plan for Europe’s</w:t>
      </w:r>
      <w:r>
        <w:t xml:space="preserve"> </w:t>
      </w:r>
      <w:r>
        <w:t xml:space="preserve">sustainable prosperity and competitiveness” and “A new era for European defence and</w:t>
      </w:r>
      <w:r>
        <w:t xml:space="preserve"> </w:t>
      </w:r>
      <w:r>
        <w:t xml:space="preserve">security”.</w:t>
      </w:r>
      <w:r>
        <w:br/>
      </w:r>
      <w:r>
        <w:t xml:space="preserve">In the aftermath of the Draghi report (21), competitiveness became a central component of</w:t>
      </w:r>
      <w:r>
        <w:t xml:space="preserve"> </w:t>
      </w:r>
      <w:r>
        <w:t xml:space="preserve">the Commission’s political priorities for 2024-2029 (22), triggering a series of initiatives. The</w:t>
      </w:r>
      <w:r>
        <w:t xml:space="preserve"> </w:t>
      </w:r>
      <w:r>
        <w:t xml:space="preserve">report singled out semiconductors as a key sector in which Europe needs to close the</w:t>
      </w:r>
      <w:r>
        <w:t xml:space="preserve"> </w:t>
      </w:r>
      <w:r>
        <w:t xml:space="preserve">innovation gap, contribute to a joint decarbonisation and competitiveness plan, increase</w:t>
      </w:r>
      <w:r>
        <w:t xml:space="preserve"> </w:t>
      </w:r>
      <w:r>
        <w:t xml:space="preserve">security, and reduce dependencies. In his report, Prof. Draghi called for a new, better</w:t>
      </w:r>
      <w:r>
        <w:t xml:space="preserve"> </w:t>
      </w:r>
      <w:r>
        <w:t xml:space="preserve">articulated and concerted approach to boost the EU’s future competitiveness in this sector by</w:t>
      </w:r>
      <w:r>
        <w:t xml:space="preserve"> </w:t>
      </w:r>
      <w:r>
        <w:t xml:space="preserve">“developing a comprehensive EU Semiconductor Strategy, supported by a dedicated EU-level</w:t>
      </w:r>
      <w:r>
        <w:t xml:space="preserve"> </w:t>
      </w:r>
      <w:r>
        <w:t xml:space="preserve">budget for semiconductors; enhanced funding for innovation, including grants or R&amp;D tax</w:t>
      </w:r>
      <w:r>
        <w:t xml:space="preserve"> </w:t>
      </w:r>
      <w:r>
        <w:t xml:space="preserve">incentives for fabless chip design companies and for foundries operating in strategically</w:t>
      </w:r>
      <w:r>
        <w:t xml:space="preserve"> </w:t>
      </w:r>
      <w:r>
        <w:t xml:space="preserve">relevant segments”. Prof. Draghi’s report also called for coordinated EU action in back-end</w:t>
      </w:r>
      <w:r>
        <w:t xml:space="preserve"> </w:t>
      </w:r>
      <w:r>
        <w:t xml:space="preserve">3D advanced packaging, advanced materials, and finishing processes23, as well as the</w:t>
      </w:r>
      <w:r>
        <w:t xml:space="preserve"> </w:t>
      </w:r>
      <w:r>
        <w:t xml:space="preserve">establishment of an EU-wide, streamlined, and investment-friendly permitting regime for</w:t>
      </w:r>
      <w:r>
        <w:t xml:space="preserve"> </w:t>
      </w:r>
      <w:r>
        <w:t xml:space="preserve">semiconductor manufacturing. Furthermore, the report called for Europe to draw lessons from</w:t>
      </w:r>
      <w:r>
        <w:t xml:space="preserve"> </w:t>
      </w:r>
      <w:r>
        <w:t xml:space="preserve">other regions and focus resources on a single large-scale leader in advanced chips, supported</w:t>
      </w:r>
      <w:r>
        <w:t xml:space="preserve"> </w:t>
      </w:r>
      <w:r>
        <w:t xml:space="preserve">by a clear strategic focus and strong public–private alignment. (24)</w:t>
      </w:r>
      <w:r>
        <w:t xml:space="preserve"> </w:t>
      </w:r>
      <w:r>
        <w:t xml:space="preserve">The Competitiveness Compass (25), a roadmap to restore Europe’s economic dynamism and</w:t>
      </w:r>
      <w:r>
        <w:t xml:space="preserve"> </w:t>
      </w:r>
      <w:r>
        <w:t xml:space="preserve">boost growth, was the Union’s first response to Prof. Draghi’s call to address the key</w:t>
      </w:r>
      <w:r>
        <w:t xml:space="preserve"> </w:t>
      </w:r>
      <w:r>
        <w:t xml:space="preserve">challenges identified in his analysis: closing the innovation gap with the US and China,</w:t>
      </w:r>
      <w:r>
        <w:t xml:space="preserve"> </w:t>
      </w:r>
      <w:r>
        <w:t xml:space="preserve">harmonising decarbonisation with competitiveness, and enhancing economic security by</w:t>
      </w:r>
      <w:r>
        <w:t xml:space="preserve"> </w:t>
      </w:r>
      <w:r>
        <w:t xml:space="preserve">reducing dependencies.</w:t>
      </w:r>
    </w:p>
    <w:p>
      <w:pPr>
        <w:pStyle w:val="Compact"/>
        <w:numPr>
          <w:ilvl w:val="0"/>
          <w:numId w:val="1005"/>
        </w:numPr>
      </w:pPr>
      <w:r>
        <w:t xml:space="preserve">The related policy measures are subject to the ongoing interinstitutional negotiations related to the</w:t>
      </w:r>
      <w:r>
        <w:t xml:space="preserve"> </w:t>
      </w:r>
      <w:r>
        <w:t xml:space="preserve">Multiannual Financial Framework.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Mario Draghi. (2024). The future of European competitiveness: In-depth analysis and recommendations</w:t>
      </w:r>
      <w:r>
        <w:t xml:space="preserve"> </w:t>
      </w:r>
      <w:r>
        <w:t xml:space="preserve">(Part B).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Priorities 2024-2029 - European Commission</w:t>
      </w:r>
    </w:p>
    <w:p>
      <w:pPr>
        <w:pStyle w:val="Compact"/>
        <w:numPr>
          <w:ilvl w:val="0"/>
          <w:numId w:val="1005"/>
        </w:numPr>
      </w:pPr>
      <w:r>
        <w:t xml:space="preserve">Finishing processes refer to the back-end stages of semiconductor manufacturing, encompassing assembly,</w:t>
      </w:r>
      <w:r>
        <w:t xml:space="preserve"> </w:t>
      </w:r>
      <w:r>
        <w:t xml:space="preserve">packaging, and testing operations that transform processed wafers into functional, market-ready devices.</w:t>
      </w:r>
      <w:r>
        <w:t xml:space="preserve"> </w:t>
      </w:r>
      <w:r>
        <w:t xml:space="preserve">Advanced finishing techniques such as 2.5D/3D packaging and chiplet integration are increasingly critical to</w:t>
      </w:r>
      <w:r>
        <w:t xml:space="preserve"> </w:t>
      </w:r>
      <w:r>
        <w:t xml:space="preserve">semiconductor performance and represent a growing source of competitive differentiation in the global value</w:t>
      </w:r>
      <w:r>
        <w:t xml:space="preserve"> </w:t>
      </w:r>
      <w:r>
        <w:t xml:space="preserve">chain.</w:t>
      </w:r>
    </w:p>
    <w:p>
      <w:pPr>
        <w:pStyle w:val="Compact"/>
        <w:numPr>
          <w:ilvl w:val="0"/>
          <w:numId w:val="1005"/>
        </w:numPr>
      </w:pPr>
      <w:r>
        <w:t xml:space="preserve">The Draghi report: one year on</w:t>
      </w:r>
    </w:p>
    <w:p>
      <w:pPr>
        <w:pStyle w:val="Compact"/>
        <w:numPr>
          <w:ilvl w:val="0"/>
          <w:numId w:val="1005"/>
        </w:numPr>
      </w:pPr>
      <w:r>
        <w:t xml:space="preserve">Competitiveness compass - European Commission</w:t>
      </w:r>
    </w:p>
    <w:p>
      <w:pPr>
        <w:pStyle w:val="FirstParagraph"/>
      </w:pPr>
      <w:r>
        <w:t xml:space="preserve">14</w:t>
      </w:r>
    </w:p>
    <w:p>
      <w:pPr>
        <w:pStyle w:val="BodyText"/>
      </w:pPr>
      <w:r>
        <w:t xml:space="preserve">Several initiatives and measures in the Competitiveness Compass are of direct relevance to</w:t>
      </w:r>
      <w:r>
        <w:t xml:space="preserve"> </w:t>
      </w:r>
      <w:r>
        <w:t xml:space="preserve">the strategic development of the EU’s semiconductor industry. For example, the upcoming</w:t>
      </w:r>
      <w:r>
        <w:t xml:space="preserve"> </w:t>
      </w:r>
      <w:r>
        <w:t xml:space="preserve">Cloud and AI Development Act will include actions in relation to cutting-edge AI chips</w:t>
      </w:r>
      <w:r>
        <w:t xml:space="preserve"> </w:t>
      </w:r>
      <w:r>
        <w:t xml:space="preserve">through the stimulation of new data centres in the EU and can be a source of demand</w:t>
      </w:r>
      <w:r>
        <w:t xml:space="preserve"> </w:t>
      </w:r>
      <w:r>
        <w:t xml:space="preserve">generation that will support the aims and objectives of the revised Chips Act. The AI</w:t>
      </w:r>
      <w:r>
        <w:t xml:space="preserve"> </w:t>
      </w:r>
      <w:r>
        <w:t xml:space="preserve">Continent Action Plan Communication (26) outlined how, as part of the broader effort to</w:t>
      </w:r>
      <w:r>
        <w:t xml:space="preserve"> </w:t>
      </w:r>
      <w:r>
        <w:t xml:space="preserve">develop AI Gigafactories, the Union aims to realise “strategic autonomy in the design and</w:t>
      </w:r>
      <w:r>
        <w:t xml:space="preserve"> </w:t>
      </w:r>
      <w:r>
        <w:t xml:space="preserve">production of AI semiconductors, reduce dependencies on critical technologies, and</w:t>
      </w:r>
      <w:r>
        <w:t xml:space="preserve"> </w:t>
      </w:r>
      <w:r>
        <w:t xml:space="preserve">strengthen sovereignty in cutting edge semiconductors”. It consequently called for the</w:t>
      </w:r>
      <w:r>
        <w:t xml:space="preserve"> </w:t>
      </w:r>
      <w:r>
        <w:t xml:space="preserve">acceleration of preparatory work towards a revised Chips Act in 2026.</w:t>
      </w:r>
      <w:r>
        <w:t xml:space="preserve"> </w:t>
      </w:r>
      <w:r>
        <w:t xml:space="preserve">The Industrial Action Plan for the European automotive sector (27) underscored the</w:t>
      </w:r>
      <w:r>
        <w:t xml:space="preserve"> </w:t>
      </w:r>
      <w:r>
        <w:t xml:space="preserve">importance of the semiconductor industry for an innovative and digitalised automotive sector.</w:t>
      </w:r>
      <w:r>
        <w:t xml:space="preserve"> </w:t>
      </w:r>
      <w:r>
        <w:t xml:space="preserve">The transition to Software-Defined Vehicles, in which semiconductors will serve as a central</w:t>
      </w:r>
      <w:r>
        <w:t xml:space="preserve"> </w:t>
      </w:r>
      <w:r>
        <w:t xml:space="preserve">and differentiating element, further highlights the need for a robust and competitive</w:t>
      </w:r>
      <w:r>
        <w:t xml:space="preserve"> </w:t>
      </w:r>
      <w:r>
        <w:t xml:space="preserve">semiconductor ecosystem in the EU.</w:t>
      </w:r>
      <w:r>
        <w:br/>
      </w:r>
      <w:r>
        <w:t xml:space="preserve">This initiative is also linked to the Joint Communication on Strengthening Economic</w:t>
      </w:r>
      <w:r>
        <w:t xml:space="preserve"> </w:t>
      </w:r>
      <w:r>
        <w:t xml:space="preserve">Security (28), which underlines that access to high-quality information and its thorough</w:t>
      </w:r>
      <w:r>
        <w:t xml:space="preserve"> </w:t>
      </w:r>
      <w:r>
        <w:t xml:space="preserve">analysis are the foundation of effective, well-informed EU economic security policymaking</w:t>
      </w:r>
      <w:r>
        <w:t xml:space="preserve"> </w:t>
      </w:r>
      <w:r>
        <w:t xml:space="preserve">and decision-making. In this context, this initiative contributes to strengthening supply chain</w:t>
      </w:r>
      <w:r>
        <w:t xml:space="preserve"> </w:t>
      </w:r>
      <w:r>
        <w:t xml:space="preserve">resilience and reducing strategic dependencies, while developing and maintaining EU</w:t>
      </w:r>
      <w:r>
        <w:t xml:space="preserve"> </w:t>
      </w:r>
      <w:r>
        <w:t xml:space="preserve">leadership in critical technologies. Similarly, the initiative is coherent with the adopted EU</w:t>
      </w:r>
      <w:r>
        <w:t xml:space="preserve"> </w:t>
      </w:r>
      <w:r>
        <w:t xml:space="preserve">Action Plan on Drone and Counter Drone Security, in particular with the aim to the</w:t>
      </w:r>
      <w:r>
        <w:t xml:space="preserve"> </w:t>
      </w:r>
      <w:r>
        <w:t xml:space="preserve">development of a competitive European drone market.</w:t>
      </w:r>
      <w:r>
        <w:br/>
      </w:r>
      <w:r>
        <w:t xml:space="preserve">Chips Act 2.0 is also designed in complementarity with other initiatives such as the Important</w:t>
      </w:r>
      <w:r>
        <w:t xml:space="preserve"> </w:t>
      </w:r>
      <w:r>
        <w:t xml:space="preserve">Projects of Common European Interest (IPCEI). Here, the preparation of the upcoming IPCEI</w:t>
      </w:r>
      <w:r>
        <w:t xml:space="preserve"> </w:t>
      </w:r>
      <w:r>
        <w:t xml:space="preserve">on Advanced Semiconductor Technologies (AST) (29) is a welcome initiative and fully in line</w:t>
      </w:r>
      <w:r>
        <w:t xml:space="preserve"> </w:t>
      </w:r>
      <w:r>
        <w:t xml:space="preserve">with the spirit of the Chips Act by addressing the crucial bridging of the lab-to-fab gap.</w:t>
      </w:r>
      <w:r>
        <w:br/>
      </w:r>
      <w:r>
        <w:t xml:space="preserve">Chips Act 2.0 is designed to be compatible with the current MFF (2021-2027) and the next</w:t>
      </w:r>
      <w:r>
        <w:t xml:space="preserve"> </w:t>
      </w:r>
      <w:r>
        <w:t xml:space="preserve">MFF (2028-2034), including the European Competitiveness Fund and Framework Programme</w:t>
      </w:r>
      <w:r>
        <w:t xml:space="preserve"> </w:t>
      </w:r>
      <w:r>
        <w:t xml:space="preserve">10 (FP10). Its architecture will allow for immediate action and impact under the current MFF</w:t>
      </w:r>
      <w:r>
        <w:t xml:space="preserve"> </w:t>
      </w:r>
      <w:r>
        <w:t xml:space="preserve">while ensuring continuity and scalability under the next MFF. The proposal does not alter or</w:t>
      </w:r>
      <w:r>
        <w:t xml:space="preserve"> </w:t>
      </w:r>
      <w:r>
        <w:t xml:space="preserve">circumvent the design and architecture set out in the Commission’s proposal on the MFF</w:t>
      </w:r>
      <w:r>
        <w:t xml:space="preserve"> </w:t>
      </w:r>
      <w:r>
        <w:t xml:space="preserve">2028–2034, nor does it pre-empt its implementation.</w:t>
      </w:r>
    </w:p>
    <w:p>
      <w:pPr>
        <w:pStyle w:val="Compact"/>
        <w:numPr>
          <w:ilvl w:val="0"/>
          <w:numId w:val="1006"/>
        </w:numPr>
      </w:pPr>
      <w:r>
        <w:t xml:space="preserve">The AI Continent Action Plan | Shaping Europe’s digital future</w:t>
      </w:r>
    </w:p>
    <w:p>
      <w:pPr>
        <w:pStyle w:val="Compact"/>
        <w:numPr>
          <w:ilvl w:val="0"/>
          <w:numId w:val="1006"/>
        </w:numPr>
      </w:pPr>
      <w:r>
        <w:t xml:space="preserve">Action plan on the future of the automotive sector - Mobility and Transport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Commission announces strategic approach to strengthen Europe’s economic security</w:t>
      </w:r>
    </w:p>
    <w:p>
      <w:pPr>
        <w:pStyle w:val="Compact"/>
        <w:numPr>
          <w:ilvl w:val="0"/>
          <w:numId w:val="1006"/>
        </w:numPr>
      </w:pPr>
      <w:r>
        <w:t xml:space="preserve">The IPCEI AST is designed to build on existing EU initiatives, in particular pilot lines and the EU Chips</w:t>
      </w:r>
      <w:r>
        <w:t xml:space="preserve"> </w:t>
      </w:r>
      <w:r>
        <w:t xml:space="preserve">Design Platform, ensuring continuity and acceleration rather than duplication. Driven by megatrends such as AI,</w:t>
      </w:r>
      <w:r>
        <w:t xml:space="preserve"> </w:t>
      </w:r>
      <w:r>
        <w:t xml:space="preserve">automation, security and sustainability, IPCEI AST should provide a collective European response to disruptive</w:t>
      </w:r>
      <w:r>
        <w:t xml:space="preserve"> </w:t>
      </w:r>
      <w:r>
        <w:t xml:space="preserve">technological change. It focuses on key technology areas including AI chips and accelerators, photonic</w:t>
      </w:r>
      <w:r>
        <w:t xml:space="preserve"> </w:t>
      </w:r>
      <w:r>
        <w:t xml:space="preserve">integrated circuits, heterogeneous integration and advanced packaging, sensors, power electronics, energy-</w:t>
      </w:r>
      <w:r>
        <w:t xml:space="preserve"> </w:t>
      </w:r>
      <w:r>
        <w:t xml:space="preserve">efficient solutions and secure communication, while covering the full semiconductor value chain, including</w:t>
      </w:r>
      <w:r>
        <w:t xml:space="preserve"> </w:t>
      </w:r>
      <w:r>
        <w:t xml:space="preserve">enabling technologies such as EDA, equipment, testing, materials and wafers. </w:t>
      </w:r>
    </w:p>
    <w:p>
      <w:pPr>
        <w:pStyle w:val="FirstParagraph"/>
      </w:pPr>
      <w:r>
        <w:t xml:space="preserve">15</w:t>
      </w:r>
    </w:p>
    <w:p>
      <w:pPr>
        <w:pStyle w:val="BodyText"/>
      </w:pPr>
      <w:r>
        <w:t xml:space="preserve">Furthermore, the revised options under Chips Act 2.0 are designed to remain coherent with</w:t>
      </w:r>
      <w:r>
        <w:t xml:space="preserve"> </w:t>
      </w:r>
      <w:r>
        <w:t xml:space="preserve">existing State aid and competition frameworks, in particular the R&amp;D&amp;I Framework and the</w:t>
      </w:r>
      <w:r>
        <w:t xml:space="preserve"> </w:t>
      </w:r>
      <w:r>
        <w:t xml:space="preserve">IPCEI Communication, while preserving their distinct objectives. As under the current</w:t>
      </w:r>
      <w:r>
        <w:t xml:space="preserve"> </w:t>
      </w:r>
      <w:r>
        <w:t xml:space="preserve">framework, the IPCEIs and the R&amp;D&amp;I Framework will continue playing a central role in</w:t>
      </w:r>
      <w:r>
        <w:t xml:space="preserve"> </w:t>
      </w:r>
      <w:r>
        <w:t xml:space="preserve">supporting research, development, innovation and first industrial deployment, notably for</w:t>
      </w:r>
      <w:r>
        <w:t xml:space="preserve"> </w:t>
      </w:r>
      <w:r>
        <w:t xml:space="preserve">highly innovative and cross-border projects with strong spillover effects.</w:t>
      </w:r>
      <w:r>
        <w:br/>
      </w:r>
      <w:r>
        <w:t xml:space="preserve">Measures under Chips Act 2.0 will build on this architecture by further clarifying and refining</w:t>
      </w:r>
      <w:r>
        <w:t xml:space="preserve"> </w:t>
      </w:r>
      <w:r>
        <w:t xml:space="preserve">the scope of the First-of-a-Kind (FOAK) framework under Pillar II, which addresses a</w:t>
      </w:r>
      <w:r>
        <w:t xml:space="preserve"> </w:t>
      </w:r>
      <w:r>
        <w:t xml:space="preserve">complementary and previously insufficiently covered investment gap at the manufacturing</w:t>
      </w:r>
      <w:r>
        <w:t xml:space="preserve"> </w:t>
      </w:r>
      <w:r>
        <w:t xml:space="preserve">stage. </w:t>
      </w:r>
      <w:r>
        <w:br/>
      </w:r>
      <w:r>
        <w:t xml:space="preserve">Chips Act 2.0 will also be coherent with the Chips Joint Undertaking (JU), established under</w:t>
      </w:r>
      <w:r>
        <w:t xml:space="preserve"> </w:t>
      </w:r>
      <w:r>
        <w:t xml:space="preserve">Council Regulation (EU) 2021/2085 (‘Single Basic Act’) and funded by the Digital Europe</w:t>
      </w:r>
      <w:r>
        <w:t xml:space="preserve"> </w:t>
      </w:r>
      <w:r>
        <w:t xml:space="preserve">and the Horizon Europe programmes, given that it is the main body responsible for</w:t>
      </w:r>
      <w:r>
        <w:t xml:space="preserve"> </w:t>
      </w:r>
      <w:r>
        <w:t xml:space="preserve">implementing four of the five Pillar I objectives of the current and the revised Chips Act, i.e.,</w:t>
      </w:r>
      <w:r>
        <w:t xml:space="preserve"> </w:t>
      </w:r>
      <w:r>
        <w:t xml:space="preserve">pilot lines, the design platform, competence centres, and quantum chips.</w:t>
      </w:r>
      <w:r>
        <w:br/>
      </w:r>
      <w:r>
        <w:t xml:space="preserve">Finally, Chips Act 2.0 is consistent with European cybersecurity legislation. Certain</w:t>
      </w:r>
      <w:r>
        <w:t xml:space="preserve"> </w:t>
      </w:r>
      <w:r>
        <w:t xml:space="preserve">categories of chips are in scope of the Cyber Resilience Act and investments under the Chips</w:t>
      </w:r>
      <w:r>
        <w:t xml:space="preserve"> </w:t>
      </w:r>
      <w:r>
        <w:t xml:space="preserve">Act will aim to complement its objectives by building on the strength of the European</w:t>
      </w:r>
      <w:r>
        <w:t xml:space="preserve"> </w:t>
      </w:r>
      <w:r>
        <w:t xml:space="preserve">industry in the secure chips market segment.</w:t>
      </w:r>
      <w:r>
        <w:br/>
      </w:r>
      <w:r>
        <w:t xml:space="preserve">Cybersecurity risks, including risks related to dependency on high-risk suppliers, may be</w:t>
      </w:r>
      <w:r>
        <w:t xml:space="preserve"> </w:t>
      </w:r>
      <w:r>
        <w:t xml:space="preserve">observed in several critical Information and Communication Technologies (ICT) supply</w:t>
      </w:r>
      <w:r>
        <w:t xml:space="preserve"> </w:t>
      </w:r>
      <w:r>
        <w:t xml:space="preserve">chains in the Union, including semiconductors. The recently adopted proposal for the revision</w:t>
      </w:r>
      <w:r>
        <w:t xml:space="preserve"> </w:t>
      </w:r>
      <w:r>
        <w:t xml:space="preserve">of the Cybersecurity Act puts in place supply chain security requirements for certain sectors</w:t>
      </w:r>
      <w:r>
        <w:t xml:space="preserve"> </w:t>
      </w:r>
      <w:r>
        <w:t xml:space="preserve">based on both “technical” and “non-technical” criteria. This would allow to exclude high-risk</w:t>
      </w:r>
      <w:r>
        <w:t xml:space="preserve"> </w:t>
      </w:r>
      <w:r>
        <w:t xml:space="preserve">suppliers from third countries posing cybersecurity concerns from tendering for certain</w:t>
      </w:r>
      <w:r>
        <w:t xml:space="preserve"> </w:t>
      </w:r>
      <w:r>
        <w:t xml:space="preserve">critical infrastructures in the EU, thus potentially increasing the demand for chips from</w:t>
      </w:r>
      <w:r>
        <w:t xml:space="preserve"> </w:t>
      </w:r>
      <w:r>
        <w:t xml:space="preserve">domestic undertakings or undertakings from third countries providing equivalent assurances.</w:t>
      </w:r>
      <w:r>
        <w:t xml:space="preserve"> </w:t>
      </w:r>
      <w:r>
        <w:t xml:space="preserve">In turn, Chips Act 2.0 will support EU semiconductor manufacturers to invest in order to</w:t>
      </w:r>
      <w:r>
        <w:t xml:space="preserve"> </w:t>
      </w:r>
      <w:r>
        <w:t xml:space="preserve">increase their production and maintain their leading position in secure products to be able to</w:t>
      </w:r>
      <w:r>
        <w:t xml:space="preserve"> </w:t>
      </w:r>
      <w:r>
        <w:t xml:space="preserve">fulfil this demand, and add a security of supply dimension for the semiconductors publicly</w:t>
      </w:r>
      <w:r>
        <w:t xml:space="preserve"> </w:t>
      </w:r>
      <w:r>
        <w:t xml:space="preserve">procured by critical entities. In concert with this approach, the Communication on</w:t>
      </w:r>
      <w:r>
        <w:t xml:space="preserve"> </w:t>
      </w:r>
      <w:r>
        <w:t xml:space="preserve">Technological Sovereignty accompanying the Chips Act 2.0 proposal will announce that a</w:t>
      </w:r>
      <w:r>
        <w:t xml:space="preserve"> </w:t>
      </w:r>
      <w:r>
        <w:t xml:space="preserve">cybersecurity risk assessment will evaluate both technical vulnerabilities and non-technical</w:t>
      </w:r>
      <w:r>
        <w:t xml:space="preserve"> </w:t>
      </w:r>
      <w:r>
        <w:t xml:space="preserve">factors in anticipation of the revision of the Cybersecurity Act.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Figure 2- Intervention logic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The semiconductor value chain is critical to a wide range of industrial sectors. Its complexity</w:t>
      </w:r>
      <w:r>
        <w:t xml:space="preserve"> </w:t>
      </w:r>
      <w:r>
        <w:t xml:space="preserve">makes it inherently fragile, and the Union’s industry has experienced significant supply</w:t>
      </w:r>
      <w:r>
        <w:t xml:space="preserve"> </w:t>
      </w:r>
      <w:r>
        <w:t xml:space="preserve">disruptions in recent years, which prompted the adoption of the first Chips Act on the 13 of</w:t>
      </w:r>
      <w:r>
        <w:t xml:space="preserve"> </w:t>
      </w:r>
      <w:r>
        <w:t xml:space="preserve">September 2023. Despite those efforts, the EU continues to face major challenges in ensuring</w:t>
      </w:r>
      <w:r>
        <w:t xml:space="preserve"> </w:t>
      </w:r>
      <w:r>
        <w:t xml:space="preserve">the secure, resilient and reliable supply of critical semiconductors. In this context, the two key</w:t>
      </w:r>
      <w:r>
        <w:t xml:space="preserve"> </w:t>
      </w:r>
      <w:r>
        <w:t xml:space="preserve">problems that the revision of the Chips Act aims to resolve are the following: (1)</w:t>
      </w:r>
      <w:r>
        <w:t xml:space="preserve"> </w:t>
      </w:r>
      <w:r>
        <w:t xml:space="preserve">overdependence on third countries for semiconductor design and manufacturing and (2)</w:t>
      </w:r>
      <w:r>
        <w:t xml:space="preserve"> </w:t>
      </w:r>
      <w:r>
        <w:t xml:space="preserve">insufficient crisis preparedness capabilities.</w:t>
      </w:r>
      <w:r>
        <w:br/>
      </w:r>
      <w:r>
        <w:t xml:space="preserve">2.1.1 P1: Overdependence on third countries for semiconductor design and manufacturing</w:t>
      </w:r>
      <w:r>
        <w:br/>
      </w:r>
      <w:r>
        <w:t xml:space="preserve">The EU’s semiconductor ecosystem lacks sufficient design and manufacturing capacity to</w:t>
      </w:r>
      <w:r>
        <w:t xml:space="preserve"> </w:t>
      </w:r>
      <w:r>
        <w:t xml:space="preserve">support its industrial base and wider digitalisation efforts. It is too reliant on a small</w:t>
      </w:r>
      <w:r>
        <w:t xml:space="preserve"> </w:t>
      </w:r>
      <w:r>
        <w:t xml:space="preserve">number of countries and external actors. Given the pervasiveness of semiconductors, this</w:t>
      </w:r>
      <w:r>
        <w:t xml:space="preserve"> </w:t>
      </w:r>
      <w:r>
        <w:t xml:space="preserve">problem has a Union-wide dimension and carries important implications for all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Semiconductor shortages are a lived experience for industry in the EU. Supply shortages</w:t>
      </w:r>
      <w:r>
        <w:t xml:space="preserve"> </w:t>
      </w:r>
      <w:r>
        <w:t xml:space="preserve">resulting from the COVID-19 pandemic cost the European automotive sector over EUR 100</w:t>
      </w:r>
      <w:r>
        <w:t xml:space="preserve"> </w:t>
      </w:r>
      <w:r>
        <w:t xml:space="preserve">billion from 2021 to 2022(30), and the recent Nexperia disruptions (31) resulted in an estimated</w:t>
      </w:r>
    </w:p>
    <w:p>
      <w:pPr>
        <w:pStyle w:val="Compact"/>
        <w:numPr>
          <w:ilvl w:val="0"/>
          <w:numId w:val="1007"/>
        </w:numPr>
      </w:pPr>
      <w:r>
        <w:t xml:space="preserve">Missing chips cost EUR100bn to the European auto sector | Allianz</w:t>
      </w:r>
    </w:p>
    <w:p>
      <w:pPr>
        <w:pStyle w:val="Compact"/>
        <w:numPr>
          <w:ilvl w:val="0"/>
          <w:numId w:val="1007"/>
        </w:numPr>
      </w:pPr>
      <w:r>
        <w:t xml:space="preserve">Europe’s carmakers face ‘devastating’ chip crisis as Nexperia supply crunch continues Minister of Economic</w:t>
      </w:r>
      <w:r>
        <w:t xml:space="preserve"> </w:t>
      </w:r>
      <w:r>
        <w:t xml:space="preserve">Affairs invokes Goods Availability Act | News item | Government.nl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EUR 5 billion in lost output (32). Around 40% of the end-user participants in the open public</w:t>
      </w:r>
      <w:r>
        <w:t xml:space="preserve"> </w:t>
      </w:r>
      <w:r>
        <w:t xml:space="preserve">consultation (OPC) reported chip shortages over the previous 12-24 months and a majority</w:t>
      </w:r>
      <w:r>
        <w:t xml:space="preserve"> </w:t>
      </w:r>
      <w:r>
        <w:t xml:space="preserve">expect supply disruptions in the next 2-3 years, underlining how supply disruptions are</w:t>
      </w:r>
      <w:r>
        <w:t xml:space="preserve"> </w:t>
      </w:r>
      <w:r>
        <w:t xml:space="preserve">becoming a lived experience for European industry (33). Workshop participants as well as</w:t>
      </w:r>
      <w:r>
        <w:t xml:space="preserve"> </w:t>
      </w:r>
      <w:r>
        <w:t xml:space="preserve">interview partners also observed overdependence on Asian suppliers, in particular when it</w:t>
      </w:r>
      <w:r>
        <w:t xml:space="preserve"> </w:t>
      </w:r>
      <w:r>
        <w:t xml:space="preserve">comes to high-performance chips. Examples provided by stakeholders in the medical,</w:t>
      </w:r>
      <w:r>
        <w:t xml:space="preserve"> </w:t>
      </w:r>
      <w:r>
        <w:t xml:space="preserve">industrial and telecoms sectors illustrated the resulting vulnerability of Europe’s supply</w:t>
      </w:r>
      <w:r>
        <w:t xml:space="preserve"> </w:t>
      </w:r>
      <w:r>
        <w:t xml:space="preserve">chains (34).</w:t>
      </w:r>
      <w:r>
        <w:t xml:space="preserve"> </w:t>
      </w:r>
      <w:r>
        <w:t xml:space="preserve">Disruptions at Nexperia</w:t>
      </w:r>
      <w:r>
        <w:t xml:space="preserve"> </w:t>
      </w:r>
      <w:r>
        <w:t xml:space="preserve">On 30 September 2025, the Dutch Minister of Economic Affairs issued an order (35) under its national Goods</w:t>
      </w:r>
      <w:r>
        <w:t xml:space="preserve"> </w:t>
      </w:r>
      <w:r>
        <w:t xml:space="preserve">Availability Act regarding the semiconductor manufacturer Nexperia. (36) Separately, on 1 October 2025, the</w:t>
      </w:r>
      <w:r>
        <w:t xml:space="preserve"> </w:t>
      </w:r>
      <w:r>
        <w:t xml:space="preserve">Amsterdam Enterprise Chamber of Appeal took interim measures related to the company. (37) Shortly</w:t>
      </w:r>
      <w:r>
        <w:t xml:space="preserve"> </w:t>
      </w:r>
      <w:r>
        <w:t xml:space="preserve">afterwards, the Chinese authorities imposed company-specific export control measures on all Nexperia locations</w:t>
      </w:r>
      <w:r>
        <w:t xml:space="preserve"> </w:t>
      </w:r>
      <w:r>
        <w:t xml:space="preserve">in China. This prevented packaged chips manufactured by Nexperia in China, following front-end production in</w:t>
      </w:r>
      <w:r>
        <w:t xml:space="preserve"> </w:t>
      </w:r>
      <w:r>
        <w:t xml:space="preserve">Europe, from being re-imported into the EU. Economic operators in the EU and elsewhere faced shipment delays</w:t>
      </w:r>
      <w:r>
        <w:t xml:space="preserve"> </w:t>
      </w:r>
      <w:r>
        <w:t xml:space="preserve">and stoppages, with knock-on effects for downstream industries and resulting production disruptions.</w:t>
      </w:r>
      <w:r>
        <w:t xml:space="preserve"> </w:t>
      </w:r>
      <w:r>
        <w:t xml:space="preserve">Automotive manufacturers warned of potential production halts. (38) The Chinese government eased export</w:t>
      </w:r>
      <w:r>
        <w:t xml:space="preserve"> </w:t>
      </w:r>
      <w:r>
        <w:t xml:space="preserve">restrictions in early November and shipments of available chips have resumed, but uncertainties remain, and</w:t>
      </w:r>
      <w:r>
        <w:t xml:space="preserve"> </w:t>
      </w:r>
      <w:r>
        <w:t xml:space="preserve">dwindling stocks may lead to further production disruptions in a multitude of end-user industries, including the</w:t>
      </w:r>
      <w:r>
        <w:t xml:space="preserve"> </w:t>
      </w:r>
      <w:r>
        <w:t xml:space="preserve">automotive sector. (39)</w:t>
      </w:r>
      <w:r>
        <w:t xml:space="preserve"> </w:t>
      </w:r>
      <w:r>
        <w:t xml:space="preserve">2.1.1.1 Market concentration and clustering in the semiconductor industry</w:t>
      </w:r>
      <w:r>
        <w:t xml:space="preserve"> </w:t>
      </w:r>
      <w:r>
        <w:t xml:space="preserve">The semiconductor supply chain is prone to disruption due to the strong concentration of</w:t>
      </w:r>
      <w:r>
        <w:t xml:space="preserve"> </w:t>
      </w:r>
      <w:r>
        <w:t xml:space="preserve">semiconductor manufacturing at both regional and company level. According to the</w:t>
      </w:r>
      <w:r>
        <w:t xml:space="preserve"> </w:t>
      </w:r>
      <w:r>
        <w:t xml:space="preserve">Organisation for Economic Co-operation and Development (OECD)40, in 2025, China,</w:t>
      </w:r>
      <w:r>
        <w:t xml:space="preserve"> </w:t>
      </w:r>
      <w:r>
        <w:t xml:space="preserve">Taiwan, South Korea, Japan, and the United States accounted for 87% of global in-production</w:t>
      </w:r>
      <w:r>
        <w:t xml:space="preserve"> </w:t>
      </w:r>
      <w:r>
        <w:t xml:space="preserve">wafer capacity, while the ten largest manufacturers held about half of the total global</w:t>
      </w:r>
      <w:r>
        <w:t xml:space="preserve"> </w:t>
      </w:r>
      <w:r>
        <w:t xml:space="preserve">capacity. This concentration has structurally increased but is a result of cumulative processes</w:t>
      </w:r>
      <w:r>
        <w:t xml:space="preserve"> </w:t>
      </w:r>
      <w:r>
        <w:t xml:space="preserve">that ran over decades41. Several factors have contributed to this situation.</w:t>
      </w:r>
      <w:r>
        <w:t xml:space="preserve"> </w:t>
      </w:r>
      <w:r>
        <w:t xml:space="preserve">First, a big part of the technological knowledge in the semiconductor domain is process</w:t>
      </w:r>
      <w:r>
        <w:t xml:space="preserve"> </w:t>
      </w:r>
      <w:r>
        <w:t xml:space="preserve">knowledge, which has been accumulated by companies over years and cannot easily be</w:t>
      </w:r>
      <w:r>
        <w:t xml:space="preserve"> </w:t>
      </w:r>
      <w:r>
        <w:t xml:space="preserve">acquired by another firm, since it is bound to human capital and subject to strict intellectual</w:t>
      </w:r>
    </w:p>
    <w:p>
      <w:pPr>
        <w:pStyle w:val="Compact"/>
        <w:numPr>
          <w:ilvl w:val="0"/>
          <w:numId w:val="1008"/>
        </w:numPr>
      </w:pPr>
      <w:r>
        <w:t xml:space="preserve">Europe’s Carmakers Brace for Severe Chip Supply Crisis</w:t>
      </w:r>
    </w:p>
    <w:p>
      <w:pPr>
        <w:pStyle w:val="Compact"/>
        <w:numPr>
          <w:ilvl w:val="0"/>
          <w:numId w:val="1008"/>
        </w:numPr>
      </w:pPr>
      <w:r>
        <w:t xml:space="preserve">Annex 2 Sections 4, 5 and 6.</w:t>
      </w:r>
    </w:p>
    <w:p>
      <w:pPr>
        <w:pStyle w:val="Compact"/>
        <w:numPr>
          <w:ilvl w:val="0"/>
          <w:numId w:val="1008"/>
        </w:numPr>
      </w:pPr>
      <w:r>
        <w:t xml:space="preserve">Annex 2 Sections 4, 5 and 6.</w:t>
      </w:r>
    </w:p>
    <w:p>
      <w:pPr>
        <w:pStyle w:val="Compact"/>
        <w:numPr>
          <w:ilvl w:val="0"/>
          <w:numId w:val="1008"/>
        </w:numPr>
      </w:pPr>
      <w:r>
        <w:t xml:space="preserve">Pursuant to the order, the Dutch Minister of Economic Affairs may block or reverse company decisions</w:t>
      </w:r>
      <w:r>
        <w:t xml:space="preserve"> </w:t>
      </w:r>
      <w:r>
        <w:t xml:space="preserve">where they are, or could be, harmful to the company’s interests, its future as a Dutch and European enterprise,</w:t>
      </w:r>
      <w:r>
        <w:t xml:space="preserve"> </w:t>
      </w:r>
      <w:r>
        <w:t xml:space="preserve">and/or the preservation of this critical value chain for Europe.</w:t>
      </w:r>
    </w:p>
    <w:p>
      <w:pPr>
        <w:pStyle w:val="Compact"/>
        <w:numPr>
          <w:ilvl w:val="0"/>
          <w:numId w:val="1008"/>
        </w:numPr>
      </w:pPr>
      <w:r>
        <w:t xml:space="preserve">Minister of Economic Affairs invokes Goods Availability Act | News item | Government.nl</w:t>
      </w:r>
    </w:p>
    <w:p>
      <w:pPr>
        <w:pStyle w:val="Compact"/>
        <w:numPr>
          <w:ilvl w:val="0"/>
          <w:numId w:val="1008"/>
        </w:numPr>
      </w:pPr>
      <w:r>
        <w:t xml:space="preserve">ECLI:NL:GHAMS:2025:2752, Gerechtshof Amsterdam, 200.359.769/01 OK 2</w:t>
      </w:r>
    </w:p>
    <w:p>
      <w:pPr>
        <w:pStyle w:val="Compact"/>
        <w:numPr>
          <w:ilvl w:val="0"/>
          <w:numId w:val="1008"/>
        </w:numPr>
      </w:pPr>
      <w:r>
        <w:t xml:space="preserve">Automotive alarm:</w:t>
      </w:r>
      <w:r>
        <w:t xml:space="preserve"> </w:t>
      </w:r>
      <w:r>
        <w:t xml:space="preserve">“Without Nexperia chips imminent stop in production.”</w:t>
      </w:r>
      <w:r>
        <w:t xml:space="preserve"> </w:t>
      </w:r>
      <w:r>
        <w:t xml:space="preserve">EU mediates betwe…</w:t>
      </w:r>
    </w:p>
    <w:p>
      <w:pPr>
        <w:pStyle w:val="Compact"/>
        <w:numPr>
          <w:ilvl w:val="0"/>
          <w:numId w:val="1008"/>
        </w:numPr>
      </w:pPr>
      <w:r>
        <w:t xml:space="preserve">Honda to halt production at plants in Japan and China due to chip shortage - The Japan Times</w:t>
      </w:r>
    </w:p>
    <w:p>
      <w:pPr>
        <w:pStyle w:val="Compact"/>
        <w:numPr>
          <w:ilvl w:val="0"/>
          <w:numId w:val="1008"/>
        </w:numPr>
      </w:pPr>
      <w:r>
        <w:t xml:space="preserve">The chip landscape. Geographical distribution of wafer fabrication capacity</w:t>
      </w:r>
    </w:p>
    <w:p>
      <w:pPr>
        <w:pStyle w:val="Compact"/>
        <w:numPr>
          <w:ilvl w:val="0"/>
          <w:numId w:val="1008"/>
        </w:numPr>
      </w:pPr>
      <w:r>
        <w:t xml:space="preserve">The chip landscape. Geographical distribution of wafer fabrication capacity; Semiconductors and Modern</w:t>
      </w:r>
      <w:r>
        <w:t xml:space="preserve"> </w:t>
      </w:r>
      <w:r>
        <w:t xml:space="preserve">Industrial Policy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property protection and trade secrets. This cumulativeness of the knowledge base gives</w:t>
      </w:r>
      <w:r>
        <w:t xml:space="preserve"> </w:t>
      </w:r>
      <w:r>
        <w:t xml:space="preserve">incumbent firms a significant head start.</w:t>
      </w:r>
      <w:r>
        <w:br/>
      </w:r>
      <w:r>
        <w:t xml:space="preserve">Second, manufacturing is characterised by very high upfront CAPEX costs, which can go up</w:t>
      </w:r>
      <w:r>
        <w:t xml:space="preserve"> </w:t>
      </w:r>
      <w:r>
        <w:t xml:space="preserve">to USD 20 to 30 billion for a leading-edge fab. This makes it very difficult for new companies</w:t>
      </w:r>
      <w:r>
        <w:t xml:space="preserve"> </w:t>
      </w:r>
      <w:r>
        <w:t xml:space="preserve">to enter the market and is a powerful force for market consolidation. High fixed costs require</w:t>
      </w:r>
      <w:r>
        <w:t xml:space="preserve"> </w:t>
      </w:r>
      <w:r>
        <w:t xml:space="preserve">consistently high utilisation rates in order to ensure economically viable production, creating</w:t>
      </w:r>
      <w:r>
        <w:t xml:space="preserve"> </w:t>
      </w:r>
      <w:r>
        <w:t xml:space="preserve">strong economies of scale which further contribute to market concentration. In addition,</w:t>
      </w:r>
      <w:r>
        <w:t xml:space="preserve"> </w:t>
      </w:r>
      <w:r>
        <w:t xml:space="preserve">customer relationships in the sector are highly entrenched, making it difficult to enter new</w:t>
      </w:r>
      <w:r>
        <w:t xml:space="preserve"> </w:t>
      </w:r>
      <w:r>
        <w:t xml:space="preserve">market segments or attract customers as illustrated by the challenges faced by Intel in entering</w:t>
      </w:r>
      <w:r>
        <w:t xml:space="preserve"> </w:t>
      </w:r>
      <w:r>
        <w:t xml:space="preserve">the foundry market (42).</w:t>
      </w:r>
      <w:r>
        <w:br/>
      </w:r>
      <w:r>
        <w:t xml:space="preserve">Finally, semiconductor firms crucially depend on a dense local ecosystem of specialised</w:t>
      </w:r>
      <w:r>
        <w:t xml:space="preserve"> </w:t>
      </w:r>
      <w:r>
        <w:t xml:space="preserve">suppliers and service firms. Key manufacturers are surrounded by a web of specialised</w:t>
      </w:r>
      <w:r>
        <w:t xml:space="preserve"> </w:t>
      </w:r>
      <w:r>
        <w:t xml:space="preserve">suppliers, chemical providers, equipment servicers, and a deep pool of trained engineers.</w:t>
      </w:r>
      <w:r>
        <w:br/>
      </w:r>
      <w:r>
        <w:t xml:space="preserve">2.1.1.2 Semiconductor dependencies in the EU</w:t>
      </w:r>
      <w:r>
        <w:t xml:space="preserve"> </w:t>
      </w:r>
      <w:r>
        <w:t xml:space="preserve">In 2024, total chip consumption in the EU reached EUR 55 billion, of which EUR 43.6 billion</w:t>
      </w:r>
      <w:r>
        <w:t xml:space="preserve"> </w:t>
      </w:r>
      <w:r>
        <w:t xml:space="preserve">was imported from third countries (43). EU-based production therefore accounts for only</w:t>
      </w:r>
      <w:r>
        <w:t xml:space="preserve"> </w:t>
      </w:r>
      <w:r>
        <w:t xml:space="preserve">22% of the Union’s overall chip consumption (44). Out of EUR 43.6 billion in</w:t>
      </w:r>
      <w:r>
        <w:t xml:space="preserve"> </w:t>
      </w:r>
      <w:r>
        <w:t xml:space="preserve">semiconductor imports in 2024, 35% originated from China and Taiwan as seen in Figure 3.</w:t>
      </w:r>
      <w:r>
        <w:t xml:space="preserve"> </w:t>
      </w:r>
      <w:r>
        <w:t xml:space="preserve">It is important to note that these figures largely reflect the final stages of the value chain and</w:t>
      </w:r>
      <w:r>
        <w:t xml:space="preserve"> </w:t>
      </w:r>
      <w:r>
        <w:t xml:space="preserve">may underestimate upstream stages (including some in the EU), given that many dies are only</w:t>
      </w:r>
      <w:r>
        <w:t xml:space="preserve"> </w:t>
      </w:r>
      <w:r>
        <w:t xml:space="preserve">packaged in these countries at the final stage of chip production. Moreover, the data does not</w:t>
      </w:r>
      <w:r>
        <w:t xml:space="preserve"> </w:t>
      </w:r>
      <w:r>
        <w:t xml:space="preserve">capture chips imported as part of finished systems.</w:t>
      </w:r>
    </w:p>
    <w:p>
      <w:pPr>
        <w:pStyle w:val="Compact"/>
        <w:numPr>
          <w:ilvl w:val="0"/>
          <w:numId w:val="1009"/>
        </w:numPr>
      </w:pPr>
      <w:r>
        <w:t xml:space="preserve">See Evaluation of the Chips Act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Decision Etudes &amp; Conseil and YOLE Group, Competitiveness of the EU semiconductor manufacturing</w:t>
      </w:r>
      <w:r>
        <w:t xml:space="preserve"> </w:t>
      </w:r>
      <w:r>
        <w:t xml:space="preserve">industry, Nov.2025.</w:t>
      </w:r>
    </w:p>
    <w:p>
      <w:pPr>
        <w:pStyle w:val="Compact"/>
        <w:numPr>
          <w:ilvl w:val="0"/>
          <w:numId w:val="1009"/>
        </w:numPr>
      </w:pPr>
      <w:r>
        <w:t xml:space="preserve">Excluding chips imported as part of broader systems; Decision Etudes &amp; Conseil and YOLE Group,</w:t>
      </w:r>
      <w:r>
        <w:t xml:space="preserve"> </w:t>
      </w:r>
      <w:r>
        <w:t xml:space="preserve">Addressing dependencies under Chips Act 2.0, Nov.2025.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Figure 3 - EU chips consumption by origin of supply, 2024 (EUR Billion) (Source:</w:t>
      </w:r>
      <w:r>
        <w:t xml:space="preserve"> </w:t>
      </w:r>
      <w:r>
        <w:t xml:space="preserve">Yole/Decision)45</w:t>
      </w:r>
      <w:r>
        <w:br/>
      </w:r>
      <w:r>
        <w:t xml:space="preserve">For the purposes of this Impact Assessment, four key areas of overdependence will be</w:t>
      </w:r>
      <w:r>
        <w:t xml:space="preserve"> </w:t>
      </w:r>
      <w:r>
        <w:t xml:space="preserve">analysed: first, in the design and manufacturing of leading-edge chips, which are critical to a</w:t>
      </w:r>
      <w:r>
        <w:t xml:space="preserve"> </w:t>
      </w:r>
      <w:r>
        <w:t xml:space="preserve">competitive and resilient AI value chain in the EU; second, in mature-technology chips,</w:t>
      </w:r>
      <w:r>
        <w:t xml:space="preserve"> </w:t>
      </w:r>
      <w:r>
        <w:t xml:space="preserve">which remain essential to industries such as automotive and industrial automation; third, in</w:t>
      </w:r>
      <w:r>
        <w:t xml:space="preserve"> </w:t>
      </w:r>
      <w:r>
        <w:t xml:space="preserve">memory chips; and finally, across upstream stages of the semiconductor value chain from a</w:t>
      </w:r>
      <w:r>
        <w:t xml:space="preserve"> </w:t>
      </w:r>
      <w:r>
        <w:t xml:space="preserve">broader perspective.</w:t>
      </w:r>
    </w:p>
    <w:p>
      <w:pPr>
        <w:pStyle w:val="BodyText"/>
      </w:pPr>
      <w:r>
        <w:t xml:space="preserve">45 Decision Etudes &amp; Conseil and YOLE Group, Competitiveness of the EU semiconductor manufacturing</w:t>
      </w:r>
      <w:r>
        <w:t xml:space="preserve"> </w:t>
      </w:r>
      <w:r>
        <w:t xml:space="preserve">industry, Nov.2025.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Figure 4 - Concentration of imports and potential substitution with EU production, by</w:t>
      </w:r>
      <w:r>
        <w:t xml:space="preserve"> </w:t>
      </w:r>
      <w:r>
        <w:t xml:space="preserve">product, 2023 (size of bubble denotes import volumes) (JRC, 2025).</w:t>
      </w:r>
      <w:r>
        <w:br/>
      </w:r>
      <w:r>
        <w:t xml:space="preserve">As seen in Figure 4, which provides a general overview of Europe’s exposure along the</w:t>
      </w:r>
      <w:r>
        <w:t xml:space="preserve"> </w:t>
      </w:r>
      <w:r>
        <w:t xml:space="preserve">semiconductor value chain, certain strategic inputs for the industry are acute EU supply</w:t>
      </w:r>
      <w:r>
        <w:t xml:space="preserve"> </w:t>
      </w:r>
      <w:r>
        <w:t xml:space="preserve">vulnerabilities. Products such as unprocessed gallium and germanium have minimal EU</w:t>
      </w:r>
      <w:r>
        <w:t xml:space="preserve"> </w:t>
      </w:r>
      <w:r>
        <w:t xml:space="preserve">domestic production and depend heavily on imports from China, creating concentrated single-</w:t>
      </w:r>
      <w:r>
        <w:t xml:space="preserve"> </w:t>
      </w:r>
      <w:r>
        <w:t xml:space="preserve">source exposure even where total import values are modest. Similar dependency risks appear</w:t>
      </w:r>
      <w:r>
        <w:t xml:space="preserve"> </w:t>
      </w:r>
      <w:r>
        <w:t xml:space="preserve">in several semiconductor categories: DRAM memories and specific processor/controller</w:t>
      </w:r>
      <w:r>
        <w:t xml:space="preserve"> </w:t>
      </w:r>
      <w:r>
        <w:t xml:space="preserve">subsegments show limited scope for domestic substitution, while large import volumes are</w:t>
      </w:r>
      <w:r>
        <w:t xml:space="preserve"> </w:t>
      </w:r>
      <w:r>
        <w:t xml:space="preserve">sourced primarily from Asian suppliers, notably Taiwan. This combination of high import</w:t>
      </w:r>
      <w:r>
        <w:t xml:space="preserve"> </w:t>
      </w:r>
      <w:r>
        <w:t xml:space="preserve">concentration and low substitutability heightens the EU’s vulnerability to geopolitical shocks,</w:t>
      </w:r>
      <w:r>
        <w:t xml:space="preserve"> </w:t>
      </w:r>
      <w:r>
        <w:t xml:space="preserve">export controls, and supply chain disruptions. These dependencies are further analysed in</w:t>
      </w:r>
      <w:r>
        <w:t xml:space="preserve"> </w:t>
      </w:r>
      <w:r>
        <w:t xml:space="preserve">this sub-section, subsequent problem drivers and in Annex 4.</w:t>
      </w:r>
      <w:r>
        <w:br/>
      </w:r>
      <w:r>
        <w:t xml:space="preserve">2.1.1.3 Leading-edge chips</w:t>
      </w:r>
      <w:r>
        <w:t xml:space="preserve"> </w:t>
      </w:r>
      <w:r>
        <w:t xml:space="preserve">The Union’s overdependence is most striking when it comes to leading-edge and advanced</w:t>
      </w:r>
      <w:r>
        <w:t xml:space="preserve"> </w:t>
      </w:r>
      <w:r>
        <w:t xml:space="preserve">chips used for AI, high-performance computing, defence, or telecom applications (46). As of</w:t>
      </w:r>
      <w:r>
        <w:t xml:space="preserve"> </w:t>
      </w:r>
      <w:r>
        <w:t xml:space="preserve">today, the EU has no foundry capacity for leading-edge semiconductor manufacturing</w:t>
      </w:r>
      <w:r>
        <w:t xml:space="preserve"> </w:t>
      </w:r>
      <w:r>
        <w:t xml:space="preserve">and is fully dependent on chip designs originating in the US and on fabrication capacities</w:t>
      </w:r>
      <w:r>
        <w:t xml:space="preserve"> </w:t>
      </w:r>
      <w:r>
        <w:t xml:space="preserve">located in Taiwan and South Korea (47). In Leixlip, Ireland, one can find leading-edge</w:t>
      </w:r>
    </w:p>
    <w:p>
      <w:pPr>
        <w:pStyle w:val="Compact"/>
        <w:numPr>
          <w:ilvl w:val="0"/>
          <w:numId w:val="1010"/>
        </w:numPr>
      </w:pPr>
      <w:r>
        <w:t xml:space="preserve">Leading-edge and advanced chips are produced at very small node sizes (currently at 7nm to 3nm, with 2nm</w:t>
      </w:r>
      <w:r>
        <w:t xml:space="preserve"> </w:t>
      </w:r>
      <w:r>
        <w:t xml:space="preserve">being ramped up).</w:t>
      </w:r>
    </w:p>
    <w:p>
      <w:pPr>
        <w:pStyle w:val="Compact"/>
        <w:numPr>
          <w:ilvl w:val="0"/>
          <w:numId w:val="1010"/>
        </w:numPr>
      </w:pPr>
      <w:r>
        <w:t xml:space="preserve">IDC, Semiconductors market data by feature size, sector and region, CNECT/2022/MVP/0084 – Second</w:t>
      </w:r>
      <w:r>
        <w:t xml:space="preserve"> </w:t>
      </w:r>
      <w:r>
        <w:t xml:space="preserve">Interim Report.</w:t>
      </w:r>
    </w:p>
    <w:p>
      <w:pPr>
        <w:pStyle w:val="FirstParagraph"/>
      </w:pPr>
      <w:r>
        <w:t xml:space="preserve">21</w:t>
      </w:r>
    </w:p>
    <w:p>
      <w:pPr>
        <w:pStyle w:val="BodyText"/>
      </w:pPr>
      <w:r>
        <w:t xml:space="preserve">capacity (Intel 3 i.e. 3nm, one generation behind the current state-of-the-art) estimated at</w:t>
      </w:r>
      <w:r>
        <w:t xml:space="preserve"> </w:t>
      </w:r>
      <w:r>
        <w:t xml:space="preserve">around 35,000 300mm wspm (wafer starts per month) that is used for Intel’s own internal</w:t>
      </w:r>
      <w:r>
        <w:t xml:space="preserve"> </w:t>
      </w:r>
      <w:r>
        <w:t xml:space="preserve">manufacturing, as part of its Integrated Device Manufacturer (IDM) model. (48)</w:t>
      </w:r>
      <w:r>
        <w:br/>
      </w:r>
      <w:r>
        <w:t xml:space="preserve">Furthermore, capacities for the design of leading-edge chips leading to mass manufacturing</w:t>
      </w:r>
      <w:r>
        <w:t xml:space="preserve"> </w:t>
      </w:r>
      <w:r>
        <w:t xml:space="preserve">are virtually non-existent in the EU (49). Design is an important part of the problem, since</w:t>
      </w:r>
      <w:r>
        <w:t xml:space="preserve"> </w:t>
      </w:r>
      <w:r>
        <w:t xml:space="preserve">production facilities need demand for the economic viability of manufacturing leading-edge</w:t>
      </w:r>
      <w:r>
        <w:t xml:space="preserve"> </w:t>
      </w:r>
      <w:r>
        <w:t xml:space="preserve">chips. Europe faces a chicken-and-egg problem, as one weakness contributes to another</w:t>
      </w:r>
      <w:r>
        <w:t xml:space="preserve"> </w:t>
      </w:r>
      <w:r>
        <w:t xml:space="preserve">vulnerability. Despite over EUR 80 billion in announced investments stemming from the</w:t>
      </w:r>
      <w:r>
        <w:t xml:space="preserve"> </w:t>
      </w:r>
      <w:r>
        <w:t xml:space="preserve">Chips Act, the EU still lacks a full-fledged open foundry with capacities to produce chips</w:t>
      </w:r>
      <w:r>
        <w:t xml:space="preserve"> </w:t>
      </w:r>
      <w:r>
        <w:t xml:space="preserve">below 10nm (50).</w:t>
      </w:r>
      <w:r>
        <w:br/>
      </w:r>
      <w:r>
        <w:t xml:space="preserve">In the absence of AI chips designed and manufactured in the Union, Europe’s dependence on</w:t>
      </w:r>
      <w:r>
        <w:t xml:space="preserve"> </w:t>
      </w:r>
      <w:r>
        <w:t xml:space="preserve">this rapidly expanding market segment is increasing at an alarming pace. As cutting-edge</w:t>
      </w:r>
      <w:r>
        <w:t xml:space="preserve"> </w:t>
      </w:r>
      <w:r>
        <w:t xml:space="preserve">chips underpin virtually all future strategic growth markets, ranging from defence and</w:t>
      </w:r>
      <w:r>
        <w:t xml:space="preserve"> </w:t>
      </w:r>
      <w:r>
        <w:t xml:space="preserve">security to drones, humanoids and service robotics, autonomous vehicles, and 5G/6G</w:t>
      </w:r>
      <w:r>
        <w:t xml:space="preserve"> </w:t>
      </w:r>
      <w:r>
        <w:t xml:space="preserve">networks, there is a significant risk that Europe will be excluded from the future growth</w:t>
      </w:r>
      <w:r>
        <w:t xml:space="preserve"> </w:t>
      </w:r>
      <w:r>
        <w:t xml:space="preserve">markets that will define economic competitiveness and technological sovereignty (51).</w:t>
      </w:r>
      <w:r>
        <w:t xml:space="preserve"> </w:t>
      </w:r>
      <w:r>
        <w:t xml:space="preserve">2.1.1.4 Mature node chips</w:t>
      </w:r>
      <w:r>
        <w:t xml:space="preserve"> </w:t>
      </w:r>
      <w:r>
        <w:t xml:space="preserve">Mature node chips are chips fabricated with older generation, well-established manufacturing</w:t>
      </w:r>
      <w:r>
        <w:t xml:space="preserve"> </w:t>
      </w:r>
      <w:r>
        <w:t xml:space="preserve">processes, larger in node size. Their reliability and cost-effectiveness make them widely used</w:t>
      </w:r>
      <w:r>
        <w:t xml:space="preserve"> </w:t>
      </w:r>
      <w:r>
        <w:t xml:space="preserve">in various applications where cutting-edge performance is not necessary.</w:t>
      </w:r>
      <w:r>
        <w:br/>
      </w:r>
      <w:r>
        <w:t xml:space="preserve">European semiconductor companies have long-standing strengths in microcontrollers (MCU),</w:t>
      </w:r>
      <w:r>
        <w:t xml:space="preserve"> </w:t>
      </w:r>
      <w:r>
        <w:t xml:space="preserve">analogue, sensors and power devices. In these segments, EU consumption is high, and front-</w:t>
      </w:r>
      <w:r>
        <w:t xml:space="preserve"> </w:t>
      </w:r>
      <w:r>
        <w:t xml:space="preserve">end capacity is well aligned with the needs of EU industries: MCUs and analogue chips which</w:t>
      </w:r>
      <w:r>
        <w:t xml:space="preserve"> </w:t>
      </w:r>
      <w:r>
        <w:t xml:space="preserve">benefit from a robust 40–90 nm production in the EU; Micro-Electro-Mechanical Systems</w:t>
      </w:r>
      <w:r>
        <w:t xml:space="preserve"> </w:t>
      </w:r>
      <w:r>
        <w:t xml:space="preserve">(MEMS) that build on established EU competencies; and power electronics, where the EU</w:t>
      </w:r>
      <w:r>
        <w:t xml:space="preserve"> </w:t>
      </w:r>
      <w:r>
        <w:t xml:space="preserve">benefits from a strong base of device manufacturers, particularly in the rapidly growing</w:t>
      </w:r>
      <w:r>
        <w:t xml:space="preserve"> </w:t>
      </w:r>
      <w:r>
        <w:t xml:space="preserve">Silicon Carbide (SiC) segment.</w:t>
      </w:r>
      <w:r>
        <w:t xml:space="preserve"> </w:t>
      </w:r>
      <w:r>
        <w:t xml:space="preserve">However, as node sizes go smaller than 40nm, supply chain vulnerabilities start to emerge.</w:t>
      </w:r>
      <w:r>
        <w:t xml:space="preserve"> </w:t>
      </w:r>
      <w:r>
        <w:t xml:space="preserve">Investments stemming from the Chips Act, particularly the ESMC project in Dresden,</w:t>
      </w:r>
    </w:p>
    <w:p>
      <w:pPr>
        <w:pStyle w:val="BodyText"/>
      </w:pPr>
      <w:r>
        <w:t xml:space="preserve">In 2023, foundry manufacturing capacity at technology nodes of 7 nm and below was highly concentrated, with</w:t>
      </w:r>
      <w:r>
        <w:t xml:space="preserve"> </w:t>
      </w:r>
      <w:r>
        <w:t xml:space="preserve">Taiwan accounting for 77% and South Korea for the remaining 23%. Intel’s manufacturing capacity in Leixlip,</w:t>
      </w:r>
      <w:r>
        <w:t xml:space="preserve"> </w:t>
      </w:r>
      <w:r>
        <w:t xml:space="preserve">Ireland is intended for internal use as discussed above. In 2024, 96% of AI chips sold in the EU were from US</w:t>
      </w:r>
      <w:r>
        <w:t xml:space="preserve"> </w:t>
      </w:r>
      <w:r>
        <w:t xml:space="preserve">vendors (source: Decision Etudes &amp; Conseil and YOLE Group, Competitiveness of the EU semiconductor</w:t>
      </w:r>
      <w:r>
        <w:t xml:space="preserve"> </w:t>
      </w:r>
      <w:r>
        <w:t xml:space="preserve">manufacturing industry, Nov.2025.).</w:t>
      </w:r>
      <w:r>
        <w:t xml:space="preserve"> </w:t>
      </w:r>
      <w:r>
        <w:t xml:space="preserve">(48) IDC, Semiconductors market data by feature size, sector and region, CNECT/2022/MVP/0084 – Second</w:t>
      </w:r>
      <w:r>
        <w:t xml:space="preserve"> </w:t>
      </w:r>
      <w:r>
        <w:t xml:space="preserve">Interim Report; The Intel Leixlip fab also has foundry capacity at 16nm.</w:t>
      </w:r>
      <w:r>
        <w:br/>
      </w:r>
      <w:r>
        <w:t xml:space="preserve">(49) IDC, Semiconductors market data by feature size, sector and region, CNECT/2022/MVP/0084 – Second</w:t>
      </w:r>
      <w:r>
        <w:t xml:space="preserve"> </w:t>
      </w:r>
      <w:r>
        <w:t xml:space="preserve">Interim Report.</w:t>
      </w:r>
      <w:r>
        <w:t xml:space="preserve"> </w:t>
      </w:r>
      <w:r>
        <w:t xml:space="preserve">(50) Intel exit in Magdeburg:</w:t>
      </w:r>
      <w:r>
        <w:t xml:space="preserve"> </w:t>
      </w:r>
      <w:r>
        <w:t xml:space="preserve">“This is not a good day for Europe”</w:t>
      </w:r>
      <w:r>
        <w:t xml:space="preserve"> </w:t>
      </w:r>
      <w:r>
        <w:t xml:space="preserve">| heise online</w:t>
      </w:r>
      <w:r>
        <w:t xml:space="preserve"> </w:t>
      </w:r>
      <w:r>
        <w:t xml:space="preserve">(51) McKinsey technology trends outlook 2025 | McKinsey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Germany, should improve the situation, with upcoming capacity in 28/22nm technology and</w:t>
      </w:r>
      <w:r>
        <w:t xml:space="preserve"> </w:t>
      </w:r>
      <w:r>
        <w:t xml:space="preserve">eventually 16/12nm.52</w:t>
      </w:r>
      <w:r>
        <w:br/>
      </w:r>
      <w:r>
        <w:t xml:space="preserve">The European industry in the mature node segment is also threatened from the ramping up of</w:t>
      </w:r>
      <w:r>
        <w:t xml:space="preserve"> </w:t>
      </w:r>
      <w:r>
        <w:t xml:space="preserve">capacity in Asia, leading to possible overcapacity risks in certain sectors. For instance,</w:t>
      </w:r>
      <w:r>
        <w:t xml:space="preserve"> </w:t>
      </w:r>
      <w:r>
        <w:t xml:space="preserve">China’s massive capital expenditure has outpaced all other regions, rising from 6.8% of</w:t>
      </w:r>
      <w:r>
        <w:t xml:space="preserve"> </w:t>
      </w:r>
      <w:r>
        <w:t xml:space="preserve">global CAPEX in 2012 to 42.3% in 2024, 36.5% in 2025 and 31.5% in 2026 (until April ’26).</w:t>
      </w:r>
    </w:p>
    <w:p>
      <w:pPr>
        <w:pStyle w:val="BodyText"/>
      </w:pPr>
      <w:r>
        <w:t xml:space="preserve">Figure 5 - Worldwide CapEx spend by region (Source: Future Horizons 2026)53</w:t>
      </w:r>
      <w:r>
        <w:t xml:space="preserve"> </w:t>
      </w:r>
      <w:r>
        <w:t xml:space="preserve">A key vulnerability can also be found in back-end processes where the EU semiconductor</w:t>
      </w:r>
      <w:r>
        <w:t xml:space="preserve"> </w:t>
      </w:r>
      <w:r>
        <w:t xml:space="preserve">industry relies on imports from key back-end manufacturing hubs such as China, Taiwan and</w:t>
      </w:r>
      <w:r>
        <w:t xml:space="preserve"> </w:t>
      </w:r>
      <w:r>
        <w:t xml:space="preserve">Southeast Asian countries (54). In fact, packaging and testing of mature node semiconductors</w:t>
      </w:r>
      <w:r>
        <w:t xml:space="preserve"> </w:t>
      </w:r>
      <w:r>
        <w:t xml:space="preserve">are largely performed in Asia (55). When it comes to power SiC devices, module packaging</w:t>
      </w:r>
      <w:r>
        <w:t xml:space="preserve"> </w:t>
      </w:r>
      <w:r>
        <w:t xml:space="preserve">and assembly for power devices are often done outside the EU with additional exposure to</w:t>
      </w:r>
      <w:r>
        <w:t xml:space="preserve"> </w:t>
      </w:r>
      <w:r>
        <w:t xml:space="preserve">non-EU sourced substrates and epitaxy. With regards to MEMS the packaging/test step is also</w:t>
      </w:r>
      <w:r>
        <w:t xml:space="preserve"> </w:t>
      </w:r>
      <w:r>
        <w:t xml:space="preserve">frequently done in third countries. This reality creates significant operational risks in crisis</w:t>
      </w:r>
      <w:r>
        <w:t xml:space="preserve"> </w:t>
      </w:r>
      <w:r>
        <w:t xml:space="preserve">situations and may weaken supply assurance for European OEMs, even when front-end</w:t>
      </w:r>
      <w:r>
        <w:t xml:space="preserve"> </w:t>
      </w:r>
      <w:r>
        <w:t xml:space="preserve">manufacturing is located in the EU, as exemplified by the Nexperia case presented above.</w:t>
      </w:r>
    </w:p>
    <w:p>
      <w:pPr>
        <w:pStyle w:val="Compact"/>
        <w:numPr>
          <w:ilvl w:val="0"/>
          <w:numId w:val="1011"/>
        </w:numPr>
      </w:pPr>
      <w:r>
        <w:t xml:space="preserve">Commission approves €5 billion German State aid measure to support ESMC in setting up a new</w:t>
      </w:r>
      <w:r>
        <w:t xml:space="preserve"> </w:t>
      </w:r>
      <w:r>
        <w:t xml:space="preserve">semiconductor manufacturing facility | Shaping Europe’s digital future</w:t>
      </w:r>
    </w:p>
    <w:p>
      <w:pPr>
        <w:pStyle w:val="Compact"/>
        <w:numPr>
          <w:ilvl w:val="0"/>
          <w:numId w:val="1011"/>
        </w:numPr>
      </w:pPr>
      <w:r>
        <w:t xml:space="preserve">Future Horizons, The Global Semiconductor Monthly Report, April 2026.</w:t>
      </w:r>
    </w:p>
    <w:p>
      <w:pPr>
        <w:pStyle w:val="Compact"/>
        <w:numPr>
          <w:ilvl w:val="0"/>
          <w:numId w:val="1011"/>
        </w:numPr>
      </w:pPr>
      <w:r>
        <w:t xml:space="preserve">China and Taiwan account for 58.2% of OSAT facilities and South East Asian countries for a further 12.5%</w:t>
      </w:r>
      <w:r>
        <w:t xml:space="preserve"> </w:t>
      </w:r>
      <w:r>
        <w:t xml:space="preserve">Source SEMI/TechSearch International Worldwide Assembly &amp; Test Facility Database 2025</w:t>
      </w:r>
    </w:p>
    <w:p>
      <w:pPr>
        <w:pStyle w:val="Compact"/>
        <w:numPr>
          <w:ilvl w:val="0"/>
          <w:numId w:val="1011"/>
        </w:numPr>
      </w:pPr>
      <w:r>
        <w:t xml:space="preserve">None of the Top 20 Outsourced Semiconductor Assembly and Test (OSAT) companies in terms of revenue</w:t>
      </w:r>
      <w:r>
        <w:t xml:space="preserve"> </w:t>
      </w:r>
      <w:r>
        <w:t xml:space="preserve">are headquartered in the EU. Source: SEMI/TechSearch International Worldwide Assembly &amp; Test Facility</w:t>
      </w:r>
      <w:r>
        <w:t xml:space="preserve"> </w:t>
      </w:r>
      <w:r>
        <w:t xml:space="preserve">Database 2025.</w:t>
      </w:r>
    </w:p>
    <w:p>
      <w:pPr>
        <w:pStyle w:val="FirstParagraph"/>
      </w:pPr>
      <w:r>
        <w:t xml:space="preserve">23</w:t>
      </w:r>
    </w:p>
    <w:p>
      <w:pPr>
        <w:pStyle w:val="BodyText"/>
      </w:pPr>
      <w:r>
        <w:t xml:space="preserve">2.1.1.5 Memory chips</w:t>
      </w:r>
    </w:p>
    <w:p>
      <w:pPr>
        <w:pStyle w:val="BodyText"/>
      </w:pPr>
      <w:r>
        <w:t xml:space="preserve">Figure 6- Memory manufacturing capacity by region in 2023 (Source: IDC)56</w:t>
      </w:r>
      <w:r>
        <w:t xml:space="preserve"> </w:t>
      </w:r>
      <w:r>
        <w:t xml:space="preserve">Europe has no significant manufacturing capacity in memory technologies, as shown in</w:t>
      </w:r>
      <w:r>
        <w:t xml:space="preserve"> </w:t>
      </w:r>
      <w:r>
        <w:t xml:space="preserve">Figure 6. This is a key vulnerability in light of the criticality of memory chips, particularly</w:t>
      </w:r>
      <w:r>
        <w:t xml:space="preserve"> </w:t>
      </w:r>
      <w:r>
        <w:t xml:space="preserve">DRAM and HBM for AI applications.</w:t>
      </w:r>
      <w:r>
        <w:br/>
      </w:r>
      <w:r>
        <w:t xml:space="preserve">As shown in Figure 7, the memory market for both DRAM and HBM is dominated by three</w:t>
      </w:r>
      <w:r>
        <w:t xml:space="preserve"> </w:t>
      </w:r>
      <w:r>
        <w:t xml:space="preserve">key manufacturers: SK Hynix (South Korea), Samsung (South Korea), and Micron (United</w:t>
      </w:r>
      <w:r>
        <w:t xml:space="preserve"> </w:t>
      </w:r>
      <w:r>
        <w:t xml:space="preserve">States). In the DRAM market, ChangXin Memory Technologies (CXMT) (China) is</w:t>
      </w:r>
      <w:r>
        <w:t xml:space="preserve"> </w:t>
      </w:r>
      <w:r>
        <w:t xml:space="preserve">emerging as a significant player, whereas the EU has no player in this market.</w:t>
      </w:r>
      <w:r>
        <w:t xml:space="preserve"> </w:t>
      </w:r>
      <w:r>
        <w:t xml:space="preserve">In fact, South Korea, China and Japan hold 83.1% of all manufacturing capacity, with South</w:t>
      </w:r>
      <w:r>
        <w:t xml:space="preserve"> </w:t>
      </w:r>
      <w:r>
        <w:t xml:space="preserve">Korea being the dominant player in this segment due to the presence of SK Hynix and</w:t>
      </w:r>
      <w:r>
        <w:t xml:space="preserve"> </w:t>
      </w:r>
      <w:r>
        <w:t xml:space="preserve">Samsung.</w:t>
      </w:r>
    </w:p>
    <w:p>
      <w:pPr>
        <w:pStyle w:val="BodyText"/>
      </w:pPr>
      <w:r>
        <w:t xml:space="preserve">56 IDC, Semiconductors market data by feature size, sector and region, CNECT/2022/MVP/0084 – Second</w:t>
      </w:r>
      <w:r>
        <w:t xml:space="preserve"> </w:t>
      </w:r>
      <w:r>
        <w:t xml:space="preserve">Interim Report. Risks here include economic downturns or market turbulations.</w:t>
      </w:r>
      <w:r>
        <w:t xml:space="preserve"> </w:t>
      </w:r>
      <w:r>
        <w:t xml:space="preserve">Republic of Korea;</w:t>
      </w:r>
      <w:r>
        <w:t xml:space="preserve"> </w:t>
      </w:r>
      <w:r>
        <w:t xml:space="preserve">41,90%</w:t>
      </w:r>
      <w:r>
        <w:t xml:space="preserve"> </w:t>
      </w:r>
      <w:r>
        <w:t xml:space="preserve">ROW; 3,80%</w:t>
      </w:r>
      <w:r>
        <w:t xml:space="preserve"> </w:t>
      </w:r>
      <w:r>
        <w:t xml:space="preserve">Taiwan; 10,30%</w:t>
      </w:r>
      <w:r>
        <w:t xml:space="preserve"> </w:t>
      </w:r>
      <w:r>
        <w:t xml:space="preserve">China; 20,80%</w:t>
      </w:r>
      <w:r>
        <w:t xml:space="preserve"> </w:t>
      </w:r>
      <w:r>
        <w:t xml:space="preserve">Japan; 20,40%</w:t>
      </w:r>
      <w:r>
        <w:t xml:space="preserve"> </w:t>
      </w:r>
      <w:r>
        <w:t xml:space="preserve">United States; 2,70%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Figure 7- Global DRAM (top) and HBM (bottom) market share Q3 2024 - Q3 2025</w:t>
      </w:r>
      <w:r>
        <w:t xml:space="preserve"> </w:t>
      </w:r>
      <w:r>
        <w:t xml:space="preserve">(Source: Counterpoint)(57)</w:t>
      </w:r>
      <w:r>
        <w:t xml:space="preserve"> </w:t>
      </w:r>
      <w:r>
        <w:t xml:space="preserve">As of 2025, the semiconductor supply chain is grappling with a severe memory-chip shortage,</w:t>
      </w:r>
      <w:r>
        <w:t xml:space="preserve"> </w:t>
      </w:r>
      <w:r>
        <w:t xml:space="preserve">with downstream impacts on device makers and consumers in terms of costs and security of</w:t>
      </w:r>
      <w:r>
        <w:t xml:space="preserve"> </w:t>
      </w:r>
      <w:r>
        <w:t xml:space="preserve">supply. In particular, DRAM costs have risen steeply as AI data-centre demand keeps</w:t>
      </w:r>
      <w:r>
        <w:t xml:space="preserve"> </w:t>
      </w:r>
      <w:r>
        <w:t xml:space="preserve">exceeding available supply, deepening the market imbalance.</w:t>
      </w:r>
      <w:r>
        <w:t xml:space="preserve"> </w:t>
      </w:r>
      <w:r>
        <w:t xml:space="preserve">DRAM</w:t>
      </w:r>
      <w:r>
        <w:t xml:space="preserve"> </w:t>
      </w:r>
      <w:r>
        <w:t xml:space="preserve">Discrete products</w:t>
      </w:r>
      <w:r>
        <w:t xml:space="preserve"> </w:t>
      </w:r>
      <w:r>
        <w:t xml:space="preserve">60</w:t>
      </w:r>
      <w:r>
        <w:t xml:space="preserve"> </w:t>
      </w:r>
      <w:r>
        <w:t xml:space="preserve">59</w:t>
      </w:r>
      <w:r>
        <w:t xml:space="preserve"> </w:t>
      </w:r>
      <w:r>
        <w:t xml:space="preserve">58</w:t>
      </w:r>
      <w:r>
        <w:t xml:space="preserve"> </w:t>
      </w:r>
      <w:r>
        <w:t xml:space="preserve">59</w:t>
      </w:r>
      <w:r>
        <w:t xml:space="preserve"> </w:t>
      </w:r>
      <w:r>
        <w:t xml:space="preserve">64</w:t>
      </w:r>
      <w:r>
        <w:t xml:space="preserve"> </w:t>
      </w:r>
      <w:r>
        <w:t xml:space="preserve">72</w:t>
      </w:r>
      <w:r>
        <w:t xml:space="preserve"> </w:t>
      </w:r>
      <w:r>
        <w:t xml:space="preserve">High-bandwidth</w:t>
      </w:r>
      <w:r>
        <w:t xml:space="preserve"> </w:t>
      </w:r>
      <w:r>
        <w:t xml:space="preserve">memory</w:t>
      </w:r>
      <w:r>
        <w:t xml:space="preserve"> </w:t>
      </w:r>
      <w:r>
        <w:t xml:space="preserve">58</w:t>
      </w:r>
      <w:r>
        <w:t xml:space="preserve"> </w:t>
      </w:r>
      <w:r>
        <w:t xml:space="preserve">57</w:t>
      </w:r>
      <w:r>
        <w:t xml:space="preserve"> </w:t>
      </w:r>
      <w:r>
        <w:t xml:space="preserve">56</w:t>
      </w:r>
      <w:r>
        <w:t xml:space="preserve"> </w:t>
      </w:r>
      <w:r>
        <w:t xml:space="preserve">57</w:t>
      </w:r>
      <w:r>
        <w:t xml:space="preserve"> </w:t>
      </w:r>
      <w:r>
        <w:t xml:space="preserve">60</w:t>
      </w:r>
      <w:r>
        <w:t xml:space="preserve"> </w:t>
      </w:r>
      <w:r>
        <w:t xml:space="preserve">66</w:t>
      </w:r>
      <w:r>
        <w:t xml:space="preserve"> </w:t>
      </w:r>
      <w:r>
        <w:t xml:space="preserve">NAND</w:t>
      </w:r>
      <w:r>
        <w:t xml:space="preserve"> </w:t>
      </w:r>
      <w:r>
        <w:t xml:space="preserve">Discrete products</w:t>
      </w:r>
      <w:r>
        <w:t xml:space="preserve"> </w:t>
      </w:r>
      <w:r>
        <w:t xml:space="preserve">85</w:t>
      </w:r>
      <w:r>
        <w:t xml:space="preserve"> </w:t>
      </w:r>
      <w:r>
        <w:t xml:space="preserve">80</w:t>
      </w:r>
      <w:r>
        <w:t xml:space="preserve"> </w:t>
      </w:r>
      <w:r>
        <w:t xml:space="preserve">78</w:t>
      </w:r>
      <w:r>
        <w:t xml:space="preserve"> </w:t>
      </w:r>
      <w:r>
        <w:t xml:space="preserve">80</w:t>
      </w:r>
      <w:r>
        <w:t xml:space="preserve"> </w:t>
      </w:r>
      <w:r>
        <w:t xml:space="preserve">82</w:t>
      </w:r>
      <w:r>
        <w:t xml:space="preserve"> </w:t>
      </w:r>
      <w:r>
        <w:t xml:space="preserve">84</w:t>
      </w:r>
      <w:r>
        <w:t xml:space="preserve"> </w:t>
      </w:r>
      <w:r>
        <w:t xml:space="preserve">Solid state drive</w:t>
      </w:r>
      <w:r>
        <w:t xml:space="preserve"> </w:t>
      </w:r>
      <w:r>
        <w:t xml:space="preserve">82</w:t>
      </w:r>
      <w:r>
        <w:t xml:space="preserve"> </w:t>
      </w:r>
      <w:r>
        <w:t xml:space="preserve">76</w:t>
      </w:r>
      <w:r>
        <w:t xml:space="preserve"> </w:t>
      </w:r>
      <w:r>
        <w:t xml:space="preserve">75</w:t>
      </w:r>
      <w:r>
        <w:t xml:space="preserve"> </w:t>
      </w:r>
      <w:r>
        <w:t xml:space="preserve">77</w:t>
      </w:r>
      <w:r>
        <w:t xml:space="preserve"> </w:t>
      </w:r>
      <w:r>
        <w:t xml:space="preserve">79</w:t>
      </w:r>
      <w:r>
        <w:t xml:space="preserve"> </w:t>
      </w:r>
      <w:r>
        <w:t xml:space="preserve">81</w:t>
      </w:r>
      <w:r>
        <w:t xml:space="preserve"> </w:t>
      </w:r>
      <w:r>
        <w:t xml:space="preserve">Table 1 - Share of memory demand met by current supply (%) (Source: IBS)58</w:t>
      </w:r>
      <w:r>
        <w:t xml:space="preserve"> </w:t>
      </w:r>
      <w:r>
        <w:t xml:space="preserve">Demand for high-bandwidth memory (HBM) is rising sharply alongside AI server</w:t>
      </w:r>
      <w:r>
        <w:t xml:space="preserve"> </w:t>
      </w:r>
      <w:r>
        <w:t xml:space="preserve">deployments, while supply growth is constrained by concentrated manufacturing capacity and</w:t>
      </w:r>
    </w:p>
    <w:p>
      <w:pPr>
        <w:pStyle w:val="Compact"/>
        <w:numPr>
          <w:ilvl w:val="0"/>
          <w:numId w:val="1012"/>
        </w:numPr>
      </w:pPr>
      <w:r>
        <w:t xml:space="preserve">Global DRAM and HBM Market Share: Quarterly</w:t>
      </w:r>
    </w:p>
    <w:p>
      <w:pPr>
        <w:pStyle w:val="Compact"/>
        <w:numPr>
          <w:ilvl w:val="0"/>
          <w:numId w:val="1012"/>
        </w:numPr>
      </w:pPr>
      <w:r>
        <w:t xml:space="preserve">IBS, Global Semiconductor Industry Service February 2026 - Analysis of Semiconductor Shortages.</w:t>
      </w:r>
    </w:p>
    <w:p>
      <w:pPr>
        <w:pStyle w:val="FirstParagraph"/>
      </w:pPr>
      <w:r>
        <w:t xml:space="preserve">25</w:t>
      </w:r>
    </w:p>
    <w:p>
      <w:pPr>
        <w:pStyle w:val="BodyText"/>
      </w:pPr>
      <w:r>
        <w:t xml:space="preserve">long build-and-qualification lead times (59). Manufacturers are prioritising higher-margin</w:t>
      </w:r>
      <w:r>
        <w:t xml:space="preserve"> </w:t>
      </w:r>
      <w:r>
        <w:t xml:space="preserve">HBM and server-grade DRAM output, tightening availability for more commoditised DRAM</w:t>
      </w:r>
      <w:r>
        <w:t xml:space="preserve"> </w:t>
      </w:r>
      <w:r>
        <w:t xml:space="preserve">and lifting pricing across adjacent segments (60). This is compounded by limited advanced</w:t>
      </w:r>
      <w:r>
        <w:t xml:space="preserve"> </w:t>
      </w:r>
      <w:r>
        <w:t xml:space="preserve">packaging and stacking capacity required for HBM, which implies that additional wafer starts</w:t>
      </w:r>
      <w:r>
        <w:t xml:space="preserve"> </w:t>
      </w:r>
      <w:r>
        <w:t xml:space="preserve">do not translate quickly into shippable volume.</w:t>
      </w:r>
      <w:r>
        <w:t xml:space="preserve"> </w:t>
      </w:r>
      <w:r>
        <w:t xml:space="preserve">Demand for NAND used in discrete products and solid-state drives in data centre applications</w:t>
      </w:r>
      <w:r>
        <w:t xml:space="preserve"> </w:t>
      </w:r>
      <w:r>
        <w:t xml:space="preserve">is also rising faster than available supply. Market analysts conclude that significantly</w:t>
      </w:r>
      <w:r>
        <w:t xml:space="preserve"> </w:t>
      </w:r>
      <w:r>
        <w:t xml:space="preserve">expanding NAND capacity is challenging, as most wafer fabrication facilities are already</w:t>
      </w:r>
      <w:r>
        <w:t xml:space="preserve"> </w:t>
      </w:r>
      <w:r>
        <w:t xml:space="preserve">operating near full utilisation (61).</w:t>
      </w:r>
      <w:r>
        <w:t xml:space="preserve"> </w:t>
      </w:r>
      <w:r>
        <w:t xml:space="preserve">As seen in Table 1, fab capacity for both DRAM and NAND, none of which is in Europe, is</w:t>
      </w:r>
      <w:r>
        <w:t xml:space="preserve"> </w:t>
      </w:r>
      <w:r>
        <w:t xml:space="preserve">well below demand. This is expected to persist until at least 2027 and may end up delaying</w:t>
      </w:r>
      <w:r>
        <w:t xml:space="preserve"> </w:t>
      </w:r>
      <w:r>
        <w:t xml:space="preserve">the deployment of AI infrastructure and data centres.</w:t>
      </w:r>
      <w:r>
        <w:br/>
      </w:r>
      <w:r>
        <w:t xml:space="preserve">2.1.1.6 Upstream value chain segments</w:t>
      </w:r>
      <w:r>
        <w:t xml:space="preserve"> </w:t>
      </w:r>
      <w:r>
        <w:t xml:space="preserve">As further elaborated on in Annex 4, the Union remains exposed to persistent risks of</w:t>
      </w:r>
      <w:r>
        <w:t xml:space="preserve"> </w:t>
      </w:r>
      <w:r>
        <w:t xml:space="preserve">semiconductor supply chain disruptions, while significant overdependencies are also evident</w:t>
      </w:r>
      <w:r>
        <w:t xml:space="preserve"> </w:t>
      </w:r>
      <w:r>
        <w:t xml:space="preserve">in other segments of the value chain. In fact, the semiconductor industry relies on a complex</w:t>
      </w:r>
      <w:r>
        <w:t xml:space="preserve"> </w:t>
      </w:r>
      <w:r>
        <w:t xml:space="preserve">network of suppliers providing inputs to each other across the value chain, from Electronic</w:t>
      </w:r>
      <w:r>
        <w:t xml:space="preserve"> </w:t>
      </w:r>
      <w:r>
        <w:t xml:space="preserve">Design Automation (EDA) software, to materials, to manufacturing equipment.</w:t>
      </w:r>
    </w:p>
    <w:p>
      <w:pPr>
        <w:pStyle w:val="BodyText"/>
      </w:pPr>
      <w:r>
        <w:t xml:space="preserve">Figure 8 - European dependencies along the semiconductor value chain (see Annex 4)</w:t>
      </w:r>
      <w:r>
        <w:t xml:space="preserve"> </w:t>
      </w:r>
      <w:r>
        <w:t xml:space="preserve">2.1.1.6.1 Electronic Design Automation</w:t>
      </w:r>
      <w:r>
        <w:br/>
      </w:r>
      <w:r>
        <w:t xml:space="preserve">EDA tools are essential for designing integrated circuits and the market is highly</w:t>
      </w:r>
      <w:r>
        <w:t xml:space="preserve"> </w:t>
      </w:r>
      <w:r>
        <w:t xml:space="preserve">concentrated: Synopsys (US), Cadence (US) and Siemens EDA (EU-headquartered)</w:t>
      </w:r>
    </w:p>
    <w:p>
      <w:pPr>
        <w:pStyle w:val="Compact"/>
        <w:numPr>
          <w:ilvl w:val="0"/>
          <w:numId w:val="1013"/>
        </w:numPr>
      </w:pPr>
      <w:r>
        <w:t xml:space="preserve">AI’s memory chip champion has a value problem | Reuters</w:t>
      </w:r>
    </w:p>
    <w:p>
      <w:pPr>
        <w:pStyle w:val="Compact"/>
        <w:numPr>
          <w:ilvl w:val="0"/>
          <w:numId w:val="1013"/>
        </w:numPr>
      </w:pPr>
      <w:r>
        <w:t xml:space="preserve">https://www.trendforce.com/presscenter/news/20251029-12758.html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IBS, Global Semiconductor Industry Service February 2026 - Analysis of Semiconductor Shortages.</w:t>
      </w:r>
    </w:p>
    <w:p>
      <w:pPr>
        <w:pStyle w:val="FirstParagraph"/>
      </w:pPr>
      <w:r>
        <w:t xml:space="preserve">26</w:t>
      </w:r>
    </w:p>
    <w:p>
      <w:pPr>
        <w:pStyle w:val="BodyText"/>
      </w:pPr>
      <w:r>
        <w:t xml:space="preserve">accounted for over 75% of global share in 2024, rising to around 80% after Synopsys’s 2025</w:t>
      </w:r>
      <w:r>
        <w:t xml:space="preserve"> </w:t>
      </w:r>
      <w:r>
        <w:t xml:space="preserve">acquisition of Ansys. EDA software is delivered as an interoperable suite spanning the full,</w:t>
      </w:r>
      <w:r>
        <w:t xml:space="preserve"> </w:t>
      </w:r>
      <w:r>
        <w:t xml:space="preserve">iterative design flow (front-end verification, synthesis, physical implementation, and sign-</w:t>
      </w:r>
      <w:r>
        <w:t xml:space="preserve"> </w:t>
      </w:r>
      <w:r>
        <w:t xml:space="preserve">off), making substitution difficult. The remaining market share is largely from Empyrean</w:t>
      </w:r>
      <w:r>
        <w:t xml:space="preserve"> </w:t>
      </w:r>
      <w:r>
        <w:t xml:space="preserve">(China), which mainly serves domestic customers and is not a credible alternative for</w:t>
      </w:r>
      <w:r>
        <w:t xml:space="preserve"> </w:t>
      </w:r>
      <w:r>
        <w:t xml:space="preserve">European industry, while smaller vendors and open-source solutions lack complete, reliable,</w:t>
      </w:r>
      <w:r>
        <w:t xml:space="preserve"> </w:t>
      </w:r>
      <w:r>
        <w:t xml:space="preserve">foundry verified, end-to-end leading-edge toolchains. Europe’s position is also constrained</w:t>
      </w:r>
      <w:r>
        <w:t xml:space="preserve"> </w:t>
      </w:r>
      <w:r>
        <w:t xml:space="preserve">since Siemens EDA largely offers US-origin intellectual property deriving from the</w:t>
      </w:r>
      <w:r>
        <w:t xml:space="preserve"> </w:t>
      </w:r>
      <w:r>
        <w:t xml:space="preserve">acquisition of Mentor Graphics, and is therefore potentially exposed to US export controls,</w:t>
      </w:r>
      <w:r>
        <w:t xml:space="preserve"> </w:t>
      </w:r>
      <w:r>
        <w:t xml:space="preserve">while Synopsys and Cadence retain key advantages in hard-to-replace advanced-node tools,</w:t>
      </w:r>
      <w:r>
        <w:t xml:space="preserve"> </w:t>
      </w:r>
      <w:r>
        <w:t xml:space="preserve">further reinforced by Synopsys’ expanded multiphysics simulation via the Ansys acquisition.</w:t>
      </w:r>
      <w:r>
        <w:br/>
      </w:r>
      <w:r>
        <w:t xml:space="preserve">This US-jurisdiction concentration creates geopolitical leverage, underscored for example by</w:t>
      </w:r>
      <w:r>
        <w:t xml:space="preserve"> </w:t>
      </w:r>
      <w:r>
        <w:t xml:space="preserve">the Bureau of Industry and Security’s (BIS) licensing requirements introduced in May 2025</w:t>
      </w:r>
      <w:r>
        <w:t xml:space="preserve"> </w:t>
      </w:r>
      <w:r>
        <w:t xml:space="preserve">for EDA tool provision to Chinese customers. A hypothetical comparable restriction against</w:t>
      </w:r>
      <w:r>
        <w:t xml:space="preserve"> </w:t>
      </w:r>
      <w:r>
        <w:t xml:space="preserve">Europe would severely limit Europe’s ability to design advanced chips.</w:t>
      </w:r>
      <w:r>
        <w:t xml:space="preserve"> </w:t>
      </w:r>
      <w:r>
        <w:t xml:space="preserve">2.1.1.6.2 Materials</w:t>
      </w:r>
      <w:r>
        <w:t xml:space="preserve"> </w:t>
      </w:r>
      <w:r>
        <w:t xml:space="preserve">2.1.1.6.2.1 Critical raw materials</w:t>
      </w:r>
      <w:r>
        <w:t xml:space="preserve"> </w:t>
      </w:r>
      <w:r>
        <w:t xml:space="preserve">Semiconductor manufacturing draws on materials across much of the periodic table, from</w:t>
      </w:r>
      <w:r>
        <w:t xml:space="preserve"> </w:t>
      </w:r>
      <w:r>
        <w:t xml:space="preserve">relatively abundant silicon to rare earth elements. ZVEI analysis(62) indicates that the number</w:t>
      </w:r>
      <w:r>
        <w:t xml:space="preserve"> </w:t>
      </w:r>
      <w:r>
        <w:t xml:space="preserve">of elements used in the semiconductor industry has quadrupled over the past thirty years</w:t>
      </w:r>
      <w:r>
        <w:t xml:space="preserve"> </w:t>
      </w:r>
      <w:r>
        <w:t xml:space="preserve">(Figure 9), increasing exposure to concentrated supply chains for certain critical inputs.</w:t>
      </w:r>
    </w:p>
    <w:p>
      <w:pPr>
        <w:pStyle w:val="BodyText"/>
      </w:pPr>
      <w:r>
        <w:t xml:space="preserve">Figure 9 - Elements used in the semiconductor industry, where coloured elements denote</w:t>
      </w:r>
      <w:r>
        <w:t xml:space="preserve"> </w:t>
      </w:r>
      <w:r>
        <w:t xml:space="preserve">use (Source: ZVEI)</w:t>
      </w:r>
      <w:r>
        <w:t xml:space="preserve"> </w:t>
      </w:r>
      <w:r>
        <w:t xml:space="preserve">Key examples here include gallium (Ga) and germanium (Ge)..The Union is heavily reliant</w:t>
      </w:r>
      <w:r>
        <w:t xml:space="preserve"> </w:t>
      </w:r>
      <w:r>
        <w:t xml:space="preserve">on China for gallium for use in integrated circuits (around 70%), with the remainder primarily</w:t>
      </w:r>
    </w:p>
    <w:p>
      <w:pPr>
        <w:pStyle w:val="Compact"/>
        <w:numPr>
          <w:ilvl w:val="0"/>
          <w:numId w:val="1014"/>
        </w:numPr>
      </w:pPr>
      <w:r>
        <w:t xml:space="preserve">Semiconductor-Strategy-for-Germany-and-Europe | ZVEI Light blue indicates elements in use in the 1980s; Dark blue</w:t>
      </w:r>
      <w:r>
        <w:t xml:space="preserve"> </w:t>
      </w:r>
      <w:r>
        <w:t xml:space="preserve">indicates elements in use in the 1990s; Light red indicates elements in use in the 2000s; Dark red indicates elements in use in</w:t>
      </w:r>
      <w:r>
        <w:t xml:space="preserve"> </w:t>
      </w:r>
      <w:r>
        <w:t xml:space="preserve">the 2010s.</w:t>
      </w:r>
    </w:p>
    <w:p>
      <w:pPr>
        <w:pStyle w:val="FirstParagraph"/>
      </w:pPr>
      <w:r>
        <w:t xml:space="preserve">27</w:t>
      </w:r>
    </w:p>
    <w:p>
      <w:pPr>
        <w:pStyle w:val="BodyText"/>
      </w:pPr>
      <w:r>
        <w:t xml:space="preserve">in LEDs (around 25%) and photovoltaics. (63) Use in power electronics is increasing.</w:t>
      </w:r>
      <w:r>
        <w:t xml:space="preserve"> </w:t>
      </w:r>
      <w:r>
        <w:t xml:space="preserve">Germanium production is also concentrated in China (around 79%), followed by the United</w:t>
      </w:r>
      <w:r>
        <w:t xml:space="preserve"> </w:t>
      </w:r>
      <w:r>
        <w:t xml:space="preserve">States (around 16%) and the United Kingdom (around 3%). EU demand is mainly for infrared</w:t>
      </w:r>
      <w:r>
        <w:t xml:space="preserve"> </w:t>
      </w:r>
      <w:r>
        <w:t xml:space="preserve">optics (around 52%), optical fibres (around 23%) and satellite solar cells (around 12%).(64)</w:t>
      </w:r>
      <w:r>
        <w:t xml:space="preserve"> </w:t>
      </w:r>
      <w:r>
        <w:t xml:space="preserve">Diversification appears comparatively more feasible for germanium than for gallium.</w:t>
      </w:r>
      <w:r>
        <w:t xml:space="preserve"> </w:t>
      </w:r>
      <w:r>
        <w:t xml:space="preserve">Gallium enables key compound semiconductors for RF, power and optoelectronics (e.g.,</w:t>
      </w:r>
      <w:r>
        <w:t xml:space="preserve"> </w:t>
      </w:r>
      <w:r>
        <w:t xml:space="preserve">GaAs for high-frequency RF devices and GaN for high-power and high-voltage applications),</w:t>
      </w:r>
      <w:r>
        <w:t xml:space="preserve"> </w:t>
      </w:r>
      <w:r>
        <w:t xml:space="preserve">while germanium is relevant for SiGe RF devices and silicon photonics, and features in</w:t>
      </w:r>
      <w:r>
        <w:t xml:space="preserve"> </w:t>
      </w:r>
      <w:r>
        <w:t xml:space="preserve">leading-edge transistor integration.</w:t>
      </w:r>
    </w:p>
    <w:p>
      <w:pPr>
        <w:pStyle w:val="BodyText"/>
      </w:pPr>
      <w:r>
        <w:t xml:space="preserve">Figure 10 - Critical raw materials in the semiconductor industry (Source: McKinsey)</w:t>
      </w:r>
      <w:r>
        <w:br/>
      </w:r>
      <w:r>
        <w:t xml:space="preserve">The examples of gallium and germanium are crucial since, as seen in Figure 10, Chinese</w:t>
      </w:r>
      <w:r>
        <w:t xml:space="preserve"> </w:t>
      </w:r>
      <w:r>
        <w:t xml:space="preserve">dominance over these materials has allowed for the introduction of disruptive export controls</w:t>
      </w:r>
      <w:r>
        <w:t xml:space="preserve"> </w:t>
      </w:r>
      <w:r>
        <w:t xml:space="preserve">on gallium and germanium (and related compounds) from 1 August 2023 (65), requiring</w:t>
      </w:r>
      <w:r>
        <w:t xml:space="preserve"> </w:t>
      </w:r>
      <w:r>
        <w:t xml:space="preserve">exporters to obtain licences. The measure is widely understood as part of ongoing geopolitical</w:t>
      </w:r>
      <w:r>
        <w:t xml:space="preserve"> </w:t>
      </w:r>
      <w:r>
        <w:t xml:space="preserve">rivalries and trade confrontation and is viewed as a response to the tightening of restrictions</w:t>
      </w:r>
      <w:r>
        <w:t xml:space="preserve"> </w:t>
      </w:r>
      <w:r>
        <w:t xml:space="preserve">on China’s access to advanced semiconductor manufacturing equipment and know-how,</w:t>
      </w:r>
      <w:r>
        <w:t xml:space="preserve"> </w:t>
      </w:r>
      <w:r>
        <w:t xml:space="preserve">including lithography-related controls. These export controls have resulted in prices for these</w:t>
      </w:r>
      <w:r>
        <w:t xml:space="preserve"> </w:t>
      </w:r>
      <w:r>
        <w:t xml:space="preserve">raw materials to increase by around 20% (66).</w:t>
      </w:r>
      <w:r>
        <w:br/>
      </w:r>
      <w:r>
        <w:t xml:space="preserve">2.1.1.6.2.2 Compound semiconductor substrates/epiwafers</w:t>
      </w:r>
      <w:r>
        <w:t xml:space="preserve"> </w:t>
      </w:r>
      <w:r>
        <w:t xml:space="preserve">A compound semiconductor substrate is a high-purity crystalline wafer (typically SiC, GaAs</w:t>
      </w:r>
      <w:r>
        <w:t xml:space="preserve"> </w:t>
      </w:r>
      <w:r>
        <w:t xml:space="preserve">or InP) that provides the mechanical base and lattice structure for compound devices and the</w:t>
      </w:r>
      <w:r>
        <w:t xml:space="preserve"> </w:t>
      </w:r>
      <w:r>
        <w:t xml:space="preserve">epitaxial layers grown on top, enabling applications such as RF, power electronics and</w:t>
      </w:r>
      <w:r>
        <w:t xml:space="preserve"> </w:t>
      </w:r>
      <w:r>
        <w:t xml:space="preserve">photonics. The substrate supply chain is highly concentrated and regionally segmented, with</w:t>
      </w:r>
      <w:r>
        <w:t xml:space="preserve"> </w:t>
      </w:r>
      <w:r>
        <w:t xml:space="preserve">suppliers specialising by material platform; Yole Intelligence indicates Europe’s merchant</w:t>
      </w:r>
      <w:r>
        <w:t xml:space="preserve"> </w:t>
      </w:r>
      <w:r>
        <w:t xml:space="preserve">footprint is relatively narrow (notably Freiberger Compound Materials for GaAs and InP),</w:t>
      </w:r>
    </w:p>
    <w:p>
      <w:pPr>
        <w:pStyle w:val="Compact"/>
        <w:numPr>
          <w:ilvl w:val="0"/>
          <w:numId w:val="1015"/>
        </w:numPr>
      </w:pPr>
      <w:r>
        <w:t xml:space="preserve">SCRREEN2_factsheets_GALLIIUM.pdf</w:t>
      </w:r>
    </w:p>
    <w:p>
      <w:pPr>
        <w:pStyle w:val="Compact"/>
        <w:numPr>
          <w:ilvl w:val="0"/>
          <w:numId w:val="1015"/>
        </w:numPr>
      </w:pPr>
      <w:r>
        <w:t xml:space="preserve">SCRREEN2_factsheets_GERMANIUM-1.pdf</w:t>
      </w:r>
    </w:p>
    <w:p>
      <w:pPr>
        <w:pStyle w:val="Compact"/>
        <w:numPr>
          <w:ilvl w:val="0"/>
          <w:numId w:val="1015"/>
        </w:numPr>
      </w:pPr>
      <w:r>
        <w:t xml:space="preserve">Yole Group, Status of the Compound Semiconductor Industry 2024.</w:t>
      </w:r>
    </w:p>
    <w:p>
      <w:pPr>
        <w:pStyle w:val="Compact"/>
        <w:numPr>
          <w:ilvl w:val="0"/>
          <w:numId w:val="1015"/>
        </w:numPr>
      </w:pPr>
      <w:r>
        <w:t xml:space="preserve">Yole Group, Status of the Compound Semiconductor Industry 2024.</w:t>
      </w:r>
    </w:p>
    <w:p>
      <w:pPr>
        <w:pStyle w:val="FirstParagraph"/>
      </w:pPr>
      <w:r>
        <w:t xml:space="preserve">28</w:t>
      </w:r>
    </w:p>
    <w:p>
      <w:pPr>
        <w:pStyle w:val="BodyText"/>
      </w:pPr>
      <w:r>
        <w:t xml:space="preserve">while substantial global capacity sits in the United States and East Asia (including Japan,</w:t>
      </w:r>
      <w:r>
        <w:t xml:space="preserve"> </w:t>
      </w:r>
      <w:r>
        <w:t xml:space="preserve">China and Taiwan) (67). Europe’s exposure is partly mitigated in SiC by increasing vertical</w:t>
      </w:r>
      <w:r>
        <w:t xml:space="preserve"> </w:t>
      </w:r>
      <w:r>
        <w:t xml:space="preserve">integration: STMicroelectronics is developing in-house SiC substrates in Catania under its</w:t>
      </w:r>
      <w:r>
        <w:t xml:space="preserve"> </w:t>
      </w:r>
      <w:r>
        <w:t xml:space="preserve">“Silicon Carbide Campus” (supported by an Italian Chips Act-aligned State-aid measure)(68)</w:t>
      </w:r>
      <w:r>
        <w:t xml:space="preserve"> </w:t>
      </w:r>
      <w:r>
        <w:t xml:space="preserve">and Onsemi is expanding SiC-related capacity in Rožnov (backed by a Czech Chips Act-</w:t>
      </w:r>
      <w:r>
        <w:t xml:space="preserve"> </w:t>
      </w:r>
      <w:r>
        <w:t xml:space="preserve">aligned State aid measure),(69) building capability inside integrated manufacturers even as the</w:t>
      </w:r>
      <w:r>
        <w:t xml:space="preserve"> </w:t>
      </w:r>
      <w:r>
        <w:t xml:space="preserve">merchant base remains limited.</w:t>
      </w:r>
      <w:r>
        <w:br/>
      </w:r>
      <w:r>
        <w:t xml:space="preserve">Immediately downstream, epiwafers add performance-critical epitaxial layers (e.g. SiC,</w:t>
      </w:r>
      <w:r>
        <w:t xml:space="preserve"> </w:t>
      </w:r>
      <w:r>
        <w:t xml:space="preserve">GaAs, InP, GaN-on-SiC). Epitaxy is process-sensitive and qualification-heavy, making</w:t>
      </w:r>
      <w:r>
        <w:t xml:space="preserve"> </w:t>
      </w:r>
      <w:r>
        <w:t xml:space="preserve">switching slow and costly. Yole mapping suggests the EU’s identifiable merchant epiwafer</w:t>
      </w:r>
      <w:r>
        <w:t xml:space="preserve"> </w:t>
      </w:r>
      <w:r>
        <w:t xml:space="preserve">presence includes Soitec (France) and Azur Space (Germany), with much of global capability</w:t>
      </w:r>
      <w:r>
        <w:t xml:space="preserve"> </w:t>
      </w:r>
      <w:r>
        <w:t xml:space="preserve">concentrated outside the EU, notably in Japan, Taiwan, the United States and China.(70)</w:t>
      </w:r>
      <w:r>
        <w:t xml:space="preserve"> </w:t>
      </w:r>
      <w:r>
        <w:t xml:space="preserve">2.1.1.6.3 Ultra-high-purity process gases and chemicals</w:t>
      </w:r>
      <w:r>
        <w:t xml:space="preserve"> </w:t>
      </w:r>
      <w:r>
        <w:t xml:space="preserve">2.1.1.6.3.1 Gases</w:t>
      </w:r>
    </w:p>
    <w:p>
      <w:pPr>
        <w:pStyle w:val="BodyText"/>
      </w:pPr>
      <w:r>
        <w:t xml:space="preserve">Semiconductor manufacturing depends on ultra-high-purity process gases and precursors for</w:t>
      </w:r>
      <w:r>
        <w:t xml:space="preserve"> </w:t>
      </w:r>
      <w:r>
        <w:t xml:space="preserve">deposition, etch, doping, chamber cleaning, surface treatments and lithography support. Since</w:t>
      </w:r>
      <w:r>
        <w:t xml:space="preserve"> </w:t>
      </w:r>
      <w:r>
        <w:t xml:space="preserve">wafer fabrication is sequential and qualification-heavy, the loss of a single qualified molecule</w:t>
      </w:r>
      <w:r>
        <w:t xml:space="preserve"> </w:t>
      </w:r>
      <w:r>
        <w:t xml:space="preserve">at the required purity can halt a process step and disrupt fab operations. Europe produces</w:t>
      </w:r>
      <w:r>
        <w:t xml:space="preserve"> </w:t>
      </w:r>
      <w:r>
        <w:t xml:space="preserve">some standard, enabling gases (e.g., NH₃, Cl₂/HCl, N₂O/NO, SF₆ and certain hydrocarbons),</w:t>
      </w:r>
      <w:r>
        <w:t xml:space="preserve"> </w:t>
      </w:r>
      <w:r>
        <w:t xml:space="preserve">but remains structurally dependent on external suppliers for many critical electronics specialty</w:t>
      </w:r>
      <w:r>
        <w:t xml:space="preserve"> </w:t>
      </w:r>
      <w:r>
        <w:t xml:space="preserve">gases, especially those central to transistor formation and materials integration such as</w:t>
      </w:r>
      <w:r>
        <w:t xml:space="preserve"> </w:t>
      </w:r>
      <w:r>
        <w:t xml:space="preserve">dopants (arsine, phosphine, diborane), key deposition precursors (silane/chlorosilanes, TEOS,</w:t>
      </w:r>
      <w:r>
        <w:t xml:space="preserve"> </w:t>
      </w:r>
      <w:r>
        <w:t xml:space="preserve">germane, WF₆), and essential etch and clean chemistries (HF, HBr, NF₃, F₂/ClF₃ and</w:t>
      </w:r>
      <w:r>
        <w:t xml:space="preserve"> </w:t>
      </w:r>
      <w:r>
        <w:t xml:space="preserve">fluorocarbons), with deuterium used in selected passivation/anneal steps. Upstream supply is</w:t>
      </w:r>
      <w:r>
        <w:t xml:space="preserve"> </w:t>
      </w:r>
      <w:r>
        <w:t xml:space="preserve">also concentrated, with reports that over half of the EU’s electronics specialty gas sources are</w:t>
      </w:r>
      <w:r>
        <w:t xml:space="preserve"> </w:t>
      </w:r>
      <w:r>
        <w:t xml:space="preserve">heavily dependent on a single third country (China), amplifying disruption risk; if a critical</w:t>
      </w:r>
      <w:r>
        <w:t xml:space="preserve"> </w:t>
      </w:r>
      <w:r>
        <w:t xml:space="preserve">externally sourced gas is constrained, tool uptime, cycle times and yields can deteriorate</w:t>
      </w:r>
      <w:r>
        <w:t xml:space="preserve"> </w:t>
      </w:r>
      <w:r>
        <w:t xml:space="preserve">rapidly, with knock-on effects across the European value chain and downstream users.(71)</w:t>
      </w:r>
      <w:r>
        <w:t xml:space="preserve"> </w:t>
      </w:r>
      <w:r>
        <w:t xml:space="preserve">2.1.1.6.3.2 Chemicals</w:t>
      </w:r>
      <w:r>
        <w:t xml:space="preserve"> </w:t>
      </w:r>
      <w:r>
        <w:t xml:space="preserve">Semiconductor fabs rely on ultra-high-purity chemicals across all process steps (cleaning</w:t>
      </w:r>
      <w:r>
        <w:t xml:space="preserve"> </w:t>
      </w:r>
      <w:r>
        <w:t xml:space="preserve">acids and bases, oxidisers, solvents, etch and deposition chemistries, and Chemical-</w:t>
      </w:r>
      <w:r>
        <w:t xml:space="preserve"> </w:t>
      </w:r>
      <w:r>
        <w:t xml:space="preserve">Mechanical-Planarisation slurries), and these inputs are qualified to specific tools and recipes</w:t>
      </w:r>
    </w:p>
    <w:p>
      <w:pPr>
        <w:pStyle w:val="Compact"/>
        <w:numPr>
          <w:ilvl w:val="0"/>
          <w:numId w:val="1016"/>
        </w:numPr>
      </w:pPr>
      <w:r>
        <w:t xml:space="preserve">Yole Group, Status of the Compound Semiconductor Industry 2024.</w:t>
      </w:r>
    </w:p>
    <w:p>
      <w:pPr>
        <w:pStyle w:val="Compact"/>
        <w:numPr>
          <w:ilvl w:val="0"/>
          <w:numId w:val="1016"/>
        </w:numPr>
      </w:pPr>
      <w:r>
        <w:t xml:space="preserve">STMicroelectronics to build integrated Silicon Carbide substrate manufacturing facility in Italy -</w:t>
      </w:r>
      <w:r>
        <w:t xml:space="preserve"> </w:t>
      </w:r>
      <w:r>
        <w:t xml:space="preserve">STMicroelectronics</w:t>
      </w:r>
    </w:p>
    <w:p>
      <w:pPr>
        <w:pStyle w:val="Compact"/>
        <w:numPr>
          <w:ilvl w:val="0"/>
          <w:numId w:val="1016"/>
        </w:numPr>
      </w:pPr>
      <w:r>
        <w:t xml:space="preserve">Commission approves €450 million Czech State aid for Onsemi’s new semiconductor manufacturing facility</w:t>
      </w:r>
    </w:p>
    <w:p>
      <w:pPr>
        <w:pStyle w:val="Compact"/>
        <w:numPr>
          <w:ilvl w:val="0"/>
          <w:numId w:val="1016"/>
        </w:numPr>
      </w:pPr>
      <w:r>
        <w:t xml:space="preserve">Yole Group, Status of the Compound Semiconductor Industry 2024</w:t>
      </w:r>
    </w:p>
    <w:p>
      <w:pPr>
        <w:pStyle w:val="Compact"/>
        <w:numPr>
          <w:ilvl w:val="0"/>
          <w:numId w:val="1016"/>
        </w:numPr>
      </w:pPr>
      <w:r>
        <w:t xml:space="preserve">For semiconductor process gases, the applicable specification extends well beyond a nominal purity value</w:t>
      </w:r>
      <w:r>
        <w:t xml:space="preserve"> </w:t>
      </w:r>
      <w:r>
        <w:t xml:space="preserve">(for example, 99.9999%). In practice, device manufacturers and equipment suppliers jointly qualify the gas as an</w:t>
      </w:r>
      <w:r>
        <w:t xml:space="preserve"> </w:t>
      </w:r>
      <w:r>
        <w:t xml:space="preserve">integrated package, encompassing its detailed impurity profile, cylinder and valve materials, packaging</w:t>
      </w:r>
      <w:r>
        <w:t xml:space="preserve"> </w:t>
      </w:r>
      <w:r>
        <w:t xml:space="preserve">configuration, and the performance of the associated delivery hardware. Any change in supplier, production site,</w:t>
      </w:r>
      <w:r>
        <w:t xml:space="preserve"> </w:t>
      </w:r>
      <w:r>
        <w:t xml:space="preserve">or even cylinder type typically necessitates requalification, a process that can require several weeks to months</w:t>
      </w:r>
      <w:r>
        <w:t xml:space="preserve"> </w:t>
      </w:r>
      <w:r>
        <w:t xml:space="preserve">and entails significant engineering effort and test-wafer consumption.</w:t>
      </w:r>
    </w:p>
    <w:p>
      <w:pPr>
        <w:pStyle w:val="FirstParagraph"/>
      </w:pPr>
      <w:r>
        <w:t xml:space="preserve">29</w:t>
      </w:r>
    </w:p>
    <w:p>
      <w:pPr>
        <w:pStyle w:val="BodyText"/>
      </w:pPr>
      <w:r>
        <w:t xml:space="preserve">under strict purity specifications, so shortages or quality deviations can halt production and</w:t>
      </w:r>
      <w:r>
        <w:t xml:space="preserve"> </w:t>
      </w:r>
      <w:r>
        <w:t xml:space="preserve">are not quickly solved by switching suppliers.</w:t>
      </w:r>
      <w:r>
        <w:br/>
      </w:r>
      <w:r>
        <w:t xml:space="preserve">This section focuses on three illustrative chemicals: photoresists, polysilicon and deposition</w:t>
      </w:r>
      <w:r>
        <w:t xml:space="preserve"> </w:t>
      </w:r>
      <w:r>
        <w:t xml:space="preserve">precursors. Photoresists are indispensable for Deep Ultraviolet (DUV) and Extreme</w:t>
      </w:r>
      <w:r>
        <w:t xml:space="preserve"> </w:t>
      </w:r>
      <w:r>
        <w:t xml:space="preserve">Ultraviolet (EUV) lithography as the light-sensitive film enabling pattern transfer. In fact,</w:t>
      </w:r>
      <w:r>
        <w:t xml:space="preserve"> </w:t>
      </w:r>
      <w:r>
        <w:t xml:space="preserve">they are co-developed and tightly qualified with fabs, making substitution slow and risky The</w:t>
      </w:r>
      <w:r>
        <w:t xml:space="preserve"> </w:t>
      </w:r>
      <w:r>
        <w:t xml:space="preserve">supply base is also highly concentrated, with Japanese firms estimated at around 90% market</w:t>
      </w:r>
      <w:r>
        <w:t xml:space="preserve"> </w:t>
      </w:r>
      <w:r>
        <w:t xml:space="preserve">share (notably JSR and TOK) (72), a vulnerability highlighted by the 2019 Japan–South Korea</w:t>
      </w:r>
      <w:r>
        <w:t xml:space="preserve"> </w:t>
      </w:r>
      <w:r>
        <w:t xml:space="preserve">export licensing changes for certain semiconductor materials (73). High-purity polysilicon is</w:t>
      </w:r>
      <w:r>
        <w:t xml:space="preserve"> </w:t>
      </w:r>
      <w:r>
        <w:t xml:space="preserve">the feedstock for silicon wafers: while photovoltaic-grade output is dominated by China,</w:t>
      </w:r>
      <w:r>
        <w:t xml:space="preserve"> </w:t>
      </w:r>
      <w:r>
        <w:t xml:space="preserve">electronic-grade supply is more diversified with Germany’s Wacker among leading suppliers</w:t>
      </w:r>
      <w:r>
        <w:t xml:space="preserve"> </w:t>
      </w:r>
      <w:r>
        <w:t xml:space="preserve">alongside firms in the United States, Japan and South Korea. However, both segments depend</w:t>
      </w:r>
      <w:r>
        <w:t xml:space="preserve"> </w:t>
      </w:r>
      <w:r>
        <w:t xml:space="preserve">on metallurgical-grade silicon, whose global supply is strongly China-dependent.</w:t>
      </w:r>
      <w:r>
        <w:br/>
      </w:r>
      <w:r>
        <w:t xml:space="preserve">Finally, Atomic Layer Deposition (ALD) and Chemical Vapour Deposition (CVD) precursors</w:t>
      </w:r>
      <w:r>
        <w:t xml:space="preserve"> </w:t>
      </w:r>
      <w:r>
        <w:t xml:space="preserve">are specialised molecules enabling atomic-scale deposition for advanced transistor and</w:t>
      </w:r>
      <w:r>
        <w:t xml:space="preserve"> </w:t>
      </w:r>
      <w:r>
        <w:t xml:space="preserve">interconnect structures. The market was at EUR 1.7 billion in 2024 and is projected to exceed</w:t>
      </w:r>
      <w:r>
        <w:t xml:space="preserve"> </w:t>
      </w:r>
      <w:r>
        <w:t xml:space="preserve">EUR 2.3 billion by 2028. In this segment, the EU holds a leading position through Merck</w:t>
      </w:r>
      <w:r>
        <w:t xml:space="preserve"> </w:t>
      </w:r>
      <w:r>
        <w:t xml:space="preserve">(DE) and Air Liquide (FR), which together account for over half of global share in advanced</w:t>
      </w:r>
      <w:r>
        <w:t xml:space="preserve"> </w:t>
      </w:r>
      <w:r>
        <w:t xml:space="preserve">precursors, although Chinese suppliers are scaling capacity.</w:t>
      </w:r>
      <w:r>
        <w:t xml:space="preserve"> </w:t>
      </w:r>
      <w:r>
        <w:t xml:space="preserve">2.1.1.6.4 Manufactured inputs</w:t>
      </w:r>
      <w:r>
        <w:t xml:space="preserve"> </w:t>
      </w:r>
      <w:r>
        <w:t xml:space="preserve">Manufactured inputs such as photomasks and advanced packaging materials are design-</w:t>
      </w:r>
      <w:r>
        <w:t xml:space="preserve"> </w:t>
      </w:r>
      <w:r>
        <w:t xml:space="preserve">specific, tightly qualified and supplied by a small number of producers, so disruption can</w:t>
      </w:r>
      <w:r>
        <w:t xml:space="preserve"> </w:t>
      </w:r>
      <w:r>
        <w:t xml:space="preserve">delay tape-out, constrain output and raise costs. Photomasks are fundamental inputs because</w:t>
      </w:r>
      <w:r>
        <w:t xml:space="preserve"> </w:t>
      </w:r>
      <w:r>
        <w:t xml:space="preserve">each product and process node requires a dedicated mask set; supply is split between captive</w:t>
      </w:r>
      <w:r>
        <w:t xml:space="preserve"> </w:t>
      </w:r>
      <w:r>
        <w:t xml:space="preserve">production (by leading foundries/IDMs) and the merchant market, with captive share rising</w:t>
      </w:r>
      <w:r>
        <w:t xml:space="preserve"> </w:t>
      </w:r>
      <w:r>
        <w:t xml:space="preserve">from 35% to 65% between 2008 and 2020, leaving firms without in-house capability more</w:t>
      </w:r>
      <w:r>
        <w:t xml:space="preserve"> </w:t>
      </w:r>
      <w:r>
        <w:t xml:space="preserve">exposed to tight merchant capacity during upcycles.(74) Key merchant suppliers include</w:t>
      </w:r>
      <w:r>
        <w:t xml:space="preserve"> </w:t>
      </w:r>
      <w:r>
        <w:t xml:space="preserve">Tekscend (JP), Dai Nippon Printing (JP), Photronics (US), SK-Electronics (JP) and Taiwan</w:t>
      </w:r>
      <w:r>
        <w:t xml:space="preserve"> </w:t>
      </w:r>
      <w:r>
        <w:t xml:space="preserve">Mask Corporation (TW), with Tekscend also operating a Dresden facility supplying leading-</w:t>
      </w:r>
      <w:r>
        <w:t xml:space="preserve"> </w:t>
      </w:r>
      <w:r>
        <w:t xml:space="preserve">edge masks (including EUV). Upstream concentration is even stronger in EUV mask blanks,</w:t>
      </w:r>
      <w:r>
        <w:t xml:space="preserve"> </w:t>
      </w:r>
      <w:r>
        <w:t xml:space="preserve">where AGC (JP) and HOYA (JP) reportedly provide around 93% of supply, creating an</w:t>
      </w:r>
      <w:r>
        <w:t xml:space="preserve"> </w:t>
      </w:r>
      <w:r>
        <w:t xml:space="preserve">additional bottleneck (75).</w:t>
      </w:r>
      <w:r>
        <w:t xml:space="preserve"> </w:t>
      </w:r>
      <w:r>
        <w:t xml:space="preserve">Advanced packaging has similar single-point risks. Nittobo’s T-glass (low-Co-efficient of</w:t>
      </w:r>
      <w:r>
        <w:t xml:space="preserve"> </w:t>
      </w:r>
      <w:r>
        <w:t xml:space="preserve">Thermal Expansion (CTE) glass cloth) used in package substrates to reduce warpage and</w:t>
      </w:r>
      <w:r>
        <w:t xml:space="preserve"> </w:t>
      </w:r>
      <w:r>
        <w:t xml:space="preserve">support yield and reliability in large high-power packages (e.g., CPUs/AI/networking), is</w:t>
      </w:r>
      <w:r>
        <w:t xml:space="preserve"> </w:t>
      </w:r>
      <w:r>
        <w:t xml:space="preserve">reported at approximately 90% market share. Ajinomoto’s ABF dielectric film is reported at</w:t>
      </w:r>
    </w:p>
    <w:p>
      <w:pPr>
        <w:pStyle w:val="Compact"/>
        <w:numPr>
          <w:ilvl w:val="0"/>
          <w:numId w:val="1017"/>
        </w:numPr>
      </w:pPr>
      <w:r>
        <w:t xml:space="preserve">Japan - Semiconductors profile - Trade.gov</w:t>
      </w:r>
      <w:r>
        <w:t xml:space="preserve"> </w:t>
      </w:r>
      <w:r>
        <w:t xml:space="preserve">(73)The South Korea-Japan Trade Dispute in Context: Semiconductor Manufacturing, Chemicals, and</w:t>
      </w:r>
      <w:r>
        <w:t xml:space="preserve"> </w:t>
      </w:r>
      <w:r>
        <w:t xml:space="preserve">Concentrated Supply Chains</w:t>
      </w:r>
    </w:p>
    <w:p>
      <w:pPr>
        <w:pStyle w:val="Compact"/>
        <w:numPr>
          <w:ilvl w:val="0"/>
          <w:numId w:val="1017"/>
        </w:numPr>
      </w:pPr>
      <w:r>
        <w:t xml:space="preserve">EUV mask technologies: evolution and ecosystem for devices</w:t>
      </w:r>
    </w:p>
    <w:p>
      <w:pPr>
        <w:pStyle w:val="Compact"/>
        <w:numPr>
          <w:ilvl w:val="0"/>
          <w:numId w:val="1017"/>
        </w:numPr>
      </w:pPr>
      <w:r>
        <w:t xml:space="preserve">https://finance.yahoo.com/news/asml-holding-q4-earnings-investors-124600373.html?utm</w:t>
      </w:r>
    </w:p>
    <w:p>
      <w:pPr>
        <w:pStyle w:val="FirstParagraph"/>
      </w:pPr>
      <w:r>
        <w:t xml:space="preserve">30</w:t>
      </w:r>
    </w:p>
    <w:p>
      <w:pPr>
        <w:pStyle w:val="BodyText"/>
      </w:pPr>
      <w:r>
        <w:t xml:space="preserve">around 95% market share and is essential for dense multilayer build-up substrates that</w:t>
      </w:r>
      <w:r>
        <w:t xml:space="preserve"> </w:t>
      </w:r>
      <w:r>
        <w:t xml:space="preserve">connect advanced CPU/GPU dies to the wider system (76).</w:t>
      </w:r>
      <w:r>
        <w:t xml:space="preserve"> </w:t>
      </w:r>
      <w:r>
        <w:t xml:space="preserve">2.1.1.6.5 Manufacturing equipment</w:t>
      </w:r>
      <w:r>
        <w:t xml:space="preserve"> </w:t>
      </w:r>
      <w:r>
        <w:t xml:space="preserve">Chip manufacturing is highly equipment intensive. The equipment ecosystem is fragmented</w:t>
      </w:r>
      <w:r>
        <w:t xml:space="preserve"> </w:t>
      </w:r>
      <w:r>
        <w:t xml:space="preserve">and specialised, with different tool families required for distinct process steps. For simplicity,</w:t>
      </w:r>
      <w:r>
        <w:t xml:space="preserve"> </w:t>
      </w:r>
      <w:r>
        <w:t xml:space="preserve">this analysis distinguishes between front-end manufacturing and back-end manufacturing.</w:t>
      </w:r>
      <w:r>
        <w:t xml:space="preserve"> </w:t>
      </w:r>
      <w:r>
        <w:t xml:space="preserve">2.1.1.6.5.1 Front-end equipment</w:t>
      </w:r>
      <w:r>
        <w:t xml:space="preserve"> </w:t>
      </w:r>
      <w:r>
        <w:t xml:space="preserve">Front-end manufacturing (Front-end-of-line (FEOL) and Back-end-of-line (BEOL)</w:t>
      </w:r>
      <w:r>
        <w:t xml:space="preserve"> </w:t>
      </w:r>
      <w:r>
        <w:t xml:space="preserve">wafer fabrication) covers the processes used to create semiconductor devices and</w:t>
      </w:r>
      <w:r>
        <w:t xml:space="preserve"> </w:t>
      </w:r>
      <w:r>
        <w:t xml:space="preserve">interconnects on a silicon wafer, including transistor formation, deposition of dielectric and</w:t>
      </w:r>
      <w:r>
        <w:t xml:space="preserve"> </w:t>
      </w:r>
      <w:r>
        <w:t xml:space="preserve">metal layers, lithographic patterning, etching, and planarisation.</w:t>
      </w:r>
    </w:p>
    <w:p>
      <w:pPr>
        <w:pStyle w:val="BodyText"/>
      </w:pPr>
      <w:r>
        <w:t xml:space="preserve">In front-end equipment, Europe’s most significant position is in lithography, where EU-</w:t>
      </w:r>
      <w:r>
        <w:t xml:space="preserve"> </w:t>
      </w:r>
      <w:r>
        <w:t xml:space="preserve">based suppliers account for approximately 92% of the market. This is a strong lever in a</w:t>
      </w:r>
      <w:r>
        <w:t xml:space="preserve"> </w:t>
      </w:r>
      <w:r>
        <w:t xml:space="preserve">critical process step, but it is highly concentrated in a single segment and depends on</w:t>
      </w:r>
      <w:r>
        <w:t xml:space="preserve"> </w:t>
      </w:r>
      <w:r>
        <w:t xml:space="preserve">coordination with the United States.</w:t>
      </w:r>
      <w:r>
        <w:br/>
      </w:r>
      <w:r>
        <w:t xml:space="preserve">By contrast, the broader front-end wafer-fabrication equipment market is led by the United</w:t>
      </w:r>
      <w:r>
        <w:t xml:space="preserve"> </w:t>
      </w:r>
      <w:r>
        <w:t xml:space="preserve">States (~40%), followed by Japan (~28%) and Korea (~24%), with the EU remaining in</w:t>
      </w:r>
      <w:r>
        <w:t xml:space="preserve"> </w:t>
      </w:r>
      <w:r>
        <w:t xml:space="preserve">single digits. This indicates that Europe’s influence over upstream manufacturing capacity is</w:t>
      </w:r>
      <w:r>
        <w:t xml:space="preserve"> </w:t>
      </w:r>
      <w:r>
        <w:t xml:space="preserve">not commensurate with its strength in lithography. Further analysis of the different</w:t>
      </w:r>
      <w:r>
        <w:t xml:space="preserve"> </w:t>
      </w:r>
      <w:r>
        <w:t xml:space="preserve">segments of front-end equipment is provided in Annex 4.</w:t>
      </w:r>
      <w:r>
        <w:br/>
      </w:r>
      <w:r>
        <w:t xml:space="preserve">2.1.1.6.5.2</w:t>
      </w:r>
      <w:r>
        <w:br/>
      </w:r>
      <w:r>
        <w:t xml:space="preserve">Back-end equipment</w:t>
      </w:r>
    </w:p>
    <w:p>
      <w:pPr>
        <w:pStyle w:val="BodyText"/>
      </w:pPr>
      <w:r>
        <w:t xml:space="preserve">Back-end manufacturing (assembly, packaging and test) covers the final steps that convert</w:t>
      </w:r>
      <w:r>
        <w:t xml:space="preserve"> </w:t>
      </w:r>
      <w:r>
        <w:t xml:space="preserve">processed wafers into finished, packaged devices ready for integration into electronic</w:t>
      </w:r>
      <w:r>
        <w:t xml:space="preserve"> </w:t>
      </w:r>
      <w:r>
        <w:t xml:space="preserve">systems. It includes wafer dicing and thinning, die attach and interconnect, encapsulation</w:t>
      </w:r>
      <w:r>
        <w:t xml:space="preserve"> </w:t>
      </w:r>
      <w:r>
        <w:t xml:space="preserve">(moulding and sealing), inspection and handling, and final electrical test. Packaging provides</w:t>
      </w:r>
      <w:r>
        <w:t xml:space="preserve"> </w:t>
      </w:r>
      <w:r>
        <w:t xml:space="preserve">electrical connectivity for signals and power, supports heat dissipation, and protects the</w:t>
      </w:r>
      <w:r>
        <w:t xml:space="preserve"> </w:t>
      </w:r>
      <w:r>
        <w:t xml:space="preserve">device to ensure long-term reliability.</w:t>
      </w:r>
    </w:p>
    <w:p>
      <w:pPr>
        <w:pStyle w:val="BodyText"/>
      </w:pPr>
      <w:r>
        <w:t xml:space="preserve">The back-end equipment market is concentrated and increasingly dominated by Japan. In</w:t>
      </w:r>
      <w:r>
        <w:t xml:space="preserve"> </w:t>
      </w:r>
      <w:r>
        <w:t xml:space="preserve">2023, Japan accounted for 48% of the global market (up from 33% in 2017) and held a</w:t>
      </w:r>
      <w:r>
        <w:t xml:space="preserve"> </w:t>
      </w:r>
      <w:r>
        <w:t xml:space="preserve">dominant position in dicing equipment (&gt;92%). Japan also led packaging equipment overall</w:t>
      </w:r>
      <w:r>
        <w:t xml:space="preserve"> </w:t>
      </w:r>
      <w:r>
        <w:t xml:space="preserve">(51.4%) and was particularly concentrated in moulding and sealing systems (75.3%).</w:t>
      </w:r>
      <w:r>
        <w:t xml:space="preserve"> </w:t>
      </w:r>
      <w:r>
        <w:t xml:space="preserve">Singapore’s share declined to 21% (from 35% in 2017), reflecting its specialisation in</w:t>
      </w:r>
      <w:r>
        <w:t xml:space="preserve"> </w:t>
      </w:r>
      <w:r>
        <w:t xml:space="preserve">bonding equipment, especially wire bonding, where it accounted for &gt;81% of global sales;</w:t>
      </w:r>
      <w:r>
        <w:t xml:space="preserve"> </w:t>
      </w:r>
      <w:r>
        <w:t xml:space="preserve">Singapore also held 97% of integrated assembly systems (with the remaining 3% held by</w:t>
      </w:r>
      <w:r>
        <w:t xml:space="preserve"> </w:t>
      </w:r>
      <w:r>
        <w:t xml:space="preserve">Grohmann Engineering, Germany). The EU held 14.5% of the global market in 2023 (down</w:t>
      </w:r>
      <w:r>
        <w:t xml:space="preserve"> </w:t>
      </w:r>
      <w:r>
        <w:t xml:space="preserve">from 16% in 2017), with limited presence in several high-throughput segments but material</w:t>
      </w:r>
    </w:p>
    <w:p>
      <w:pPr>
        <w:pStyle w:val="BodyText"/>
      </w:pPr>
      <w:r>
        <w:t xml:space="preserve">(76 )https://www.nittobo.co.jp/eng/business/electronicmaterials/index.htm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positions in selected bonding and finishing categories. Further analysis of the different</w:t>
      </w:r>
      <w:r>
        <w:t xml:space="preserve"> </w:t>
      </w:r>
      <w:r>
        <w:t xml:space="preserve">segments of back-end equipment is provided in Annex 4.</w:t>
      </w:r>
    </w:p>
    <w:p>
      <w:pPr>
        <w:pStyle w:val="BodyText"/>
      </w:pPr>
      <w:r>
        <w:t xml:space="preserve">2.1.1.7 Conclusion</w:t>
      </w:r>
      <w:r>
        <w:t xml:space="preserve"> </w:t>
      </w:r>
      <w:r>
        <w:t xml:space="preserve">Across the semiconductor value chain, the Union remains exposed to material supply chain</w:t>
      </w:r>
      <w:r>
        <w:t xml:space="preserve"> </w:t>
      </w:r>
      <w:r>
        <w:t xml:space="preserve">disruption risks and to persistent, structurally embedded dependencies on third country</w:t>
      </w:r>
      <w:r>
        <w:t xml:space="preserve"> </w:t>
      </w:r>
      <w:r>
        <w:t xml:space="preserve">suppliers. In EDA, market concentration in US-jurisdiction providers and the limited</w:t>
      </w:r>
      <w:r>
        <w:t xml:space="preserve"> </w:t>
      </w:r>
      <w:r>
        <w:t xml:space="preserve">substitutability of interoperable tool suites constrain the Union’s strategic autonomy and</w:t>
      </w:r>
      <w:r>
        <w:t xml:space="preserve"> </w:t>
      </w:r>
      <w:r>
        <w:t xml:space="preserve">create exposure to potential extraterritorial measures. In materials, vulnerabilities span</w:t>
      </w:r>
      <w:r>
        <w:t xml:space="preserve"> </w:t>
      </w:r>
      <w:r>
        <w:t xml:space="preserve">upstream from critical raw materials with highly concentrated global production, through</w:t>
      </w:r>
      <w:r>
        <w:t xml:space="preserve"> </w:t>
      </w:r>
      <w:r>
        <w:t xml:space="preserve">compound semiconductor substrates and epiwafers where merchant capacity is limited and</w:t>
      </w:r>
      <w:r>
        <w:t xml:space="preserve"> </w:t>
      </w:r>
      <w:r>
        <w:t xml:space="preserve">regionally segmented, to ultra-high-purity gases and chemicals that are qualification-intensive</w:t>
      </w:r>
      <w:r>
        <w:t xml:space="preserve"> </w:t>
      </w:r>
      <w:r>
        <w:t xml:space="preserve">and therefore difficult to substitute at short notice. While selected European strengths exist,</w:t>
      </w:r>
      <w:r>
        <w:t xml:space="preserve"> </w:t>
      </w:r>
      <w:r>
        <w:t xml:space="preserve">they do not eliminate wider reliance on external supply bases for multiple process-critical</w:t>
      </w:r>
      <w:r>
        <w:t xml:space="preserve"> </w:t>
      </w:r>
      <w:r>
        <w:t xml:space="preserve">inputs, including those relevant to lithography.</w:t>
      </w:r>
      <w:r>
        <w:br/>
      </w:r>
      <w:r>
        <w:t xml:space="preserve">In manufactured inputs, design-specific and tightly qualified products such as photomasks and</w:t>
      </w:r>
      <w:r>
        <w:t xml:space="preserve"> </w:t>
      </w:r>
      <w:r>
        <w:t xml:space="preserve">advanced packaging materials exhibit pronounced single-point failure risks, reinforced by</w:t>
      </w:r>
      <w:r>
        <w:t xml:space="preserve"> </w:t>
      </w:r>
      <w:r>
        <w:t xml:space="preserve">high upstream concentration in certain enabling materials. In manufacturing equipment, the</w:t>
      </w:r>
      <w:r>
        <w:t xml:space="preserve"> </w:t>
      </w:r>
      <w:r>
        <w:t xml:space="preserve">Union’s strong position in lithography constitutes a strategic asset but is not matched by</w:t>
      </w:r>
      <w:r>
        <w:t xml:space="preserve"> </w:t>
      </w:r>
      <w:r>
        <w:t xml:space="preserve">comparable capability across the broader front-end tool ecosystem, while back-end segments</w:t>
      </w:r>
      <w:r>
        <w:t xml:space="preserve"> </w:t>
      </w:r>
      <w:r>
        <w:t xml:space="preserve">remain concentrated in non-EU suppliers. Overall, this configuration implies that a disruption</w:t>
      </w:r>
      <w:r>
        <w:t xml:space="preserve"> </w:t>
      </w:r>
      <w:r>
        <w:t xml:space="preserve">or restriction affecting a limited number of concentrated upstream inputs can propagate</w:t>
      </w:r>
      <w:r>
        <w:t xml:space="preserve"> </w:t>
      </w:r>
      <w:r>
        <w:t xml:space="preserve">rapidly across design, fabrication and packaging activities, with consequential impacts on</w:t>
      </w:r>
      <w:r>
        <w:t xml:space="preserve"> </w:t>
      </w:r>
      <w:r>
        <w:t xml:space="preserve">European industrial capacity, downstream users and broader resilience objectives.</w:t>
      </w:r>
      <w:r>
        <w:t xml:space="preserve"> </w:t>
      </w:r>
      <w:r>
        <w:t xml:space="preserve">2.1.2 P2: Insufficient crisis preparedness capabilities</w:t>
      </w:r>
      <w:r>
        <w:br/>
      </w:r>
      <w:r>
        <w:t xml:space="preserve">Since 2023, as will be elaborated on further in the problem drivers, geopolitical tensions have</w:t>
      </w:r>
      <w:r>
        <w:t xml:space="preserve"> </w:t>
      </w:r>
      <w:r>
        <w:t xml:space="preserve">increased and several events have highlighted the vulnerability of the EU’s semiconductor</w:t>
      </w:r>
      <w:r>
        <w:t xml:space="preserve"> </w:t>
      </w:r>
      <w:r>
        <w:t xml:space="preserve">supply chain – including export controls on critical raw materials, the now withdrawn AI</w:t>
      </w:r>
      <w:r>
        <w:t xml:space="preserve"> </w:t>
      </w:r>
      <w:r>
        <w:t xml:space="preserve">Diffusion Rules by the US (77) and the recent Nexperia case (78).</w:t>
      </w:r>
      <w:r>
        <w:t xml:space="preserve"> </w:t>
      </w:r>
      <w:r>
        <w:t xml:space="preserve">Despite the monitoring and crisis-response tools established under Pillar III of the Chips Act,</w:t>
      </w:r>
      <w:r>
        <w:t xml:space="preserve"> </w:t>
      </w:r>
      <w:r>
        <w:t xml:space="preserve">significant gaps remain in the Union’s ability to effectively address semiconductor supply</w:t>
      </w:r>
      <w:r>
        <w:t xml:space="preserve"> </w:t>
      </w:r>
      <w:r>
        <w:t xml:space="preserve">chain crises. The EU still lacks sufficiently developed mechanisms, tools and institutional</w:t>
      </w:r>
      <w:r>
        <w:t xml:space="preserve"> </w:t>
      </w:r>
      <w:r>
        <w:t xml:space="preserve">capacities to anticipate, assess and respond to disruptions in a timely and coordinated manner.</w:t>
      </w:r>
      <w:r>
        <w:t xml:space="preserve"> </w:t>
      </w:r>
      <w:r>
        <w:t xml:space="preserve">Evidence gathered in the evaluation of the Chips Act (79) suggests that to capture system-wide</w:t>
      </w:r>
      <w:r>
        <w:t xml:space="preserve"> </w:t>
      </w:r>
      <w:r>
        <w:t xml:space="preserve">risks, the scope of crisis response mechanisms needs to be extended to cover base materials,</w:t>
      </w:r>
    </w:p>
    <w:p>
      <w:pPr>
        <w:pStyle w:val="Compact"/>
        <w:numPr>
          <w:ilvl w:val="0"/>
          <w:numId w:val="1018"/>
        </w:numPr>
      </w:pPr>
      <w:r>
        <w:t xml:space="preserve">Federal Register: Framework for Artificial Intelligence Diffusion</w:t>
      </w:r>
    </w:p>
    <w:p>
      <w:pPr>
        <w:pStyle w:val="Compact"/>
        <w:numPr>
          <w:ilvl w:val="0"/>
          <w:numId w:val="1018"/>
        </w:numPr>
      </w:pPr>
      <w:r>
        <w:t xml:space="preserve">Minister of Economic Affairs invokes Goods Availability Act | News item | Government.nl</w:t>
      </w:r>
    </w:p>
    <w:p>
      <w:pPr>
        <w:pStyle w:val="Compact"/>
        <w:numPr>
          <w:ilvl w:val="0"/>
          <w:numId w:val="1018"/>
        </w:numPr>
      </w:pPr>
      <w:r>
        <w:t xml:space="preserve">During the evaluation, several interview partners and workshop participants considered the original design of</w:t>
      </w:r>
      <w:r>
        <w:t xml:space="preserve"> </w:t>
      </w:r>
      <w:r>
        <w:t xml:space="preserve">the Chips Act with its focus on front-end fabrication to be misaligned with the current vulnerabilities,</w:t>
      </w:r>
      <w:r>
        <w:t xml:space="preserve"> </w:t>
      </w:r>
      <w:r>
        <w:t xml:space="preserve">overlooking dependencies in substrates, specialty chemicals, advanced packaging, RF and power modules, PCBs</w:t>
      </w:r>
      <w:r>
        <w:t xml:space="preserve"> </w:t>
      </w:r>
      <w:r>
        <w:t xml:space="preserve">and EMS (see page 48 and 49 of the Evaluation report).</w:t>
      </w:r>
    </w:p>
    <w:p>
      <w:pPr>
        <w:pStyle w:val="FirstParagraph"/>
      </w:pPr>
      <w:r>
        <w:t xml:space="preserve">32</w:t>
      </w:r>
    </w:p>
    <w:p>
      <w:pPr>
        <w:pStyle w:val="BodyText"/>
      </w:pPr>
      <w:r>
        <w:t xml:space="preserve">substrates, materials, packaging, assembly, downstream electronics, and end-user industries.</w:t>
      </w:r>
      <w:r>
        <w:t xml:space="preserve"> </w:t>
      </w:r>
      <w:r>
        <w:t xml:space="preserve">Not including these elements allows vulnerabilities in the value chain to go unnoticed,</w:t>
      </w:r>
      <w:r>
        <w:t xml:space="preserve"> </w:t>
      </w:r>
      <w:r>
        <w:t xml:space="preserve">limiting the relevance of crisis response for downstream and end-user sectors, and eventually</w:t>
      </w:r>
      <w:r>
        <w:t xml:space="preserve"> </w:t>
      </w:r>
      <w:r>
        <w:t xml:space="preserve">customers (80). Outside a formally activated crisis, the Union currently has no binding</w:t>
      </w:r>
      <w:r>
        <w:t xml:space="preserve"> </w:t>
      </w:r>
      <w:r>
        <w:t xml:space="preserve">mechanism to gather information directly from undertakings, leaving the Commission without</w:t>
      </w:r>
      <w:r>
        <w:t xml:space="preserve"> </w:t>
      </w:r>
      <w:r>
        <w:t xml:space="preserve">the means to assess ad hoc supply chain situations, identify emerging bottlenecks, or monitor</w:t>
      </w:r>
      <w:r>
        <w:t xml:space="preserve"> </w:t>
      </w:r>
      <w:r>
        <w:t xml:space="preserve">dependencies in real time before they reach crisis activation thresholds.</w:t>
      </w:r>
      <w:r>
        <w:t xml:space="preserve"> </w:t>
      </w:r>
      <w:r>
        <w:t xml:space="preserve">The semiconductor value chain remains highly opaque and fragmented to public authorities,</w:t>
      </w:r>
      <w:r>
        <w:t xml:space="preserve"> </w:t>
      </w:r>
      <w:r>
        <w:t xml:space="preserve">and the lack of device-level data makes it difficult to understand and predict global and</w:t>
      </w:r>
      <w:r>
        <w:t xml:space="preserve"> </w:t>
      </w:r>
      <w:r>
        <w:t xml:space="preserve">European supply dynamics. Pillar III’s effectiveness is somewhat constrained by limited</w:t>
      </w:r>
      <w:r>
        <w:t xml:space="preserve"> </w:t>
      </w:r>
      <w:r>
        <w:t xml:space="preserve">Union level visibility into Europe’s semiconductor supply chains functioning and</w:t>
      </w:r>
      <w:r>
        <w:t xml:space="preserve"> </w:t>
      </w:r>
      <w:r>
        <w:t xml:space="preserve">resilience of their operations, thereby weakening crisis preparedness. Despite improved</w:t>
      </w:r>
      <w:r>
        <w:t xml:space="preserve"> </w:t>
      </w:r>
      <w:r>
        <w:t xml:space="preserve">coordination through the European Semiconductor Board (81) and initial early warning</w:t>
      </w:r>
      <w:r>
        <w:t xml:space="preserve"> </w:t>
      </w:r>
      <w:r>
        <w:t xml:space="preserve">measures, monitoring remains insufficiently integrated across value chain segments such as</w:t>
      </w:r>
      <w:r>
        <w:t xml:space="preserve"> </w:t>
      </w:r>
      <w:r>
        <w:t xml:space="preserve">materials, equipment, design tools, and downstream users (82). Fragmented data sets restrict</w:t>
      </w:r>
      <w:r>
        <w:t xml:space="preserve"> </w:t>
      </w:r>
      <w:r>
        <w:t xml:space="preserve">the Union’s ability to anticipate disruptions, leaving initiatives under Pillar III with only</w:t>
      </w:r>
      <w:r>
        <w:t xml:space="preserve"> </w:t>
      </w:r>
      <w:r>
        <w:t xml:space="preserve">partial system-level visibility.</w:t>
      </w:r>
      <w:r>
        <w:br/>
      </w:r>
      <w:r>
        <w:t xml:space="preserve">Work under the European Economic Security Strategy (83) illustrates the limitations of the</w:t>
      </w:r>
      <w:r>
        <w:t xml:space="preserve"> </w:t>
      </w:r>
      <w:r>
        <w:t xml:space="preserve">current system: as part of a risk assessment exercise (84), the Commission and Member States</w:t>
      </w:r>
      <w:r>
        <w:t xml:space="preserve"> </w:t>
      </w:r>
      <w:r>
        <w:t xml:space="preserve">attempted to assess vulnerabilities in the supply of advanced semiconductor technologies and</w:t>
      </w:r>
      <w:r>
        <w:t xml:space="preserve"> </w:t>
      </w:r>
      <w:r>
        <w:t xml:space="preserve">to gather data through surveys, workshops and interviews covering chip use, stock levels,</w:t>
      </w:r>
      <w:r>
        <w:t xml:space="preserve"> </w:t>
      </w:r>
      <w:r>
        <w:t xml:space="preserve">suppliers, customers and user industries. However, the information collected by the</w:t>
      </w:r>
      <w:r>
        <w:t xml:space="preserve"> </w:t>
      </w:r>
      <w:r>
        <w:t xml:space="preserve">Commission and Member States was limited since industrial stakeholders were not required</w:t>
      </w:r>
      <w:r>
        <w:t xml:space="preserve"> </w:t>
      </w:r>
      <w:r>
        <w:t xml:space="preserve">to provide data on a mandatory basis. As a result, the joint risk assessment could not deliver</w:t>
      </w:r>
      <w:r>
        <w:t xml:space="preserve"> </w:t>
      </w:r>
      <w:r>
        <w:t xml:space="preserve">the sufficiently detailed insight needed for a thorough understanding of the structure of the</w:t>
      </w:r>
      <w:r>
        <w:t xml:space="preserve"> </w:t>
      </w:r>
      <w:r>
        <w:t xml:space="preserve">supply chain, or for the identification of critical dependencies and potential bottlenecks.</w:t>
      </w:r>
      <w:r>
        <w:t xml:space="preserve"> </w:t>
      </w:r>
      <w:r>
        <w:t xml:space="preserve">Given the global nature of semiconductor supply chains, no single Member State can</w:t>
      </w:r>
      <w:r>
        <w:t xml:space="preserve"> </w:t>
      </w:r>
      <w:r>
        <w:t xml:space="preserve">obtain on its own the insights needed to assess risks or manage disruptions. Supply</w:t>
      </w:r>
      <w:r>
        <w:t xml:space="preserve"> </w:t>
      </w:r>
      <w:r>
        <w:t xml:space="preserve">chains naturally involve cross-border dependencies, which means that national monitoring</w:t>
      </w:r>
      <w:r>
        <w:t xml:space="preserve"> </w:t>
      </w:r>
      <w:r>
        <w:t xml:space="preserve">systems would be unable to address systemic EU risks creating potential blind spots and gaps</w:t>
      </w:r>
      <w:r>
        <w:t xml:space="preserve"> </w:t>
      </w:r>
      <w:r>
        <w:t xml:space="preserve">in the data. Analysis of the Nexperia case has shown impacts in the automotive sector of</w:t>
      </w:r>
      <w:r>
        <w:t xml:space="preserve"> </w:t>
      </w:r>
      <w:r>
        <w:t xml:space="preserve">several different Member States (85).</w:t>
      </w:r>
      <w:r>
        <w:t xml:space="preserve"> </w:t>
      </w:r>
      <w:r>
        <w:t xml:space="preserve">Overall, in the absence of enhanced monitoring capacities and crisis preparedness measures,</w:t>
      </w:r>
      <w:r>
        <w:t xml:space="preserve"> </w:t>
      </w:r>
      <w:r>
        <w:t xml:space="preserve">the Union is unable to better anticipate disruptions, assess risks, coordinate responses and</w:t>
      </w:r>
      <w:r>
        <w:t xml:space="preserve"> </w:t>
      </w:r>
      <w:r>
        <w:t xml:space="preserve">does not possess adequate tools to mitigate the impact of future crises.</w:t>
      </w:r>
    </w:p>
    <w:p>
      <w:pPr>
        <w:pStyle w:val="Compact"/>
        <w:numPr>
          <w:ilvl w:val="0"/>
          <w:numId w:val="1019"/>
        </w:numPr>
      </w:pPr>
      <w:r>
        <w:t xml:space="preserve">Annex 2</w:t>
      </w:r>
    </w:p>
    <w:p>
      <w:pPr>
        <w:pStyle w:val="Compact"/>
        <w:numPr>
          <w:ilvl w:val="0"/>
          <w:numId w:val="1019"/>
        </w:numPr>
      </w:pPr>
      <w:r>
        <w:t xml:space="preserve">Register of Commission expert groups and other similar entities</w:t>
      </w:r>
    </w:p>
    <w:p>
      <w:pPr>
        <w:pStyle w:val="Compact"/>
        <w:numPr>
          <w:ilvl w:val="0"/>
          <w:numId w:val="1019"/>
        </w:numPr>
      </w:pPr>
      <w:r>
        <w:t xml:space="preserve">Annex 2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Press corner | European Commission – An EU approach to enhance economic security.</w:t>
      </w:r>
    </w:p>
    <w:p>
      <w:pPr>
        <w:pStyle w:val="Compact"/>
        <w:numPr>
          <w:ilvl w:val="0"/>
          <w:numId w:val="1019"/>
        </w:numPr>
      </w:pPr>
      <w:r>
        <w:t xml:space="preserve">Communication on European economic security.pdf</w:t>
      </w:r>
    </w:p>
    <w:p>
      <w:pPr>
        <w:pStyle w:val="Compact"/>
        <w:numPr>
          <w:ilvl w:val="0"/>
          <w:numId w:val="1019"/>
        </w:numPr>
      </w:pPr>
      <w:r>
        <w:t xml:space="preserve">Europe’s carmakers face ‘devastating’ chip crisis as Nexperia supply crunch continues</w:t>
      </w:r>
    </w:p>
    <w:p>
      <w:pPr>
        <w:pStyle w:val="FirstParagraph"/>
      </w:pPr>
      <w:r>
        <w:t xml:space="preserve">33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What are the consequences?</w:t>
      </w:r>
      <w:r>
        <w:t xml:space="preserve"> </w:t>
      </w:r>
      <w:r>
        <w:t xml:space="preserve">The aforementioned challenges provoke considerable economic costs that come from</w:t>
      </w:r>
      <w:r>
        <w:t xml:space="preserve"> </w:t>
      </w:r>
      <w:r>
        <w:t xml:space="preserve">dependence and a lack of resilience.</w:t>
      </w:r>
      <w:r>
        <w:br/>
      </w:r>
      <w:r>
        <w:t xml:space="preserve">As the EU becomes increasingly reliant on foreign semiconductor supplies, it grows more</w:t>
      </w:r>
      <w:r>
        <w:t xml:space="preserve"> </w:t>
      </w:r>
      <w:r>
        <w:t xml:space="preserve">vulnerable to external coercion and risks a potential ‘weaponisation’ of its supply chain</w:t>
      </w:r>
      <w:r>
        <w:t xml:space="preserve"> </w:t>
      </w:r>
      <w:r>
        <w:t xml:space="preserve">dependencies. Without a strong industrial base in semiconductor design and manufacturing,</w:t>
      </w:r>
      <w:r>
        <w:t xml:space="preserve"> </w:t>
      </w:r>
      <w:r>
        <w:t xml:space="preserve">the EU will not capitalise on its strong R&amp;D ecosystem through productivity gains and the</w:t>
      </w:r>
      <w:r>
        <w:t xml:space="preserve"> </w:t>
      </w:r>
      <w:r>
        <w:t xml:space="preserve">industrialisation of research.</w:t>
      </w:r>
      <w:r>
        <w:t xml:space="preserve"> </w:t>
      </w:r>
      <w:r>
        <w:t xml:space="preserve">User industries in the EU face significant uncertainties in their supply chains, leading to</w:t>
      </w:r>
      <w:r>
        <w:t xml:space="preserve"> </w:t>
      </w:r>
      <w:r>
        <w:t xml:space="preserve">increased inventories and reduced investment which render manufacturing in the EU less</w:t>
      </w:r>
      <w:r>
        <w:t xml:space="preserve"> </w:t>
      </w:r>
      <w:r>
        <w:t xml:space="preserve">competitive. Moreover, supply chain dependencies expose the EU to heightened geopolitical</w:t>
      </w:r>
      <w:r>
        <w:t xml:space="preserve"> </w:t>
      </w:r>
      <w:r>
        <w:t xml:space="preserve">and security risks, particularly in crisis scenarios where access to critical technologies may be</w:t>
      </w:r>
      <w:r>
        <w:t xml:space="preserve"> </w:t>
      </w:r>
      <w:r>
        <w:t xml:space="preserve">restricted or prioritised elsewhere. They may also affect the EU’s autonomy in security and</w:t>
      </w:r>
      <w:r>
        <w:t xml:space="preserve"> </w:t>
      </w:r>
      <w:r>
        <w:t xml:space="preserve">defence, with the defence industry unable to secure reliable access to vital electronic</w:t>
      </w:r>
      <w:r>
        <w:t xml:space="preserve"> </w:t>
      </w:r>
      <w:r>
        <w:t xml:space="preserve">components, undermining long-term strategic autonomy and the credibility of EU policy</w:t>
      </w:r>
      <w:r>
        <w:t xml:space="preserve"> </w:t>
      </w:r>
      <w:r>
        <w:t xml:space="preserve">commitments.</w:t>
      </w:r>
      <w:r>
        <w:t xml:space="preserve"> </w:t>
      </w:r>
      <w:r>
        <w:t xml:space="preserve">In summary, persistent dependence on non-EU semiconductor technologies constrains the</w:t>
      </w:r>
      <w:r>
        <w:t xml:space="preserve"> </w:t>
      </w:r>
      <w:r>
        <w:t xml:space="preserve">EU’s ability to exercise technological sovereignty, limiting its control over critical standards,</w:t>
      </w:r>
      <w:r>
        <w:t xml:space="preserve"> </w:t>
      </w:r>
      <w:r>
        <w:t xml:space="preserve">architectures, and its ability to shape future innovation pathways. Even with the investments</w:t>
      </w:r>
      <w:r>
        <w:t xml:space="preserve"> </w:t>
      </w:r>
      <w:r>
        <w:t xml:space="preserve">triggered by the Chips Act, critical gaps remain which hamper the development of crucial</w:t>
      </w:r>
      <w:r>
        <w:t xml:space="preserve"> </w:t>
      </w:r>
      <w:r>
        <w:t xml:space="preserve">infrastructure such as AI datacentres.</w:t>
      </w:r>
      <w:r>
        <w:br/>
      </w:r>
      <w:r>
        <w:t xml:space="preserve">2.3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problems described above emerge from a mixture of external drivers, structural</w:t>
      </w:r>
      <w:r>
        <w:t xml:space="preserve"> </w:t>
      </w:r>
      <w:r>
        <w:t xml:space="preserve">weaknesses of the European semiconductor sector, and the general framework for doing</w:t>
      </w:r>
      <w:r>
        <w:t xml:space="preserve"> </w:t>
      </w:r>
      <w:r>
        <w:t xml:space="preserve">business in the EU which affect the competitiveness of the semiconductor industry.</w:t>
      </w:r>
      <w:r>
        <w:t xml:space="preserve"> </w:t>
      </w:r>
      <w:r>
        <w:t xml:space="preserve">2.3.1 PD1: Geopolitical tensions leading to disruptions and weaponisation of</w:t>
      </w:r>
      <w:r>
        <w:t xml:space="preserve"> </w:t>
      </w:r>
      <w:r>
        <w:t xml:space="preserve">semiconductor supply chains</w:t>
      </w:r>
      <w:r>
        <w:t xml:space="preserve"> </w:t>
      </w:r>
      <w:r>
        <w:t xml:space="preserve">Amid rising geopolitical tensions, semiconductors have become a strategic technology,</w:t>
      </w:r>
      <w:r>
        <w:t xml:space="preserve"> </w:t>
      </w:r>
      <w:r>
        <w:t xml:space="preserve">driving heightened global competition and prompting third countries to adopt increasingly</w:t>
      </w:r>
      <w:r>
        <w:t xml:space="preserve"> </w:t>
      </w:r>
      <w:r>
        <w:t xml:space="preserve">aggressive industrial and trade policies across the semiconductor value chain and its end</w:t>
      </w:r>
      <w:r>
        <w:t xml:space="preserve"> </w:t>
      </w:r>
      <w:r>
        <w:t xml:space="preserve">markets. While geopolitical tensions predate the adoption of the first Chips Act, a notable</w:t>
      </w:r>
      <w:r>
        <w:t xml:space="preserve"> </w:t>
      </w:r>
      <w:r>
        <w:t xml:space="preserve">shift since its entry into force has been the sustained weaponisation of the supply chain.</w:t>
      </w:r>
      <w:r>
        <w:t xml:space="preserve"> </w:t>
      </w:r>
      <w:r>
        <w:t xml:space="preserve">Furthermore, an escalation in hostilities can have an indirect impact on trade flows of</w:t>
      </w:r>
      <w:r>
        <w:t xml:space="preserve"> </w:t>
      </w:r>
      <w:r>
        <w:t xml:space="preserve">semiconductors due to shocks on logistics.</w:t>
      </w:r>
      <w:r>
        <w:br/>
      </w:r>
      <w:r>
        <w:t xml:space="preserve">As the semiconductor industry takes a more central role in economic security policy</w:t>
      </w:r>
      <w:r>
        <w:t xml:space="preserve"> </w:t>
      </w:r>
      <w:r>
        <w:t xml:space="preserve">considerations worldwide, governments increasingly view secure access to semiconductors as</w:t>
      </w:r>
      <w:r>
        <w:t xml:space="preserve"> </w:t>
      </w:r>
      <w:r>
        <w:t xml:space="preserve">a prerequisite for technological leadership, industrial competitiveness, national security and</w:t>
      </w:r>
      <w:r>
        <w:t xml:space="preserve"> </w:t>
      </w:r>
      <w:r>
        <w:t xml:space="preserve">resilience. This shift has translated into a marked escalation in State intervention in the</w:t>
      </w:r>
      <w:r>
        <w:t xml:space="preserve"> </w:t>
      </w:r>
      <w:r>
        <w:t xml:space="preserve">industry, which is now being felt more acutely since the adoption of various laws and subsidy</w:t>
      </w:r>
      <w:r>
        <w:t xml:space="preserve"> </w:t>
      </w:r>
      <w:r>
        <w:t xml:space="preserve">schemes in all major semiconductor producing regions.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At the heart of the geopolitical dimension of the semiconductor industry is Taiwan that</w:t>
      </w:r>
      <w:r>
        <w:t xml:space="preserve"> </w:t>
      </w:r>
      <w:r>
        <w:t xml:space="preserve">produces over 90% of the most advanced logic semiconductors, with its most prominent</w:t>
      </w:r>
      <w:r>
        <w:t xml:space="preserve"> </w:t>
      </w:r>
      <w:r>
        <w:t xml:space="preserve">company TSMC being the leader in semiconductor foundry services, holding 67% of the</w:t>
      </w:r>
      <w:r>
        <w:t xml:space="preserve"> </w:t>
      </w:r>
      <w:r>
        <w:t xml:space="preserve">global market share in Q4 2024.(86) Taiwan is also an important source of mature-</w:t>
      </w:r>
      <w:r>
        <w:t xml:space="preserve"> </w:t>
      </w:r>
      <w:r>
        <w:t xml:space="preserve">semiconductors, chip design and packaging.</w:t>
      </w:r>
      <w:r>
        <w:br/>
      </w:r>
      <w:r>
        <w:t xml:space="preserve">Furthermore, rising frictions in the South China Sea over conflicting territorial claims also</w:t>
      </w:r>
      <w:r>
        <w:t xml:space="preserve"> </w:t>
      </w:r>
      <w:r>
        <w:t xml:space="preserve">raise the risk of potential blockades and major disruptions. If a conflict were to materialise,</w:t>
      </w:r>
      <w:r>
        <w:t xml:space="preserve"> </w:t>
      </w:r>
      <w:r>
        <w:t xml:space="preserve">this could result in a severe shortage of a broad range of semiconductors for EU companies,</w:t>
      </w:r>
      <w:r>
        <w:t xml:space="preserve"> </w:t>
      </w:r>
      <w:r>
        <w:t xml:space="preserve">including the disruption or loss of access to advanced semiconductors such as AI chips and</w:t>
      </w:r>
      <w:r>
        <w:t xml:space="preserve"> </w:t>
      </w:r>
      <w:r>
        <w:t xml:space="preserve">could lead to an estimated global GDP loss in the order of 10%. (87)</w:t>
      </w:r>
      <w:r>
        <w:t xml:space="preserve"> </w:t>
      </w:r>
      <w:r>
        <w:t xml:space="preserve">Against this backdrop, the US, China, Japan and South Korea have each introduced</w:t>
      </w:r>
      <w:r>
        <w:t xml:space="preserve"> </w:t>
      </w:r>
      <w:r>
        <w:t xml:space="preserve">substantial support schemes for the semiconductor industry, such as subsidy programmes and</w:t>
      </w:r>
      <w:r>
        <w:t xml:space="preserve"> </w:t>
      </w:r>
      <w:r>
        <w:t xml:space="preserve">tax incentives, aimed at expanding domestic advanced manufacturing capacity and design.</w:t>
      </w:r>
      <w:r>
        <w:t xml:space="preserve"> </w:t>
      </w:r>
      <w:r>
        <w:t xml:space="preserve">Both the US and China have implemented or explored restrictive trade measures, including</w:t>
      </w:r>
      <w:r>
        <w:t xml:space="preserve"> </w:t>
      </w:r>
      <w:r>
        <w:t xml:space="preserve">export controls on advanced chips and related technologies. These policies indicate a broader</w:t>
      </w:r>
      <w:r>
        <w:t xml:space="preserve"> </w:t>
      </w:r>
      <w:r>
        <w:t xml:space="preserve">move towards more state involvement in the management of semiconductor supply chains and</w:t>
      </w:r>
      <w:r>
        <w:t xml:space="preserve"> </w:t>
      </w:r>
      <w:r>
        <w:t xml:space="preserve">reflect a growing recognition of their geopolitical and economic significance.</w:t>
      </w:r>
      <w:r>
        <w:t xml:space="preserve"> </w:t>
      </w:r>
      <w:r>
        <w:t xml:space="preserve">The absence of coordinated funding by the Union and Member States limits the possibility for</w:t>
      </w:r>
      <w:r>
        <w:t xml:space="preserve"> </w:t>
      </w:r>
      <w:r>
        <w:t xml:space="preserve">EU-level policy steer of project selection, to align investments with identified European</w:t>
      </w:r>
      <w:r>
        <w:t xml:space="preserve"> </w:t>
      </w:r>
      <w:r>
        <w:t xml:space="preserve">dependencies and ensure complementarity of investments. In a public consultation, interview</w:t>
      </w:r>
      <w:r>
        <w:t xml:space="preserve"> </w:t>
      </w:r>
      <w:r>
        <w:t xml:space="preserve">partners and workshop participants also pointed to room for improvement in terms of</w:t>
      </w:r>
      <w:r>
        <w:t xml:space="preserve"> </w:t>
      </w:r>
      <w:r>
        <w:t xml:space="preserve">coordination processes between the EU and national levels (88).</w:t>
      </w:r>
      <w:r>
        <w:br/>
      </w:r>
      <w:r>
        <w:t xml:space="preserve">This subsidy race is drastically increasing manufacturing capacity worldwide, as</w:t>
      </w:r>
      <w:r>
        <w:t xml:space="preserve"> </w:t>
      </w:r>
      <w:r>
        <w:t xml:space="preserve">Governments compete to attract new fabs and expand existing ones through massive public</w:t>
      </w:r>
      <w:r>
        <w:t xml:space="preserve"> </w:t>
      </w:r>
      <w:r>
        <w:t xml:space="preserve">support packages. The result is a wave of capacity announcements that risks creating global</w:t>
      </w:r>
      <w:r>
        <w:t xml:space="preserve"> </w:t>
      </w:r>
      <w:r>
        <w:t xml:space="preserve">overcapacities in mature and mainstream chips, intensifying price competition and further</w:t>
      </w:r>
      <w:r>
        <w:t xml:space="preserve"> </w:t>
      </w:r>
      <w:r>
        <w:t xml:space="preserve">distorting the global level playing field, placing European semiconductor firms at a</w:t>
      </w:r>
      <w:r>
        <w:t xml:space="preserve"> </w:t>
      </w:r>
      <w:r>
        <w:t xml:space="preserve">competitive disadvantage (89).</w:t>
      </w:r>
      <w:r>
        <w:t xml:space="preserve"> </w:t>
      </w:r>
      <w:r>
        <w:t xml:space="preserve">Furthermore, from a trade policy perspective, the ongoing geopolitical competition has</w:t>
      </w:r>
      <w:r>
        <w:t xml:space="preserve"> </w:t>
      </w:r>
      <w:r>
        <w:t xml:space="preserve">resulted in disruptions to open, rules-based trade, which has been starkly felt by the</w:t>
      </w:r>
      <w:r>
        <w:t xml:space="preserve"> </w:t>
      </w:r>
      <w:r>
        <w:t xml:space="preserve">semiconductor industry. The withdrawn US Framework for Artificial Intelligence Diffusion</w:t>
      </w:r>
      <w:r>
        <w:t xml:space="preserve"> </w:t>
      </w:r>
      <w:r>
        <w:t xml:space="preserve">illustrate how technological dependency exposes the EU to supply chain vulnerabilities and</w:t>
      </w:r>
      <w:r>
        <w:t xml:space="preserve"> </w:t>
      </w:r>
      <w:r>
        <w:t xml:space="preserve">risks of economic coercion. Such a policy would have consequently fragmented the internal</w:t>
      </w:r>
      <w:r>
        <w:t xml:space="preserve"> </w:t>
      </w:r>
      <w:r>
        <w:t xml:space="preserve">market into Tier 1 and Tier 2 classes and resulted in certain Member States having</w:t>
      </w:r>
      <w:r>
        <w:t xml:space="preserve"> </w:t>
      </w:r>
      <w:r>
        <w:t xml:space="preserve">constrained access to AI chips and systems (90). This illustrates how the weaponisation of</w:t>
      </w:r>
    </w:p>
    <w:p>
      <w:pPr>
        <w:pStyle w:val="Compact"/>
        <w:numPr>
          <w:ilvl w:val="0"/>
          <w:numId w:val="1020"/>
        </w:numPr>
      </w:pPr>
      <w:r>
        <w:t xml:space="preserve">Annex 4.2 and 5.2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Annex 4.2 and 5.2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Annex 4.2 and 5.2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Beyond overcapacity: Chinese-style modernization and the clash of economic models | Merics</w:t>
      </w:r>
    </w:p>
    <w:p>
      <w:pPr>
        <w:pStyle w:val="Compact"/>
        <w:numPr>
          <w:ilvl w:val="0"/>
          <w:numId w:val="1020"/>
        </w:numPr>
      </w:pPr>
      <w:r>
        <w:t xml:space="preserve">Joint Statement by Executive Vice-President Henna Virkkunen and Commissioner Maroš Šefčovič |</w:t>
      </w:r>
      <w:r>
        <w:t xml:space="preserve"> </w:t>
      </w:r>
      <w:r>
        <w:t xml:space="preserve">European Commission</w:t>
      </w:r>
    </w:p>
    <w:p>
      <w:pPr>
        <w:pStyle w:val="FirstParagraph"/>
      </w:pPr>
      <w:r>
        <w:t xml:space="preserve">35</w:t>
      </w:r>
    </w:p>
    <w:p>
      <w:pPr>
        <w:pStyle w:val="BodyText"/>
      </w:pPr>
      <w:r>
        <w:t xml:space="preserve">export controls as geopolitical tools can lead to concrete risks for security and</w:t>
      </w:r>
      <w:r>
        <w:t xml:space="preserve"> </w:t>
      </w:r>
      <w:r>
        <w:t xml:space="preserve">competitiveness.</w:t>
      </w:r>
      <w:r>
        <w:br/>
      </w:r>
      <w:r>
        <w:t xml:space="preserve">Conversely, recent restrictions from China on exports of gallium and germanium (91) risked</w:t>
      </w:r>
      <w:r>
        <w:t xml:space="preserve"> </w:t>
      </w:r>
      <w:r>
        <w:t xml:space="preserve">undermining the production of vital power electronics components, RF and communications</w:t>
      </w:r>
      <w:r>
        <w:t xml:space="preserve"> </w:t>
      </w:r>
      <w:r>
        <w:t xml:space="preserve">equipment and optoelectronic devices, which are also European strengths. The interruption in</w:t>
      </w:r>
      <w:r>
        <w:t xml:space="preserve"> </w:t>
      </w:r>
      <w:r>
        <w:t xml:space="preserve">supply of electronic components from Nexperia has illustrated how in the current context,</w:t>
      </w:r>
      <w:r>
        <w:t xml:space="preserve"> </w:t>
      </w:r>
      <w:r>
        <w:t xml:space="preserve">dependencies even in mature technologies can disrupt European user industries, particularly</w:t>
      </w:r>
      <w:r>
        <w:t xml:space="preserve"> </w:t>
      </w:r>
      <w:r>
        <w:t xml:space="preserve">the automotive sector.</w:t>
      </w:r>
      <w:r>
        <w:t xml:space="preserve"> </w:t>
      </w:r>
      <w:r>
        <w:t xml:space="preserve">2.3.2 PD2: Underdeveloped European semiconductor design and manufacturing</w:t>
      </w:r>
      <w:r>
        <w:t xml:space="preserve"> </w:t>
      </w:r>
      <w:r>
        <w:t xml:space="preserve">capabilities</w:t>
      </w:r>
      <w:r>
        <w:t xml:space="preserve"> </w:t>
      </w:r>
      <w:r>
        <w:t xml:space="preserve">Compared to the Union’s share of global economic activity, the semiconductor industry in the</w:t>
      </w:r>
      <w:r>
        <w:t xml:space="preserve"> </w:t>
      </w:r>
      <w:r>
        <w:t xml:space="preserve">EU remains underdeveloped in both design and manufacturing, limiting Europe’s ability to</w:t>
      </w:r>
      <w:r>
        <w:t xml:space="preserve"> </w:t>
      </w:r>
      <w:r>
        <w:t xml:space="preserve">compete in high-growth segments and increases its dependence on third countries for critical</w:t>
      </w:r>
      <w:r>
        <w:t xml:space="preserve"> </w:t>
      </w:r>
      <w:r>
        <w:t xml:space="preserve">technologies.</w:t>
      </w:r>
      <w:r>
        <w:t xml:space="preserve"> </w:t>
      </w:r>
      <w:r>
        <w:t xml:space="preserve">When it comes to design, BCG–SIA estimates indicate that the design stage captures over</w:t>
      </w:r>
      <w:r>
        <w:t xml:space="preserve"> </w:t>
      </w:r>
      <w:r>
        <w:t xml:space="preserve">50% of total value-added in the semiconductor value chain. Yet, the EU has a limited</w:t>
      </w:r>
      <w:r>
        <w:t xml:space="preserve"> </w:t>
      </w:r>
      <w:r>
        <w:t xml:space="preserve">number of fabless companies and none in the top 40 in terms of revenues, with the European</w:t>
      </w:r>
      <w:r>
        <w:t xml:space="preserve"> </w:t>
      </w:r>
      <w:r>
        <w:t xml:space="preserve">market share being less than 1% (92). The EU commands only a very small share of the</w:t>
      </w:r>
      <w:r>
        <w:t xml:space="preserve"> </w:t>
      </w:r>
      <w:r>
        <w:t xml:space="preserve">global design talent pool, with roughly 4% of the worldwide design workforce. This critical</w:t>
      </w:r>
      <w:r>
        <w:t xml:space="preserve"> </w:t>
      </w:r>
      <w:r>
        <w:t xml:space="preserve">bottleneck in human capital severely limits the EU’s ability to capture value in the highest-</w:t>
      </w:r>
      <w:r>
        <w:t xml:space="preserve"> </w:t>
      </w:r>
      <w:r>
        <w:t xml:space="preserve">growth segments.</w:t>
      </w:r>
      <w:r>
        <w:br/>
      </w:r>
      <w:r>
        <w:t xml:space="preserve">The EU’s position is set to diminish further as the share of European design starts is projected</w:t>
      </w:r>
      <w:r>
        <w:t xml:space="preserve"> </w:t>
      </w:r>
      <w:r>
        <w:t xml:space="preserve">to fall further by the end of the decade from 14.72% in 2018 to 11.75% in 2030 (93).</w:t>
      </w:r>
      <w:r>
        <w:t xml:space="preserve"> </w:t>
      </w:r>
      <w:r>
        <w:t xml:space="preserve">Furthermore, chip design requires the use of tools and IP originating mostly from US</w:t>
      </w:r>
      <w:r>
        <w:t xml:space="preserve"> </w:t>
      </w:r>
      <w:r>
        <w:t xml:space="preserve">companies. Consequently, European chipmakers rely on US-origin IP and software that are</w:t>
      </w:r>
      <w:r>
        <w:t xml:space="preserve"> </w:t>
      </w:r>
      <w:r>
        <w:t xml:space="preserve">subject to export licenses whose terms are set by third countries. This critical dependency</w:t>
      </w:r>
      <w:r>
        <w:t xml:space="preserve"> </w:t>
      </w:r>
      <w:r>
        <w:t xml:space="preserve">underscores the importance of Union-level action in the field of EDA and IP.</w:t>
      </w:r>
      <w:r>
        <w:br/>
      </w:r>
      <w:r>
        <w:t xml:space="preserve">The Union’s semiconductor industry is also shaped by the long-standing predominance of</w:t>
      </w:r>
      <w:r>
        <w:t xml:space="preserve"> </w:t>
      </w:r>
      <w:r>
        <w:t xml:space="preserve">IDMs who design and manufacture chips, focusing mostly on analogue and mixed-signal</w:t>
      </w:r>
      <w:r>
        <w:t xml:space="preserve"> </w:t>
      </w:r>
      <w:r>
        <w:t xml:space="preserve">chips, microcontrollers and custom logic in mainstream technology nodes. In fact, IDMs</w:t>
      </w:r>
      <w:r>
        <w:t xml:space="preserve"> </w:t>
      </w:r>
      <w:r>
        <w:t xml:space="preserve">account for roughly 97% of the EU’s semiconductor manufacturing revenue. Their vertically</w:t>
      </w:r>
      <w:r>
        <w:t xml:space="preserve"> </w:t>
      </w:r>
      <w:r>
        <w:t xml:space="preserve">integrated model has historically aligned well with European end-markets, particularly</w:t>
      </w:r>
      <w:r>
        <w:t xml:space="preserve"> </w:t>
      </w:r>
      <w:r>
        <w:t xml:space="preserve">automotive and industrial automation. However, this approach has its limitations and becomes</w:t>
      </w:r>
      <w:r>
        <w:t xml:space="preserve"> </w:t>
      </w:r>
      <w:r>
        <w:t xml:space="preserve">unsustainable at more leading-edge technologies, explaining a global industry shift towards</w:t>
      </w:r>
      <w:r>
        <w:t xml:space="preserve"> </w:t>
      </w:r>
      <w:r>
        <w:t xml:space="preserve">the fabless-foundry model, with firms specialising in either design or manufacturing due to</w:t>
      </w:r>
    </w:p>
    <w:p>
      <w:pPr>
        <w:pStyle w:val="Compact"/>
        <w:numPr>
          <w:ilvl w:val="0"/>
          <w:numId w:val="1021"/>
        </w:numPr>
      </w:pPr>
      <w:r>
        <w:t xml:space="preserve">China gallium, germanium export curbs kick in; wait for permits starts | Reuters</w:t>
      </w:r>
    </w:p>
    <w:p>
      <w:pPr>
        <w:pStyle w:val="Compact"/>
        <w:numPr>
          <w:ilvl w:val="0"/>
          <w:numId w:val="1021"/>
        </w:numPr>
      </w:pPr>
      <w:r>
        <w:t xml:space="preserve">IDC, Semiconductors market data by feature size, sector and region, CNECT/2022/MVP/0084 – Second</w:t>
      </w:r>
      <w:r>
        <w:t xml:space="preserve"> </w:t>
      </w:r>
      <w:r>
        <w:t xml:space="preserve">Interim Report.</w:t>
      </w:r>
    </w:p>
    <w:p>
      <w:pPr>
        <w:pStyle w:val="Compact"/>
        <w:numPr>
          <w:ilvl w:val="0"/>
          <w:numId w:val="1021"/>
        </w:numPr>
      </w:pPr>
      <w:r>
        <w:t xml:space="preserve">IBS, Global Semiconductor Industry Service 2023 – Second in-depth analysis report.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high costs. This model has become the dominant configuration for advanced logic and high-</w:t>
      </w:r>
      <w:r>
        <w:t xml:space="preserve"> </w:t>
      </w:r>
      <w:r>
        <w:t xml:space="preserve">performance chips.</w:t>
      </w:r>
      <w:r>
        <w:br/>
      </w:r>
      <w:r>
        <w:t xml:space="preserve">Therefore, in a context where the EU’s fabless ecosystem is underdeveloped, there is limited</w:t>
      </w:r>
      <w:r>
        <w:t xml:space="preserve"> </w:t>
      </w:r>
      <w:r>
        <w:t xml:space="preserve">market incentive for foundries to deploy manufacturing capacity in the EU. This is</w:t>
      </w:r>
      <w:r>
        <w:t xml:space="preserve"> </w:t>
      </w:r>
      <w:r>
        <w:t xml:space="preserve">particularly the case for leading-edge semiconductors that are vital for AI chips utilised in AI</w:t>
      </w:r>
      <w:r>
        <w:t xml:space="preserve"> </w:t>
      </w:r>
      <w:r>
        <w:t xml:space="preserve">gigafactories and factories, but also other lead markets and applications as explained above.</w:t>
      </w:r>
      <w:r>
        <w:t xml:space="preserve"> </w:t>
      </w:r>
      <w:r>
        <w:t xml:space="preserve">Without a dense cluster of design firms generating consistent, high-value tape-outs, the</w:t>
      </w:r>
      <w:r>
        <w:t xml:space="preserve"> </w:t>
      </w:r>
      <w:r>
        <w:t xml:space="preserve">business case for locating cutting-edge fabs in the Union remains weak. Foundries follow the</w:t>
      </w:r>
      <w:r>
        <w:t xml:space="preserve"> </w:t>
      </w:r>
      <w:r>
        <w:t xml:space="preserve">gravity of demand: where design pipelines are active, risky and expensive nodes become</w:t>
      </w:r>
      <w:r>
        <w:t xml:space="preserve"> </w:t>
      </w:r>
      <w:r>
        <w:t xml:space="preserve">commercially viable. Where those pipelines are sparse or fragmented, even generous public</w:t>
      </w:r>
      <w:r>
        <w:t xml:space="preserve"> </w:t>
      </w:r>
      <w:r>
        <w:t xml:space="preserve">incentives struggle to outweigh the lack of a sustained customer base.</w:t>
      </w:r>
      <w:r>
        <w:t xml:space="preserve"> </w:t>
      </w:r>
      <w:r>
        <w:t xml:space="preserve">In 2023, according to estimates by International Data Corporation (IDC), the EU had 8.1% of</w:t>
      </w:r>
      <w:r>
        <w:t xml:space="preserve"> </w:t>
      </w:r>
      <w:r>
        <w:t xml:space="preserve">global front-end manufacturing capacity, a share projected to remain constant until 2030 (94).</w:t>
      </w:r>
      <w:r>
        <w:t xml:space="preserve"> </w:t>
      </w:r>
      <w:r>
        <w:t xml:space="preserve">When analysing this front-end footprint, one can see that here the EU has limited leading-</w:t>
      </w:r>
      <w:r>
        <w:t xml:space="preserve"> </w:t>
      </w:r>
      <w:r>
        <w:t xml:space="preserve">edge capacity - which is all attributable to the Intel fab in Leixlip (Ireland), and sub-optimal</w:t>
      </w:r>
      <w:r>
        <w:t xml:space="preserve"> </w:t>
      </w:r>
      <w:r>
        <w:t xml:space="preserve">levels of capacity for mainstream and legacy nodes. In back-end manufacturing, the EU</w:t>
      </w:r>
      <w:r>
        <w:t xml:space="preserve"> </w:t>
      </w:r>
      <w:r>
        <w:t xml:space="preserve">largely relies on facilities in South-East Asia and European industry only keeps a small</w:t>
      </w:r>
      <w:r>
        <w:t xml:space="preserve"> </w:t>
      </w:r>
      <w:r>
        <w:t xml:space="preserve">manufacturing footprint in the EU.</w:t>
      </w:r>
      <w:r>
        <w:br/>
      </w:r>
      <w:r>
        <w:t xml:space="preserve">The current industrial structure is shaped by the needs of the EU’s main industrial sectors, in</w:t>
      </w:r>
      <w:r>
        <w:t xml:space="preserve"> </w:t>
      </w:r>
      <w:r>
        <w:t xml:space="preserve">particular automotive and industrial automation. Here, production is largely focused on more</w:t>
      </w:r>
      <w:r>
        <w:t xml:space="preserve"> </w:t>
      </w:r>
      <w:r>
        <w:t xml:space="preserve">mature technologies such as sensors, microcontrollers and analogue circuitry, which while</w:t>
      </w:r>
      <w:r>
        <w:t xml:space="preserve"> </w:t>
      </w:r>
      <w:r>
        <w:t xml:space="preserve">crucial, are largely lower-margin and are generally more sensitive to the cyclicality of the</w:t>
      </w:r>
      <w:r>
        <w:t xml:space="preserve"> </w:t>
      </w:r>
      <w:r>
        <w:t xml:space="preserve">industry. When it comes to higher value-added segments of semiconductor manufacturing and</w:t>
      </w:r>
      <w:r>
        <w:t xml:space="preserve"> </w:t>
      </w:r>
      <w:r>
        <w:t xml:space="preserve">design, the Union has a limited role. A direct consequence of being absent from leading-edge</w:t>
      </w:r>
      <w:r>
        <w:t xml:space="preserve"> </w:t>
      </w:r>
      <w:r>
        <w:t xml:space="preserve">manufacturing is that the EU has also lost much of the skilled human capital needed to</w:t>
      </w:r>
      <w:r>
        <w:t xml:space="preserve"> </w:t>
      </w:r>
      <w:r>
        <w:t xml:space="preserve">develop these capabilities domestically. This imbalance leaves the EU vulnerable to</w:t>
      </w:r>
      <w:r>
        <w:t xml:space="preserve"> </w:t>
      </w:r>
      <w:r>
        <w:t xml:space="preserve">geopolitical tensions and economic coercion (see section 1.5.1. concerning the first problem</w:t>
      </w:r>
      <w:r>
        <w:t xml:space="preserve"> </w:t>
      </w:r>
      <w:r>
        <w:t xml:space="preserve">driver) over the manufacturing of advanced semiconductor technologies that underpin</w:t>
      </w:r>
      <w:r>
        <w:t xml:space="preserve"> </w:t>
      </w:r>
      <w:r>
        <w:t xml:space="preserve">AI, telecommunications, security and defence.</w:t>
      </w:r>
      <w:r>
        <w:t xml:space="preserve"> </w:t>
      </w:r>
      <w:r>
        <w:t xml:space="preserve">Cost structures further constrain the EU’s competitiveness in manufacturing. As seen in</w:t>
      </w:r>
      <w:r>
        <w:t xml:space="preserve"> </w:t>
      </w:r>
      <w:r>
        <w:t xml:space="preserve">Figure 11, fabrication costs in the US or Japan are approximately 16% lower than in the</w:t>
      </w:r>
      <w:r>
        <w:t xml:space="preserve"> </w:t>
      </w:r>
      <w:r>
        <w:t xml:space="preserve">European Union. The gap with China, Taiwan and South Korea is even larger, with the cost</w:t>
      </w:r>
      <w:r>
        <w:t xml:space="preserve"> </w:t>
      </w:r>
      <w:r>
        <w:t xml:space="preserve">of constructing a fab in South Korea estimated at approximately half the cost of an</w:t>
      </w:r>
      <w:r>
        <w:t xml:space="preserve"> </w:t>
      </w:r>
      <w:r>
        <w:t xml:space="preserve">equivalent facility in the EU.</w:t>
      </w:r>
      <w:r>
        <w:t xml:space="preserve"> </w:t>
      </w:r>
      <w:r>
        <w:t xml:space="preserve">Semiconductor manufacturing in the EU faces a structural cost disadvantage driven by four</w:t>
      </w:r>
      <w:r>
        <w:t xml:space="preserve"> </w:t>
      </w:r>
      <w:r>
        <w:t xml:space="preserve">main factors: capital, labour, land and energy. Capital costs represent the largest share of</w:t>
      </w:r>
      <w:r>
        <w:t xml:space="preserve"> </w:t>
      </w:r>
      <w:r>
        <w:t xml:space="preserve">total fab production costs and are higher in the EU than in most competing regions, due to</w:t>
      </w:r>
      <w:r>
        <w:br/>
      </w:r>
      <w:r>
        <w:t xml:space="preserve">higher cost of equity, elevated country risk premiums, and the smaller scale and lower</w:t>
      </w:r>
    </w:p>
    <w:p>
      <w:pPr>
        <w:pStyle w:val="Compact"/>
        <w:numPr>
          <w:ilvl w:val="0"/>
          <w:numId w:val="1022"/>
        </w:numPr>
      </w:pPr>
      <w:r>
        <w:t xml:space="preserve">This stable share must be viewed against a global backdrop in which manufacturing capacity is expanding</w:t>
      </w:r>
      <w:r>
        <w:t xml:space="preserve"> </w:t>
      </w:r>
      <w:r>
        <w:t xml:space="preserve">rapidly. In absolute terms the manufacturing capacity of the Union has increased by over 38%, from 1.07 million</w:t>
      </w:r>
      <w:r>
        <w:t xml:space="preserve"> </w:t>
      </w:r>
      <w:r>
        <w:t xml:space="preserve">wafers per month in 2023 to around 1.48 million wafers per month by 2030 if all investments materialise.</w:t>
      </w:r>
    </w:p>
    <w:p>
      <w:pPr>
        <w:pStyle w:val="FirstParagraph"/>
      </w:pPr>
      <w:r>
        <w:t xml:space="preserve">37</w:t>
      </w:r>
    </w:p>
    <w:p>
      <w:pPr>
        <w:pStyle w:val="BodyText"/>
      </w:pPr>
      <w:r>
        <w:t xml:space="preserve">liquidity of European semiconductor firms. Labour costs are also structurally higher when</w:t>
      </w:r>
      <w:r>
        <w:t xml:space="preserve"> </w:t>
      </w:r>
      <w:r>
        <w:t xml:space="preserve">measured in unit terms, as relatively high employer social security contributions and lower</w:t>
      </w:r>
      <w:r>
        <w:t xml:space="preserve"> </w:t>
      </w:r>
      <w:r>
        <w:t xml:space="preserve">labour productivity offset the EU’s slightly lower nominal wages. Land costs account for a</w:t>
      </w:r>
      <w:r>
        <w:t xml:space="preserve"> </w:t>
      </w:r>
      <w:r>
        <w:t xml:space="preserve">smaller share of total costs and place the EU in an intermediate position internationally, being</w:t>
      </w:r>
      <w:r>
        <w:t xml:space="preserve"> </w:t>
      </w:r>
      <w:r>
        <w:t xml:space="preserve">cheaper than in some Asian economies but more expensive than in the US and China.</w:t>
      </w:r>
    </w:p>
    <w:p>
      <w:pPr>
        <w:pStyle w:val="BodyText"/>
      </w:pPr>
      <w:r>
        <w:t xml:space="preserve">Figure 11 - Overall fabs production cost gap across countries (normalized EU = 100) Source:</w:t>
      </w:r>
      <w:r>
        <w:t xml:space="preserve"> </w:t>
      </w:r>
      <w:r>
        <w:t xml:space="preserve">Yole/Decision95</w:t>
      </w:r>
      <w:r>
        <w:t xml:space="preserve"> </w:t>
      </w:r>
      <w:r>
        <w:t xml:space="preserve">When it comes to energy, prices are also significantly higher in the EU, with electricity costs</w:t>
      </w:r>
      <w:r>
        <w:t xml:space="preserve"> </w:t>
      </w:r>
      <w:r>
        <w:t xml:space="preserve">being roughly double those in the US and China in recent years. (96) Beyond the initial capital</w:t>
      </w:r>
      <w:r>
        <w:t xml:space="preserve"> </w:t>
      </w:r>
      <w:r>
        <w:t xml:space="preserve">expenditure, this drives up the costs of running fabs in the EU significantly. In addition, other</w:t>
      </w:r>
      <w:r>
        <w:t xml:space="preserve"> </w:t>
      </w:r>
      <w:r>
        <w:t xml:space="preserve">regions benefit from denser supplier ecosystems, shorter supply chains and larger pools of</w:t>
      </w:r>
      <w:r>
        <w:t xml:space="preserve"> </w:t>
      </w:r>
      <w:r>
        <w:t xml:space="preserve">specialised talent, all of which lower production and logistics costs.</w:t>
      </w:r>
      <w:r>
        <w:t xml:space="preserve"> </w:t>
      </w:r>
      <w:r>
        <w:t xml:space="preserve">Taken together, these factors result in a structural weakness in the EU’s manufacturing</w:t>
      </w:r>
      <w:r>
        <w:t xml:space="preserve"> </w:t>
      </w:r>
      <w:r>
        <w:t xml:space="preserve">capabilities. This reality leaves the EU with limited capacity to compete in fast-growing</w:t>
      </w:r>
      <w:r>
        <w:t xml:space="preserve"> </w:t>
      </w:r>
      <w:r>
        <w:t xml:space="preserve">segments and increasingly exposed to critical dependencies across technologies, from</w:t>
      </w:r>
      <w:r>
        <w:t xml:space="preserve"> </w:t>
      </w:r>
      <w:r>
        <w:t xml:space="preserve">mature to leading-edge. Furthermore, emerging fabless start-ups in the EU, active in</w:t>
      </w:r>
      <w:r>
        <w:t xml:space="preserve"> </w:t>
      </w:r>
      <w:r>
        <w:t xml:space="preserve">segments such as AI chips, have to rely on fabrication in third countries. This dependence not</w:t>
      </w:r>
      <w:r>
        <w:t xml:space="preserve"> </w:t>
      </w:r>
      <w:r>
        <w:t xml:space="preserve">only exposes them to geopolitical and export-control risks, but also lengthens development</w:t>
      </w:r>
      <w:r>
        <w:t xml:space="preserve"> </w:t>
      </w:r>
      <w:r>
        <w:t xml:space="preserve">cycles, increases costs and reduces their ability to iterate rapidly. It also deprives the EU of</w:t>
      </w:r>
      <w:r>
        <w:t xml:space="preserve"> </w:t>
      </w:r>
      <w:r>
        <w:t xml:space="preserve">the feedback loops between design and manufacturing that typically drive innovation clusters,</w:t>
      </w:r>
      <w:r>
        <w:t xml:space="preserve"> </w:t>
      </w:r>
      <w:r>
        <w:t xml:space="preserve">making it harder for local start-ups to scale or anchor subsequent production in the Union. A</w:t>
      </w:r>
    </w:p>
    <w:p>
      <w:pPr>
        <w:pStyle w:val="Compact"/>
        <w:numPr>
          <w:ilvl w:val="0"/>
          <w:numId w:val="1023"/>
        </w:numPr>
      </w:pPr>
      <w:r>
        <w:t xml:space="preserve">Decision Etudes &amp; Conseil and YOLE Group, Competitiveness of the EU semiconductor manufacturing</w:t>
      </w:r>
      <w:r>
        <w:t xml:space="preserve"> </w:t>
      </w:r>
      <w:r>
        <w:t xml:space="preserve">industry, Nov.2025.</w:t>
      </w:r>
    </w:p>
    <w:p>
      <w:pPr>
        <w:pStyle w:val="Compact"/>
        <w:numPr>
          <w:ilvl w:val="0"/>
          <w:numId w:val="1023"/>
        </w:numPr>
      </w:pPr>
      <w:r>
        <w:t xml:space="preserve">Decision Etudes &amp; Conseil and YOLE Group, Competitiveness of the EU semiconductor manufacturing</w:t>
      </w:r>
      <w:r>
        <w:t xml:space="preserve"> </w:t>
      </w:r>
      <w:r>
        <w:t xml:space="preserve">industry, Nov.2025.</w:t>
      </w:r>
    </w:p>
    <w:p>
      <w:pPr>
        <w:pStyle w:val="FirstParagraph"/>
      </w:pPr>
      <w:r>
        <w:t xml:space="preserve">38</w:t>
      </w:r>
    </w:p>
    <w:p>
      <w:pPr>
        <w:pStyle w:val="BodyText"/>
      </w:pPr>
      <w:r>
        <w:t xml:space="preserve">successful approach to change this situation, in the words of one participant of the evaluation,</w:t>
      </w:r>
      <w:r>
        <w:t xml:space="preserve"> </w:t>
      </w:r>
      <w:r>
        <w:t xml:space="preserve">“must not only help develop production capabilities but, more fundamentally, it must create</w:t>
      </w:r>
      <w:r>
        <w:t xml:space="preserve"> </w:t>
      </w:r>
      <w:r>
        <w:t xml:space="preserve">the framework conditions for industry to create […] an end-market for more semiconductors</w:t>
      </w:r>
      <w:r>
        <w:t xml:space="preserve"> </w:t>
      </w:r>
      <w:r>
        <w:t xml:space="preserve">‘made in the EU’</w:t>
      </w:r>
      <w:r>
        <w:t xml:space="preserve">.” (97)</w:t>
      </w:r>
      <w:r>
        <w:t xml:space="preserve"> </w:t>
      </w:r>
      <w:r>
        <w:t xml:space="preserve">The Union’s competitiveness challenge, combined with geopolitical pressures, underscores</w:t>
      </w:r>
      <w:r>
        <w:t xml:space="preserve"> </w:t>
      </w:r>
      <w:r>
        <w:t xml:space="preserve">the urgency of Union level action to accelerate permitting processes for Pillar II facilities,</w:t>
      </w:r>
      <w:r>
        <w:t xml:space="preserve"> </w:t>
      </w:r>
      <w:r>
        <w:t xml:space="preserve">i.e. eventual integrated production facilities (IPF)/open EU foundries (OEF), while</w:t>
      </w:r>
      <w:r>
        <w:t xml:space="preserve"> </w:t>
      </w:r>
      <w:r>
        <w:t xml:space="preserve">maintaining high environmental standards. Approval procedures in the EU are</w:t>
      </w:r>
      <w:r>
        <w:t xml:space="preserve"> </w:t>
      </w:r>
      <w:r>
        <w:t xml:space="preserve">significantly slower than in competing regions: industry reports indicate permitting</w:t>
      </w:r>
      <w:r>
        <w:t xml:space="preserve"> </w:t>
      </w:r>
      <w:r>
        <w:t xml:space="preserve">approvals take 10-18 months in the EU, compared with about 6 months in South Korea</w:t>
      </w:r>
      <w:r>
        <w:t xml:space="preserve"> </w:t>
      </w:r>
      <w:r>
        <w:t xml:space="preserve">and Taiwan and less than one month in certain other jurisdictions.</w:t>
      </w:r>
    </w:p>
    <w:p>
      <w:pPr>
        <w:pStyle w:val="BodyText"/>
      </w:pPr>
      <w:r>
        <w:t xml:space="preserve">Figure 12 - Average duration of projects for building wafer fabs</w:t>
      </w:r>
      <w:r>
        <w:br/>
      </w:r>
      <w:r>
        <w:t xml:space="preserve">Results from the evaluation align with these shortcomings. Respondents in the open public</w:t>
      </w:r>
      <w:r>
        <w:t xml:space="preserve"> </w:t>
      </w:r>
      <w:r>
        <w:t xml:space="preserve">consultation highlighted insufficient manufacturing capacity, limited investment instruments,</w:t>
      </w:r>
      <w:r>
        <w:t xml:space="preserve"> </w:t>
      </w:r>
      <w:r>
        <w:t xml:space="preserve">shortages of skilled labour, and weak domestic demand from hyperscalers and AI companies</w:t>
      </w:r>
      <w:r>
        <w:t xml:space="preserve"> </w:t>
      </w:r>
      <w:r>
        <w:t xml:space="preserve">as the principal obstacles in the development of an EU AI-chip value chain. (98) A lack of</w:t>
      </w:r>
      <w:r>
        <w:t xml:space="preserve"> </w:t>
      </w:r>
      <w:r>
        <w:t xml:space="preserve">venture capital and risk finance was reported as a particular constraint for design firms, while</w:t>
      </w:r>
      <w:r>
        <w:t xml:space="preserve"> </w:t>
      </w:r>
      <w:r>
        <w:t xml:space="preserve">IDMs and other production-oriented firms pointed to lengthy permitting procedures and high</w:t>
      </w:r>
      <w:r>
        <w:t xml:space="preserve"> </w:t>
      </w:r>
      <w:r>
        <w:t xml:space="preserve">energy costs as major impediments (99).</w:t>
      </w:r>
      <w:r>
        <w:t xml:space="preserve"> </w:t>
      </w:r>
      <w:r>
        <w:t xml:space="preserve">2.3.3 PD3: Insufficient support and advanced facilities for scaling up innovative start-ups</w:t>
      </w:r>
      <w:r>
        <w:t xml:space="preserve"> </w:t>
      </w:r>
      <w:r>
        <w:t xml:space="preserve">The EU’s semiconductor sector suffers from a ‘lab-to-fab gap’, which describes the struggles</w:t>
      </w:r>
      <w:r>
        <w:t xml:space="preserve"> </w:t>
      </w:r>
      <w:r>
        <w:t xml:space="preserve">to translate scientific excellence into products that are successful on the market. Despite</w:t>
      </w:r>
    </w:p>
    <w:p>
      <w:pPr>
        <w:pStyle w:val="Compact"/>
        <w:numPr>
          <w:ilvl w:val="0"/>
          <w:numId w:val="1024"/>
        </w:numPr>
      </w:pPr>
      <w:r>
        <w:t xml:space="preserve">Annex 2 Section 5.</w:t>
      </w:r>
    </w:p>
    <w:p>
      <w:pPr>
        <w:pStyle w:val="Compact"/>
        <w:numPr>
          <w:ilvl w:val="0"/>
          <w:numId w:val="1024"/>
        </w:numPr>
      </w:pPr>
      <w:r>
        <w:t xml:space="preserve">Annex 2 Section 4</w:t>
      </w:r>
    </w:p>
    <w:p>
      <w:pPr>
        <w:pStyle w:val="Compact"/>
        <w:numPr>
          <w:ilvl w:val="0"/>
          <w:numId w:val="1024"/>
        </w:numPr>
      </w:pPr>
      <w:r>
        <w:t xml:space="preserve">Annex 2 Section 5.2.</w:t>
      </w:r>
    </w:p>
    <w:p>
      <w:pPr>
        <w:pStyle w:val="FirstParagraph"/>
      </w:pPr>
      <w:r>
        <w:t xml:space="preserve">39</w:t>
      </w:r>
    </w:p>
    <w:p>
      <w:pPr>
        <w:pStyle w:val="BodyText"/>
      </w:pPr>
      <w:r>
        <w:t xml:space="preserve">remaining very competitive in terms of semiconductor R&amp;D and scientific publications</w:t>
      </w:r>
      <w:r>
        <w:t xml:space="preserve"> </w:t>
      </w:r>
      <w:r>
        <w:t xml:space="preserve">(Figure 13), European semiconductor manufacturers have steadily lost market share (Figure</w:t>
      </w:r>
      <w:r>
        <w:t xml:space="preserve"> </w:t>
      </w:r>
      <w:r>
        <w:t xml:space="preserve">14).</w:t>
      </w:r>
      <w:r>
        <w:br/>
      </w:r>
      <w:r>
        <w:t xml:space="preserve">This loss in market share can be largely explained by the lack of market dynamism in the</w:t>
      </w:r>
      <w:r>
        <w:t xml:space="preserve"> </w:t>
      </w:r>
      <w:r>
        <w:t xml:space="preserve">European semiconductor industry, with long time incumbents still dominating the market. In</w:t>
      </w:r>
      <w:r>
        <w:t xml:space="preserve"> </w:t>
      </w:r>
      <w:r>
        <w:t xml:space="preserve">fact, all major players in European semiconductor manufacturing have their roots in</w:t>
      </w:r>
      <w:r>
        <w:t xml:space="preserve"> </w:t>
      </w:r>
      <w:r>
        <w:t xml:space="preserve">companies founded over 70 years ago. (100) In device manufacturing, the product lines of</w:t>
      </w:r>
      <w:r>
        <w:t xml:space="preserve"> </w:t>
      </w:r>
      <w:r>
        <w:t xml:space="preserve">European players are based on largely mature technologies. This is an anomaly given the</w:t>
      </w:r>
      <w:r>
        <w:t xml:space="preserve"> </w:t>
      </w:r>
      <w:r>
        <w:t xml:space="preserve">substantial volume of cutting-edge semiconductor research produced within the Union, which</w:t>
      </w:r>
      <w:r>
        <w:t xml:space="preserve"> </w:t>
      </w:r>
      <w:r>
        <w:t xml:space="preserve">should provide a strong foundation for the emergence of new European technologies on the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Figure 13 - Scientific publications related to</w:t>
      </w:r>
      <w:r>
        <w:t xml:space="preserve"> </w:t>
      </w:r>
      <w:r>
        <w:t xml:space="preserve">semiconductors (Source: Open Alex article</w:t>
      </w:r>
      <w:r>
        <w:t xml:space="preserve"> </w:t>
      </w:r>
      <w:r>
        <w:t xml:space="preserve">publications)</w:t>
      </w:r>
    </w:p>
    <w:p>
      <w:pPr>
        <w:pStyle w:val="BodyText"/>
      </w:pPr>
      <w:r>
        <w:t xml:space="preserve">Figure 14 - European market share in the</w:t>
      </w:r>
      <w:r>
        <w:t xml:space="preserve"> </w:t>
      </w:r>
      <w:r>
        <w:t xml:space="preserve">semiconductor industry (Source: Future Horizons</w:t>
      </w:r>
      <w:r>
        <w:t xml:space="preserve"> </w:t>
      </w:r>
      <w:r>
        <w:t xml:space="preserve">May 2025)</w:t>
      </w:r>
      <w:r>
        <w:t xml:space="preserve"> </w:t>
      </w:r>
      <w:r>
        <w:t xml:space="preserve">This lack of dynamism is related to insufficient support for innovative start-ups in scaling up,</w:t>
      </w:r>
      <w:r>
        <w:t xml:space="preserve"> </w:t>
      </w:r>
      <w:r>
        <w:t xml:space="preserve">a point that was also highlighted by the Draghi and Letta reports. (101) The results of the</w:t>
      </w:r>
      <w:r>
        <w:t xml:space="preserve"> </w:t>
      </w:r>
      <w:r>
        <w:t xml:space="preserve">evaluation support this observation: participants in several workshops identified mobilising</w:t>
      </w:r>
      <w:r>
        <w:t xml:space="preserve"> </w:t>
      </w:r>
      <w:r>
        <w:t xml:space="preserve">private capital, particularly European venture capital, as a structural bottleneck for the support</w:t>
      </w:r>
      <w:r>
        <w:t xml:space="preserve"> </w:t>
      </w:r>
      <w:r>
        <w:t xml:space="preserve">of semiconductor design firms. (102)</w:t>
      </w:r>
      <w:r>
        <w:t xml:space="preserve"> </w:t>
      </w:r>
      <w:r>
        <w:t xml:space="preserve">According to a recent European Investment Bank report (103), European deep-tech startups</w:t>
      </w:r>
      <w:r>
        <w:t xml:space="preserve"> </w:t>
      </w:r>
      <w:r>
        <w:t xml:space="preserve">raised only 20% of the capital raised by their US peers in 2023. Here, the EU performs better</w:t>
      </w:r>
      <w:r>
        <w:t xml:space="preserve"> </w:t>
      </w:r>
      <w:r>
        <w:t xml:space="preserve">in seed and early-stage funding, reaching over 50%of US levels, but this falls to around 10%</w:t>
      </w:r>
      <w:r>
        <w:t xml:space="preserve"> </w:t>
      </w:r>
      <w:r>
        <w:t xml:space="preserve">for scale-up rounds, which are the stages at which semiconductor firms can focus on</w:t>
      </w:r>
      <w:r>
        <w:t xml:space="preserve"> </w:t>
      </w:r>
      <w:r>
        <w:t xml:space="preserve">industrial deployment.</w:t>
      </w:r>
    </w:p>
    <w:p>
      <w:pPr>
        <w:pStyle w:val="Compact"/>
        <w:numPr>
          <w:ilvl w:val="0"/>
          <w:numId w:val="1025"/>
        </w:numPr>
      </w:pPr>
      <w:r>
        <w:t xml:space="preserve">Referring to the 4 European IDMs i.e. STMicroelectronics, Infineon Technologies, NXP, Robert Bosch.</w:t>
      </w:r>
    </w:p>
    <w:p>
      <w:pPr>
        <w:pStyle w:val="Compact"/>
        <w:numPr>
          <w:ilvl w:val="0"/>
          <w:numId w:val="1025"/>
        </w:numPr>
      </w:pPr>
      <w:r>
        <w:t xml:space="preserve">Enrico Letta (2024), Much more than a market</w:t>
      </w:r>
      <w:r>
        <w:t xml:space="preserve"> </w:t>
      </w:r>
      <w:r>
        <w:t xml:space="preserve">Mario Draghi. (2024). The future of European competitiveness: In-depth analysis and recommendations (Part B).</w:t>
      </w:r>
    </w:p>
    <w:p>
      <w:pPr>
        <w:pStyle w:val="Compact"/>
        <w:numPr>
          <w:ilvl w:val="0"/>
          <w:numId w:val="1025"/>
        </w:numPr>
      </w:pPr>
      <w:r>
        <w:t xml:space="preserve">Annex 2 Section 5.3.</w:t>
      </w:r>
    </w:p>
    <w:p>
      <w:pPr>
        <w:pStyle w:val="Compact"/>
        <w:numPr>
          <w:ilvl w:val="0"/>
          <w:numId w:val="1025"/>
        </w:numPr>
      </w:pPr>
      <w:r>
        <w:t xml:space="preserve">European Investment Bank publications: “The scale-up gap: Financial market constraints holding back</w:t>
      </w:r>
      <w:r>
        <w:t xml:space="preserve"> </w:t>
      </w:r>
      <w:r>
        <w:t xml:space="preserve">innovative firms in the European Union” (July 2024).</w:t>
      </w:r>
    </w:p>
    <w:p>
      <w:pPr>
        <w:pStyle w:val="FirstParagraph"/>
      </w:pPr>
      <w:r>
        <w:t xml:space="preserve">40</w:t>
      </w:r>
    </w:p>
    <w:p>
      <w:pPr>
        <w:pStyle w:val="BodyText"/>
      </w:pPr>
      <w:r>
        <w:t xml:space="preserve">Furthermore, only about 5% of global venture capital is raised in the EU, compared to 52% in</w:t>
      </w:r>
      <w:r>
        <w:t xml:space="preserve"> </w:t>
      </w:r>
      <w:r>
        <w:t xml:space="preserve">US and 40% in China, meaning that much of the equity of European deep-tech companies is</w:t>
      </w:r>
      <w:r>
        <w:t xml:space="preserve"> </w:t>
      </w:r>
      <w:r>
        <w:t xml:space="preserve">owned by non-European investors. Venture financing experts widely interpret this as a direct</w:t>
      </w:r>
      <w:r>
        <w:t xml:space="preserve"> </w:t>
      </w:r>
      <w:r>
        <w:t xml:space="preserve">consequence of the persistent fragmentation of the European financial markets and the</w:t>
      </w:r>
      <w:r>
        <w:t xml:space="preserve"> </w:t>
      </w:r>
      <w:r>
        <w:t xml:space="preserve">absence of a real Capital Markets Union, which limits the liquidity available for equity</w:t>
      </w:r>
      <w:r>
        <w:t xml:space="preserve"> </w:t>
      </w:r>
      <w:r>
        <w:t xml:space="preserve">financing. This combined with a more risk-averse culture in the EU, limited insight into the</w:t>
      </w:r>
      <w:r>
        <w:t xml:space="preserve"> </w:t>
      </w:r>
      <w:r>
        <w:t xml:space="preserve">semiconductor industry among investors, as well as fragmented markets and complex</w:t>
      </w:r>
      <w:r>
        <w:t xml:space="preserve"> </w:t>
      </w:r>
      <w:r>
        <w:t xml:space="preserve">regulations make scaling-up across borders more difficult. Facing such challenges, start-ups</w:t>
      </w:r>
      <w:r>
        <w:t xml:space="preserve"> </w:t>
      </w:r>
      <w:r>
        <w:t xml:space="preserve">are enticed to accept financing from the US or Asia, move their HQ to third countries, or are</w:t>
      </w:r>
      <w:r>
        <w:t xml:space="preserve"> </w:t>
      </w:r>
      <w:r>
        <w:t xml:space="preserve">acquired by non-European firms to ensure industrialisation of their IP and financial returns,</w:t>
      </w:r>
      <w:r>
        <w:t xml:space="preserve"> </w:t>
      </w:r>
      <w:r>
        <w:t xml:space="preserve">leading to the loss of strategic technologies, talent and future value creation for the EU.</w:t>
      </w:r>
      <w:r>
        <w:t xml:space="preserve"> </w:t>
      </w:r>
      <w:r>
        <w:t xml:space="preserve">Besides risk capital, the lab-to-fab gap could also be closed by more interaction between</w:t>
      </w:r>
      <w:r>
        <w:t xml:space="preserve"> </w:t>
      </w:r>
      <w:r>
        <w:t xml:space="preserve">SMEs and academia. Workshop participants as well as interview partners report that SME</w:t>
      </w:r>
      <w:r>
        <w:t xml:space="preserve"> </w:t>
      </w:r>
      <w:r>
        <w:t xml:space="preserve">access to the pilot lines established under Pillar I turned out to be difficult and prohibitively</w:t>
      </w:r>
      <w:r>
        <w:t xml:space="preserve"> </w:t>
      </w:r>
      <w:r>
        <w:t xml:space="preserve">expensive. (104)</w:t>
      </w:r>
      <w:r>
        <w:br/>
      </w:r>
      <w:r>
        <w:t xml:space="preserve">Another relevant driver is the lack of leading-edge manufacturing and advanced packaging</w:t>
      </w:r>
      <w:r>
        <w:t xml:space="preserve"> </w:t>
      </w:r>
      <w:r>
        <w:t xml:space="preserve">facilities in the EU, which are essential to bridge the so-called ‘lab-to-fab’ gap. Around</w:t>
      </w:r>
      <w:r>
        <w:t xml:space="preserve"> </w:t>
      </w:r>
      <w:r>
        <w:t xml:space="preserve">semiconductor manufacturing hubs, dense ecosystems tend to emerge, attracting suppliers of</w:t>
      </w:r>
      <w:r>
        <w:t xml:space="preserve"> </w:t>
      </w:r>
      <w:r>
        <w:t xml:space="preserve">equipment, materials, chemicals, as well as design houses, fabless as well as system</w:t>
      </w:r>
      <w:r>
        <w:t xml:space="preserve"> </w:t>
      </w:r>
      <w:r>
        <w:t xml:space="preserve">companies from key user industries. This is because physical proximity shortens feedback</w:t>
      </w:r>
      <w:r>
        <w:t xml:space="preserve"> </w:t>
      </w:r>
      <w:r>
        <w:t xml:space="preserve">loops, accelerates ‘learning by doing’ and enables tight collaborations on design-technology</w:t>
      </w:r>
      <w:r>
        <w:t xml:space="preserve"> </w:t>
      </w:r>
      <w:r>
        <w:t xml:space="preserve">co-optimisation, rapid prototyping and qualification, which are crucial advantages for</w:t>
      </w:r>
      <w:r>
        <w:t xml:space="preserve"> </w:t>
      </w:r>
      <w:r>
        <w:t xml:space="preserve">industrialisation, especially for smaller companies, as they reduce coordination costs and</w:t>
      </w:r>
      <w:r>
        <w:t xml:space="preserve"> </w:t>
      </w:r>
      <w:r>
        <w:t xml:space="preserve">shorten development cycles. A clear example of such dynamic is the Hsinchu Science Park</w:t>
      </w:r>
      <w:r>
        <w:t xml:space="preserve"> </w:t>
      </w:r>
      <w:r>
        <w:t xml:space="preserve">developed in Taiwan around TSMC, brimming with design houses, system companies and</w:t>
      </w:r>
      <w:r>
        <w:t xml:space="preserve"> </w:t>
      </w:r>
      <w:r>
        <w:t xml:space="preserve">technology organisations, thus creating short idea-to-product cycles. However, linkages to</w:t>
      </w:r>
      <w:r>
        <w:t xml:space="preserve"> </w:t>
      </w:r>
      <w:r>
        <w:t xml:space="preserve">industry are also required in the other direction, to the industrial users of advanced chips</w:t>
      </w:r>
      <w:r>
        <w:t xml:space="preserve"> </w:t>
      </w:r>
      <w:r>
        <w:t xml:space="preserve">which are often not located in Europe. This leaves chip design firms without anchor</w:t>
      </w:r>
      <w:r>
        <w:t xml:space="preserve"> </w:t>
      </w:r>
      <w:r>
        <w:t xml:space="preserve">customers a strong home market according to the public consultation. (105)</w:t>
      </w:r>
      <w:r>
        <w:t xml:space="preserve"> </w:t>
      </w:r>
      <w:r>
        <w:t xml:space="preserve">In this context one can also observe that, since the 1980s, European policy initiatives (such as</w:t>
      </w:r>
      <w:r>
        <w:t xml:space="preserve"> </w:t>
      </w:r>
      <w:r>
        <w:t xml:space="preserve">ESPRIT, JESSI, MEDEA, CATRENE, ECSEL, KDT and now Chips JU) have predominantly</w:t>
      </w:r>
      <w:r>
        <w:t xml:space="preserve"> </w:t>
      </w:r>
      <w:r>
        <w:t xml:space="preserve">focused on research and development programmes, which has led to core R&amp;D strengths and</w:t>
      </w:r>
      <w:r>
        <w:t xml:space="preserve"> </w:t>
      </w:r>
      <w:r>
        <w:t xml:space="preserve">multiple research centres of excellence across the EU. However, as regards financial support</w:t>
      </w:r>
      <w:r>
        <w:t xml:space="preserve"> </w:t>
      </w:r>
      <w:r>
        <w:t xml:space="preserve">to commercial undertakings and to industrial manufacturing facilities, the European</w:t>
      </w:r>
      <w:r>
        <w:t xml:space="preserve"> </w:t>
      </w:r>
      <w:r>
        <w:t xml:space="preserve">regulatory framework, designed to support an effectively functioning Single Market while</w:t>
      </w:r>
      <w:r>
        <w:t xml:space="preserve"> </w:t>
      </w:r>
      <w:r>
        <w:t xml:space="preserve">limiting distortions within the internal market, has in practice allowed public intervention on</w:t>
      </w:r>
      <w:r>
        <w:t xml:space="preserve"> </w:t>
      </w:r>
      <w:r>
        <w:t xml:space="preserve">R&amp;D but much less in support for its market exploitation and industrial deployment. This has</w:t>
      </w:r>
      <w:r>
        <w:t xml:space="preserve"> </w:t>
      </w:r>
      <w:r>
        <w:t xml:space="preserve">over time left the EU at a competitive disadvantage vis-à-vis prevailing practices to offset</w:t>
      </w:r>
      <w:r>
        <w:t xml:space="preserve"> </w:t>
      </w:r>
      <w:r>
        <w:t xml:space="preserve">massive capital expenditures in other regions, and has, in effect, contributed to the</w:t>
      </w:r>
      <w:r>
        <w:t xml:space="preserve"> </w:t>
      </w:r>
      <w:r>
        <w:t xml:space="preserve">underdevelopment of high-tech industrial deployment in Europe.</w:t>
      </w:r>
    </w:p>
    <w:p>
      <w:pPr>
        <w:pStyle w:val="Compact"/>
        <w:numPr>
          <w:ilvl w:val="0"/>
          <w:numId w:val="1026"/>
        </w:numPr>
      </w:pPr>
      <w:r>
        <w:t xml:space="preserve">Annex 2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Annex 2</w:t>
      </w:r>
    </w:p>
    <w:p>
      <w:pPr>
        <w:pStyle w:val="FirstParagraph"/>
      </w:pPr>
      <w:r>
        <w:t xml:space="preserve">41</w:t>
      </w:r>
    </w:p>
    <w:p>
      <w:pPr>
        <w:pStyle w:val="BodyText"/>
      </w:pPr>
      <w:r>
        <w:t xml:space="preserve">Taken together, the above highlights the Union’s limitations in financing advanced industrial</w:t>
      </w:r>
      <w:r>
        <w:t xml:space="preserve"> </w:t>
      </w:r>
      <w:r>
        <w:t xml:space="preserve">facilities, via targeted public support schemes, to enable innovative semiconductor ventures to</w:t>
      </w:r>
      <w:r>
        <w:t xml:space="preserve"> </w:t>
      </w:r>
      <w:r>
        <w:t xml:space="preserve">scale up in the EU and to contribute to its industrial competitiveness.</w:t>
      </w:r>
      <w:r>
        <w:t xml:space="preserve"> </w:t>
      </w:r>
      <w:r>
        <w:t xml:space="preserve">2.3.4 PD4: Lack of demand for European advanced chips from user industries</w:t>
      </w:r>
      <w:r>
        <w:br/>
      </w:r>
      <w:r>
        <w:t xml:space="preserve">The EU is a significant market for semiconductors. According to recent estimates from IBS,</w:t>
      </w:r>
      <w:r>
        <w:t xml:space="preserve"> </w:t>
      </w:r>
      <w:r>
        <w:t xml:space="preserve">the EU accounts for around 13% of global direct semiconductor demand. (106) This figure</w:t>
      </w:r>
      <w:r>
        <w:t xml:space="preserve"> </w:t>
      </w:r>
      <w:r>
        <w:t xml:space="preserve">refers to components shipped to European system companies, which in turn integrate them</w:t>
      </w:r>
      <w:r>
        <w:t xml:space="preserve"> </w:t>
      </w:r>
      <w:r>
        <w:t xml:space="preserve">into intermediate goods or finished products. However, it does not capture the larger volume</w:t>
      </w:r>
      <w:r>
        <w:t xml:space="preserve"> </w:t>
      </w:r>
      <w:r>
        <w:t xml:space="preserve">of chips already embedded in imported finished products that reach European customers,</w:t>
      </w:r>
      <w:r>
        <w:t xml:space="preserve"> </w:t>
      </w:r>
      <w:r>
        <w:t xml:space="preserve">such as smartphones, laptops, servers, networking equipment or cloud infrastructure. This</w:t>
      </w:r>
      <w:r>
        <w:t xml:space="preserve"> </w:t>
      </w:r>
      <w:r>
        <w:t xml:space="preserve">share is estimated to be at around 20% of global semiconductor demand.</w:t>
      </w:r>
    </w:p>
    <w:p>
      <w:pPr>
        <w:pStyle w:val="BodyText"/>
      </w:pPr>
      <w:r>
        <w:t xml:space="preserve">Figure 15 - Forecast of semiconductor demand by region. (Source: IBS, August 2025)107</w:t>
      </w:r>
      <w:r>
        <w:t xml:space="preserve"> </w:t>
      </w:r>
      <w:r>
        <w:t xml:space="preserve">Furthermore, the EU has a particularly distinctive direct demand profile, where</w:t>
      </w:r>
      <w:r>
        <w:t xml:space="preserve"> </w:t>
      </w:r>
      <w:r>
        <w:t xml:space="preserve">semiconductor purchases by firms operating in the Union are oriented towards the</w:t>
      </w:r>
      <w:r>
        <w:t xml:space="preserve"> </w:t>
      </w:r>
      <w:r>
        <w:t xml:space="preserve">automotive and industrial sectors.(108) In 2023, the Union accounted for 39.4% of global</w:t>
      </w:r>
      <w:r>
        <w:t xml:space="preserve"> </w:t>
      </w:r>
      <w:r>
        <w:t xml:space="preserve">demand for automotive semiconductors and 23.1% for industrial semiconductors.(109)This</w:t>
      </w:r>
      <w:r>
        <w:t xml:space="preserve"> </w:t>
      </w:r>
      <w:r>
        <w:t xml:space="preserve">reflects the EU’s strengths in power devices, microcontrollers, sensors and analogue</w:t>
      </w:r>
      <w:r>
        <w:t xml:space="preserve"> </w:t>
      </w:r>
      <w:r>
        <w:t xml:space="preserve">components, which underpin many of the Union’s industrial and automotive technologies. By</w:t>
      </w:r>
      <w:r>
        <w:t xml:space="preserve"> </w:t>
      </w:r>
      <w:r>
        <w:t xml:space="preserve">contrast, the Union hosts relatively few OEMs or Tier 1 suppliers for consumer electronics,</w:t>
      </w:r>
      <w:r>
        <w:t xml:space="preserve"> </w:t>
      </w:r>
      <w:r>
        <w:t xml:space="preserve">personal computing devices or hyperscale cloud infrastructure. Hence, while direct internal</w:t>
      </w:r>
      <w:r>
        <w:t xml:space="preserve"> </w:t>
      </w:r>
      <w:r>
        <w:t xml:space="preserve">demand is skewed towards mature-node chips, much of its consumption of leading-edge</w:t>
      </w:r>
      <w:r>
        <w:t xml:space="preserve"> </w:t>
      </w:r>
      <w:r>
        <w:t xml:space="preserve">semiconductors comes embedded in imported systems, making it hard for the EU to drive</w:t>
      </w:r>
      <w:r>
        <w:t xml:space="preserve"> </w:t>
      </w:r>
      <w:r>
        <w:t xml:space="preserve">the industrial demand needed to develop an advanced fabless-foundry ecosystem purely on</w:t>
      </w:r>
      <w:r>
        <w:t xml:space="preserve"> </w:t>
      </w:r>
      <w:r>
        <w:t xml:space="preserve">market grounds.</w:t>
      </w:r>
    </w:p>
    <w:p>
      <w:pPr>
        <w:pStyle w:val="Compact"/>
        <w:numPr>
          <w:ilvl w:val="0"/>
          <w:numId w:val="1027"/>
        </w:numPr>
      </w:pPr>
      <w:r>
        <w:t xml:space="preserve">Demand from firms such as OEMs and Tier 1s that purchase chips as intermediate inputs.</w:t>
      </w:r>
    </w:p>
    <w:p>
      <w:pPr>
        <w:pStyle w:val="Compact"/>
        <w:numPr>
          <w:ilvl w:val="0"/>
          <w:numId w:val="1027"/>
        </w:numPr>
      </w:pPr>
      <w:r>
        <w:t xml:space="preserve">IBS, Global Semiconductor Industry Service, Semiconductor Market by Application Part 1, February 2025.</w:t>
      </w:r>
    </w:p>
    <w:p>
      <w:pPr>
        <w:pStyle w:val="Compact"/>
        <w:numPr>
          <w:ilvl w:val="0"/>
          <w:numId w:val="1027"/>
        </w:numPr>
      </w:pPr>
      <w:r>
        <w:t xml:space="preserve">EU’s strengths and weaknesses in the global semiconductor sector, Publications Office of the European</w:t>
      </w:r>
      <w:r>
        <w:t xml:space="preserve"> </w:t>
      </w:r>
      <w:r>
        <w:t xml:space="preserve">Union, Luxembourg,2025, https://data.europa.eu/doi/10.2760/6302476, JRC141323.</w:t>
      </w:r>
    </w:p>
    <w:p>
      <w:pPr>
        <w:pStyle w:val="Compact"/>
        <w:numPr>
          <w:ilvl w:val="0"/>
          <w:numId w:val="1027"/>
        </w:numPr>
      </w:pPr>
      <w:r>
        <w:t xml:space="preserve">IDC, Semiconductors market data by feature size, sector and region, CNECT/2022/MVP/0084 – Second</w:t>
      </w:r>
      <w:r>
        <w:t xml:space="preserve"> </w:t>
      </w:r>
      <w:r>
        <w:t xml:space="preserve">Interim Report.</w:t>
      </w:r>
    </w:p>
    <w:p>
      <w:pPr>
        <w:pStyle w:val="FirstParagraph"/>
      </w:pPr>
      <w:r>
        <w:t xml:space="preserve">42</w:t>
      </w:r>
    </w:p>
    <w:p>
      <w:pPr>
        <w:pStyle w:val="BodyText"/>
      </w:pPr>
      <w:r>
        <w:t xml:space="preserve">The biggest change in EU demand patterns in recent years was the rapid demand growth for</w:t>
      </w:r>
      <w:r>
        <w:t xml:space="preserve"> </w:t>
      </w:r>
      <w:r>
        <w:t xml:space="preserve">AI chips. The datacentre/AI/cloud segment of the semiconductor market already represents</w:t>
      </w:r>
      <w:r>
        <w:t xml:space="preserve"> </w:t>
      </w:r>
      <w:r>
        <w:t xml:space="preserve">over 18% of European semiconductor consumption and is expected to reach around 26% by</w:t>
      </w:r>
      <w:r>
        <w:t xml:space="preserve"> </w:t>
      </w:r>
      <w:r>
        <w:t xml:space="preserve">2030. (110)</w:t>
      </w:r>
      <w:r>
        <w:t xml:space="preserve"> </w:t>
      </w:r>
      <w:r>
        <w:t xml:space="preserve">However, an estimated 96% of the semiconductor market for datacentres is captured by US-</w:t>
      </w:r>
      <w:r>
        <w:t xml:space="preserve"> </w:t>
      </w:r>
      <w:r>
        <w:t xml:space="preserve">owned companies (111) which contributes to a significant trade deficit between the EU and the</w:t>
      </w:r>
      <w:r>
        <w:t xml:space="preserve"> </w:t>
      </w:r>
      <w:r>
        <w:t xml:space="preserve">US and creates critical dependencies on third-country suppliers in what is currently the fastest</w:t>
      </w:r>
      <w:r>
        <w:t xml:space="preserve"> </w:t>
      </w:r>
      <w:r>
        <w:t xml:space="preserve">growing economic sector. Moreover, the US administration, despite rescinding the</w:t>
      </w:r>
      <w:r>
        <w:t xml:space="preserve"> </w:t>
      </w:r>
      <w:r>
        <w:t xml:space="preserve">Framework for Artificial Intelligence Diffusion, is now advancing on an AI Action Plan built</w:t>
      </w:r>
      <w:r>
        <w:t xml:space="preserve"> </w:t>
      </w:r>
      <w:r>
        <w:t xml:space="preserve">around exporting a “full stack” solution of chips, models, software and standards with strict</w:t>
      </w:r>
      <w:r>
        <w:t xml:space="preserve"> </w:t>
      </w:r>
      <w:r>
        <w:t xml:space="preserve">conditionality. This implies a significant strategic risk for the EU’s sovereignty, as its AI</w:t>
      </w:r>
      <w:r>
        <w:t xml:space="preserve"> </w:t>
      </w:r>
      <w:r>
        <w:t xml:space="preserve">infrastructure and software will potentially be structurally dependent on extraterritorial US</w:t>
      </w:r>
      <w:r>
        <w:t xml:space="preserve"> </w:t>
      </w:r>
      <w:r>
        <w:t xml:space="preserve">jurisdiction and policy choices.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Figure 16 - Semiconductor consumption and absolute increase in market size by application area</w:t>
      </w:r>
      <w:r>
        <w:t xml:space="preserve"> </w:t>
      </w:r>
      <w:r>
        <w:t xml:space="preserve">(Source: Decision based on Eurostat and WSTS)</w:t>
      </w:r>
      <w:r>
        <w:t xml:space="preserve"> </w:t>
      </w:r>
      <w:r>
        <w:t xml:space="preserve">Competitive pressure in mature and mainstream technology nodes has intensified as third</w:t>
      </w:r>
      <w:r>
        <w:t xml:space="preserve"> </w:t>
      </w:r>
      <w:r>
        <w:t xml:space="preserve">countries expand subsidised production capacity. For example, China has substantially</w:t>
      </w:r>
      <w:r>
        <w:t xml:space="preserve"> </w:t>
      </w:r>
      <w:r>
        <w:t xml:space="preserve">increased investment in mature-node manufacturing as part of its self-sufficiency strategy and</w:t>
      </w:r>
      <w:r>
        <w:t xml:space="preserve"> </w:t>
      </w:r>
      <w:r>
        <w:t xml:space="preserve">complemented it with ‘China for China’ policies that prioritise domestic sourcing. (112) These</w:t>
      </w:r>
      <w:r>
        <w:t xml:space="preserve"> </w:t>
      </w:r>
      <w:r>
        <w:t xml:space="preserve">developments have added pressure in segments where many European companies operate.</w:t>
      </w:r>
      <w:r>
        <w:t xml:space="preserve"> </w:t>
      </w:r>
      <w:r>
        <w:t xml:space="preserve">Global semiconductor demand, however, is growing most rapidly in segments where the EU</w:t>
      </w:r>
      <w:r>
        <w:t xml:space="preserve"> </w:t>
      </w:r>
      <w:r>
        <w:t xml:space="preserve">currently has limited direct presence.</w:t>
      </w:r>
      <w:r>
        <w:br/>
      </w:r>
      <w:r>
        <w:t xml:space="preserve">Strong investment in data centres, AI systems and cloud services is driving demand for high-</w:t>
      </w:r>
      <w:r>
        <w:t xml:space="preserve"> </w:t>
      </w:r>
      <w:r>
        <w:t xml:space="preserve">performance computing, memory and advanced logic chips, which are segments of the</w:t>
      </w:r>
      <w:r>
        <w:t xml:space="preserve"> </w:t>
      </w:r>
      <w:r>
        <w:t xml:space="preserve">industry in which the EU is weak. (113) In fact, no EU headquartered company has any</w:t>
      </w:r>
    </w:p>
    <w:p>
      <w:pPr>
        <w:pStyle w:val="Compact"/>
        <w:numPr>
          <w:ilvl w:val="0"/>
          <w:numId w:val="1028"/>
        </w:numPr>
      </w:pPr>
      <w:r>
        <w:t xml:space="preserve">Decision Etudes &amp; Conseil and YOLE Group, Competitiveness of the EU semiconductor manufacturing</w:t>
      </w:r>
      <w:r>
        <w:t xml:space="preserve"> </w:t>
      </w:r>
      <w:r>
        <w:t xml:space="preserve">industry, Nov.2025.</w:t>
      </w:r>
    </w:p>
    <w:p>
      <w:pPr>
        <w:pStyle w:val="Compact"/>
        <w:numPr>
          <w:ilvl w:val="0"/>
          <w:numId w:val="1028"/>
        </w:numPr>
      </w:pPr>
      <w:r>
        <w:t xml:space="preserve">Cloud and AI Development Act Impact Assessment.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China asks carmakers to use up to 25% local chips by 2025</w:t>
      </w:r>
    </w:p>
    <w:p>
      <w:pPr>
        <w:pStyle w:val="Compact"/>
        <w:numPr>
          <w:ilvl w:val="0"/>
          <w:numId w:val="1028"/>
        </w:numPr>
      </w:pPr>
      <w:r>
        <w:t xml:space="preserve">Europe is losing out big time on the AI and data centre battle | articles | ING Think</w:t>
      </w:r>
    </w:p>
    <w:p>
      <w:pPr>
        <w:pStyle w:val="FirstParagraph"/>
      </w:pPr>
      <w:r>
        <w:t xml:space="preserve">43</w:t>
      </w:r>
    </w:p>
    <w:p>
      <w:pPr>
        <w:pStyle w:val="BodyText"/>
      </w:pPr>
      <w:r>
        <w:t xml:space="preserve">leading-edge manufacturing capacity for both logic and memory. Furthermore, as seen in</w:t>
      </w:r>
      <w:r>
        <w:t xml:space="preserve"> </w:t>
      </w:r>
      <w:r>
        <w:t xml:space="preserve">Table 2, when looking at the historical and projected number of design starts in the EU at</w:t>
      </w:r>
      <w:r>
        <w:br/>
      </w:r>
      <w:r>
        <w:t xml:space="preserve">≤7nm (an indicator of design activities for leading-edge semiconductors), the EU has been</w:t>
      </w:r>
      <w:r>
        <w:t xml:space="preserve"> </w:t>
      </w:r>
      <w:r>
        <w:t xml:space="preserve">and is expected to continue to be a minor player.</w:t>
      </w:r>
      <w:r>
        <w:br/>
      </w:r>
      <w:r>
        <w:t xml:space="preserve">Metric</w:t>
      </w:r>
      <w:r>
        <w:br/>
      </w:r>
      <w:r>
        <w:t xml:space="preserve">2020 2021 2022 2023 2024 2025 2026 2027 2028 2029 2030</w:t>
      </w:r>
      <w:r>
        <w:t xml:space="preserve"> </w:t>
      </w:r>
      <w:r>
        <w:t xml:space="preserve">Design</w:t>
      </w:r>
      <w:r>
        <w:t xml:space="preserve"> </w:t>
      </w:r>
      <w:r>
        <w:t xml:space="preserve">starts</w:t>
      </w:r>
      <w:r>
        <w:t xml:space="preserve"> </w:t>
      </w:r>
      <w:r>
        <w:t xml:space="preserve">(≤7nm)</w:t>
      </w:r>
      <w:r>
        <w:br/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14</w:t>
      </w:r>
      <w:r>
        <w:t xml:space="preserve"> </w:t>
      </w:r>
      <w:r>
        <w:t xml:space="preserve">19</w:t>
      </w:r>
      <w:r>
        <w:t xml:space="preserve"> </w:t>
      </w:r>
      <w:r>
        <w:t xml:space="preserve">26</w:t>
      </w:r>
      <w:r>
        <w:t xml:space="preserve"> </w:t>
      </w:r>
      <w:r>
        <w:t xml:space="preserve">38</w:t>
      </w:r>
      <w:r>
        <w:t xml:space="preserve"> </w:t>
      </w:r>
      <w:r>
        <w:t xml:space="preserve">60</w:t>
      </w:r>
      <w:r>
        <w:t xml:space="preserve"> </w:t>
      </w:r>
      <w:r>
        <w:t xml:space="preserve">91</w:t>
      </w:r>
      <w:r>
        <w:t xml:space="preserve"> </w:t>
      </w:r>
      <w:r>
        <w:t xml:space="preserve">123</w:t>
      </w:r>
      <w:r>
        <w:t xml:space="preserve"> </w:t>
      </w:r>
      <w:r>
        <w:t xml:space="preserve">157</w:t>
      </w:r>
      <w:r>
        <w:t xml:space="preserve"> </w:t>
      </w:r>
      <w:r>
        <w:t xml:space="preserve">194</w:t>
      </w:r>
      <w:r>
        <w:t xml:space="preserve"> </w:t>
      </w:r>
      <w:r>
        <w:t xml:space="preserve">Percent Europe</w:t>
      </w:r>
      <w:r>
        <w:t xml:space="preserve"> </w:t>
      </w:r>
      <w:r>
        <w:t xml:space="preserve">(%)</w:t>
      </w:r>
      <w:r>
        <w:br/>
      </w:r>
      <w:r>
        <w:t xml:space="preserve">0.65</w:t>
      </w:r>
      <w:r>
        <w:t xml:space="preserve"> </w:t>
      </w:r>
      <w:r>
        <w:t xml:space="preserve">1.30</w:t>
      </w:r>
      <w:r>
        <w:t xml:space="preserve"> </w:t>
      </w:r>
      <w:r>
        <w:t xml:space="preserve">0.97</w:t>
      </w:r>
      <w:r>
        <w:t xml:space="preserve"> </w:t>
      </w:r>
      <w:r>
        <w:t xml:space="preserve">1.29</w:t>
      </w:r>
      <w:r>
        <w:t xml:space="preserve"> </w:t>
      </w:r>
      <w:r>
        <w:t xml:space="preserve">1.72</w:t>
      </w:r>
      <w:r>
        <w:t xml:space="preserve"> </w:t>
      </w:r>
      <w:r>
        <w:t xml:space="preserve">1.22</w:t>
      </w:r>
      <w:r>
        <w:t xml:space="preserve"> </w:t>
      </w:r>
      <w:r>
        <w:t xml:space="preserve">1.87</w:t>
      </w:r>
      <w:r>
        <w:t xml:space="preserve"> </w:t>
      </w:r>
      <w:r>
        <w:t xml:space="preserve">2.17</w:t>
      </w:r>
      <w:r>
        <w:t xml:space="preserve"> </w:t>
      </w:r>
      <w:r>
        <w:t xml:space="preserve">2.83</w:t>
      </w:r>
      <w:r>
        <w:t xml:space="preserve"> </w:t>
      </w:r>
      <w:r>
        <w:t xml:space="preserve">3.48</w:t>
      </w:r>
      <w:r>
        <w:t xml:space="preserve"> </w:t>
      </w:r>
      <w:r>
        <w:t xml:space="preserve">4.14</w:t>
      </w:r>
      <w:r>
        <w:t xml:space="preserve"> </w:t>
      </w:r>
      <w:r>
        <w:t xml:space="preserve">Table 2 - Design starts in Europe ≤7nm (Source IBS Monthly Report June 2024)</w:t>
      </w:r>
      <w:r>
        <w:t xml:space="preserve"> </w:t>
      </w:r>
      <w:r>
        <w:t xml:space="preserve">TSMC reported that orders linked to high-performance computing accounted for roughly 60%</w:t>
      </w:r>
      <w:r>
        <w:t xml:space="preserve"> </w:t>
      </w:r>
      <w:r>
        <w:t xml:space="preserve">of its revenue in Q2 2025, reflecting growth in AI chips, networking base stations, PCs and</w:t>
      </w:r>
      <w:r>
        <w:t xml:space="preserve"> </w:t>
      </w:r>
      <w:r>
        <w:t xml:space="preserve">game consoles. (114) Analysis by McKinsey expects these trends to persist, with AI processors</w:t>
      </w:r>
      <w:r>
        <w:t xml:space="preserve"> </w:t>
      </w:r>
      <w:r>
        <w:t xml:space="preserve">forecast to grow with a CAGR of 18-29% annually between 2023 and 2030, and memory</w:t>
      </w:r>
      <w:r>
        <w:t xml:space="preserve"> </w:t>
      </w:r>
      <w:r>
        <w:t xml:space="preserve">chips at a CAGR of around 17-23%, with AI and computing chips capturing over 50% of</w:t>
      </w:r>
      <w:r>
        <w:t xml:space="preserve"> </w:t>
      </w:r>
      <w:r>
        <w:t xml:space="preserve">global semiconductor market growth until 2030. As the whole semiconductor market will</w:t>
      </w:r>
      <w:r>
        <w:t xml:space="preserve"> </w:t>
      </w:r>
      <w:r>
        <w:t xml:space="preserve">grow at a rate of 8-9% annually until 2030, the other semiconductor sectors are expected to</w:t>
      </w:r>
      <w:r>
        <w:t xml:space="preserve"> </w:t>
      </w:r>
      <w:r>
        <w:t xml:space="preserve">expand at a slower pace, hence the EU’s share of the global market is expected to diminish</w:t>
      </w:r>
      <w:r>
        <w:t xml:space="preserve"> </w:t>
      </w:r>
      <w:r>
        <w:t xml:space="preserve">further.</w:t>
      </w:r>
      <w:r>
        <w:t xml:space="preserve"> </w:t>
      </w:r>
      <w:r>
        <w:t xml:space="preserve">Markets for mature-node chips are also under pressure due to changes in demand profile. For</w:t>
      </w:r>
      <w:r>
        <w:t xml:space="preserve"> </w:t>
      </w:r>
      <w:r>
        <w:t xml:space="preserve">example, in automotive, the industry is shifting towards more centralised, software-defined</w:t>
      </w:r>
      <w:r>
        <w:t xml:space="preserve"> </w:t>
      </w:r>
      <w:r>
        <w:t xml:space="preserve">architectures with very powerful real-time central processing units required for the</w:t>
      </w:r>
      <w:r>
        <w:t xml:space="preserve"> </w:t>
      </w:r>
      <w:r>
        <w:t xml:space="preserve">increasingly autonomous and connected vehicles. As of today, such processors are supplied</w:t>
      </w:r>
      <w:r>
        <w:t xml:space="preserve"> </w:t>
      </w:r>
      <w:r>
        <w:t xml:space="preserve">by non-EU vendors, such as Nvidia, Qualcomm and Intel (Mobileye), often reusing elements</w:t>
      </w:r>
      <w:r>
        <w:t xml:space="preserve"> </w:t>
      </w:r>
      <w:r>
        <w:t xml:space="preserve">of architectures originally developed for smartphone, datacentre or edge-AI inference</w:t>
      </w:r>
      <w:r>
        <w:t xml:space="preserve"> </w:t>
      </w:r>
      <w:r>
        <w:t xml:space="preserve">workloads adapted for automotive-grade requirements. By 2030, around 30-35 million</w:t>
      </w:r>
      <w:r>
        <w:t xml:space="preserve"> </w:t>
      </w:r>
      <w:r>
        <w:t xml:space="preserve">vehicles per year running on ADAS115 Level 2+ to Level 4 systems, including 6-8 million</w:t>
      </w:r>
      <w:r>
        <w:t xml:space="preserve"> </w:t>
      </w:r>
      <w:r>
        <w:t xml:space="preserve">from European carmakers, are likely to require such central high-performance processors</w:t>
      </w:r>
      <w:r>
        <w:t xml:space="preserve"> </w:t>
      </w:r>
      <w:r>
        <w:t xml:space="preserve">(116).</w:t>
      </w:r>
      <w:r>
        <w:t xml:space="preserve"> </w:t>
      </w:r>
      <w:r>
        <w:t xml:space="preserve">In telecom networks, baseband units and edge nodes require high-speed processors in 5G and</w:t>
      </w:r>
      <w:r>
        <w:t xml:space="preserve"> </w:t>
      </w:r>
      <w:r>
        <w:t xml:space="preserve">forthcoming 6G deployments: by 2030 European equipment vendors may require up to 1</w:t>
      </w:r>
      <w:r>
        <w:t xml:space="preserve"> </w:t>
      </w:r>
      <w:r>
        <w:t xml:space="preserve">million units per year. Furthermore, emerging applications in industrial automation,</w:t>
      </w:r>
      <w:r>
        <w:t xml:space="preserve"> </w:t>
      </w:r>
      <w:r>
        <w:t xml:space="preserve">robotics, defence and security will require energy efficient, high-performance AI processing</w:t>
      </w:r>
      <w:r>
        <w:t xml:space="preserve"> </w:t>
      </w:r>
      <w:r>
        <w:t xml:space="preserve">chips at the edge, and the combined EU-linked demand may be estimated at up to 1 million</w:t>
      </w:r>
      <w:r>
        <w:t xml:space="preserve"> </w:t>
      </w:r>
      <w:r>
        <w:t xml:space="preserve">units per year in the period 2030-35 (117). Finally, a promising new consumer market segment</w:t>
      </w:r>
    </w:p>
    <w:p>
      <w:pPr>
        <w:pStyle w:val="Compact"/>
        <w:numPr>
          <w:ilvl w:val="0"/>
          <w:numId w:val="1029"/>
        </w:numPr>
      </w:pPr>
      <w:r>
        <w:t xml:space="preserve">2Q25 Presentation (E) Note: for TSMC, HPC includes PCs, tablets, game consoles, servers, base stations</w:t>
      </w:r>
      <w:r>
        <w:t xml:space="preserve"> </w:t>
      </w:r>
      <w:r>
        <w:t xml:space="preserve">and more (see 2024 Business Overview_0.pdf)</w:t>
      </w:r>
    </w:p>
    <w:p>
      <w:pPr>
        <w:pStyle w:val="Compact"/>
        <w:numPr>
          <w:ilvl w:val="0"/>
          <w:numId w:val="1029"/>
        </w:numPr>
      </w:pPr>
      <w:r>
        <w:t xml:space="preserve">Advanced Driver Assistance Systems</w:t>
      </w:r>
      <w:r>
        <w:t xml:space="preserve"> </w:t>
      </w:r>
      <w:r>
        <w:t xml:space="preserve">(116)https://www.mckinsey.com/industries/automotive-and-assembly/our-insights/mapping-the-automotive-</w:t>
      </w:r>
      <w:r>
        <w:t xml:space="preserve"> </w:t>
      </w:r>
      <w:r>
        <w:t xml:space="preserve">software-and-electronics-landscape-through-2030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Estimates based upon market forecasts from ABI Research, Goldman Sachs, Markets and Markets, Fortune</w:t>
      </w:r>
      <w:r>
        <w:t xml:space="preserve"> </w:t>
      </w:r>
      <w:r>
        <w:t xml:space="preserve">Business Insights and other analysts on edge AI markets and robotics.</w:t>
      </w:r>
    </w:p>
    <w:p>
      <w:pPr>
        <w:pStyle w:val="FirstParagraph"/>
      </w:pPr>
      <w:r>
        <w:t xml:space="preserve">44</w:t>
      </w:r>
    </w:p>
    <w:p>
      <w:pPr>
        <w:pStyle w:val="BodyText"/>
      </w:pPr>
      <w:r>
        <w:t xml:space="preserve">is the one of smart glasses (118), that could generate demand in the order of millions of high-</w:t>
      </w:r>
      <w:r>
        <w:t xml:space="preserve"> </w:t>
      </w:r>
      <w:r>
        <w:t xml:space="preserve">end embedded processors per year, and where the EU is potentially well positioned.</w:t>
      </w:r>
    </w:p>
    <w:p>
      <w:pPr>
        <w:pStyle w:val="BodyText"/>
      </w:pPr>
      <w:r>
        <w:t xml:space="preserve">Figure 17 - Foundry market by technology node (source IBS, February 2025)</w:t>
      </w:r>
      <w:r>
        <w:t xml:space="preserve"> </w:t>
      </w:r>
      <w:r>
        <w:t xml:space="preserve">The EU semiconductor industry could make use of its established experience with automotive</w:t>
      </w:r>
      <w:r>
        <w:t xml:space="preserve"> </w:t>
      </w:r>
      <w:r>
        <w:t xml:space="preserve">and industrial customers to capture higher added-value markets or move into these next</w:t>
      </w:r>
      <w:r>
        <w:t xml:space="preserve"> </w:t>
      </w:r>
      <w:r>
        <w:t xml:space="preserve">generation technologies. However, challenges in this regard include: the lack of demand</w:t>
      </w:r>
      <w:r>
        <w:t xml:space="preserve"> </w:t>
      </w:r>
      <w:r>
        <w:t xml:space="preserve">aggregation, as these sectors rely on customisation or relatively low volumes compared to AI</w:t>
      </w:r>
      <w:r>
        <w:t xml:space="preserve"> </w:t>
      </w:r>
      <w:r>
        <w:t xml:space="preserve">data centres and smartphones; and the steep up-front investment required for developing more</w:t>
      </w:r>
      <w:r>
        <w:t xml:space="preserve"> </w:t>
      </w:r>
      <w:r>
        <w:t xml:space="preserve">leading-edge technologies. Workshop participants described this as a fundamental structural</w:t>
      </w:r>
      <w:r>
        <w:t xml:space="preserve"> </w:t>
      </w:r>
      <w:r>
        <w:t xml:space="preserve">weakness since fragmented demand has prevented economies of scale, limiting Europe’s</w:t>
      </w:r>
      <w:r>
        <w:t xml:space="preserve"> </w:t>
      </w:r>
      <w:r>
        <w:t xml:space="preserve">ability to industrialise emerging technologies (119).</w:t>
      </w:r>
      <w:r>
        <w:t xml:space="preserve"> </w:t>
      </w:r>
      <w:r>
        <w:t xml:space="preserve">It is therefore clear that unless the EU succeeds in channelling demand from these</w:t>
      </w:r>
      <w:r>
        <w:t xml:space="preserve"> </w:t>
      </w:r>
      <w:r>
        <w:t xml:space="preserve">downstream markets towards European solutions, entire swaths of the EU’s industrial base</w:t>
      </w:r>
      <w:r>
        <w:t xml:space="preserve"> </w:t>
      </w:r>
      <w:r>
        <w:t xml:space="preserve">could be locked into third country technologies, thus limiting opportunities for the</w:t>
      </w:r>
      <w:r>
        <w:t xml:space="preserve"> </w:t>
      </w:r>
      <w:r>
        <w:t xml:space="preserve">development of European alternatives and exposing the Union to potential economic</w:t>
      </w:r>
      <w:r>
        <w:t xml:space="preserve"> </w:t>
      </w:r>
      <w:r>
        <w:t xml:space="preserve">coercion.</w:t>
      </w:r>
      <w:r>
        <w:t xml:space="preserve"> </w:t>
      </w:r>
      <w:r>
        <w:t xml:space="preserve">2.3.5 PD5: Insufficient information available to public authorities on the resilience of the</w:t>
      </w:r>
      <w:r>
        <w:t xml:space="preserve"> </w:t>
      </w:r>
      <w:r>
        <w:t xml:space="preserve">European semiconductor supply chain</w:t>
      </w:r>
      <w:r>
        <w:t xml:space="preserve"> </w:t>
      </w:r>
      <w:r>
        <w:t xml:space="preserve">The Evaluation of the Chips Act clearly showed that while coordination between the</w:t>
      </w:r>
      <w:r>
        <w:t xml:space="preserve"> </w:t>
      </w:r>
      <w:r>
        <w:t xml:space="preserve">Commission and Member States has significantly improved via the European Semiconductor</w:t>
      </w:r>
      <w:r>
        <w:t xml:space="preserve"> </w:t>
      </w:r>
      <w:r>
        <w:t xml:space="preserve">Board (including information on possible disruptions, such as in the Nexperia case), the crisis</w:t>
      </w:r>
      <w:r>
        <w:t xml:space="preserve"> </w:t>
      </w:r>
      <w:r>
        <w:t xml:space="preserve">preparedness framework still remains insufficient, for the following reasons:</w:t>
      </w:r>
      <w:r>
        <w:br/>
      </w:r>
      <w:r>
        <w:t xml:space="preserve">•</w:t>
      </w:r>
      <w:r>
        <w:t xml:space="preserve"> </w:t>
      </w:r>
      <w:r>
        <w:t xml:space="preserve">The Pillar III framework is largely reactive in nature, with the toolbox of measures</w:t>
      </w:r>
      <w:r>
        <w:t xml:space="preserve"> </w:t>
      </w:r>
      <w:r>
        <w:t xml:space="preserve">being applicable only after a crisis stage is activated. Preventive actions are carried out</w:t>
      </w:r>
      <w:r>
        <w:t xml:space="preserve"> </w:t>
      </w:r>
      <w:r>
        <w:t xml:space="preserve">only after alerts are received in line with Article 22 of the Chips Act.</w:t>
      </w:r>
    </w:p>
    <w:p>
      <w:pPr>
        <w:pStyle w:val="Compact"/>
        <w:numPr>
          <w:ilvl w:val="0"/>
          <w:numId w:val="1030"/>
        </w:numPr>
      </w:pPr>
      <w:r>
        <w:t xml:space="preserve">Smart glasses are wearable devices integrated into eyeglass frames that combine miniaturised displays,</w:t>
      </w:r>
      <w:r>
        <w:t xml:space="preserve"> </w:t>
      </w:r>
      <w:r>
        <w:t xml:space="preserve">cameras, sensors, and wireless connectivity to deliver augmented reality experiences and hands-free computing.</w:t>
      </w:r>
      <w:r>
        <w:t xml:space="preserve"> </w:t>
      </w:r>
      <w:r>
        <w:t xml:space="preserve">Applications span industrial maintenance, healthcare, logistics, defence, and consumer use.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Annex 2 Section 8</w:t>
      </w:r>
    </w:p>
    <w:p>
      <w:pPr>
        <w:pStyle w:val="FirstParagraph"/>
      </w:pPr>
      <w:r>
        <w:t xml:space="preserve">45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The preventive actions the Commission and Member States can undertake before the</w:t>
      </w:r>
      <w:r>
        <w:t xml:space="preserve"> </w:t>
      </w:r>
      <w:r>
        <w:t xml:space="preserve">activation of the crisis stage remain limited in nature (120).</w:t>
      </w:r>
      <w:r>
        <w:t xml:space="preserve"> </w:t>
      </w:r>
      <w:r>
        <w:t xml:space="preserve">•</w:t>
      </w:r>
      <w:r>
        <w:t xml:space="preserve"> </w:t>
      </w:r>
      <w:r>
        <w:t xml:space="preserve">The boundaries of when public intervention (preventive action) is warranted before a</w:t>
      </w:r>
      <w:r>
        <w:t xml:space="preserve"> </w:t>
      </w:r>
      <w:r>
        <w:t xml:space="preserve">crisis stage is activated are not set.</w:t>
      </w:r>
      <w:r>
        <w:t xml:space="preserve"> </w:t>
      </w:r>
      <w:r>
        <w:t xml:space="preserve">•</w:t>
      </w:r>
      <w:r>
        <w:t xml:space="preserve"> </w:t>
      </w:r>
      <w:r>
        <w:t xml:space="preserve">There is limited EU visibility into semiconductor supply chains, coupled with the</w:t>
      </w:r>
      <w:r>
        <w:t xml:space="preserve"> </w:t>
      </w:r>
      <w:r>
        <w:t xml:space="preserve">complexity of said supply chains, makes it almost impossible to assess when to</w:t>
      </w:r>
      <w:r>
        <w:t xml:space="preserve"> </w:t>
      </w:r>
      <w:r>
        <w:t xml:space="preserve">intervene. The types of information that are missing are different in nature (depending</w:t>
      </w:r>
      <w:r>
        <w:t xml:space="preserve"> </w:t>
      </w:r>
      <w:r>
        <w:t xml:space="preserve">on the technology used, type of semiconductor product or process etc.) but often</w:t>
      </w:r>
      <w:r>
        <w:t xml:space="preserve"> </w:t>
      </w:r>
      <w:r>
        <w:t xml:space="preserve">revolve around supply chain data such as supplier relationships, capacities, inventory</w:t>
      </w:r>
      <w:r>
        <w:t xml:space="preserve"> </w:t>
      </w:r>
      <w:r>
        <w:t xml:space="preserve">levels etc. Such information is at the hands of the industry.</w:t>
      </w:r>
      <w:r>
        <w:br/>
      </w:r>
      <w:r>
        <w:t xml:space="preserve">In the current context, the semiconductor supply chain remains highly vulnerable to</w:t>
      </w:r>
      <w:r>
        <w:t xml:space="preserve"> </w:t>
      </w:r>
      <w:r>
        <w:t xml:space="preserve">disruptions due to its structural complexity, fragmentation, and reliance on a limited number</w:t>
      </w:r>
      <w:r>
        <w:t xml:space="preserve"> </w:t>
      </w:r>
      <w:r>
        <w:t xml:space="preserve">of actors at critical stages of the supply chain. Recent trade restrictions, including those</w:t>
      </w:r>
      <w:r>
        <w:t xml:space="preserve"> </w:t>
      </w:r>
      <w:r>
        <w:t xml:space="preserve">arising from the COVID-19 pandemic, restrictions imposed on AI chips (121) and critical raw</w:t>
      </w:r>
      <w:r>
        <w:t xml:space="preserve"> </w:t>
      </w:r>
      <w:r>
        <w:t xml:space="preserve">materials (122), as well as concerns about overcapacity in mainstream semiconductor segments</w:t>
      </w:r>
      <w:r>
        <w:t xml:space="preserve"> </w:t>
      </w:r>
      <w:r>
        <w:t xml:space="preserve">(123), have demonstrated that the Union currently lacks sufficient crisis preparedness</w:t>
      </w:r>
      <w:r>
        <w:t xml:space="preserve"> </w:t>
      </w:r>
      <w:r>
        <w:t xml:space="preserve">capabilities required for timely, decisive and effective action.</w:t>
      </w:r>
      <w:r>
        <w:t xml:space="preserve"> </w:t>
      </w:r>
      <w:r>
        <w:t xml:space="preserve">Operational capacities for supply chain monitoring, risk assessment, and crisis management at</w:t>
      </w:r>
      <w:r>
        <w:t xml:space="preserve"> </w:t>
      </w:r>
      <w:r>
        <w:t xml:space="preserve">both Union and Member State levels also remain limited. Although the European</w:t>
      </w:r>
      <w:r>
        <w:t xml:space="preserve"> </w:t>
      </w:r>
      <w:r>
        <w:t xml:space="preserve">Semiconductor Board and initiatives under Pillar III of the Chips Act have established an</w:t>
      </w:r>
      <w:r>
        <w:t xml:space="preserve"> </w:t>
      </w:r>
      <w:r>
        <w:t xml:space="preserve">architecture for supply chain monitoring with mandatory data collection in times of crisis</w:t>
      </w:r>
      <w:r>
        <w:t xml:space="preserve"> </w:t>
      </w:r>
      <w:r>
        <w:t xml:space="preserve">(Article 25), and encouragement of voluntary data sharing (Articles 19 and 20), it does not</w:t>
      </w:r>
      <w:r>
        <w:t xml:space="preserve"> </w:t>
      </w:r>
      <w:r>
        <w:t xml:space="preserve">establish broader compulsory data-sharing mechanisms comparable to those existing, for</w:t>
      </w:r>
      <w:r>
        <w:t xml:space="preserve"> </w:t>
      </w:r>
      <w:r>
        <w:t xml:space="preserve">example, in the US where data disclosure can be mandated for national security purposes</w:t>
      </w:r>
      <w:r>
        <w:t xml:space="preserve"> </w:t>
      </w:r>
      <w:r>
        <w:t xml:space="preserve">(124). As a result, public authorities are constrained in their ability to anticipate risks, model</w:t>
      </w:r>
      <w:r>
        <w:t xml:space="preserve"> </w:t>
      </w:r>
      <w:r>
        <w:t xml:space="preserve">disruption scenarios, or assess emerging market developments.</w:t>
      </w:r>
      <w:r>
        <w:t xml:space="preserve"> </w:t>
      </w:r>
      <w:r>
        <w:t xml:space="preserve">The resources and tools available, particularly in terms of specialised staff and analytical</w:t>
      </w:r>
      <w:r>
        <w:t xml:space="preserve"> </w:t>
      </w:r>
      <w:r>
        <w:t xml:space="preserve">expertise, are also insufficient to ensure continuous and real-time situational awareness.</w:t>
      </w:r>
      <w:r>
        <w:t xml:space="preserve"> </w:t>
      </w:r>
      <w:r>
        <w:t xml:space="preserve">Current tools do not yet support advanced forecasting, rapid information-sharing, or</w:t>
      </w:r>
      <w:r>
        <w:t xml:space="preserve"> </w:t>
      </w:r>
      <w:r>
        <w:t xml:space="preserve">coordinated response planning.</w:t>
      </w:r>
    </w:p>
    <w:p>
      <w:pPr>
        <w:pStyle w:val="Compact"/>
        <w:numPr>
          <w:ilvl w:val="0"/>
          <w:numId w:val="1031"/>
        </w:numPr>
      </w:pPr>
      <w:r>
        <w:t xml:space="preserve">Under Article 22 of the Chips Act, the Commission shall convene an extraordinary meeting of the European</w:t>
      </w:r>
      <w:r>
        <w:t xml:space="preserve"> </w:t>
      </w:r>
      <w:r>
        <w:t xml:space="preserve">Semiconductor Board, composed of Member States representatives, to discuss the severity of the supply</w:t>
      </w:r>
      <w:r>
        <w:t xml:space="preserve"> </w:t>
      </w:r>
      <w:r>
        <w:t xml:space="preserve">disruptions, whether to activate the crisis stage, whether to carry out joint procurements, and to discuss with</w:t>
      </w:r>
      <w:r>
        <w:t xml:space="preserve"> </w:t>
      </w:r>
      <w:r>
        <w:t xml:space="preserve">stakeholders to identify and prepare potential preventive measures. The Commission shall also enter in</w:t>
      </w:r>
      <w:r>
        <w:t xml:space="preserve"> </w:t>
      </w:r>
      <w:r>
        <w:t xml:space="preserve">consultations with relevant third countries to seek cooperative solutions.</w:t>
      </w:r>
      <w:r>
        <w:t xml:space="preserve"> </w:t>
      </w:r>
      <w:r>
        <w:t xml:space="preserve">(121)https://ec.europa.eu/commission/presscorner/api/files/document/print/en/statement_25_255/STATEMENT_</w:t>
      </w:r>
      <w:r>
        <w:t xml:space="preserve"> </w:t>
      </w:r>
      <w:r>
        <w:t xml:space="preserve">25_255_EN.pdf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https://www.technologyreview.com/2023/07/10/1076025/china-export-control-semiconductor-material/</w:t>
      </w:r>
      <w:r>
        <w:br/>
      </w:r>
      <w:r>
        <w:t xml:space="preserve">(123)https://ec.europa.eu/commission/presscorner/api/files/document/print/en/statement_24_1828/STATEMENT</w:t>
      </w:r>
      <w:r>
        <w:t xml:space="preserve"> </w:t>
      </w:r>
      <w:r>
        <w:t xml:space="preserve">_24_1828_EN.pdf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Under the US Trade Act of 1974, Section 301 is designed to address “unfair foreign practices affecting U.S.</w:t>
      </w:r>
      <w:r>
        <w:t xml:space="preserve"> </w:t>
      </w:r>
      <w:r>
        <w:t xml:space="preserve">commerce”. Section 301(b) can also be used to respond to “unreasonable or discriminatory foreign government</w:t>
      </w:r>
      <w:r>
        <w:t xml:space="preserve"> </w:t>
      </w:r>
      <w:r>
        <w:t xml:space="preserve">practices that burden or restrict U.S. commerce”. Under Section 302(b), the U.S. Trade Representative may self-</w:t>
      </w:r>
      <w:r>
        <w:t xml:space="preserve"> </w:t>
      </w:r>
      <w:r>
        <w:t xml:space="preserve">initiate an investigation under Section 301.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Structural features of the global semiconductor market further compound these preparedness</w:t>
      </w:r>
      <w:r>
        <w:t xml:space="preserve"> </w:t>
      </w:r>
      <w:r>
        <w:t xml:space="preserve">gaps. The sector’s strong cyclicality, high capital and knowledge intensity, long production</w:t>
      </w:r>
      <w:r>
        <w:t xml:space="preserve"> </w:t>
      </w:r>
      <w:r>
        <w:t xml:space="preserve">lead times, and significant geographic concentration create systemic vulnerabilities that can</w:t>
      </w:r>
      <w:r>
        <w:t xml:space="preserve"> </w:t>
      </w:r>
      <w:r>
        <w:t xml:space="preserve">amplify even minor disturbances. Without robust monitoring and crisis-response capacities</w:t>
      </w:r>
      <w:r>
        <w:t xml:space="preserve"> </w:t>
      </w:r>
      <w:r>
        <w:t xml:space="preserve">outside of the formal crisis stage under the Chips Act, such vulnerabilities can quickly</w:t>
      </w:r>
      <w:r>
        <w:t xml:space="preserve"> </w:t>
      </w:r>
      <w:r>
        <w:t xml:space="preserve">translate into supply chain disruptions with significant economic and societal consequences.</w:t>
      </w:r>
      <w:r>
        <w:br/>
      </w:r>
      <w:r>
        <w:t xml:space="preserve">However, on data gathering under Pillar III, industry stakeholders have expressed legitimate</w:t>
      </w:r>
      <w:r>
        <w:t xml:space="preserve"> </w:t>
      </w:r>
      <w:r>
        <w:t xml:space="preserve">concerns about sharing sensitive information, including commercially confidential data and</w:t>
      </w:r>
      <w:r>
        <w:t xml:space="preserve"> </w:t>
      </w:r>
      <w:r>
        <w:t xml:space="preserve">trade secrets. Strengthened coordination mechanisms, clearer safeguards including EU</w:t>
      </w:r>
      <w:r>
        <w:t xml:space="preserve"> </w:t>
      </w:r>
      <w:r>
        <w:t xml:space="preserve">antitrust compliance, and trust-building measures are required to mitigate these concerns, but</w:t>
      </w:r>
      <w:r>
        <w:t xml:space="preserve"> </w:t>
      </w:r>
      <w:r>
        <w:t xml:space="preserve">they are not yet sufficiently developed.</w:t>
      </w:r>
      <w:r>
        <w:t xml:space="preserve"> </w:t>
      </w:r>
      <w:r>
        <w:t xml:space="preserve">Taken together, these factors mean that the EU lacks the necessary preparedness to identify,</w:t>
      </w:r>
      <w:r>
        <w:t xml:space="preserve"> </w:t>
      </w:r>
      <w:r>
        <w:t xml:space="preserve">anticipate, and mitigate semiconductor supply chain crises in a timely and coordinated</w:t>
      </w:r>
      <w:r>
        <w:t xml:space="preserve"> </w:t>
      </w:r>
      <w:r>
        <w:t xml:space="preserve">manner.</w:t>
      </w:r>
      <w:r>
        <w:t xml:space="preserve"> </w:t>
      </w:r>
      <w:r>
        <w:t xml:space="preserve">2.4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There is limited evidence to suggest that the challenges outlined above are transient. Three</w:t>
      </w:r>
      <w:r>
        <w:t xml:space="preserve"> </w:t>
      </w:r>
      <w:r>
        <w:t xml:space="preserve">structural factors indicate that the current problems are likely to persist over medium to long-</w:t>
      </w:r>
      <w:r>
        <w:t xml:space="preserve"> </w:t>
      </w:r>
      <w:r>
        <w:t xml:space="preserve">term.</w:t>
      </w:r>
      <w:r>
        <w:t xml:space="preserve"> </w:t>
      </w:r>
      <w:r>
        <w:t xml:space="preserve">First, geopolitical tensions are expected to endure if not further intensify. These tensions</w:t>
      </w:r>
      <w:r>
        <w:t xml:space="preserve"> </w:t>
      </w:r>
      <w:r>
        <w:t xml:space="preserve">are not driven by short-term political cycles but by long-term shifts in the global balance of</w:t>
      </w:r>
      <w:r>
        <w:t xml:space="preserve"> </w:t>
      </w:r>
      <w:r>
        <w:t xml:space="preserve">power that are leading to persistent competition in the domains of security, technological</w:t>
      </w:r>
      <w:r>
        <w:t xml:space="preserve"> </w:t>
      </w:r>
      <w:r>
        <w:t xml:space="preserve">supremacy ambitions, economic influence, and global governance. The sector’s centrality to</w:t>
      </w:r>
      <w:r>
        <w:t xml:space="preserve"> </w:t>
      </w:r>
      <w:r>
        <w:t xml:space="preserve">advanced AI systems and defence capabilities has further elevated its geopolitical</w:t>
      </w:r>
      <w:r>
        <w:t xml:space="preserve"> </w:t>
      </w:r>
      <w:r>
        <w:t xml:space="preserve">significance, resulting in the adoption of far-reaching industrial policies and increasing export</w:t>
      </w:r>
      <w:r>
        <w:t xml:space="preserve"> </w:t>
      </w:r>
      <w:r>
        <w:t xml:space="preserve">controls. Recent measures to restrict the access to AI chips (US) and critical raw materials</w:t>
      </w:r>
      <w:r>
        <w:t xml:space="preserve"> </w:t>
      </w:r>
      <w:r>
        <w:t xml:space="preserve">(China) demonstrate a continued willingness by the US and China to leverage economic</w:t>
      </w:r>
      <w:r>
        <w:t xml:space="preserve"> </w:t>
      </w:r>
      <w:r>
        <w:t xml:space="preserve">dependencies for strategic purposes.</w:t>
      </w:r>
      <w:r>
        <w:t xml:space="preserve"> </w:t>
      </w:r>
      <w:r>
        <w:t xml:space="preserve">Second, the semiconductor value chain remains structurally fragile and highly exposed</w:t>
      </w:r>
      <w:r>
        <w:t xml:space="preserve"> </w:t>
      </w:r>
      <w:r>
        <w:t xml:space="preserve">to disruption. Multiple bottlenecks and a high concentration at different stages of the value</w:t>
      </w:r>
      <w:r>
        <w:t xml:space="preserve"> </w:t>
      </w:r>
      <w:r>
        <w:t xml:space="preserve">chain, from advanced manufacturing of logic chips to materials and equipment, make</w:t>
      </w:r>
      <w:r>
        <w:t xml:space="preserve"> </w:t>
      </w:r>
      <w:r>
        <w:t xml:space="preserve">interruptions likely. While significant investment is underway in the EU, including projects</w:t>
      </w:r>
      <w:r>
        <w:t xml:space="preserve"> </w:t>
      </w:r>
      <w:r>
        <w:t xml:space="preserve">supported under Pillar II of the Chips Act, there are still gaps in capacity (125). At the same</w:t>
      </w:r>
      <w:r>
        <w:t xml:space="preserve"> </w:t>
      </w:r>
      <w:r>
        <w:t xml:space="preserve">time, the high degree of geographic concentration in several critical segments of the value</w:t>
      </w:r>
      <w:r>
        <w:t xml:space="preserve"> </w:t>
      </w:r>
      <w:r>
        <w:t xml:space="preserve">chain increases the system’s vulnerability to natural disasters and other supply shocks. Even</w:t>
      </w:r>
      <w:r>
        <w:t xml:space="preserve"> </w:t>
      </w:r>
      <w:r>
        <w:t xml:space="preserve">minor disturbances can propagate rapidly across the chain and impact well beyond the initial</w:t>
      </w:r>
      <w:r>
        <w:t xml:space="preserve"> </w:t>
      </w:r>
      <w:r>
        <w:t xml:space="preserve">point of failure. Until additional European capacity becomes fully deployed, the ecosystem</w:t>
      </w:r>
      <w:r>
        <w:t xml:space="preserve"> </w:t>
      </w:r>
      <w:r>
        <w:t xml:space="preserve">will remain inherently prone to instability.</w:t>
      </w:r>
    </w:p>
    <w:p>
      <w:pPr>
        <w:pStyle w:val="Compact"/>
        <w:numPr>
          <w:ilvl w:val="0"/>
          <w:numId w:val="1032"/>
        </w:numPr>
      </w:pPr>
      <w:r>
        <w:t xml:space="preserve">Special report 12/2025 - The EU’s strategy for microchips</w:t>
      </w:r>
    </w:p>
    <w:p>
      <w:pPr>
        <w:pStyle w:val="FirstParagraph"/>
      </w:pPr>
      <w:r>
        <w:t xml:space="preserve">47</w:t>
      </w:r>
    </w:p>
    <w:p>
      <w:pPr>
        <w:pStyle w:val="BodyText"/>
      </w:pPr>
      <w:r>
        <w:t xml:space="preserve">Finally, the ongoing expansion of semiconductor production capacity in Asia and the US,</w:t>
      </w:r>
      <w:r>
        <w:t xml:space="preserve"> </w:t>
      </w:r>
      <w:r>
        <w:t xml:space="preserve">supported by substantial public support, is currently outpacing the EU. All leading</w:t>
      </w:r>
      <w:r>
        <w:t xml:space="preserve"> </w:t>
      </w:r>
      <w:r>
        <w:t xml:space="preserve">semiconductor players (China, Japan, the US, South Korea, Taiwan) are intensifying their</w:t>
      </w:r>
      <w:r>
        <w:t xml:space="preserve"> </w:t>
      </w:r>
      <w:r>
        <w:t xml:space="preserve">industrial strategies, expanding fabrication capabilities and consolidating domestic supply</w:t>
      </w:r>
      <w:r>
        <w:t xml:space="preserve"> </w:t>
      </w:r>
      <w:r>
        <w:t xml:space="preserve">chain ecosystems. This sustained momentum indicates that competitive pressure on European</w:t>
      </w:r>
      <w:r>
        <w:t xml:space="preserve"> </w:t>
      </w:r>
      <w:r>
        <w:t xml:space="preserve">manufacturers will not diminish: rather, it is expected to increase as other regions continue to</w:t>
      </w:r>
      <w:r>
        <w:t xml:space="preserve"> </w:t>
      </w:r>
      <w:r>
        <w:t xml:space="preserve">scale leading-edge manufacturing capacity, thus cementing long-term strategic advantages.</w:t>
      </w:r>
      <w:r>
        <w:br/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current legal bases of the Chips Act Regulation are Article 173(3) and Article 114 of the</w:t>
      </w:r>
      <w:r>
        <w:t xml:space="preserve"> </w:t>
      </w:r>
      <w:r>
        <w:t xml:space="preserve">Treaty on the Functioning of the European Union (TFEU). The Union shall contribute to the</w:t>
      </w:r>
      <w:r>
        <w:t xml:space="preserve"> </w:t>
      </w:r>
      <w:r>
        <w:t xml:space="preserve">achievement of the objectives set out in Article 173(1) TFEU through the policies and</w:t>
      </w:r>
      <w:r>
        <w:t xml:space="preserve"> </w:t>
      </w:r>
      <w:r>
        <w:t xml:space="preserve">activities it pursues, as these objectives are to ensure that the conditions necessary for the</w:t>
      </w:r>
      <w:r>
        <w:t xml:space="preserve"> </w:t>
      </w:r>
      <w:r>
        <w:t xml:space="preserve">competitiveness of the Union’s industry exist. In accordance with a system of open and</w:t>
      </w:r>
      <w:r>
        <w:t xml:space="preserve"> </w:t>
      </w:r>
      <w:r>
        <w:t xml:space="preserve">competitive markets, actions are aimed at: speeding up adjustment of industry to structural</w:t>
      </w:r>
      <w:r>
        <w:t xml:space="preserve"> </w:t>
      </w:r>
      <w:r>
        <w:t xml:space="preserve">changes; encouraging an environment favourable to initiative and to the development of</w:t>
      </w:r>
      <w:r>
        <w:t xml:space="preserve"> </w:t>
      </w:r>
      <w:r>
        <w:t xml:space="preserve">undertakings throughout the Union, particularly small and medium-sized undertakings;</w:t>
      </w:r>
      <w:r>
        <w:t xml:space="preserve"> </w:t>
      </w:r>
      <w:r>
        <w:t xml:space="preserve">encouraging an environment favourable to cooperation between undertakings; fostering better</w:t>
      </w:r>
      <w:r>
        <w:t xml:space="preserve"> </w:t>
      </w:r>
      <w:r>
        <w:t xml:space="preserve">exploitation of the industrial potential of policies of innovation, research and technological</w:t>
      </w:r>
      <w:r>
        <w:t xml:space="preserve"> </w:t>
      </w:r>
      <w:r>
        <w:t xml:space="preserve">development. The objective of Article 114 TFEU is the establishment and functioning of the</w:t>
      </w:r>
      <w:r>
        <w:t xml:space="preserve"> </w:t>
      </w:r>
      <w:r>
        <w:t xml:space="preserve">internal market by enhancing measures for the approximation of national rules.</w:t>
      </w:r>
      <w:r>
        <w:br/>
      </w:r>
      <w:r>
        <w:t xml:space="preserve">A new legislative act would have the same legal bases as the current Chips Act Regulation.</w:t>
      </w:r>
      <w:r>
        <w:t xml:space="preserve"> </w:t>
      </w:r>
      <w:r>
        <w:t xml:space="preserve">New actions would ensure the conditions necessary for the competitiveness of the Union’s</w:t>
      </w:r>
      <w:r>
        <w:t xml:space="preserve"> </w:t>
      </w:r>
      <w:r>
        <w:t xml:space="preserve">industry and improve the level playing field for companies in the internal market, subjecting</w:t>
      </w:r>
      <w:r>
        <w:t xml:space="preserve"> </w:t>
      </w:r>
      <w:r>
        <w:t xml:space="preserve">them to the same requirements across the Union.</w:t>
      </w:r>
      <w:r>
        <w:br/>
      </w:r>
      <w:r>
        <w:t xml:space="preserve">Regarding the legal basis of Article 173(3) TFEU, Article 6 TFEU notes that the Union shall</w:t>
      </w:r>
      <w:r>
        <w:t xml:space="preserve"> </w:t>
      </w:r>
      <w:r>
        <w:t xml:space="preserve">have competence to carry out actions to support, coordinate or supplement the actions of the</w:t>
      </w:r>
      <w:r>
        <w:t xml:space="preserve"> </w:t>
      </w:r>
      <w:r>
        <w:t xml:space="preserve">Member States. These areas of action include industry, according to Article 6(b). With regard</w:t>
      </w:r>
      <w:r>
        <w:t xml:space="preserve"> </w:t>
      </w:r>
      <w:r>
        <w:t xml:space="preserve">to the legal basis of Article 114 TFEU, Article 4(1) TFEU notes that the Union shall share</w:t>
      </w:r>
      <w:r>
        <w:t xml:space="preserve"> </w:t>
      </w:r>
      <w:r>
        <w:t xml:space="preserve">competence with the Member States where the Treaties confer on it a competence which does</w:t>
      </w:r>
      <w:r>
        <w:t xml:space="preserve"> </w:t>
      </w:r>
      <w:r>
        <w:t xml:space="preserve">not relate to the areas referred to in Articles 3 and 6. Article 4(2)(b) further notes that shared</w:t>
      </w:r>
      <w:r>
        <w:t xml:space="preserve"> </w:t>
      </w:r>
      <w:r>
        <w:t xml:space="preserve">competence between the Union and the Member States applies in area of the internal market.</w:t>
      </w:r>
      <w:r>
        <w:br/>
      </w:r>
      <w:r>
        <w:t xml:space="preserve">As the initiative is subject to shared competence according to Article 4 TFEU and the</w:t>
      </w:r>
      <w:r>
        <w:t xml:space="preserve"> </w:t>
      </w:r>
      <w:r>
        <w:t xml:space="preserve">competence to support, coordinate or supplement according to Article 6 TFEU, compliance</w:t>
      </w:r>
      <w:r>
        <w:t xml:space="preserve"> </w:t>
      </w:r>
      <w:r>
        <w:t xml:space="preserve">with the subsidiarity principle must be ensured. In the case of Article 173(3) TFEU, actions</w:t>
      </w:r>
      <w:r>
        <w:t xml:space="preserve"> </w:t>
      </w:r>
      <w:r>
        <w:t xml:space="preserve">taken should not entail the harmonisation of national laws and regulations but reinforce the</w:t>
      </w:r>
      <w:r>
        <w:t xml:space="preserve"> </w:t>
      </w:r>
      <w:r>
        <w:t xml:space="preserve">competitiveness and resilience of the semiconductor industrial base. The current Chips Act</w:t>
      </w:r>
      <w:r>
        <w:t xml:space="preserve"> </w:t>
      </w:r>
      <w:r>
        <w:t xml:space="preserve">and any new legislative act building on the Chips Act Regulation bolster the strength and</w:t>
      </w:r>
      <w:r>
        <w:t xml:space="preserve"> </w:t>
      </w:r>
      <w:r>
        <w:t xml:space="preserve">resilience of the European semiconductor technology and industrial landscape, enhancing the</w:t>
      </w:r>
      <w:r>
        <w:t xml:space="preserve"> </w:t>
      </w:r>
      <w:r>
        <w:t xml:space="preserve">innovation potential of the semiconductor ecosystem throughout the EU. This includes</w:t>
      </w:r>
      <w:r>
        <w:t xml:space="preserve"> </w:t>
      </w:r>
      <w:r>
        <w:t xml:space="preserve">lowering the reliance on a small set of non-EU companies and regions and expanding the</w:t>
      </w:r>
      <w:r>
        <w:t xml:space="preserve"> </w:t>
      </w:r>
      <w:r>
        <w:t xml:space="preserve">EU’s ability to design and manufacture advanced semiconductors. The Chips for Europe</w:t>
      </w:r>
      <w:r>
        <w:t xml:space="preserve"> </w:t>
      </w:r>
      <w:r>
        <w:t xml:space="preserve">Initiative (Pillar I), which will continue to be supported through the new legislative action, is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intended to help achieve these goals by closing the gap between the EU’s research excellence</w:t>
      </w:r>
      <w:r>
        <w:t xml:space="preserve"> </w:t>
      </w:r>
      <w:r>
        <w:t xml:space="preserve">and its effective, sustainable industrial deployment.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objectives of the proposed actions cannot be achieved sufficiently by Member States</w:t>
      </w:r>
      <w:r>
        <w:t xml:space="preserve"> </w:t>
      </w:r>
      <w:r>
        <w:t xml:space="preserve">acting alone. The economic activities relating to the semiconductor industry across the Single</w:t>
      </w:r>
      <w:r>
        <w:t xml:space="preserve"> </w:t>
      </w:r>
      <w:r>
        <w:t xml:space="preserve">Market are deeply integrated. Semiconductor industry resilience across the Union cannot be</w:t>
      </w:r>
      <w:r>
        <w:t xml:space="preserve"> </w:t>
      </w:r>
      <w:r>
        <w:t xml:space="preserve">effective if approached in a severed manner through national or regional silos. The Chips Act</w:t>
      </w:r>
      <w:r>
        <w:t xml:space="preserve"> </w:t>
      </w:r>
      <w:r>
        <w:t xml:space="preserve">came to address this shortcoming, by setting a common Union framework. The challenges of</w:t>
      </w:r>
      <w:r>
        <w:t xml:space="preserve"> </w:t>
      </w:r>
      <w:r>
        <w:t xml:space="preserve">over-dependence on third country semiconductor supply chains and limited crisis-</w:t>
      </w:r>
      <w:r>
        <w:t xml:space="preserve"> </w:t>
      </w:r>
      <w:r>
        <w:t xml:space="preserve">preparedness capacities manifest differently at national, regional and local levels, due to the</w:t>
      </w:r>
      <w:r>
        <w:t xml:space="preserve"> </w:t>
      </w:r>
      <w:r>
        <w:t xml:space="preserve">variation in national industrial sectors and levels of technological capability. Across the EU,</w:t>
      </w:r>
      <w:r>
        <w:t xml:space="preserve"> </w:t>
      </w:r>
      <w:r>
        <w:t xml:space="preserve">however, the problem is broadly widespread rather than confined to a few countries, because</w:t>
      </w:r>
      <w:r>
        <w:t xml:space="preserve"> </w:t>
      </w:r>
      <w:r>
        <w:t xml:space="preserve">all Member States, regardless of their own manufacturing footprint, are deeply embedded in</w:t>
      </w:r>
      <w:r>
        <w:t xml:space="preserve"> </w:t>
      </w:r>
      <w:r>
        <w:t xml:space="preserve">integrated European value chains that rely on globally concentrated design and manufacturing</w:t>
      </w:r>
      <w:r>
        <w:t xml:space="preserve"> </w:t>
      </w:r>
      <w:r>
        <w:t xml:space="preserve">of semiconductors. The underlying causes of these vulnerabilities are the same across the EU,</w:t>
      </w:r>
      <w:r>
        <w:t xml:space="preserve"> </w:t>
      </w:r>
      <w:r>
        <w:t xml:space="preserve">stemming from the globalisation of the semiconductor industry. While Member States can</w:t>
      </w:r>
      <w:r>
        <w:t xml:space="preserve"> </w:t>
      </w:r>
      <w:r>
        <w:t xml:space="preserve">deploy certain measures individually, such as investment incentives, national semiconductor</w:t>
      </w:r>
      <w:r>
        <w:t xml:space="preserve"> </w:t>
      </w:r>
      <w:r>
        <w:t xml:space="preserve">strategies and workforce programmes, they generally lack the scale, coordination</w:t>
      </w:r>
      <w:r>
        <w:t xml:space="preserve"> </w:t>
      </w:r>
      <w:r>
        <w:t xml:space="preserve">mechanisms, and market-steering power needed to address structural dependencies in a</w:t>
      </w:r>
      <w:r>
        <w:t xml:space="preserve"> </w:t>
      </w:r>
      <w:r>
        <w:t xml:space="preserve">globally concentrated industry. Relying solely on national action risks fragmentation,</w:t>
      </w:r>
      <w:r>
        <w:t xml:space="preserve"> </w:t>
      </w:r>
      <w:r>
        <w:t xml:space="preserve">distorting the single market in ways that run counter to Treaty principles or undermine the</w:t>
      </w:r>
      <w:r>
        <w:t xml:space="preserve"> </w:t>
      </w:r>
      <w:r>
        <w:t xml:space="preserve">interests of other Member States competing for the same investment or supply contracts. The</w:t>
      </w:r>
      <w:r>
        <w:t xml:space="preserve"> </w:t>
      </w:r>
      <w:r>
        <w:t xml:space="preserve">problem is inherently cross-border, given the pan-European nature of semiconductor value</w:t>
      </w:r>
      <w:r>
        <w:t xml:space="preserve"> </w:t>
      </w:r>
      <w:r>
        <w:t xml:space="preserve">chains, the interconnectedness of R&amp;D ecosystems, and the fact that disruptions in one</w:t>
      </w:r>
      <w:r>
        <w:t xml:space="preserve"> </w:t>
      </w:r>
      <w:r>
        <w:t xml:space="preserve">Member State can rapidly propagate through the internal market. Leaving action to Member</w:t>
      </w:r>
      <w:r>
        <w:t xml:space="preserve"> </w:t>
      </w:r>
      <w:r>
        <w:t xml:space="preserve">States alone would increase costs and inefficiencies, as parallel and uncoordinated national</w:t>
      </w:r>
      <w:r>
        <w:t xml:space="preserve"> </w:t>
      </w:r>
      <w:r>
        <w:t xml:space="preserve">initiatives would duplicate efforts, dilute bargaining power, reduce interoperability of</w:t>
      </w:r>
      <w:r>
        <w:t xml:space="preserve"> </w:t>
      </w:r>
      <w:r>
        <w:t xml:space="preserve">preparedness measures, and ultimately fail to achieve the scale required to meaningfully</w:t>
      </w:r>
      <w:r>
        <w:t xml:space="preserve"> </w:t>
      </w:r>
      <w:r>
        <w:t xml:space="preserve">reduce the EU’s strategic dependencies.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objectives of strengthening the EU’s semiconductor design and manufacturing capacity</w:t>
      </w:r>
      <w:r>
        <w:t xml:space="preserve"> </w:t>
      </w:r>
      <w:r>
        <w:t xml:space="preserve">and improving crisis-preparedness can be achieved more effectively at Union level, since the</w:t>
      </w:r>
      <w:r>
        <w:t xml:space="preserve"> </w:t>
      </w:r>
      <w:r>
        <w:t xml:space="preserve">scale and systemic nature of the challenges exceed the capacity of individual Member States</w:t>
      </w:r>
      <w:r>
        <w:t xml:space="preserve"> </w:t>
      </w:r>
      <w:r>
        <w:t xml:space="preserve">acting alone. Significant economies of scale arise when coordinating investment in large-scale</w:t>
      </w:r>
      <w:r>
        <w:t xml:space="preserve"> </w:t>
      </w:r>
      <w:r>
        <w:t xml:space="preserve">manufacturing facilities, shared R&amp;D infrastructure, and cross-border early-warning and</w:t>
      </w:r>
      <w:r>
        <w:t xml:space="preserve"> </w:t>
      </w:r>
      <w:r>
        <w:t xml:space="preserve">monitoring systems, meaning that EU-level action can pool resources, reduce duplication, and</w:t>
      </w:r>
      <w:r>
        <w:t xml:space="preserve"> </w:t>
      </w:r>
      <w:r>
        <w:t xml:space="preserve">deliver outcomes more efficiently than fragmented national efforts. Measures such as the</w:t>
      </w:r>
      <w:r>
        <w:t xml:space="preserve"> </w:t>
      </w:r>
      <w:r>
        <w:t xml:space="preserve">ramping up of production capacities, the speeding up of permitting, priority rated orders and</w:t>
      </w:r>
      <w:r>
        <w:t xml:space="preserve"> </w:t>
      </w:r>
      <w:r>
        <w:t xml:space="preserve">common purchasing aim to ensure a coherent response to future crises and to avoid the</w:t>
      </w:r>
      <w:r>
        <w:t xml:space="preserve"> </w:t>
      </w:r>
      <w:r>
        <w:t xml:space="preserve">fragmentation of the Single Market.</w:t>
      </w:r>
      <w:r>
        <w:t xml:space="preserve"> </w:t>
      </w:r>
      <w:r>
        <w:t xml:space="preserve">A common policy framework also brings clear benefits, as it replaces divergent national</w:t>
      </w:r>
      <w:r>
        <w:t xml:space="preserve"> </w:t>
      </w:r>
      <w:r>
        <w:t xml:space="preserve">incentives, crisis-response protocols, and reporting standards with common approaches that</w:t>
      </w:r>
      <w:r>
        <w:t xml:space="preserve"> </w:t>
      </w:r>
      <w:r>
        <w:t xml:space="preserve">ensure coherence, reduce administrative burdens, and avoid subsidy races or inconsistent</w:t>
      </w:r>
      <w:r>
        <w:t xml:space="preserve"> </w:t>
      </w:r>
      <w:r>
        <w:t xml:space="preserve">regulatory requirements. The functioning of the internal market is thereby improved, since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coordinated EU action minimises distortions, ensures fair competition for attracting</w:t>
      </w:r>
      <w:r>
        <w:t xml:space="preserve"> </w:t>
      </w:r>
      <w:r>
        <w:t xml:space="preserve">semiconductor projects, facilitates the smooth circulation of critical inputs and chips, and</w:t>
      </w:r>
      <w:r>
        <w:t xml:space="preserve"> </w:t>
      </w:r>
      <w:r>
        <w:t xml:space="preserve">strengthens the resilience of cross-border supply chains that depend on seamless integration</w:t>
      </w:r>
      <w:r>
        <w:t xml:space="preserve"> </w:t>
      </w:r>
      <w:r>
        <w:t xml:space="preserve">across Member States.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original Chips Act had two general objectives: (126)</w:t>
      </w:r>
      <w:r>
        <w:br/>
      </w:r>
      <w:r>
        <w:t xml:space="preserve">1. To ensure the conditions necessary for the competitiveness and innovation capacity of</w:t>
      </w:r>
      <w:r>
        <w:t xml:space="preserve"> </w:t>
      </w:r>
      <w:r>
        <w:t xml:space="preserve">the Union, to ensure the adjustment of the industry to structural changes. This involves</w:t>
      </w:r>
      <w:r>
        <w:t xml:space="preserve"> </w:t>
      </w:r>
      <w:r>
        <w:t xml:space="preserve">strengthening the EU’s research, development and innovation leadership to help the</w:t>
      </w:r>
      <w:r>
        <w:t xml:space="preserve"> </w:t>
      </w:r>
      <w:r>
        <w:t xml:space="preserve">semiconductor industry adjust to structural changes. This is primarily addressed by</w:t>
      </w:r>
      <w:r>
        <w:t xml:space="preserve"> </w:t>
      </w:r>
      <w:r>
        <w:t xml:space="preserve">Pillar I, the “Chips for Europe Initiative”, which focuses on bridging the ‘lab to fab’</w:t>
      </w:r>
      <w:r>
        <w:t xml:space="preserve"> </w:t>
      </w:r>
      <w:r>
        <w:t xml:space="preserve">gap.</w:t>
      </w:r>
      <w:r>
        <w:t xml:space="preserve"> </w:t>
      </w:r>
      <w:r>
        <w:t xml:space="preserve">2. To improve the functioning of the internal market by laying down a uniform Union</w:t>
      </w:r>
      <w:r>
        <w:t xml:space="preserve"> </w:t>
      </w:r>
      <w:r>
        <w:t xml:space="preserve">legal framework for increasing the Union’s long-term resilience and its ability to</w:t>
      </w:r>
      <w:r>
        <w:t xml:space="preserve"> </w:t>
      </w:r>
      <w:r>
        <w:t xml:space="preserve">innovate and provide security of supply in the field of semiconductor technologies.</w:t>
      </w:r>
      <w:r>
        <w:t xml:space="preserve"> </w:t>
      </w:r>
      <w:r>
        <w:t xml:space="preserve">This objective focuses on increasing the Union’s resilience and security of supply in</w:t>
      </w:r>
      <w:r>
        <w:t xml:space="preserve"> </w:t>
      </w:r>
      <w:r>
        <w:t xml:space="preserve">the field of semiconductor technologies. This is primarily addressed by Pillar II, which</w:t>
      </w:r>
      <w:r>
        <w:t xml:space="preserve"> </w:t>
      </w:r>
      <w:r>
        <w:t xml:space="preserve">creates a framework to support “first-of-a-kind” manufacturing facilities, and Pillar</w:t>
      </w:r>
      <w:r>
        <w:t xml:space="preserve"> </w:t>
      </w:r>
      <w:r>
        <w:t xml:space="preserve">III, which establishes a coordination mechanism for monitoring, crisis prevention and</w:t>
      </w:r>
      <w:r>
        <w:t xml:space="preserve"> </w:t>
      </w:r>
      <w:r>
        <w:t xml:space="preserve">response.</w:t>
      </w:r>
      <w:r>
        <w:br/>
      </w:r>
      <w:r>
        <w:t xml:space="preserve">The proposed Chips Act 2.0 builds on these objectives with two new general objectives:</w:t>
      </w:r>
      <w:r>
        <w:br/>
      </w:r>
      <w:r>
        <w:t xml:space="preserve">1. Increase the competitiveness of the European semiconductor value chain to improve</w:t>
      </w:r>
      <w:r>
        <w:t xml:space="preserve"> </w:t>
      </w:r>
      <w:r>
        <w:t xml:space="preserve">its technological sovereignty and resilience, by accelerating the industrial deployment</w:t>
      </w:r>
      <w:r>
        <w:t xml:space="preserve"> </w:t>
      </w:r>
      <w:r>
        <w:t xml:space="preserve">of research and innovation, ensuring security of supply and reducing strategic</w:t>
      </w:r>
      <w:r>
        <w:t xml:space="preserve"> </w:t>
      </w:r>
      <w:r>
        <w:t xml:space="preserve">dependencies in cutting-edge and mature semiconductor technologies.</w:t>
      </w:r>
      <w:r>
        <w:br/>
      </w:r>
      <w:r>
        <w:t xml:space="preserve">2. Enhance crisis preparedness to ensure the EU’s security of supply, by increasing the</w:t>
      </w:r>
      <w:r>
        <w:t xml:space="preserve"> </w:t>
      </w:r>
      <w:r>
        <w:t xml:space="preserve">resilience of the European semiconductor supply chain and protecting EU’s economic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The original Chips Act and the proposed Chips Act 2.0 share a common overarching aim, i.e.,</w:t>
      </w:r>
      <w:r>
        <w:t xml:space="preserve"> </w:t>
      </w:r>
      <w:r>
        <w:t xml:space="preserve">strengthening the Union’s semiconductor ecosystem, but they differ in emphasis and</w:t>
      </w:r>
      <w:r>
        <w:t xml:space="preserve"> </w:t>
      </w:r>
      <w:r>
        <w:t xml:space="preserve">conceptual framing. The evolution is characterised by a shift from a predominantly innovation</w:t>
      </w:r>
      <w:r>
        <w:t xml:space="preserve"> </w:t>
      </w:r>
      <w:r>
        <w:t xml:space="preserve">and internal-market-driven logic towards a more explicit strategic resilience and</w:t>
      </w:r>
      <w:r>
        <w:t xml:space="preserve"> </w:t>
      </w:r>
      <w:r>
        <w:t xml:space="preserve">technological sovereignty framing, with stronger focus on supply-chain dependencies and</w:t>
      </w:r>
      <w:r>
        <w:t xml:space="preserve"> </w:t>
      </w:r>
      <w:r>
        <w:t xml:space="preserve">crisis preparedness. Chips Act 2.0 widens the competitiveness and innovation rationale to a</w:t>
      </w:r>
      <w:r>
        <w:t xml:space="preserve"> </w:t>
      </w:r>
      <w:r>
        <w:t xml:space="preserve">broader value-chain perspective and explicitly links competitiveness to the Union’s</w:t>
      </w:r>
      <w:r>
        <w:t xml:space="preserve"> </w:t>
      </w:r>
      <w:r>
        <w:t xml:space="preserve">technological sovereignty and resilience. Compared to the original formulation, the Chips Act</w:t>
      </w:r>
      <w:r>
        <w:t xml:space="preserve"> </w:t>
      </w:r>
      <w:r>
        <w:t xml:space="preserve">2.0 objectives place greater emphasis on accelerating the lab-to-fab transition. This implies an</w:t>
      </w:r>
      <w:r>
        <w:t xml:space="preserve"> </w:t>
      </w:r>
      <w:r>
        <w:t xml:space="preserve">emphasis on ensuring that research and innovation activities translate into not only excellence</w:t>
      </w:r>
      <w:r>
        <w:t xml:space="preserve"> </w:t>
      </w:r>
      <w:r>
        <w:t xml:space="preserve">and leadership but also greater security of supply, and a reduction of strategic dependencies</w:t>
      </w:r>
      <w:r>
        <w:t xml:space="preserve"> </w:t>
      </w:r>
      <w:r>
        <w:t xml:space="preserve">across both cutting-edge and mature semiconductor technologies.</w:t>
      </w:r>
    </w:p>
    <w:p>
      <w:pPr>
        <w:pStyle w:val="Compact"/>
        <w:numPr>
          <w:ilvl w:val="0"/>
          <w:numId w:val="1033"/>
        </w:numPr>
      </w:pPr>
      <w:r>
        <w:t xml:space="preserve">Article 1 Chips Act, Regulation - 2023/1781 - EN - EUR-Lex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Furthermore, Chips Act 2.0 elevates crisis preparedness as an explicit general objective,</w:t>
      </w:r>
      <w:r>
        <w:t xml:space="preserve"> </w:t>
      </w:r>
      <w:r>
        <w:t xml:space="preserve">connecting it directly to the Union’s security of supply and economic security. While the</w:t>
      </w:r>
      <w:r>
        <w:t xml:space="preserve"> </w:t>
      </w:r>
      <w:r>
        <w:t xml:space="preserve">original Chips Act contains crisis monitoring and response mechanisms under Pillar III, these</w:t>
      </w:r>
      <w:r>
        <w:t xml:space="preserve"> </w:t>
      </w:r>
      <w:r>
        <w:t xml:space="preserve">are conceptually embedded within the objective of improving internal market functioning and</w:t>
      </w:r>
      <w:r>
        <w:t xml:space="preserve"> </w:t>
      </w:r>
      <w:r>
        <w:t xml:space="preserve">ensuring resilience through coordination. The revised framing treats crisis preparedness as a</w:t>
      </w:r>
      <w:r>
        <w:t xml:space="preserve"> </w:t>
      </w:r>
      <w:r>
        <w:t xml:space="preserve">systemic imperative, including outside of declared crises.</w:t>
      </w:r>
      <w:r>
        <w:br/>
      </w:r>
      <w:r>
        <w:t xml:space="preserve">While mirroring the general objectives of the original Chips Act, these new general objectives</w:t>
      </w:r>
      <w:r>
        <w:t xml:space="preserve"> </w:t>
      </w:r>
      <w:r>
        <w:t xml:space="preserve">represent a targeted evolution of the current regulation, specifically designed to address the</w:t>
      </w:r>
      <w:r>
        <w:t xml:space="preserve"> </w:t>
      </w:r>
      <w:r>
        <w:t xml:space="preserve">identified problems and their drivers identified in Chapter 2. The new objectives reflect the</w:t>
      </w:r>
      <w:r>
        <w:t xml:space="preserve"> </w:t>
      </w:r>
      <w:r>
        <w:t xml:space="preserve">growing economic security risks created by rising geopolitical tensions and incorporate this</w:t>
      </w:r>
      <w:r>
        <w:t xml:space="preserve"> </w:t>
      </w:r>
      <w:r>
        <w:t xml:space="preserve">dimension into the earlier policy framework.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As set out in the intervention logic, the proposed Chips Act 2.0 pursues the following specific</w:t>
      </w:r>
      <w:r>
        <w:t xml:space="preserve"> </w:t>
      </w:r>
      <w:r>
        <w:t xml:space="preserve">objectives:</w:t>
      </w:r>
      <w:r>
        <w:br/>
      </w:r>
      <w:r>
        <w:t xml:space="preserve">• SO1: Enhance the capacity, security of supply and competitiveness of the EU</w:t>
      </w:r>
      <w:r>
        <w:t xml:space="preserve"> </w:t>
      </w:r>
      <w:r>
        <w:t xml:space="preserve">semiconductor industry across the value chain, including for leading-edge AI chips</w:t>
      </w:r>
      <w:r>
        <w:br/>
      </w:r>
      <w:r>
        <w:t xml:space="preserve">• SO2: Develop a strong user market across key industry sectors</w:t>
      </w:r>
      <w:r>
        <w:br/>
      </w:r>
      <w:r>
        <w:t xml:space="preserve">• SO3: Increase intelligence capabilities for crisis preparedness and response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5.1.1 Current state-of-play</w:t>
      </w:r>
      <w:r>
        <w:t xml:space="preserve"> </w:t>
      </w:r>
      <w:r>
        <w:t xml:space="preserve">The annexed Evaluation report finds that the Chips Act successfully created a European</w:t>
      </w:r>
      <w:r>
        <w:t xml:space="preserve"> </w:t>
      </w:r>
      <w:r>
        <w:t xml:space="preserve">semiconductor regulatory and policy framework within a notably short timeframe, where</w:t>
      </w:r>
      <w:r>
        <w:t xml:space="preserve"> </w:t>
      </w:r>
      <w:r>
        <w:t xml:space="preserve">none previously existed. Through the three pillars of the Chips Act, it mobilised significant</w:t>
      </w:r>
      <w:r>
        <w:t xml:space="preserve"> </w:t>
      </w:r>
      <w:r>
        <w:t xml:space="preserve">public and private investment, established state-of-the-art EU-level infrastructures, and</w:t>
      </w:r>
      <w:r>
        <w:t xml:space="preserve"> </w:t>
      </w:r>
      <w:r>
        <w:t xml:space="preserve">introduced governance mechanisms to support coordination and crisis preparedness.</w:t>
      </w:r>
      <w:r>
        <w:t xml:space="preserve"> </w:t>
      </w:r>
      <w:r>
        <w:t xml:space="preserve">Stakeholder confidence in the overall strategic direction remains high (127), and the Act is</w:t>
      </w:r>
      <w:r>
        <w:t xml:space="preserve"> </w:t>
      </w:r>
      <w:r>
        <w:t xml:space="preserve">widely regarded as a necessary response to geopolitical, technological, and economic</w:t>
      </w:r>
      <w:r>
        <w:t xml:space="preserve"> </w:t>
      </w:r>
      <w:r>
        <w:t xml:space="preserve">pressures. The EU has strengthened its semiconductor research, innovation and early-stage</w:t>
      </w:r>
      <w:r>
        <w:t xml:space="preserve"> </w:t>
      </w:r>
      <w:r>
        <w:t xml:space="preserve">manufacturing base, primarily through EU-level infrastructures such as pilot lines,</w:t>
      </w:r>
      <w:r>
        <w:t xml:space="preserve"> </w:t>
      </w:r>
      <w:r>
        <w:t xml:space="preserve">competence centres and shared facilities, which have improved coordination and reduced</w:t>
      </w:r>
      <w:r>
        <w:t xml:space="preserve"> </w:t>
      </w:r>
      <w:r>
        <w:t xml:space="preserve">duplication across Member States. Access to advanced tools and cross-border collaboration</w:t>
      </w:r>
      <w:r>
        <w:t xml:space="preserve"> </w:t>
      </w:r>
      <w:r>
        <w:t xml:space="preserve">has increased, although several initiatives remain too recent to permit a meaningful</w:t>
      </w:r>
      <w:r>
        <w:t xml:space="preserve"> </w:t>
      </w:r>
      <w:r>
        <w:t xml:space="preserve">assessment.</w:t>
      </w:r>
    </w:p>
    <w:p>
      <w:pPr>
        <w:pStyle w:val="Compact"/>
        <w:numPr>
          <w:ilvl w:val="0"/>
          <w:numId w:val="1034"/>
        </w:numPr>
      </w:pPr>
      <w:r>
        <w:t xml:space="preserve">See Annex 2 Section 4 “Comparison of the results of consultation activities” for a nuanced assessment</w:t>
      </w:r>
    </w:p>
    <w:p>
      <w:pPr>
        <w:pStyle w:val="FirstParagraph"/>
      </w:pPr>
      <w:r>
        <w:t xml:space="preserve">51</w:t>
      </w:r>
    </w:p>
    <w:p>
      <w:pPr>
        <w:pStyle w:val="BodyText"/>
      </w:pPr>
      <w:r>
        <w:t xml:space="preserve">Progress towards large-scale manufacturing deployment and strategic autonomy has taken</w:t>
      </w:r>
      <w:r>
        <w:t xml:space="preserve"> </w:t>
      </w:r>
      <w:r>
        <w:t xml:space="preserve">place and the EU has increased its manufacturing capacity by 30%. (128) However, long lead</w:t>
      </w:r>
      <w:r>
        <w:t xml:space="preserve"> </w:t>
      </w:r>
      <w:r>
        <w:t xml:space="preserve">times (129) mean new investments have not yet translated into production and a key</w:t>
      </w:r>
      <w:r>
        <w:t xml:space="preserve"> </w:t>
      </w:r>
      <w:r>
        <w:t xml:space="preserve">investment project for a leading-edge chip manufacturing facility has been cancelled. (130)</w:t>
      </w:r>
      <w:r>
        <w:t xml:space="preserve"> </w:t>
      </w:r>
      <w:r>
        <w:t xml:space="preserve">One must also consider that the structures of the semiconductor industry are characterised by</w:t>
      </w:r>
      <w:r>
        <w:t xml:space="preserve"> </w:t>
      </w:r>
      <w:r>
        <w:t xml:space="preserve">strong path dependencies. Therefore, rebuilding a semiconductor ecosystem of specialised</w:t>
      </w:r>
      <w:r>
        <w:t xml:space="preserve"> </w:t>
      </w:r>
      <w:r>
        <w:t xml:space="preserve">suppliers and service firms takes time, and success does not come immediately. As a result,</w:t>
      </w:r>
      <w:r>
        <w:t xml:space="preserve"> </w:t>
      </w:r>
      <w:r>
        <w:t xml:space="preserve">the EU continues to depend structurally on non-EU suppliers in critical segments, particularly</w:t>
      </w:r>
      <w:r>
        <w:t xml:space="preserve"> </w:t>
      </w:r>
      <w:r>
        <w:t xml:space="preserve">for advanced nodes.</w:t>
      </w:r>
      <w:r>
        <w:br/>
      </w:r>
      <w:r>
        <w:t xml:space="preserve">Furthermore, the lab-to-fab gap persists (131). While the original Chips Act has raised</w:t>
      </w:r>
      <w:r>
        <w:t xml:space="preserve"> </w:t>
      </w:r>
      <w:r>
        <w:t xml:space="preserve">technology readiness levels, the main challenge has shifted from innovation to</w:t>
      </w:r>
      <w:r>
        <w:t xml:space="preserve"> </w:t>
      </w:r>
      <w:r>
        <w:t xml:space="preserve">industrialisation and scale, with pathways to volume manufacturing still difficult to realise.</w:t>
      </w:r>
      <w:r>
        <w:t xml:space="preserve"> </w:t>
      </w:r>
      <w:r>
        <w:t xml:space="preserve">Scaling constraints are reinforced by limited private capital. Despite significant public</w:t>
      </w:r>
      <w:r>
        <w:t xml:space="preserve"> </w:t>
      </w:r>
      <w:r>
        <w:t xml:space="preserve">funding, late-stage and institutional investment remains weak, reflecting structural features of</w:t>
      </w:r>
      <w:r>
        <w:t xml:space="preserve"> </w:t>
      </w:r>
      <w:r>
        <w:t xml:space="preserve">the European financial system (capital market in particular) and limiting value capture in the</w:t>
      </w:r>
      <w:r>
        <w:t xml:space="preserve"> </w:t>
      </w:r>
      <w:r>
        <w:t xml:space="preserve">EU.</w:t>
      </w:r>
      <w:r>
        <w:t xml:space="preserve"> </w:t>
      </w:r>
      <w:r>
        <w:t xml:space="preserve">Supply security instruments have improved coordination, but manufacturing deployment</w:t>
      </w:r>
      <w:r>
        <w:t xml:space="preserve"> </w:t>
      </w:r>
      <w:r>
        <w:t xml:space="preserve">remains driven by national frameworks and firm-level decisions. Fragmented markets, weak</w:t>
      </w:r>
      <w:r>
        <w:t xml:space="preserve"> </w:t>
      </w:r>
      <w:r>
        <w:t xml:space="preserve">demand aggregation and limited procurement coordination undermine the commercial</w:t>
      </w:r>
      <w:r>
        <w:t xml:space="preserve"> </w:t>
      </w:r>
      <w:r>
        <w:t xml:space="preserve">viability of new capacity. Finally, EU-level visibility over semiconductor supply chains</w:t>
      </w:r>
      <w:r>
        <w:t xml:space="preserve"> </w:t>
      </w:r>
      <w:r>
        <w:t xml:space="preserve">remains partial. Coordination and early-warning mechanisms have improved, but fragmented</w:t>
      </w:r>
      <w:r>
        <w:t xml:space="preserve"> </w:t>
      </w:r>
      <w:r>
        <w:t xml:space="preserve">access to sensitive data limits system-level monitoring and crisis preparedness.</w:t>
      </w:r>
      <w:r>
        <w:t xml:space="preserve"> </w:t>
      </w:r>
      <w:r>
        <w:t xml:space="preserve">5.1.2 Economic impacts</w:t>
      </w:r>
      <w:r>
        <w:t xml:space="preserve"> </w:t>
      </w:r>
      <w:r>
        <w:t xml:space="preserve">5.1.2.1 Expected EU semiconductor firms’ revenues</w:t>
      </w:r>
      <w:r>
        <w:t xml:space="preserve"> </w:t>
      </w:r>
      <w:r>
        <w:t xml:space="preserve">Semiconductor firms’ revenues</w:t>
      </w:r>
      <w:r>
        <w:t xml:space="preserve"> </w:t>
      </w:r>
      <w:r>
        <w:t xml:space="preserve">The baseline or ‘business as usual’ (BAU) scenario shows that the revenues of EU’s</w:t>
      </w:r>
      <w:r>
        <w:t xml:space="preserve"> </w:t>
      </w:r>
      <w:r>
        <w:t xml:space="preserve">semiconductor firms, as set out in Annex 4, will expand at a 7.7% CAGR by 2030, and then</w:t>
      </w:r>
      <w:r>
        <w:t xml:space="preserve"> </w:t>
      </w:r>
      <w:r>
        <w:t xml:space="preserve">reduce to 5% from 2030 to 2035. This drop is explained by the expectation that without more</w:t>
      </w:r>
      <w:r>
        <w:t xml:space="preserve"> </w:t>
      </w:r>
      <w:r>
        <w:t xml:space="preserve">leading-edge capacity, the mature node profile of the European semiconductor industry will</w:t>
      </w:r>
      <w:r>
        <w:t xml:space="preserve"> </w:t>
      </w:r>
      <w:r>
        <w:t xml:space="preserve">become less industrially relevant (132) in a market that will increasingly by dominated by AI,</w:t>
      </w:r>
      <w:r>
        <w:t xml:space="preserve"> </w:t>
      </w:r>
      <w:r>
        <w:t xml:space="preserve">as discussed in Section 1.1 and in Annex 4.</w:t>
      </w:r>
      <w:r>
        <w:t xml:space="preserve"> </w:t>
      </w:r>
      <w:r>
        <w:t xml:space="preserve">Semiconductor value chain</w:t>
      </w:r>
    </w:p>
    <w:p>
      <w:pPr>
        <w:pStyle w:val="Compact"/>
        <w:numPr>
          <w:ilvl w:val="0"/>
          <w:numId w:val="1035"/>
        </w:numPr>
      </w:pPr>
      <w:r>
        <w:t xml:space="preserve">IDC, Semiconductors market data by feature size, sector and region, CNECT/2022/MVP/0084 – Second</w:t>
      </w:r>
      <w:r>
        <w:t xml:space="preserve"> </w:t>
      </w:r>
      <w:r>
        <w:t xml:space="preserve">Interim Report.</w:t>
      </w:r>
    </w:p>
    <w:p>
      <w:pPr>
        <w:pStyle w:val="Compact"/>
        <w:numPr>
          <w:ilvl w:val="0"/>
          <w:numId w:val="1035"/>
        </w:numPr>
      </w:pPr>
      <w:r>
        <w:t xml:space="preserve">See Annex 2 Synopsis of the stakeholder consultation activities, section 3.5.2.</w:t>
      </w:r>
    </w:p>
    <w:p>
      <w:pPr>
        <w:pStyle w:val="Compact"/>
        <w:numPr>
          <w:ilvl w:val="0"/>
          <w:numId w:val="1035"/>
        </w:numPr>
      </w:pPr>
      <w:r>
        <w:t xml:space="preserve">See detailed analysis of the Intel’s proposed semiconductor fab in Magdeburg, Germany, and its</w:t>
      </w:r>
      <w:r>
        <w:t xml:space="preserve"> </w:t>
      </w:r>
      <w:r>
        <w:t xml:space="preserve">cancellation, in the Evaluation Report - section 4.1.1.2 on Pillar II.</w:t>
      </w:r>
    </w:p>
    <w:p>
      <w:pPr>
        <w:pStyle w:val="Compact"/>
        <w:numPr>
          <w:ilvl w:val="0"/>
          <w:numId w:val="1035"/>
        </w:numPr>
      </w:pPr>
      <w:r>
        <w:t xml:space="preserve">See Annex 2, sections 3, 4 and 6.</w:t>
      </w:r>
    </w:p>
    <w:p>
      <w:pPr>
        <w:pStyle w:val="Compact"/>
        <w:numPr>
          <w:ilvl w:val="0"/>
          <w:numId w:val="1035"/>
        </w:numPr>
      </w:pPr>
      <w:r>
        <w:t xml:space="preserve">IBS Global Semiconductor Industry Service – Analysis of Foundry Market – December 2025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Looking at the broader value chain, in a BAU scenario, the EU’s strengths in capital</w:t>
      </w:r>
      <w:r>
        <w:t xml:space="preserve"> </w:t>
      </w:r>
      <w:r>
        <w:t xml:space="preserve">equipment results in gaining market share from 27.9% in 2023 to 33.5% in 2030 in that</w:t>
      </w:r>
      <w:r>
        <w:t xml:space="preserve"> </w:t>
      </w:r>
      <w:r>
        <w:t xml:space="preserve">segment. This growth is driven primarily by the expected continued dominance of ASML in</w:t>
      </w:r>
      <w:r>
        <w:t xml:space="preserve"> </w:t>
      </w:r>
      <w:r>
        <w:t xml:space="preserve">photolithography, an important chokepoint in both the semiconductor and AI value chain, and</w:t>
      </w:r>
      <w:r>
        <w:t xml:space="preserve"> </w:t>
      </w:r>
      <w:r>
        <w:t xml:space="preserve">the opportunities that arise for EUV lithography machines in the global ramp-up in</w:t>
      </w:r>
      <w:r>
        <w:t xml:space="preserve"> </w:t>
      </w:r>
      <w:r>
        <w:t xml:space="preserve">manufacturing capacity driven by AI. Nevertheless, this dominance in photolithography is</w:t>
      </w:r>
      <w:r>
        <w:t xml:space="preserve"> </w:t>
      </w:r>
      <w:r>
        <w:t xml:space="preserve">increasingly threatened (133), not least from weak demand in Europe, (134) and conceals key</w:t>
      </w:r>
      <w:r>
        <w:t xml:space="preserve"> </w:t>
      </w:r>
      <w:r>
        <w:t xml:space="preserve">gaps in a multitude of other tools required for front-end and back-end manufacturing as well</w:t>
      </w:r>
      <w:r>
        <w:t xml:space="preserve"> </w:t>
      </w:r>
      <w:r>
        <w:t xml:space="preserve">as packaging, assembly and testing, as discussed in section 8.1.3 of Annex 4.</w:t>
      </w:r>
      <w:r>
        <w:t xml:space="preserve"> </w:t>
      </w:r>
      <w:r>
        <w:t xml:space="preserve">Segment</w:t>
      </w:r>
      <w:r>
        <w:t xml:space="preserve"> </w:t>
      </w:r>
      <w:r>
        <w:t xml:space="preserve">2023</w:t>
      </w:r>
      <w:r>
        <w:t xml:space="preserve"> </w:t>
      </w:r>
      <w:r>
        <w:t xml:space="preserve">2030</w:t>
      </w:r>
      <w:r>
        <w:t xml:space="preserve"> </w:t>
      </w:r>
      <w:r>
        <w:t xml:space="preserve">IP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EDA</w:t>
      </w:r>
      <w:r>
        <w:t xml:space="preserve"> </w:t>
      </w:r>
      <w:r>
        <w:t xml:space="preserve">20.6%</w:t>
      </w:r>
      <w:r>
        <w:t xml:space="preserve"> </w:t>
      </w:r>
      <w:r>
        <w:t xml:space="preserve">17.9%</w:t>
      </w:r>
      <w:r>
        <w:t xml:space="preserve"> </w:t>
      </w:r>
      <w:r>
        <w:t xml:space="preserve">Capital equipment</w:t>
      </w:r>
      <w:r>
        <w:t xml:space="preserve"> </w:t>
      </w:r>
      <w:r>
        <w:t xml:space="preserve">27.9%</w:t>
      </w:r>
      <w:r>
        <w:t xml:space="preserve"> </w:t>
      </w:r>
      <w:r>
        <w:t xml:space="preserve">33.5%</w:t>
      </w:r>
      <w:r>
        <w:t xml:space="preserve"> </w:t>
      </w:r>
      <w:r>
        <w:t xml:space="preserve">Materials</w:t>
      </w:r>
      <w:r>
        <w:t xml:space="preserve"> </w:t>
      </w:r>
      <w:r>
        <w:t xml:space="preserve">16.8%</w:t>
      </w:r>
      <w:r>
        <w:t xml:space="preserve"> </w:t>
      </w:r>
      <w:r>
        <w:t xml:space="preserve">18.7%</w:t>
      </w:r>
      <w:r>
        <w:t xml:space="preserve"> </w:t>
      </w:r>
      <w:r>
        <w:t xml:space="preserve">Substrates</w:t>
      </w:r>
      <w:r>
        <w:t xml:space="preserve"> </w:t>
      </w:r>
      <w:r>
        <w:t xml:space="preserve">20.5%</w:t>
      </w:r>
      <w:r>
        <w:t xml:space="preserve"> </w:t>
      </w:r>
      <w:r>
        <w:t xml:space="preserve">22.7%</w:t>
      </w:r>
      <w:r>
        <w:t xml:space="preserve"> </w:t>
      </w:r>
      <w:r>
        <w:t xml:space="preserve">Other materials</w:t>
      </w:r>
      <w:r>
        <w:t xml:space="preserve"> </w:t>
      </w:r>
      <w:r>
        <w:t xml:space="preserve">15.9%</w:t>
      </w:r>
      <w:r>
        <w:t xml:space="preserve"> </w:t>
      </w:r>
      <w:r>
        <w:t xml:space="preserve">17.4%</w:t>
      </w:r>
      <w:r>
        <w:t xml:space="preserve"> </w:t>
      </w:r>
      <w:r>
        <w:t xml:space="preserve">Semiconductors</w:t>
      </w:r>
      <w:r>
        <w:t xml:space="preserve"> </w:t>
      </w:r>
      <w:r>
        <w:t xml:space="preserve">10.1%</w:t>
      </w:r>
      <w:r>
        <w:t xml:space="preserve"> </w:t>
      </w:r>
      <w:r>
        <w:t xml:space="preserve">9.6%</w:t>
      </w:r>
      <w:r>
        <w:t xml:space="preserve"> </w:t>
      </w:r>
      <w:r>
        <w:t xml:space="preserve">Fabless</w:t>
      </w:r>
      <w:r>
        <w:t xml:space="preserve"> </w:t>
      </w:r>
      <w:r>
        <w:t xml:space="preserve">0.8%</w:t>
      </w:r>
      <w:r>
        <w:t xml:space="preserve"> </w:t>
      </w:r>
      <w:r>
        <w:t xml:space="preserve">2%</w:t>
      </w:r>
      <w:r>
        <w:t xml:space="preserve"> </w:t>
      </w:r>
      <w:r>
        <w:t xml:space="preserve">IDM</w:t>
      </w:r>
      <w:r>
        <w:t xml:space="preserve"> </w:t>
      </w:r>
      <w:r>
        <w:t xml:space="preserve">17.7%</w:t>
      </w:r>
      <w:r>
        <w:t xml:space="preserve"> </w:t>
      </w:r>
      <w:r>
        <w:t xml:space="preserve">16.6%</w:t>
      </w:r>
      <w:r>
        <w:t xml:space="preserve"> </w:t>
      </w:r>
      <w:r>
        <w:t xml:space="preserve">Foundry</w:t>
      </w:r>
      <w:r>
        <w:t xml:space="preserve"> </w:t>
      </w:r>
      <w:r>
        <w:t xml:space="preserve">0.9%</w:t>
      </w:r>
      <w:r>
        <w:t xml:space="preserve"> </w:t>
      </w:r>
      <w:r>
        <w:t xml:space="preserve">0.5%</w:t>
      </w:r>
      <w:r>
        <w:t xml:space="preserve"> </w:t>
      </w:r>
      <w:r>
        <w:t xml:space="preserve">OSAT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Total value chain share</w:t>
      </w:r>
      <w:r>
        <w:t xml:space="preserve"> </w:t>
      </w:r>
      <w:r>
        <w:t xml:space="preserve">11.7%</w:t>
      </w:r>
      <w:r>
        <w:t xml:space="preserve"> </w:t>
      </w:r>
      <w:r>
        <w:t xml:space="preserve">11.6%</w:t>
      </w:r>
      <w:r>
        <w:t xml:space="preserve"> </w:t>
      </w:r>
      <w:r>
        <w:t xml:space="preserve">Table 3 - The EU semiconductor value chain share of revenues (Source: IDC)</w:t>
      </w:r>
      <w:r>
        <w:t xml:space="preserve"> </w:t>
      </w:r>
      <w:r>
        <w:t xml:space="preserve">As seen in Table 3, the EU’s foothold in IP blocks, essential for reusing functions in design,</w:t>
      </w:r>
      <w:r>
        <w:t xml:space="preserve"> </w:t>
      </w:r>
      <w:r>
        <w:t xml:space="preserve">will remain marginal, with its share of revenues rising only slightly from 0.3% in 2023 to</w:t>
      </w:r>
      <w:r>
        <w:t xml:space="preserve"> </w:t>
      </w:r>
      <w:r>
        <w:t xml:space="preserve">0.4% by 2030. This leaves the Union reliant on a small number of foreign suppliers for</w:t>
      </w:r>
      <w:r>
        <w:t xml:space="preserve"> </w:t>
      </w:r>
      <w:r>
        <w:t xml:space="preserve">essential building blocks that underpin both advanced logic and specialised domain-specific</w:t>
      </w:r>
      <w:r>
        <w:t xml:space="preserve"> </w:t>
      </w:r>
      <w:r>
        <w:t xml:space="preserve">designs. Similarly, when it comes to Electronic Design Automation tools, the EU will</w:t>
      </w:r>
      <w:r>
        <w:t xml:space="preserve"> </w:t>
      </w:r>
      <w:r>
        <w:t xml:space="preserve">continue to rely on third-country providers for the essential design flows needed to produce</w:t>
      </w:r>
      <w:r>
        <w:t xml:space="preserve"> </w:t>
      </w:r>
      <w:r>
        <w:t xml:space="preserve">state-of-the-art chips, while capturing 17.9% of global revenues by 2030, down from 27.9%</w:t>
      </w:r>
    </w:p>
    <w:p>
      <w:pPr>
        <w:pStyle w:val="Compact"/>
        <w:numPr>
          <w:ilvl w:val="0"/>
          <w:numId w:val="1036"/>
        </w:numPr>
      </w:pPr>
      <w:r>
        <w:t xml:space="preserve">How China built its ‘Manhattan Project’ to rival the West in AI chips | Reuters</w:t>
      </w:r>
    </w:p>
    <w:p>
      <w:pPr>
        <w:pStyle w:val="Compact"/>
        <w:numPr>
          <w:ilvl w:val="0"/>
          <w:numId w:val="1036"/>
        </w:numPr>
      </w:pPr>
      <w:r>
        <w:t xml:space="preserve">Annex 2, Section 4, 5 and 6.</w:t>
      </w:r>
    </w:p>
    <w:p>
      <w:pPr>
        <w:pStyle w:val="FirstParagraph"/>
      </w:pPr>
      <w:r>
        <w:t xml:space="preserve">53</w:t>
      </w:r>
    </w:p>
    <w:p>
      <w:pPr>
        <w:pStyle w:val="BodyText"/>
      </w:pPr>
      <w:r>
        <w:t xml:space="preserve">in 2023. Any tightening of export controls or licensing requirements could directly constrain</w:t>
      </w:r>
      <w:r>
        <w:t xml:space="preserve"> </w:t>
      </w:r>
      <w:r>
        <w:t xml:space="preserve">the Union’s capacity to design and manufacture competitive semiconductors, including in</w:t>
      </w:r>
      <w:r>
        <w:t xml:space="preserve"> </w:t>
      </w:r>
      <w:r>
        <w:t xml:space="preserve">high performance computing, AI, automotive and security-sensitive applications.</w:t>
      </w:r>
      <w:r>
        <w:t xml:space="preserve"> </w:t>
      </w:r>
      <w:r>
        <w:t xml:space="preserve">In materials, while the EU is expected to have a market share of 18.7% in 2030, up from</w:t>
      </w:r>
      <w:r>
        <w:t xml:space="preserve"> </w:t>
      </w:r>
      <w:r>
        <w:t xml:space="preserve">16.8% in 2023, 75% of specialty gases at the purity level required for semiconductors will</w:t>
      </w:r>
      <w:r>
        <w:t xml:space="preserve"> </w:t>
      </w:r>
      <w:r>
        <w:t xml:space="preserve">still be sourced outside the EU, with over 50% of them relying on supply chains heavily</w:t>
      </w:r>
      <w:r>
        <w:t xml:space="preserve"> </w:t>
      </w:r>
      <w:r>
        <w:t xml:space="preserve">dependent on China. (135) This adds on the dependencies on third countries for critical raw</w:t>
      </w:r>
      <w:r>
        <w:t xml:space="preserve"> </w:t>
      </w:r>
      <w:r>
        <w:t xml:space="preserve">materials such as gallium, which are addressed under other legislative initiatives such as the</w:t>
      </w:r>
      <w:r>
        <w:t xml:space="preserve"> </w:t>
      </w:r>
      <w:r>
        <w:t xml:space="preserve">Critical Raw Materials Act. (136)</w:t>
      </w:r>
      <w:r>
        <w:t xml:space="preserve"> </w:t>
      </w:r>
      <w:r>
        <w:t xml:space="preserve">Between 2000 and 2022, the number of Printed Circuit Board (PCB) manufacturers in the</w:t>
      </w:r>
      <w:r>
        <w:t xml:space="preserve"> </w:t>
      </w:r>
      <w:r>
        <w:t xml:space="preserve">EU, crucial for the broader electronics ecosystem, dropped from around 560 to less than 175,</w:t>
      </w:r>
      <w:r>
        <w:t xml:space="preserve"> </w:t>
      </w:r>
      <w:r>
        <w:t xml:space="preserve">and the EU’s share of revenues dropped from 16% to around 2.3%(137). The sector remains</w:t>
      </w:r>
      <w:r>
        <w:t xml:space="preserve"> </w:t>
      </w:r>
      <w:r>
        <w:t xml:space="preserve">highly fragmented and dominated by small firms, and the overall market-share trajectory</w:t>
      </w:r>
      <w:r>
        <w:t xml:space="preserve"> </w:t>
      </w:r>
      <w:r>
        <w:t xml:space="preserve">continues to decline. As things stand, only a limited group of European suppliers are able to</w:t>
      </w:r>
      <w:r>
        <w:t xml:space="preserve"> </w:t>
      </w:r>
      <w:r>
        <w:t xml:space="preserve">meet the technological demands created by rapid advances in semiconductors (138).</w:t>
      </w:r>
      <w:r>
        <w:t xml:space="preserve"> </w:t>
      </w:r>
      <w:r>
        <w:t xml:space="preserve">Under the business-as-usual scenario, fragmented and uncoordinated investment across</w:t>
      </w:r>
      <w:r>
        <w:t xml:space="preserve"> </w:t>
      </w:r>
      <w:r>
        <w:t xml:space="preserve">Member States limits the Union’s ability to develop competitive complementary capacity</w:t>
      </w:r>
      <w:r>
        <w:t xml:space="preserve"> </w:t>
      </w:r>
      <w:r>
        <w:t xml:space="preserve">along the full semiconductor value chain, thereby increasing dependence on global suppliers</w:t>
      </w:r>
      <w:r>
        <w:t xml:space="preserve"> </w:t>
      </w:r>
      <w:r>
        <w:t xml:space="preserve">and vulnerability to disruptions. Therefore, the Union will retain critical vulnerabilities and</w:t>
      </w:r>
      <w:r>
        <w:t xml:space="preserve"> </w:t>
      </w:r>
      <w:r>
        <w:t xml:space="preserve">weaknesses across the value chain, which renders the EU unable to ensure a resilient and</w:t>
      </w:r>
      <w:r>
        <w:t xml:space="preserve"> </w:t>
      </w:r>
      <w:r>
        <w:t xml:space="preserve">secure supply of semiconductor technologies.(139)</w:t>
      </w:r>
      <w:r>
        <w:t xml:space="preserve"> </w:t>
      </w:r>
      <w:r>
        <w:t xml:space="preserve">5.1.2.2 Manufacturing capacity</w:t>
      </w:r>
      <w:r>
        <w:t xml:space="preserve"> </w:t>
      </w:r>
      <w:r>
        <w:t xml:space="preserve">The BAU scenario conditions allow for the expansion of the EU’s manufacturing footprint,</w:t>
      </w:r>
      <w:r>
        <w:t xml:space="preserve"> </w:t>
      </w:r>
      <w:r>
        <w:t xml:space="preserve">resulting in tangible growth in domestic output and reversing earlier decline. By the end of the</w:t>
      </w:r>
      <w:r>
        <w:t xml:space="preserve"> </w:t>
      </w:r>
      <w:r>
        <w:t xml:space="preserve">decade, the EU’s semiconductor manufacturing capacity expands moderately in scale and</w:t>
      </w:r>
      <w:r>
        <w:t xml:space="preserve"> </w:t>
      </w:r>
      <w:r>
        <w:t xml:space="preserve">technological capability: several new and expanded fabs come online, including the</w:t>
      </w:r>
      <w:r>
        <w:t xml:space="preserve"> </w:t>
      </w:r>
      <w:r>
        <w:t xml:space="preserve">STMicroelectronics FD-SOI fab in Crolles (France), the GlobalFoundries foundry in Dresden</w:t>
      </w:r>
      <w:r>
        <w:t xml:space="preserve"> </w:t>
      </w:r>
      <w:r>
        <w:t xml:space="preserve">(Germany), the Intel fab in Leixlip (Ireland), Infineon’s Smart Power Fab in Dresden, the</w:t>
      </w:r>
      <w:r>
        <w:t xml:space="preserve"> </w:t>
      </w:r>
      <w:r>
        <w:t xml:space="preserve">ESMC foundry in Dresden, the SiliconBox advanced packaging site in Novara (Italy), and</w:t>
      </w:r>
      <w:r>
        <w:t xml:space="preserve"> </w:t>
      </w:r>
      <w:r>
        <w:t xml:space="preserve">several SiC/GaN wafer and device facilities.</w:t>
      </w:r>
      <w:r>
        <w:br/>
      </w:r>
      <w:r>
        <w:t xml:space="preserve">Despite an increase in manufacturing capacity of 30% - from 1.07 million wafer starts per</w:t>
      </w:r>
      <w:r>
        <w:t xml:space="preserve"> </w:t>
      </w:r>
      <w:r>
        <w:t xml:space="preserve">month to 1.39 million wafer starts per month, the EU’s share of global semiconductor</w:t>
      </w:r>
      <w:r>
        <w:t xml:space="preserve"> </w:t>
      </w:r>
      <w:r>
        <w:t xml:space="preserve">production remains at 8.1% by 2030 due to commensurate global expansion. This</w:t>
      </w:r>
      <w:r>
        <w:t xml:space="preserve"> </w:t>
      </w:r>
      <w:r>
        <w:t xml:space="preserve">expansion in absolute terms will strengthen Europe’s front-end and back-end manufacturing</w:t>
      </w:r>
      <w:r>
        <w:t xml:space="preserve"> </w:t>
      </w:r>
      <w:r>
        <w:t xml:space="preserve">base and deepen established clusters. These investments also help Europe reinforce ecosystem</w:t>
      </w:r>
      <w:r>
        <w:t xml:space="preserve"> </w:t>
      </w:r>
      <w:r>
        <w:t xml:space="preserve">resilience by sustaining activity in upstream segments, such as equipment and specialty</w:t>
      </w:r>
    </w:p>
    <w:p>
      <w:pPr>
        <w:pStyle w:val="Compact"/>
        <w:numPr>
          <w:ilvl w:val="0"/>
          <w:numId w:val="1037"/>
        </w:numPr>
      </w:pPr>
      <w:r>
        <w:t xml:space="preserve">See stakeholder consultation in Annex 2.</w:t>
      </w:r>
    </w:p>
    <w:p>
      <w:pPr>
        <w:pStyle w:val="Compact"/>
        <w:numPr>
          <w:ilvl w:val="0"/>
          <w:numId w:val="1037"/>
        </w:numPr>
      </w:pPr>
      <w:r>
        <w:t xml:space="preserve">Regulation - EU - 2024/1252 - EN - EUR-Lex</w:t>
      </w:r>
    </w:p>
    <w:p>
      <w:pPr>
        <w:pStyle w:val="Compact"/>
        <w:numPr>
          <w:ilvl w:val="0"/>
          <w:numId w:val="1037"/>
        </w:numPr>
      </w:pPr>
      <w:r>
        <w:t xml:space="preserve">European Institute for PCB Community (EIPC).</w:t>
      </w:r>
    </w:p>
    <w:p>
      <w:pPr>
        <w:pStyle w:val="Compact"/>
        <w:numPr>
          <w:ilvl w:val="0"/>
          <w:numId w:val="1037"/>
        </w:numPr>
      </w:pPr>
      <w:r>
        <w:t xml:space="preserve">IPC, Towards a Silicon to Systems Industrial Strategy, 2025.</w:t>
      </w:r>
    </w:p>
    <w:p>
      <w:pPr>
        <w:pStyle w:val="Compact"/>
        <w:numPr>
          <w:ilvl w:val="0"/>
          <w:numId w:val="1037"/>
        </w:numPr>
      </w:pPr>
      <w:r>
        <w:t xml:space="preserve">Annex 2 Sections 4, 5 and 6.</w:t>
      </w:r>
    </w:p>
    <w:p>
      <w:pPr>
        <w:pStyle w:val="FirstParagraph"/>
      </w:pPr>
      <w:r>
        <w:t xml:space="preserve">54</w:t>
      </w:r>
    </w:p>
    <w:p>
      <w:pPr>
        <w:pStyle w:val="BodyText"/>
      </w:pPr>
      <w:r>
        <w:t xml:space="preserve">materials, where European firms hold globally competitive positions without primarily</w:t>
      </w:r>
      <w:r>
        <w:t xml:space="preserve"> </w:t>
      </w:r>
      <w:r>
        <w:t xml:space="preserve">depending on EU-based demand.</w:t>
      </w:r>
      <w:r>
        <w:t xml:space="preserve"> </w:t>
      </w:r>
      <w:r>
        <w:t xml:space="preserve">The expansion through 2030 should also be viewed in the context of unprecedented State aid</w:t>
      </w:r>
      <w:r>
        <w:t xml:space="preserve"> </w:t>
      </w:r>
      <w:r>
        <w:t xml:space="preserve">provided by Member States, as well as COVID-19–related shortages that incentivised</w:t>
      </w:r>
      <w:r>
        <w:t xml:space="preserve"> </w:t>
      </w:r>
      <w:r>
        <w:t xml:space="preserve">suppliers to expand manufacturing capacity. Beyond 2030, assuming all other factors remain</w:t>
      </w:r>
      <w:r>
        <w:t xml:space="preserve"> </w:t>
      </w:r>
      <w:r>
        <w:t xml:space="preserve">constant, growth is expected to stabilise, shifting primarily to brownfield expansion with more</w:t>
      </w:r>
      <w:r>
        <w:t xml:space="preserve"> </w:t>
      </w:r>
      <w:r>
        <w:t xml:space="preserve">moderate annual growth of 1-3%. As discussed in PD2, environmental and resource</w:t>
      </w:r>
      <w:r>
        <w:t xml:space="preserve"> </w:t>
      </w:r>
      <w:r>
        <w:t xml:space="preserve">constraints, such as rising electricity consumption, water stress in key regions, and lengthy</w:t>
      </w:r>
      <w:r>
        <w:t xml:space="preserve"> </w:t>
      </w:r>
      <w:r>
        <w:t xml:space="preserve">permitting processes further limit the pace at which the EU can expand or upgrade its</w:t>
      </w:r>
      <w:r>
        <w:t xml:space="preserve"> </w:t>
      </w:r>
      <w:r>
        <w:t xml:space="preserve">manufacturing base. However, under the business as usual scenario, leading edge node</w:t>
      </w:r>
      <w:r>
        <w:t xml:space="preserve"> </w:t>
      </w:r>
      <w:r>
        <w:t xml:space="preserve">manufacturing remains very limited. In 2023, the EU has limited ≤7 nm foundry capacity.</w:t>
      </w:r>
      <w:r>
        <w:t xml:space="preserve"> </w:t>
      </w:r>
      <w:r>
        <w:t xml:space="preserve">(140) By 2030, the EU’s leading-edge capacity by Intel in Ireland may ramp-up, but its</w:t>
      </w:r>
      <w:r>
        <w:t xml:space="preserve"> </w:t>
      </w:r>
      <w:r>
        <w:t xml:space="preserve">foundry service volume will continue to remain modest in absolute terms. Even within the</w:t>
      </w:r>
      <w:r>
        <w:t xml:space="preserve"> </w:t>
      </w:r>
      <w:r>
        <w:t xml:space="preserve">broader ≤28 nm category, capacity is limited, with the largest investment of the Chips Act, the</w:t>
      </w:r>
      <w:r>
        <w:t xml:space="preserve"> </w:t>
      </w:r>
      <w:r>
        <w:t xml:space="preserve">ESMC foundry, becoming fully operational only in 2028. The EU’s installed base in 2023 is</w:t>
      </w:r>
      <w:r>
        <w:t xml:space="preserve"> </w:t>
      </w:r>
      <w:r>
        <w:t xml:space="preserve">largely at ≥40 nm, with mainstream and advanced nodes representing only a very small share</w:t>
      </w:r>
      <w:r>
        <w:t xml:space="preserve"> </w:t>
      </w:r>
      <w:r>
        <w:t xml:space="preserve">of projected capacity by 2030. (141)</w:t>
      </w:r>
      <w:r>
        <w:br/>
      </w:r>
      <w:r>
        <w:t xml:space="preserve">As a result, the EU’s front-end manufacturing profile will remain strongly skewed toward</w:t>
      </w:r>
      <w:r>
        <w:t xml:space="preserve"> </w:t>
      </w:r>
      <w:r>
        <w:t xml:space="preserve">&gt;28 nm nodes serving automotive and industrial demand. At the same time, EU</w:t>
      </w:r>
      <w:r>
        <w:t xml:space="preserve"> </w:t>
      </w:r>
      <w:r>
        <w:t xml:space="preserve">semiconductor demand, particularly in automotive, industrial automation, and energy</w:t>
      </w:r>
      <w:r>
        <w:t xml:space="preserve"> </w:t>
      </w:r>
      <w:r>
        <w:t xml:space="preserve">systems, continues to grow faster than domestic supply. In 2023, European semiconductor</w:t>
      </w:r>
      <w:r>
        <w:t xml:space="preserve"> </w:t>
      </w:r>
      <w:r>
        <w:t xml:space="preserve">consumption amounted to roughly EUR 50 billion and is projected to expand at 5-6%</w:t>
      </w:r>
      <w:r>
        <w:t xml:space="preserve"> </w:t>
      </w:r>
      <w:r>
        <w:t xml:space="preserve">annually under the BAU scenario, with automotive demand alone growing at about 8.2%</w:t>
      </w:r>
      <w:r>
        <w:t xml:space="preserve"> </w:t>
      </w:r>
      <w:r>
        <w:t xml:space="preserve">CAGR between 2023 and 2026 (142).</w:t>
      </w:r>
      <w:r>
        <w:br/>
      </w:r>
      <w:r>
        <w:t xml:space="preserve">Under the BAU scenario, ramping up manufacturing capacity in Europe would remain slower</w:t>
      </w:r>
      <w:r>
        <w:t xml:space="preserve"> </w:t>
      </w:r>
      <w:r>
        <w:t xml:space="preserve">than other competing regions, as set out in PD3. Article 18 of the Chips Act already grants the</w:t>
      </w:r>
      <w:r>
        <w:t xml:space="preserve"> </w:t>
      </w:r>
      <w:r>
        <w:t xml:space="preserve">semiconductor industry ‘the most rapid treatment’ possible under national legislation:</w:t>
      </w:r>
      <w:r>
        <w:t xml:space="preserve"> </w:t>
      </w:r>
      <w:r>
        <w:t xml:space="preserve">however, it does not set thresholds for permitting times resulting in inconsistent application</w:t>
      </w:r>
      <w:r>
        <w:t xml:space="preserve"> </w:t>
      </w:r>
      <w:r>
        <w:t xml:space="preserve">across Member States, and as such has not significantly reduced permitting times as discussed</w:t>
      </w:r>
      <w:r>
        <w:t xml:space="preserve"> </w:t>
      </w:r>
      <w:r>
        <w:t xml:space="preserve">in PD3.</w:t>
      </w:r>
      <w:r>
        <w:br/>
      </w:r>
      <w:r>
        <w:t xml:space="preserve">In terms of technological sovereignty, BAU developments strengthen but do not</w:t>
      </w:r>
      <w:r>
        <w:t xml:space="preserve"> </w:t>
      </w:r>
      <w:r>
        <w:t xml:space="preserve">transform the EU’s position. This increase in output will be largely concentrated in the EU’s</w:t>
      </w:r>
      <w:r>
        <w:t xml:space="preserve"> </w:t>
      </w:r>
      <w:r>
        <w:t xml:space="preserve">established strengths, such as wide-bandgap semiconductors and mature technologies. These</w:t>
      </w:r>
      <w:r>
        <w:t xml:space="preserve"> </w:t>
      </w:r>
      <w:r>
        <w:t xml:space="preserve">technology families underpin core EU industrial sectors, and the additional capacity helps</w:t>
      </w:r>
      <w:r>
        <w:t xml:space="preserve"> </w:t>
      </w:r>
      <w:r>
        <w:t xml:space="preserve">meet part of the demand from automotive, industrial automation and energy applications.</w:t>
      </w:r>
      <w:r>
        <w:t xml:space="preserve"> </w:t>
      </w:r>
      <w:r>
        <w:t xml:space="preserve">However, the Union does not establish a competitive foothold in leading-edge logic and</w:t>
      </w:r>
      <w:r>
        <w:t xml:space="preserve"> </w:t>
      </w:r>
      <w:r>
        <w:t xml:space="preserve">memory segments, where global innovation cycles are fastest, and margins are higher.</w:t>
      </w:r>
    </w:p>
    <w:p>
      <w:pPr>
        <w:pStyle w:val="Compact"/>
        <w:numPr>
          <w:ilvl w:val="0"/>
          <w:numId w:val="1038"/>
        </w:numPr>
      </w:pPr>
      <w:r>
        <w:t xml:space="preserve">IDC, Semiconductors market data by feature size, sector and region, CNECT/2022/MVP/0084 – Second</w:t>
      </w:r>
      <w:r>
        <w:t xml:space="preserve"> </w:t>
      </w:r>
      <w:r>
        <w:t xml:space="preserve">Interim Report.</w:t>
      </w:r>
    </w:p>
    <w:p>
      <w:pPr>
        <w:pStyle w:val="Compact"/>
        <w:numPr>
          <w:ilvl w:val="0"/>
          <w:numId w:val="1038"/>
        </w:numPr>
      </w:pPr>
      <w:r>
        <w:t xml:space="preserve">Source Yole/Decision internal report. Market 2030 outlook.</w:t>
      </w:r>
    </w:p>
    <w:p>
      <w:pPr>
        <w:pStyle w:val="Compact"/>
        <w:numPr>
          <w:ilvl w:val="0"/>
          <w:numId w:val="1038"/>
        </w:numPr>
      </w:pPr>
      <w:r>
        <w:t xml:space="preserve">See Annex 4.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These challenges are compounded by Europe’s limited advanced packaging and system-</w:t>
      </w:r>
      <w:r>
        <w:t xml:space="preserve"> </w:t>
      </w:r>
      <w:r>
        <w:t xml:space="preserve">integration capabilities, at a time when global competition is shifting toward heterogeneous</w:t>
      </w:r>
      <w:r>
        <w:t xml:space="preserve"> </w:t>
      </w:r>
      <w:r>
        <w:t xml:space="preserve">architectures, chiplet integration, and 3D packaging.</w:t>
      </w:r>
      <w:r>
        <w:br/>
      </w:r>
      <w:r>
        <w:t xml:space="preserve">5.1.2.3 Demand</w:t>
      </w:r>
      <w:r>
        <w:t xml:space="preserve"> </w:t>
      </w:r>
      <w:r>
        <w:t xml:space="preserve">On the demand side, over the coming years, a steep roll-out of AI infrastructure and data</w:t>
      </w:r>
      <w:r>
        <w:t xml:space="preserve"> </w:t>
      </w:r>
      <w:r>
        <w:t xml:space="preserve">centres is expected, driven by the adoption of AI in society, AI Gigafactories and the future</w:t>
      </w:r>
      <w:r>
        <w:t xml:space="preserve"> </w:t>
      </w:r>
      <w:r>
        <w:t xml:space="preserve">Cloud and AI Development Act. In fact, EU data centre capacity demand is expected to</w:t>
      </w:r>
      <w:r>
        <w:t xml:space="preserve"> </w:t>
      </w:r>
      <w:r>
        <w:t xml:space="preserve">quadruple from 2025 to 2030, and to go from 12GW to 61.5 GW in 2036 (143).</w:t>
      </w:r>
      <w:r>
        <w:t xml:space="preserve"> </w:t>
      </w:r>
      <w:r>
        <w:t xml:space="preserve">European consumption will continue to outpace domestic production, driven by</w:t>
      </w:r>
      <w:r>
        <w:t xml:space="preserve"> </w:t>
      </w:r>
      <w:r>
        <w:t xml:space="preserve">automotive, industrial automation, energy applications and the ramp-up in AI data centre</w:t>
      </w:r>
      <w:r>
        <w:t xml:space="preserve"> </w:t>
      </w:r>
      <w:r>
        <w:t xml:space="preserve">infrastructure. In fact, it is projected that EU demand will expand considerably faster than</w:t>
      </w:r>
      <w:r>
        <w:t xml:space="preserve"> </w:t>
      </w:r>
      <w:r>
        <w:t xml:space="preserve">domestic supply, with an expected CAGR of 7.47% until 2035.(144) Therefore, the gap</w:t>
      </w:r>
      <w:r>
        <w:t xml:space="preserve"> </w:t>
      </w:r>
      <w:r>
        <w:t xml:space="preserve">between the EU’s consumption and production widen through 2035, reinforcing high levels of</w:t>
      </w:r>
      <w:r>
        <w:t xml:space="preserve"> </w:t>
      </w:r>
      <w:r>
        <w:t xml:space="preserve">import dependence despite rising capacity.</w:t>
      </w:r>
      <w:r>
        <w:t xml:space="preserve"> </w:t>
      </w:r>
      <w:r>
        <w:t xml:space="preserve">While the EU will invest heavily in AI Factories and Gigafactories in line with the AI</w:t>
      </w:r>
      <w:r>
        <w:t xml:space="preserve"> </w:t>
      </w:r>
      <w:r>
        <w:t xml:space="preserve">Continent Action Plan, and improved conditions under the Cloud and AI Development Act</w:t>
      </w:r>
      <w:r>
        <w:t xml:space="preserve"> </w:t>
      </w:r>
      <w:r>
        <w:t xml:space="preserve">are expected to spur additional private investment in data-centre capacity, the Union will still</w:t>
      </w:r>
      <w:r>
        <w:t xml:space="preserve"> </w:t>
      </w:r>
      <w:r>
        <w:t xml:space="preserve">remain reliant on third-country suppliers for AI chips for both AI training and inference.</w:t>
      </w:r>
      <w:r>
        <w:br/>
      </w:r>
      <w:r>
        <w:t xml:space="preserve">5.1.2.4 The cost (price) competitiveness of the EU industry</w:t>
      </w:r>
      <w:r>
        <w:t xml:space="preserve"> </w:t>
      </w:r>
      <w:r>
        <w:t xml:space="preserve">As analysed in Annex 4 Section 1.1, under a BAU scenario, the EU semiconductor</w:t>
      </w:r>
      <w:r>
        <w:t xml:space="preserve"> </w:t>
      </w:r>
      <w:r>
        <w:t xml:space="preserve">manufacturing ecosystem is expected to remain less competitive than leading Asian</w:t>
      </w:r>
      <w:r>
        <w:t xml:space="preserve"> </w:t>
      </w:r>
      <w:r>
        <w:t xml:space="preserve">manufacturing hubs. As set out in PD2, structural cost disadvantages persist across the value</w:t>
      </w:r>
      <w:r>
        <w:t xml:space="preserve"> </w:t>
      </w:r>
      <w:r>
        <w:t xml:space="preserve">chain. EU-based fabs continue to face higher construction and operating costs, longer</w:t>
      </w:r>
      <w:r>
        <w:t xml:space="preserve"> </w:t>
      </w:r>
      <w:r>
        <w:t xml:space="preserve">permitting and build-and-commission timelines, and weaker agglomeration effects than</w:t>
      </w:r>
      <w:r>
        <w:t xml:space="preserve"> </w:t>
      </w:r>
      <w:r>
        <w:t xml:space="preserve">competitors in East Asia. This is also supported by interviews, workshops, and the open</w:t>
      </w:r>
      <w:r>
        <w:t xml:space="preserve"> </w:t>
      </w:r>
      <w:r>
        <w:t xml:space="preserve">public consultation.</w:t>
      </w:r>
      <w:r>
        <w:t xml:space="preserve"> </w:t>
      </w:r>
      <w:r>
        <w:t xml:space="preserve">The EU’s technology and ecosystem profile remains concentrated in automotive, power,</w:t>
      </w:r>
      <w:r>
        <w:t xml:space="preserve"> </w:t>
      </w:r>
      <w:r>
        <w:t xml:space="preserve">analogue, and sensor segments, with limited exposure to leading-edge logic manufacturing.</w:t>
      </w:r>
      <w:r>
        <w:t xml:space="preserve"> </w:t>
      </w:r>
      <w:r>
        <w:t xml:space="preserve">Structural gaps persist in advanced packaging, substrates, and back-end manufacturing,</w:t>
      </w:r>
      <w:r>
        <w:t xml:space="preserve"> </w:t>
      </w:r>
      <w:r>
        <w:t xml:space="preserve">resulting in continued reliance on non-EU facilities for critical stages of production. This</w:t>
      </w:r>
      <w:r>
        <w:t xml:space="preserve"> </w:t>
      </w:r>
      <w:r>
        <w:t xml:space="preserve">dependence introduces additional logistics, coordination, and lead-time costs at the system</w:t>
      </w:r>
      <w:r>
        <w:t xml:space="preserve"> </w:t>
      </w:r>
      <w:r>
        <w:t xml:space="preserve">level and reduces resilience to trade disruptions, even where offshoring remains cost-efficient</w:t>
      </w:r>
      <w:r>
        <w:t xml:space="preserve"> </w:t>
      </w:r>
      <w:r>
        <w:t xml:space="preserve">for firms.</w:t>
      </w:r>
      <w:r>
        <w:t xml:space="preserve"> </w:t>
      </w:r>
      <w:r>
        <w:t xml:space="preserve">Current cybersecurity legislation, such as the Cyber Resilience Act, will ensure that</w:t>
      </w:r>
      <w:r>
        <w:t xml:space="preserve"> </w:t>
      </w:r>
      <w:r>
        <w:t xml:space="preserve">semiconductor products placed on the European market meet common security requirements,</w:t>
      </w:r>
      <w:r>
        <w:t xml:space="preserve"> </w:t>
      </w:r>
      <w:r>
        <w:t xml:space="preserve">which may favour European suppliers who have a long legacy of secure and trusted products.</w:t>
      </w:r>
    </w:p>
    <w:p>
      <w:pPr>
        <w:pStyle w:val="Compact"/>
        <w:numPr>
          <w:ilvl w:val="0"/>
          <w:numId w:val="1039"/>
        </w:numPr>
      </w:pPr>
      <w:r>
        <w:t xml:space="preserve">Technopolis Group, Cloud and AI Study for DG CNECT, November 2025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IBS Global Semiconductor Industry Service, Semiconductor Market Analysis by Geographic Region May’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Dependence on imported materials, specialty chemicals, and industrial gases remains largely</w:t>
      </w:r>
      <w:r>
        <w:t xml:space="preserve"> </w:t>
      </w:r>
      <w:r>
        <w:t xml:space="preserve">unchanged. While supplier diversification and recycling mitigate some risks, exposure to</w:t>
      </w:r>
      <w:r>
        <w:t xml:space="preserve"> </w:t>
      </w:r>
      <w:r>
        <w:t xml:space="preserve">geopolitically concentrated supply chains continues to add price volatility and compliance-</w:t>
      </w:r>
      <w:r>
        <w:t xml:space="preserve"> </w:t>
      </w:r>
      <w:r>
        <w:t xml:space="preserve">related cost premia.</w:t>
      </w:r>
      <w:r>
        <w:t xml:space="preserve"> </w:t>
      </w:r>
      <w:r>
        <w:t xml:space="preserve">Overall, under BAU, public support measures are sufficient to sustain limited capacity</w:t>
      </w:r>
      <w:r>
        <w:t xml:space="preserve"> </w:t>
      </w:r>
      <w:r>
        <w:t xml:space="preserve">expansion but insufficient to overcome Europe’s structural cost and ecosystem disadvantages.</w:t>
      </w:r>
      <w:r>
        <w:t xml:space="preserve"> </w:t>
      </w:r>
      <w:r>
        <w:t xml:space="preserve">As a result, the EU’s relative position in global semiconductor manufacturing improves only</w:t>
      </w:r>
      <w:r>
        <w:t xml:space="preserve"> </w:t>
      </w:r>
      <w:r>
        <w:t xml:space="preserve">marginally, with no significant convergence towards the cost, scale, or time-to-market</w:t>
      </w:r>
      <w:r>
        <w:t xml:space="preserve"> </w:t>
      </w:r>
      <w:r>
        <w:t xml:space="preserve">performance of leading Asian ecosystems.</w:t>
      </w:r>
      <w:r>
        <w:t xml:space="preserve"> </w:t>
      </w:r>
      <w:r>
        <w:t xml:space="preserve">5.1.2.5 R&amp;D&amp;I leadership in the EU semiconductor industry</w:t>
      </w:r>
      <w:r>
        <w:t xml:space="preserve"> </w:t>
      </w:r>
      <w:r>
        <w:t xml:space="preserve">The EU sustains a high level of scientific excellence, supported by R&amp;D at universities,</w:t>
      </w:r>
      <w:r>
        <w:t xml:space="preserve"> </w:t>
      </w:r>
      <w:r>
        <w:t xml:space="preserve">companies, and strong Research and Technology Organisations. Yet, as set out in Section 5.2</w:t>
      </w:r>
      <w:r>
        <w:t xml:space="preserve"> </w:t>
      </w:r>
      <w:r>
        <w:t xml:space="preserve">of the Evaluation Report, this research strength only partly translates into industrial</w:t>
      </w:r>
      <w:r>
        <w:t xml:space="preserve"> </w:t>
      </w:r>
      <w:r>
        <w:t xml:space="preserve">innovation and manufacturing capacity. The establishment of the cloud-based Virtual</w:t>
      </w:r>
      <w:r>
        <w:t xml:space="preserve"> </w:t>
      </w:r>
      <w:r>
        <w:t xml:space="preserve">Design Platform, competence centres, and pilot lines gradually improves access to design</w:t>
      </w:r>
      <w:r>
        <w:t xml:space="preserve"> </w:t>
      </w:r>
      <w:r>
        <w:t xml:space="preserve">tools, technology validation services, prototyping services, and multi-project wafer runs,</w:t>
      </w:r>
      <w:r>
        <w:t xml:space="preserve"> </w:t>
      </w:r>
      <w:r>
        <w:t xml:space="preserve">especially for SMEs and start-ups.</w:t>
      </w:r>
      <w:r>
        <w:br/>
      </w:r>
      <w:r>
        <w:t xml:space="preserve">However, systemic barriers remain in the form of late-stage financing gaps, fragmented</w:t>
      </w:r>
      <w:r>
        <w:t xml:space="preserve"> </w:t>
      </w:r>
      <w:r>
        <w:t xml:space="preserve">governance, and dependency on non-EU foundries, which impede firms from scaling</w:t>
      </w:r>
      <w:r>
        <w:t xml:space="preserve"> </w:t>
      </w:r>
      <w:r>
        <w:t xml:space="preserve">prototypes into commercial products, all confirmed by the public consultation (145). By 2030–</w:t>
      </w:r>
      <w:r>
        <w:t xml:space="preserve"> </w:t>
      </w:r>
      <w:r>
        <w:t xml:space="preserve">2035, these constraints prevent the full realisation of the Chips Act’s ambition to bridge the</w:t>
      </w:r>
      <w:r>
        <w:t xml:space="preserve"> </w:t>
      </w:r>
      <w:r>
        <w:t xml:space="preserve">research–industry divide, with many promising actors unable to advance beyond TRL6–8. As</w:t>
      </w:r>
      <w:r>
        <w:t xml:space="preserve"> </w:t>
      </w:r>
      <w:r>
        <w:t xml:space="preserve">a result, the EU’s strong research base does not translate into a commensurate increase in</w:t>
      </w:r>
      <w:r>
        <w:t xml:space="preserve"> </w:t>
      </w:r>
      <w:r>
        <w:t xml:space="preserve">domestic design activity or industrial scale-up.</w:t>
      </w:r>
      <w:r>
        <w:t xml:space="preserve"> </w:t>
      </w:r>
      <w:r>
        <w:t xml:space="preserve">5.1.3 Environmental impacts</w:t>
      </w:r>
      <w:r>
        <w:t xml:space="preserve"> </w:t>
      </w:r>
      <w:r>
        <w:t xml:space="preserve">Under a BAU scenario, until 2035, Europe’s semiconductor industry expands while</w:t>
      </w:r>
      <w:r>
        <w:t xml:space="preserve"> </w:t>
      </w:r>
      <w:r>
        <w:t xml:space="preserve">remaining one of the most environmentally sustainable manufacturing regions globally.</w:t>
      </w:r>
      <w:r>
        <w:t xml:space="preserve"> </w:t>
      </w:r>
      <w:r>
        <w:t xml:space="preserve">Front-end capacity rises from 1.07 million wafer starts per month (wspm) in 2023 to around</w:t>
      </w:r>
      <w:r>
        <w:t xml:space="preserve"> </w:t>
      </w:r>
      <w:r>
        <w:t xml:space="preserve">1.69 million wspm by 2035 (≈ 20.28 million wspy), maintaining an 8-9 % share of global</w:t>
      </w:r>
      <w:r>
        <w:t xml:space="preserve"> </w:t>
      </w:r>
      <w:r>
        <w:t xml:space="preserve">capacity, but with a lower emissions and resource-intensity profile than most competing</w:t>
      </w:r>
      <w:r>
        <w:t xml:space="preserve"> </w:t>
      </w:r>
      <w:r>
        <w:t xml:space="preserve">regions, particularly East Asia.(146)(147). Although absolute electricity demand more than</w:t>
      </w:r>
      <w:r>
        <w:t xml:space="preserve"> </w:t>
      </w:r>
      <w:r>
        <w:t xml:space="preserve">doubles, Europe benefits from a cleaner and rapidly decarbonising power mix, higher</w:t>
      </w:r>
      <w:r>
        <w:t xml:space="preserve"> </w:t>
      </w:r>
      <w:r>
        <w:t xml:space="preserve">penetration of renewable PPAs, and stronger efficiency standards than the US and Asian</w:t>
      </w:r>
      <w:r>
        <w:t xml:space="preserve"> </w:t>
      </w:r>
      <w:r>
        <w:t xml:space="preserve">hubs, leading to a 20-25% reduction in emissions intensity by 2035.(148)(149). In contrast to</w:t>
      </w:r>
      <w:r>
        <w:t xml:space="preserve"> </w:t>
      </w:r>
      <w:r>
        <w:t xml:space="preserve">many Asian manufacturing clusters facing severe water scarcity and limited reuse, European</w:t>
      </w:r>
    </w:p>
    <w:p>
      <w:pPr>
        <w:pStyle w:val="Compact"/>
        <w:numPr>
          <w:ilvl w:val="0"/>
          <w:numId w:val="1041"/>
        </w:numPr>
      </w:pPr>
      <w:r>
        <w:t xml:space="preserve">Annex 4 of the Impact Assessment.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World Fab Forecast | SEMI</w:t>
      </w:r>
    </w:p>
    <w:p>
      <w:pPr>
        <w:pStyle w:val="Compact"/>
        <w:numPr>
          <w:ilvl w:val="0"/>
          <w:numId w:val="1041"/>
        </w:numPr>
      </w:pPr>
      <w:r>
        <w:t xml:space="preserve">Invisible emissions | Greenpeace</w:t>
      </w:r>
    </w:p>
    <w:p>
      <w:pPr>
        <w:pStyle w:val="Compact"/>
        <w:numPr>
          <w:ilvl w:val="0"/>
          <w:numId w:val="1041"/>
        </w:numPr>
      </w:pPr>
      <w:r>
        <w:t xml:space="preserve">JRC. (2025). EU’s strengths and weaknesses in the global semiconductor sector (JRC141323).</w:t>
      </w:r>
      <w:r>
        <w:t xml:space="preserve"> </w:t>
      </w:r>
      <w:r>
        <w:t xml:space="preserve">Luxembourg: Publications Office of the European Union.</w:t>
      </w:r>
    </w:p>
    <w:p>
      <w:pPr>
        <w:pStyle w:val="Compact"/>
        <w:numPr>
          <w:ilvl w:val="0"/>
          <w:numId w:val="1041"/>
        </w:numPr>
      </w:pPr>
      <w:r>
        <w:t xml:space="preserve">McKinsey &amp; Company. (2025). Semiconductors have a big opportunity—but barriers to scale remain.</w:t>
      </w:r>
      <w:r>
        <w:t xml:space="preserve"> </w:t>
      </w:r>
      <w:r>
        <w:t xml:space="preserve">McKinsey Global Institute.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fabs routinely achieve 75-85 % water recycling rates (150), supported by strict permitting and</w:t>
      </w:r>
      <w:r>
        <w:t xml:space="preserve"> </w:t>
      </w:r>
      <w:r>
        <w:t xml:space="preserve">environmental impact assessments, even as total withdrawals reach ~218 million m³/year.</w:t>
      </w:r>
      <w:r>
        <w:t xml:space="preserve"> </w:t>
      </w:r>
      <w:r>
        <w:t xml:space="preserve">Emissions from fluorinated gases decline faster in the EU than in other regions due to an</w:t>
      </w:r>
      <w:r>
        <w:t xml:space="preserve"> </w:t>
      </w:r>
      <w:r>
        <w:t xml:space="preserve">ambitious EU F-gas Regulation and quicker adoption of climate-friendly technologies (151).</w:t>
      </w:r>
      <w:r>
        <w:t xml:space="preserve"> </w:t>
      </w:r>
      <w:r>
        <w:t xml:space="preserve">While total Scope 1 and 2 emissions still rise with capacity growth (to approximately 1.3-1.6</w:t>
      </w:r>
      <w:r>
        <w:t xml:space="preserve"> </w:t>
      </w:r>
      <w:r>
        <w:t xml:space="preserve">MtCO₂e Scope 1 and 7.2-8.5 MtCO₂e Scope 2, location-based) (152), European fabs operate</w:t>
      </w:r>
      <w:r>
        <w:t xml:space="preserve"> </w:t>
      </w:r>
      <w:r>
        <w:t xml:space="preserve">under higher transparency, stricter environmental standards, and stronger integration of</w:t>
      </w:r>
      <w:r>
        <w:t xml:space="preserve"> </w:t>
      </w:r>
      <w:r>
        <w:t xml:space="preserve">energy- and water-efficiency technologies than most global peers. Overall, compared with</w:t>
      </w:r>
      <w:r>
        <w:t xml:space="preserve"> </w:t>
      </w:r>
      <w:r>
        <w:t xml:space="preserve">other semiconductor regions, Europe positions itself as a front-runner in sustainable</w:t>
      </w:r>
      <w:r>
        <w:t xml:space="preserve"> </w:t>
      </w:r>
      <w:r>
        <w:t xml:space="preserve">semiconductor manufacturing, leveraging cleaner energy, world-leading equipment and</w:t>
      </w:r>
      <w:r>
        <w:t xml:space="preserve"> </w:t>
      </w:r>
      <w:r>
        <w:t xml:space="preserve">chemical suppliers, and strong regulatory frameworks to combine industrial expansion with</w:t>
      </w:r>
      <w:r>
        <w:t xml:space="preserve"> </w:t>
      </w:r>
      <w:r>
        <w:t xml:space="preserve">comparatively lower environmental impacts. (153)</w:t>
      </w:r>
      <w:r>
        <w:t xml:space="preserve"> </w:t>
      </w:r>
      <w:r>
        <w:t xml:space="preserve">5.1.4 Social impacts</w:t>
      </w:r>
      <w:r>
        <w:t xml:space="preserve"> </w:t>
      </w:r>
      <w:r>
        <w:t xml:space="preserve">5.1.4.1 Jobs in the EU semiconductor industry</w:t>
      </w:r>
      <w:r>
        <w:t xml:space="preserve"> </w:t>
      </w:r>
      <w:r>
        <w:t xml:space="preserve">Under a BAU trajectory, employment in the EU semiconductor sector grows steadily but</w:t>
      </w:r>
      <w:r>
        <w:t xml:space="preserve"> </w:t>
      </w:r>
      <w:r>
        <w:t xml:space="preserve">remains structurally constrained by persistent skills shortages and uneven regional</w:t>
      </w:r>
      <w:r>
        <w:t xml:space="preserve"> </w:t>
      </w:r>
      <w:r>
        <w:t xml:space="preserve">capacity. Between 2025 and 2030, job creation is driven primarily by fabs and expansions</w:t>
      </w:r>
      <w:r>
        <w:t xml:space="preserve"> </w:t>
      </w:r>
      <w:r>
        <w:t xml:space="preserve">already under construction, including those by Intel in Ireland; STMicroelectronics-</w:t>
      </w:r>
      <w:r>
        <w:t xml:space="preserve"> </w:t>
      </w:r>
      <w:r>
        <w:t xml:space="preserve">GlobalFoundries in Crolles; ESMC, Infineon and GlobalFoundries in Dresden; and</w:t>
      </w:r>
      <w:r>
        <w:t xml:space="preserve"> </w:t>
      </w:r>
      <w:r>
        <w:t xml:space="preserve">STMicroelectronics in Catania, as these projects transition from construction to steady</w:t>
      </w:r>
      <w:r>
        <w:t xml:space="preserve"> </w:t>
      </w:r>
      <w:r>
        <w:t xml:space="preserve">production.</w:t>
      </w:r>
      <w:r>
        <w:t xml:space="preserve"> </w:t>
      </w:r>
      <w:r>
        <w:t xml:space="preserve">As discussed in Annex 4 Section 2.1, under current policies, skills constraints remain a</w:t>
      </w:r>
      <w:r>
        <w:t xml:space="preserve"> </w:t>
      </w:r>
      <w:r>
        <w:t xml:space="preserve">limiting factor: according to a European Chips Skills Academy (ECSA) report, the sector is</w:t>
      </w:r>
      <w:r>
        <w:t xml:space="preserve"> </w:t>
      </w:r>
      <w:r>
        <w:t xml:space="preserve">projected to add around 156,000 jobs by 2030 and face approximately 271,000 cumulative</w:t>
      </w:r>
      <w:r>
        <w:t xml:space="preserve"> </w:t>
      </w:r>
      <w:r>
        <w:t xml:space="preserve">openings including replacement needs, while graduate inflows are expected to grow by</w:t>
      </w:r>
      <w:r>
        <w:t xml:space="preserve"> </w:t>
      </w:r>
      <w:r>
        <w:t xml:space="preserve">around 1% per year, resulting in a projected annual shortfall of around 16,800 unfilled</w:t>
      </w:r>
      <w:r>
        <w:t xml:space="preserve"> </w:t>
      </w:r>
      <w:r>
        <w:t xml:space="preserve">technical roles by 2030 thus limiting the extent to which announced investments translate into</w:t>
      </w:r>
      <w:r>
        <w:t xml:space="preserve"> </w:t>
      </w:r>
      <w:r>
        <w:t xml:space="preserve">realised employment.(154) Skills needs emerged also as a cross-cutting issue of participants in</w:t>
      </w:r>
      <w:r>
        <w:t xml:space="preserve"> </w:t>
      </w:r>
      <w:r>
        <w:t xml:space="preserve">various workshops, interviews and in the open public consultation. It was also pointed out that</w:t>
      </w:r>
      <w:r>
        <w:t xml:space="preserve"> </w:t>
      </w:r>
      <w:r>
        <w:t xml:space="preserve">semiconductor skills pipelines require decade-long investment horizons, yet relevant</w:t>
      </w:r>
      <w:r>
        <w:t xml:space="preserve"> </w:t>
      </w:r>
      <w:r>
        <w:t xml:space="preserve">programmes operated on shorter budgetary cycles, limiting structural impact.(155)</w:t>
      </w:r>
      <w:r>
        <w:t xml:space="preserve"> </w:t>
      </w:r>
      <w:r>
        <w:t xml:space="preserve">This situation is expected to exacerbate should manufacturing capacity further increase</w:t>
      </w:r>
      <w:r>
        <w:t xml:space="preserve"> </w:t>
      </w:r>
      <w:r>
        <w:t xml:space="preserve">beyond currently announced investments under the Chips Act. A factor that the ECSA study</w:t>
      </w:r>
      <w:r>
        <w:t xml:space="preserve"> </w:t>
      </w:r>
      <w:r>
        <w:t xml:space="preserve">does not consider is the scaling up of European fabless start-ups with the commensurate</w:t>
      </w:r>
    </w:p>
    <w:p>
      <w:pPr>
        <w:pStyle w:val="Compact"/>
        <w:numPr>
          <w:ilvl w:val="0"/>
          <w:numId w:val="1042"/>
        </w:numPr>
      </w:pPr>
      <w:r>
        <w:t xml:space="preserve">SEMI. (2023). Sustainability in the Semiconductor Manufacturing Supply Chain. SEMI Global Update.</w:t>
      </w:r>
    </w:p>
    <w:p>
      <w:pPr>
        <w:pStyle w:val="Compact"/>
        <w:numPr>
          <w:ilvl w:val="0"/>
          <w:numId w:val="1042"/>
        </w:numPr>
      </w:pPr>
      <w:r>
        <w:t xml:space="preserve">Fluorinated greenhouse gases - Climate Action</w:t>
      </w:r>
    </w:p>
    <w:p>
      <w:pPr>
        <w:pStyle w:val="Compact"/>
        <w:numPr>
          <w:ilvl w:val="0"/>
          <w:numId w:val="1042"/>
        </w:numPr>
      </w:pPr>
      <w:r>
        <w:t xml:space="preserve">All calculations are presented in Annex 4.</w:t>
      </w:r>
    </w:p>
    <w:p>
      <w:pPr>
        <w:pStyle w:val="Compact"/>
        <w:numPr>
          <w:ilvl w:val="0"/>
          <w:numId w:val="1042"/>
        </w:numPr>
      </w:pPr>
      <w:r>
        <w:t xml:space="preserve">Chip Production’s Ecological Footprint: Mapping Climate and Environmental Impact</w:t>
      </w:r>
    </w:p>
    <w:p>
      <w:pPr>
        <w:pStyle w:val="Compact"/>
        <w:numPr>
          <w:ilvl w:val="0"/>
          <w:numId w:val="1042"/>
        </w:numPr>
      </w:pPr>
      <w:r>
        <w:t xml:space="preserve">European Chips Skills Academy (ECSA), Decision Etudes &amp; Conseil. (2024). European semiconductor</w:t>
      </w:r>
      <w:r>
        <w:t xml:space="preserve"> </w:t>
      </w:r>
      <w:r>
        <w:t xml:space="preserve">skills strategy 2024. Luxembourg: Publications Office of the EU.</w:t>
      </w:r>
    </w:p>
    <w:p>
      <w:pPr>
        <w:pStyle w:val="Compact"/>
        <w:numPr>
          <w:ilvl w:val="0"/>
          <w:numId w:val="1042"/>
        </w:numPr>
      </w:pPr>
      <w:r>
        <w:t xml:space="preserve">Annex 2 of the Impact Assessment.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demand for skilled chip designers, a scarce resource, this would result in, or the impact that</w:t>
      </w:r>
      <w:r>
        <w:t xml:space="preserve"> </w:t>
      </w:r>
      <w:r>
        <w:t xml:space="preserve">the ongoing AI boom will have on the semiconductor manufacturing equipment industry in</w:t>
      </w:r>
      <w:r>
        <w:t xml:space="preserve"> </w:t>
      </w:r>
      <w:r>
        <w:t xml:space="preserve">Europe.</w:t>
      </w:r>
      <w:r>
        <w:br/>
      </w:r>
      <w:r>
        <w:t xml:space="preserve">5.1.5 Governance</w:t>
      </w:r>
      <w:r>
        <w:t xml:space="preserve"> </w:t>
      </w:r>
      <w:r>
        <w:t xml:space="preserve">5.1.5.1 Supply chain monitoring</w:t>
      </w:r>
      <w:r>
        <w:t xml:space="preserve"> </w:t>
      </w:r>
      <w:r>
        <w:t xml:space="preserve">Under the BAU scenario, the governance of the supply chain remains constrained by</w:t>
      </w:r>
      <w:r>
        <w:t xml:space="preserve"> </w:t>
      </w:r>
      <w:r>
        <w:t xml:space="preserve">insufficient insight into supply chain resilience, as the Commission continues to rely</w:t>
      </w:r>
      <w:r>
        <w:t xml:space="preserve"> </w:t>
      </w:r>
      <w:r>
        <w:t xml:space="preserve">primarily on voluntary information sharing (Arts. 19 and 20 of the Chips Act) and crisis-</w:t>
      </w:r>
      <w:r>
        <w:t xml:space="preserve"> </w:t>
      </w:r>
      <w:r>
        <w:t xml:space="preserve">specific mandatory data collection (Art 25). The stakeholder consultation also confirms that</w:t>
      </w:r>
      <w:r>
        <w:t xml:space="preserve"> </w:t>
      </w:r>
      <w:r>
        <w:t xml:space="preserve">Pillar III has only partially met its objectives. (156) However, in a pre-crisis stage, a</w:t>
      </w:r>
      <w:r>
        <w:t xml:space="preserve"> </w:t>
      </w:r>
      <w:r>
        <w:t xml:space="preserve">comprehensive understanding of the market is essential. Unlike the proactive and broader</w:t>
      </w:r>
      <w:r>
        <w:t xml:space="preserve"> </w:t>
      </w:r>
      <w:r>
        <w:t xml:space="preserve">provisions established in the US under the Trade Act,(157) which can mandate data gathering</w:t>
      </w:r>
      <w:r>
        <w:t xml:space="preserve"> </w:t>
      </w:r>
      <w:r>
        <w:t xml:space="preserve">for national security purposes, the EU framework still lacks sufficient legal leverage to</w:t>
      </w:r>
      <w:r>
        <w:t xml:space="preserve"> </w:t>
      </w:r>
      <w:r>
        <w:t xml:space="preserve">compel industrial stakeholders to share granular data on stock levels, suppliers, and customers</w:t>
      </w:r>
      <w:r>
        <w:t xml:space="preserve"> </w:t>
      </w:r>
      <w:r>
        <w:t xml:space="preserve">outside of officially declared emergencies. The evaluation confirms these constraints: crisis</w:t>
      </w:r>
      <w:r>
        <w:t xml:space="preserve"> </w:t>
      </w:r>
      <w:r>
        <w:t xml:space="preserve">coordination and monitoring mechanisms remain underdeveloped, and there are no means to</w:t>
      </w:r>
      <w:r>
        <w:t xml:space="preserve"> </w:t>
      </w:r>
      <w:r>
        <w:t xml:space="preserve">monitor and anticipate supply chain disruptions in real time. (158)</w:t>
      </w:r>
      <w:r>
        <w:br/>
      </w:r>
      <w:r>
        <w:t xml:space="preserve">The existing provisions for early warning indicators and the crisis toolbox also remain</w:t>
      </w:r>
      <w:r>
        <w:t xml:space="preserve"> </w:t>
      </w:r>
      <w:r>
        <w:t xml:space="preserve">reactive and continue to function largely as activation mechanisms for crises rather than</w:t>
      </w:r>
      <w:r>
        <w:t xml:space="preserve"> </w:t>
      </w:r>
      <w:r>
        <w:t xml:space="preserve">drivers of structural preparedness. While larger companies may increase their risk anticipation</w:t>
      </w:r>
      <w:r>
        <w:t xml:space="preserve"> </w:t>
      </w:r>
      <w:r>
        <w:t xml:space="preserve">and mitigation efforts, significant parts of the European semiconductor ecosystem remain</w:t>
      </w:r>
      <w:r>
        <w:t xml:space="preserve"> </w:t>
      </w:r>
      <w:r>
        <w:t xml:space="preserve">highly vulnerable to geopolitical tensions and supply interruptions. Without new policy</w:t>
      </w:r>
      <w:r>
        <w:t xml:space="preserve"> </w:t>
      </w:r>
      <w:r>
        <w:t xml:space="preserve">intervention, this results in persistent blind spots that prevent the Union to gain a deep real-</w:t>
      </w:r>
      <w:r>
        <w:t xml:space="preserve"> </w:t>
      </w:r>
      <w:r>
        <w:t xml:space="preserve">time understanding of the value chain, to anticipate disruptions to the supply chain before</w:t>
      </w:r>
      <w:r>
        <w:t xml:space="preserve"> </w:t>
      </w:r>
      <w:r>
        <w:t xml:space="preserve">they escalate, to design effective policy responses, to direct investment and to coordinate</w:t>
      </w:r>
      <w:r>
        <w:t xml:space="preserve"> </w:t>
      </w:r>
      <w:r>
        <w:t xml:space="preserve">Member State actions aimed at enhancing supply chain resilience.</w:t>
      </w:r>
      <w:r>
        <w:br/>
      </w:r>
      <w:r>
        <w:t xml:space="preserve">Under the BAU scenario, the current Chips Act provides an initial stable and Union-wide</w:t>
      </w:r>
      <w:r>
        <w:t xml:space="preserve"> </w:t>
      </w:r>
      <w:r>
        <w:t xml:space="preserve">framework for the monitoring of parts of the European semiconductor value chain. However,</w:t>
      </w:r>
      <w:r>
        <w:t xml:space="preserve"> </w:t>
      </w:r>
      <w:r>
        <w:t xml:space="preserve">while certain segments are beginning to benefit from ongoing investments and coordination</w:t>
      </w:r>
      <w:r>
        <w:t xml:space="preserve"> </w:t>
      </w:r>
      <w:r>
        <w:t xml:space="preserve">structures, these developments remain partial and have not yet generated a step change in the</w:t>
      </w:r>
      <w:r>
        <w:t xml:space="preserve"> </w:t>
      </w:r>
      <w:r>
        <w:t xml:space="preserve">EU’s overall position. Ecosystem resilience improves but dependencies remain throughout the</w:t>
      </w:r>
      <w:r>
        <w:t xml:space="preserve"> </w:t>
      </w:r>
      <w:r>
        <w:t xml:space="preserve">value chain: production capacity grows but is expected to stagnate in the long term;</w:t>
      </w:r>
      <w:r>
        <w:t xml:space="preserve"> </w:t>
      </w:r>
      <w:r>
        <w:t xml:space="preserve">manufacturing sophistication advances incrementally but does not shift the EU into the</w:t>
      </w:r>
      <w:r>
        <w:t xml:space="preserve"> </w:t>
      </w:r>
      <w:r>
        <w:t xml:space="preserve">leading edge; and the Union remains unable to capitalise on its excellent research capacity.</w:t>
      </w:r>
    </w:p>
    <w:p>
      <w:pPr>
        <w:pStyle w:val="Compact"/>
        <w:numPr>
          <w:ilvl w:val="0"/>
          <w:numId w:val="1043"/>
        </w:numPr>
      </w:pPr>
      <w:r>
        <w:t xml:space="preserve">Annex 2 of the Impact Assessment.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Trade Act of 1974, Pub. L. No. 93-618, 88 Stat. 1978 (1975).</w:t>
      </w:r>
    </w:p>
    <w:p>
      <w:pPr>
        <w:pStyle w:val="Compact"/>
        <w:numPr>
          <w:ilvl w:val="0"/>
          <w:numId w:val="1043"/>
        </w:numPr>
      </w:pPr>
      <w:r>
        <w:t xml:space="preserve">See Evaluation of the Chips Act</w:t>
      </w:r>
    </w:p>
    <w:p>
      <w:pPr>
        <w:pStyle w:val="FirstParagraph"/>
      </w:pPr>
      <w:r>
        <w:t xml:space="preserve">59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Policy options for Chips Act 2.0 were developed based on alternative approaches to industrial</w:t>
      </w:r>
      <w:r>
        <w:t xml:space="preserve"> </w:t>
      </w:r>
      <w:r>
        <w:t xml:space="preserve">and innovation policy. The options are differentiated by the extent to which they rely on two</w:t>
      </w:r>
      <w:r>
        <w:t xml:space="preserve"> </w:t>
      </w:r>
      <w:r>
        <w:t xml:space="preserve">distinct industrial policy models:</w:t>
      </w:r>
      <w:r>
        <w:t xml:space="preserve"> </w:t>
      </w:r>
      <w:r>
        <w:t xml:space="preserve">• The horizontal (“market-enabling”) policy approach (PO1) focuses on improving</w:t>
      </w:r>
      <w:r>
        <w:t xml:space="preserve"> </w:t>
      </w:r>
      <w:r>
        <w:t xml:space="preserve">overall framework conditions through increased support for research, development</w:t>
      </w:r>
      <w:r>
        <w:t xml:space="preserve"> </w:t>
      </w:r>
      <w:r>
        <w:t xml:space="preserve">and innovation, investment in skills, and the creation of a favourable investment</w:t>
      </w:r>
      <w:r>
        <w:t xml:space="preserve"> </w:t>
      </w:r>
      <w:r>
        <w:t xml:space="preserve">environment, without introducing additional Union-level funding for mass-scale</w:t>
      </w:r>
      <w:r>
        <w:t xml:space="preserve"> </w:t>
      </w:r>
      <w:r>
        <w:t xml:space="preserve">manufacturing and design, notably for AI chips.</w:t>
      </w:r>
      <w:r>
        <w:br/>
      </w:r>
      <w:r>
        <w:t xml:space="preserve">• The vertical (“proactive”) industrial policy approach (PO2) builds on the</w:t>
      </w:r>
      <w:r>
        <w:t xml:space="preserve"> </w:t>
      </w:r>
      <w:r>
        <w:t xml:space="preserve">horizontal measures but complements them with targeted financial interventions,</w:t>
      </w:r>
      <w:r>
        <w:t xml:space="preserve"> </w:t>
      </w:r>
      <w:r>
        <w:t xml:space="preserve">notably</w:t>
      </w:r>
      <w:r>
        <w:t xml:space="preserve"> </w:t>
      </w:r>
      <w:r>
        <w:t xml:space="preserve">through Strategic</w:t>
      </w:r>
      <w:r>
        <w:t xml:space="preserve"> </w:t>
      </w:r>
      <w:r>
        <w:t xml:space="preserve">Projects supported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proposed European</w:t>
      </w:r>
      <w:r>
        <w:t xml:space="preserve"> </w:t>
      </w:r>
      <w:r>
        <w:t xml:space="preserve">Competitiveness Fund. This approach builds on the European technological assets</w:t>
      </w:r>
      <w:r>
        <w:t xml:space="preserve"> </w:t>
      </w:r>
      <w:r>
        <w:t xml:space="preserve">supported under of the first Chips Act, in particular pilot lines, and translate them into</w:t>
      </w:r>
      <w:r>
        <w:t xml:space="preserve"> </w:t>
      </w:r>
      <w:r>
        <w:t xml:space="preserve">industrial deployment. By introducing a clear EU-level dimension to funding</w:t>
      </w:r>
      <w:r>
        <w:t xml:space="preserve"> </w:t>
      </w:r>
      <w:r>
        <w:t xml:space="preserve">industrial projects and enabling cross-border, value-chain-wide investments, this</w:t>
      </w:r>
      <w:r>
        <w:t xml:space="preserve"> </w:t>
      </w:r>
      <w:r>
        <w:t xml:space="preserve">approach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fragmentation</w:t>
      </w:r>
      <w:r>
        <w:t xml:space="preserve"> </w:t>
      </w:r>
      <w:r>
        <w:t xml:space="preserve">while</w:t>
      </w:r>
      <w:r>
        <w:t xml:space="preserve"> </w:t>
      </w:r>
      <w:r>
        <w:t xml:space="preserve">strengthening</w:t>
      </w:r>
      <w:r>
        <w:t xml:space="preserve"> </w:t>
      </w:r>
      <w:r>
        <w:t xml:space="preserve">Europe’s</w:t>
      </w:r>
      <w:r>
        <w:t xml:space="preserve"> </w:t>
      </w:r>
      <w:r>
        <w:t xml:space="preserve">competitiveness, resilience and technological sovereignty. </w:t>
      </w:r>
      <w:r>
        <w:t xml:space="preserve"> </w:t>
      </w:r>
      <w:r>
        <w:t xml:space="preserve">Policy options should be read cumulatively, as each subsequent option includes all the</w:t>
      </w:r>
      <w:r>
        <w:t xml:space="preserve"> </w:t>
      </w:r>
      <w:r>
        <w:t xml:space="preserve">measures of the previous one and adds further elements:</w:t>
      </w:r>
      <w:r>
        <w:t xml:space="preserve"> </w:t>
      </w:r>
      <w:r>
        <w:t xml:space="preserve">5.2.1 Policy Option 0: “The status quo/baseline scenario”</w:t>
      </w:r>
      <w:r>
        <w:t xml:space="preserve"> </w:t>
      </w:r>
      <w:r>
        <w:t xml:space="preserve">This would involve the continued implementation of the current Chips Act without any</w:t>
      </w:r>
      <w:r>
        <w:t xml:space="preserve"> </w:t>
      </w:r>
      <w:r>
        <w:t xml:space="preserve">modification. It will maintain the existing R&amp;D&amp;I programme under Pillar I and maintain the</w:t>
      </w:r>
      <w:r>
        <w:t xml:space="preserve"> </w:t>
      </w:r>
      <w:r>
        <w:t xml:space="preserve">same approach to supporting investments through State aid (using the “first-of-a-kind”</w:t>
      </w:r>
      <w:r>
        <w:t xml:space="preserve"> </w:t>
      </w:r>
      <w:r>
        <w:t xml:space="preserve">framework through the existing State aid rules) with no additional Union or Member State</w:t>
      </w:r>
      <w:r>
        <w:t xml:space="preserve"> </w:t>
      </w:r>
      <w:r>
        <w:t xml:space="preserve">budget under Pillar II. Under Pillar III, it will also maintain the current crisis response</w:t>
      </w:r>
      <w:r>
        <w:t xml:space="preserve"> </w:t>
      </w:r>
      <w:r>
        <w:t xml:space="preserve">mechanism, which operates with depends on a voluntary data-gathering regime (except in a</w:t>
      </w:r>
      <w:r>
        <w:t xml:space="preserve"> </w:t>
      </w:r>
      <w:r>
        <w:t xml:space="preserve">crisis). This policy option will not include any policy measures going beyond the scope of the</w:t>
      </w:r>
      <w:r>
        <w:t xml:space="preserve"> </w:t>
      </w:r>
      <w:r>
        <w:t xml:space="preserve">existing Chips Act.</w:t>
      </w:r>
      <w:r>
        <w:t xml:space="preserve"> </w:t>
      </w:r>
      <w:r>
        <w:t xml:space="preserve">5.2.2 Policy Option 1: “Measures that focus on the framework conditions”</w:t>
      </w:r>
      <w:r>
        <w:br/>
      </w:r>
      <w:r>
        <w:t xml:space="preserve">In line with the horizontal approach to industrial policy, this policy option is based on</w:t>
      </w:r>
      <w:r>
        <w:t xml:space="preserve"> </w:t>
      </w:r>
      <w:r>
        <w:t xml:space="preserve">measures focusing on framework conditions (permitting standards, energy supply,</w:t>
      </w:r>
      <w:r>
        <w:t xml:space="preserve"> </w:t>
      </w:r>
      <w:r>
        <w:t xml:space="preserve">infrastructure, labour skills, etc.) alongside R&amp;D&amp;I interventions.</w:t>
      </w:r>
      <w:r>
        <w:br/>
      </w:r>
      <w:r>
        <w:t xml:space="preserve">5.2.2.1 PM1: Increased R&amp;D&amp;I support through the Chips JU</w:t>
      </w:r>
      <w:r>
        <w:t xml:space="preserve"> </w:t>
      </w:r>
      <w:r>
        <w:t xml:space="preserve">This measure will build on the R&amp;D&amp;I activities under the Chips Act and go further by</w:t>
      </w:r>
      <w:r>
        <w:t xml:space="preserve"> </w:t>
      </w:r>
      <w:r>
        <w:t xml:space="preserve">increasing support in line with the possibilities of the digital windows of the proposed 10th</w:t>
      </w:r>
      <w:r>
        <w:t xml:space="preserve"> </w:t>
      </w:r>
      <w:r>
        <w:t xml:space="preserve">Framework Programme and the European Competitiveness Fund to maintain European</w:t>
      </w:r>
      <w:r>
        <w:t xml:space="preserve"> </w:t>
      </w:r>
      <w:r>
        <w:t xml:space="preserve">leadership in semiconductor research and support the transition from the ‘lab to the fab’.</w:t>
      </w:r>
      <w:r>
        <w:br/>
      </w:r>
      <w:r>
        <w:t xml:space="preserve">The focus now shall be on more industrially relevant activities that have a clear path to</w:t>
      </w:r>
      <w:r>
        <w:t xml:space="preserve"> </w:t>
      </w:r>
      <w:r>
        <w:t xml:space="preserve">industrialisation. This shall especially be the case when it comes to pilot lines, which in the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first Chips Act are deployed by Research and Technology Organisations. In their next</w:t>
      </w:r>
      <w:r>
        <w:t xml:space="preserve"> </w:t>
      </w:r>
      <w:r>
        <w:t xml:space="preserve">iteration, industrial partners shall be expected to exploit their results.</w:t>
      </w:r>
      <w:r>
        <w:t xml:space="preserve"> </w:t>
      </w:r>
      <w:r>
        <w:t xml:space="preserve">Sub-measures here could include new or expanded pilot lines, support for research and</w:t>
      </w:r>
      <w:r>
        <w:t xml:space="preserve"> </w:t>
      </w:r>
      <w:r>
        <w:t xml:space="preserve">deployment focusing on the production of quantum chips, doubling down on the support</w:t>
      </w:r>
      <w:r>
        <w:t xml:space="preserve"> </w:t>
      </w:r>
      <w:r>
        <w:t xml:space="preserve">provided via the Design Platform, a renewed Chips Fund 2.0 and additional funding for</w:t>
      </w:r>
      <w:r>
        <w:t xml:space="preserve"> </w:t>
      </w:r>
      <w:r>
        <w:t xml:space="preserve">R&amp;D&amp;I activities under the successor of the Chips JU. Areas of the new pilot lines could</w:t>
      </w:r>
      <w:r>
        <w:t xml:space="preserve"> </w:t>
      </w:r>
      <w:r>
        <w:t xml:space="preserve">include smart glasses, non-volatile memories, 3D integration. The proposed European</w:t>
      </w:r>
      <w:r>
        <w:t xml:space="preserve"> </w:t>
      </w:r>
      <w:r>
        <w:t xml:space="preserve">Competitiveness Fund is expected to provide novel means to support activities with EU direct</w:t>
      </w:r>
      <w:r>
        <w:t xml:space="preserve"> </w:t>
      </w:r>
      <w:r>
        <w:t xml:space="preserve">management funds that are more attuned to industrial deployment.</w:t>
      </w:r>
      <w:r>
        <w:br/>
      </w:r>
      <w:r>
        <w:t xml:space="preserve">5.2.2.2 PM2: Clarification of the scope of ‘first-of-a-kind’</w:t>
      </w:r>
      <w:r>
        <w:br/>
      </w:r>
      <w:r>
        <w:t xml:space="preserve">The proposed clarification of the definition of first-of-a-kind (FOAK) shall serve as a more</w:t>
      </w:r>
      <w:r>
        <w:t xml:space="preserve"> </w:t>
      </w:r>
      <w:r>
        <w:t xml:space="preserve">detailed explanation, intended to remove ambiguity and ensure that the entire semiconductor</w:t>
      </w:r>
      <w:r>
        <w:t xml:space="preserve"> </w:t>
      </w:r>
      <w:r>
        <w:t xml:space="preserve">value chain is consistently covered. Under the current definition, the scope of FOAK could</w:t>
      </w:r>
      <w:r>
        <w:t xml:space="preserve"> </w:t>
      </w:r>
      <w:r>
        <w:t xml:space="preserve">have been interpreted by Member States and stakeholders unevenly, de facto limiting support</w:t>
      </w:r>
      <w:r>
        <w:t xml:space="preserve"> </w:t>
      </w:r>
      <w:r>
        <w:t xml:space="preserve">to certain segments of semiconductor manufacturing due to the lack of clarity for more</w:t>
      </w:r>
      <w:r>
        <w:t xml:space="preserve"> </w:t>
      </w:r>
      <w:r>
        <w:t xml:space="preserve">upstream and downstream activities that are equally critical to the semiconductor industry.</w:t>
      </w:r>
      <w:r>
        <w:t xml:space="preserve"> </w:t>
      </w:r>
      <w:r>
        <w:t xml:space="preserve">This policy measure builds on this architecture by further clarifying the scope of the first-of-a-</w:t>
      </w:r>
      <w:r>
        <w:t xml:space="preserve"> </w:t>
      </w:r>
      <w:r>
        <w:t xml:space="preserve">kind (FOAK) framework.</w:t>
      </w:r>
      <w:r>
        <w:br/>
      </w:r>
      <w:r>
        <w:t xml:space="preserve">Therefore, PM2 provides for the clarification of the first-of-a-kind scope, specifically</w:t>
      </w:r>
      <w:r>
        <w:t xml:space="preserve"> </w:t>
      </w:r>
      <w:r>
        <w:t xml:space="preserve">incorporating elements to increase the focus on resilience within the FOAK assessment:</w:t>
      </w:r>
      <w:r>
        <w:t xml:space="preserve"> </w:t>
      </w:r>
      <w:r>
        <w:t xml:space="preserve">•</w:t>
      </w:r>
      <w:r>
        <w:t xml:space="preserve"> </w:t>
      </w:r>
      <w:r>
        <w:t xml:space="preserve">The first-of-a-kind scope is clarified to explicitly include the entire semiconductor</w:t>
      </w:r>
      <w:r>
        <w:t xml:space="preserve"> </w:t>
      </w:r>
      <w:r>
        <w:t xml:space="preserve">value chain, by clarifying that FOAK does not only focus on FOAK</w:t>
      </w:r>
      <w:r>
        <w:t xml:space="preserve"> </w:t>
      </w:r>
      <w:r>
        <w:t xml:space="preserve">“facilities”</w:t>
      </w:r>
      <w:r>
        <w:t xml:space="preserve"> </w:t>
      </w:r>
      <w:r>
        <w:t xml:space="preserve">but</w:t>
      </w:r>
      <w:r>
        <w:t xml:space="preserve"> </w:t>
      </w:r>
      <w:r>
        <w:t xml:space="preserve">on</w:t>
      </w:r>
      <w:r>
        <w:t xml:space="preserve"> </w:t>
      </w:r>
      <w:r>
        <w:t xml:space="preserve">“initiatives,”</w:t>
      </w:r>
      <w:r>
        <w:t xml:space="preserve"> </w:t>
      </w:r>
      <w:r>
        <w:t xml:space="preserve">to clarify that FOAK is not only focused on new or substantially</w:t>
      </w:r>
      <w:r>
        <w:t xml:space="preserve"> </w:t>
      </w:r>
      <w:r>
        <w:t xml:space="preserve">upgraded semiconductor manufacturing facilities with an IDM or foundry model, but</w:t>
      </w:r>
      <w:r>
        <w:t xml:space="preserve"> </w:t>
      </w:r>
      <w:r>
        <w:t xml:space="preserve">may also cover other projects in the value chain such as materials or equipment.</w:t>
      </w:r>
      <w:r>
        <w:t xml:space="preserve"> </w:t>
      </w:r>
      <w:r>
        <w:t xml:space="preserve">•</w:t>
      </w:r>
      <w:r>
        <w:t xml:space="preserve"> </w:t>
      </w:r>
      <w:r>
        <w:t xml:space="preserve">The FOAK definition is clarified to explicitly cover innovative investments that</w:t>
      </w:r>
      <w:r>
        <w:t xml:space="preserve"> </w:t>
      </w:r>
      <w:r>
        <w:t xml:space="preserve">provide resilience in the semiconductor supply chain, including for mature</w:t>
      </w:r>
      <w:r>
        <w:t xml:space="preserve"> </w:t>
      </w:r>
      <w:r>
        <w:t xml:space="preserve">technology nodes. Underrepresented facilities that address chokepoints in the</w:t>
      </w:r>
      <w:r>
        <w:t xml:space="preserve"> </w:t>
      </w:r>
      <w:r>
        <w:t xml:space="preserve">supply chain (such as mainstream or packaging) could qualify as first-of-a-kind if</w:t>
      </w:r>
      <w:r>
        <w:t xml:space="preserve"> </w:t>
      </w:r>
      <w:r>
        <w:t xml:space="preserve">they strengthen the Union’s resilience. The Nexperia case demonstrates that these</w:t>
      </w:r>
      <w:r>
        <w:t xml:space="preserve"> </w:t>
      </w:r>
      <w:r>
        <w:t xml:space="preserve">facilities carry a critical economic and resilience dimension for the Union. It may be</w:t>
      </w:r>
      <w:r>
        <w:t xml:space="preserve"> </w:t>
      </w:r>
      <w:r>
        <w:t xml:space="preserve">the case that several parallel projects are recognised as first-of-a-kind, as long as it can</w:t>
      </w:r>
      <w:r>
        <w:t xml:space="preserve"> </w:t>
      </w:r>
      <w:r>
        <w:t xml:space="preserve">be proven that those projects do not crowd out existing or planned private activities or</w:t>
      </w:r>
      <w:r>
        <w:t xml:space="preserve"> </w:t>
      </w:r>
      <w:r>
        <w:t xml:space="preserve">create overcapacity. Hence, in light of economic security considerations, certain</w:t>
      </w:r>
      <w:r>
        <w:t xml:space="preserve"> </w:t>
      </w:r>
      <w:r>
        <w:t xml:space="preserve">manufacturing investments that are critical for reducing dependencies on third</w:t>
      </w:r>
      <w:r>
        <w:t xml:space="preserve"> </w:t>
      </w:r>
      <w:r>
        <w:t xml:space="preserve">countries or third country entities may warrant support where, next to innovation,</w:t>
      </w:r>
      <w:r>
        <w:t xml:space="preserve"> </w:t>
      </w:r>
      <w:r>
        <w:t xml:space="preserve">resilience is an element to take into account in the assessment and the investment</w:t>
      </w:r>
      <w:r>
        <w:t xml:space="preserve"> </w:t>
      </w:r>
      <w:r>
        <w:t xml:space="preserve">contributes to the security of supply.</w:t>
      </w:r>
      <w:r>
        <w:br/>
      </w:r>
      <w:r>
        <w:t xml:space="preserve">Clarifying the scope of FOAK to ensure projects with a clear resilience dimension can fall</w:t>
      </w:r>
      <w:r>
        <w:t xml:space="preserve"> </w:t>
      </w:r>
      <w:r>
        <w:t xml:space="preserve">within the FOAK definition would enhance coherence with EU objectives such as economic</w:t>
      </w:r>
      <w:r>
        <w:t xml:space="preserve"> </w:t>
      </w:r>
      <w:r>
        <w:t xml:space="preserve">security, while remaining consistent with State aid and competition law principles.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While the mentioned activities are already covered by the current framework based on the</w:t>
      </w:r>
      <w:r>
        <w:t xml:space="preserve"> </w:t>
      </w:r>
      <w:r>
        <w:t xml:space="preserve">Commission’s practice, stakeholder feedback indicates that this is not always sufficiently</w:t>
      </w:r>
      <w:r>
        <w:t xml:space="preserve"> </w:t>
      </w:r>
      <w:r>
        <w:t xml:space="preserve">clear in practice, which results in hesitation by Member States to pursue such projects.</w:t>
      </w:r>
      <w:r>
        <w:br/>
      </w:r>
      <w:r>
        <w:t xml:space="preserve">Therefore, the clarified FOAK scope would improve legal certainty and reduce interpretative</w:t>
      </w:r>
      <w:r>
        <w:t xml:space="preserve"> </w:t>
      </w:r>
      <w:r>
        <w:t xml:space="preserve">divergence. </w:t>
      </w:r>
      <w:r>
        <w:t xml:space="preserve"> </w:t>
      </w:r>
      <w:r>
        <w:t xml:space="preserve">5.2.2.3 PM3: Fast-track permitting procedures</w:t>
      </w:r>
      <w:r>
        <w:t xml:space="preserve"> </w:t>
      </w:r>
      <w:r>
        <w:t xml:space="preserve">Fast-track permitting procedures will build on the proposal for the ‘Regulation on speeding</w:t>
      </w:r>
      <w:r>
        <w:t xml:space="preserve"> </w:t>
      </w:r>
      <w:r>
        <w:t xml:space="preserve">up environmental assessment’159 and potential other upcoming legislation. In that respect, the</w:t>
      </w:r>
      <w:r>
        <w:t xml:space="preserve"> </w:t>
      </w:r>
      <w:r>
        <w:t xml:space="preserve">Chips Act 2.0 will be adopting similar provisions to the Industrial Accelerator Act (IAA)</w:t>
      </w:r>
      <w:r>
        <w:t xml:space="preserve"> </w:t>
      </w:r>
      <w:r>
        <w:t xml:space="preserve">proposal for semiconductor-related facilities, as semiconductors do not fall under the scope of</w:t>
      </w:r>
      <w:r>
        <w:t xml:space="preserve"> </w:t>
      </w:r>
      <w:r>
        <w:t xml:space="preserve">the proposed IAA (160).</w:t>
      </w:r>
      <w:r>
        <w:t xml:space="preserve"> </w:t>
      </w:r>
      <w:r>
        <w:t xml:space="preserve">5.2.2.4 PM4: European Semiconductor Regions of Excellence Label</w:t>
      </w:r>
      <w:r>
        <w:t xml:space="preserve"> </w:t>
      </w:r>
      <w:r>
        <w:t xml:space="preserve">The European Semiconductor Regions of Excellence seal would serve as a soft measure</w:t>
      </w:r>
      <w:r>
        <w:t xml:space="preserve"> </w:t>
      </w:r>
      <w:r>
        <w:t xml:space="preserve">giving recognition to regions implementing a framework of enabling policies. This seal would</w:t>
      </w:r>
      <w:r>
        <w:t xml:space="preserve"> </w:t>
      </w:r>
      <w:r>
        <w:t xml:space="preserve">recognise the key role that regions play in supporting the semiconductor industry. The criteria</w:t>
      </w:r>
      <w:r>
        <w:t xml:space="preserve"> </w:t>
      </w:r>
      <w:r>
        <w:t xml:space="preserve">for granting this seal includes regional measures to support infrastructure, value-chain</w:t>
      </w:r>
      <w:r>
        <w:t xml:space="preserve"> </w:t>
      </w:r>
      <w:r>
        <w:t xml:space="preserve">development and skills, the establishment of a one-stop-shop for all regulatory approvals,</w:t>
      </w:r>
      <w:r>
        <w:t xml:space="preserve"> </w:t>
      </w:r>
      <w:r>
        <w:t xml:space="preserve">designated land for industrial deployment, single-points of contact for administrative</w:t>
      </w:r>
      <w:r>
        <w:t xml:space="preserve"> </w:t>
      </w:r>
      <w:r>
        <w:t xml:space="preserve">processes and other framework conditions.</w:t>
      </w:r>
      <w:r>
        <w:br/>
      </w:r>
      <w:r>
        <w:t xml:space="preserve">The seal would recognise regions that have direct measures in place to support the</w:t>
      </w:r>
      <w:r>
        <w:t xml:space="preserve"> </w:t>
      </w:r>
      <w:r>
        <w:t xml:space="preserve">semiconductor value chain and attract investments, and aims to encourage additional regions</w:t>
      </w:r>
      <w:r>
        <w:t xml:space="preserve"> </w:t>
      </w:r>
      <w:r>
        <w:t xml:space="preserve">to also take supportive measures. A network of labelled regions would be supported to</w:t>
      </w:r>
      <w:r>
        <w:t xml:space="preserve"> </w:t>
      </w:r>
      <w:r>
        <w:t xml:space="preserve">exchange good practices.</w:t>
      </w:r>
      <w:r>
        <w:t xml:space="preserve"> </w:t>
      </w:r>
      <w:r>
        <w:t xml:space="preserve">The exact requirements for such a seal would be set out in a delegated act. Regions’</w:t>
      </w:r>
      <w:r>
        <w:t xml:space="preserve"> </w:t>
      </w:r>
      <w:r>
        <w:t xml:space="preserve">adherence to this measure would be monitored by the Commission.</w:t>
      </w:r>
      <w:r>
        <w:br/>
      </w:r>
      <w:r>
        <w:t xml:space="preserve">5.2.2.5 PM5: Establishment of a Business-to-business Semiconductor Supply Chain</w:t>
      </w:r>
      <w:r>
        <w:t xml:space="preserve"> </w:t>
      </w:r>
      <w:r>
        <w:t xml:space="preserve">Platform</w:t>
      </w:r>
      <w:r>
        <w:br/>
      </w:r>
      <w:r>
        <w:t xml:space="preserve">A Business-to-Business Platform (“the Platform”) would enhance supply chain transparency</w:t>
      </w:r>
      <w:r>
        <w:t xml:space="preserve"> </w:t>
      </w:r>
      <w:r>
        <w:t xml:space="preserve">and resilience through an industry-led process. The Platform would operate as a secure digital</w:t>
      </w:r>
      <w:r>
        <w:t xml:space="preserve"> </w:t>
      </w:r>
      <w:r>
        <w:t xml:space="preserve">twin of the supply chain, enabling participating firms to upload relevant information in a</w:t>
      </w:r>
      <w:r>
        <w:t xml:space="preserve"> </w:t>
      </w:r>
      <w:r>
        <w:t xml:space="preserve">secure environment. Companies would benefit from aggregated insights on supply chain</w:t>
      </w:r>
      <w:r>
        <w:t xml:space="preserve"> </w:t>
      </w:r>
      <w:r>
        <w:t xml:space="preserve">risks, thus supporting internal resilience-building and reducing their own market-information</w:t>
      </w:r>
      <w:r>
        <w:t xml:space="preserve"> </w:t>
      </w:r>
      <w:r>
        <w:t xml:space="preserve">costs. Companies would benefit directly from sharing their data by gaining access to</w:t>
      </w:r>
      <w:r>
        <w:t xml:space="preserve"> </w:t>
      </w:r>
      <w:r>
        <w:t xml:space="preserve">aggregated insights on the overall supply chain. These insights should encourage undertakings</w:t>
      </w:r>
      <w:r>
        <w:t xml:space="preserve"> </w:t>
      </w:r>
      <w:r>
        <w:t xml:space="preserve">to take proactive actions to enhance their supply chain resilience without public sector</w:t>
      </w:r>
      <w:r>
        <w:t xml:space="preserve"> </w:t>
      </w:r>
      <w:r>
        <w:t xml:space="preserve">intervention. For the Commission, a proactive and resilient private sector ensures a lower risk</w:t>
      </w:r>
    </w:p>
    <w:p>
      <w:pPr>
        <w:pStyle w:val="BodyText"/>
      </w:pPr>
      <w:r>
        <w:t xml:space="preserve">159 COM(295) 984 final | Regulation on speeding-up environmental assessments</w:t>
      </w:r>
      <w:r>
        <w:t xml:space="preserve"> </w:t>
      </w:r>
      <w:r>
        <w:t xml:space="preserve">160 Industrial Accelerator Act - Internal Market, Industry, Entrepreneurship and SMEs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of activation of the crisis stage and deployment of the emergency toolbox. The Commission</w:t>
      </w:r>
      <w:r>
        <w:t xml:space="preserve"> </w:t>
      </w:r>
      <w:r>
        <w:t xml:space="preserve">would provide initial support for establishing the platform and cover the setup costs through a</w:t>
      </w:r>
      <w:r>
        <w:t xml:space="preserve"> </w:t>
      </w:r>
      <w:r>
        <w:t xml:space="preserve">competitive call. The participating companies should decide on the governance structure of</w:t>
      </w:r>
      <w:r>
        <w:t xml:space="preserve"> </w:t>
      </w:r>
      <w:r>
        <w:t xml:space="preserve">the Platform and designate its legal representative, while the financing model of the Platform</w:t>
      </w:r>
      <w:r>
        <w:t xml:space="preserve"> </w:t>
      </w:r>
      <w:r>
        <w:t xml:space="preserve">should be thought out by the beneficiary of the call. The platform should eventually be self-</w:t>
      </w:r>
      <w:r>
        <w:t xml:space="preserve"> </w:t>
      </w:r>
      <w:r>
        <w:t xml:space="preserve">sustaining.</w:t>
      </w:r>
      <w:r>
        <w:br/>
      </w:r>
      <w:r>
        <w:t xml:space="preserve">Participation in the Platform will be voluntary, except for Strategic Projects and</w:t>
      </w:r>
      <w:r>
        <w:t xml:space="preserve"> </w:t>
      </w:r>
      <w:r>
        <w:t xml:space="preserve">Semiconductor Technologies Facilities, which will be required to join as a precondition for</w:t>
      </w:r>
      <w:r>
        <w:t xml:space="preserve"> </w:t>
      </w:r>
      <w:r>
        <w:t xml:space="preserve">receiving public funding. As envisaged by the Data Governance Act, the Platform will</w:t>
      </w:r>
      <w:r>
        <w:t xml:space="preserve"> </w:t>
      </w:r>
      <w:r>
        <w:t xml:space="preserve">operate in a secure processing environment, respecting all Union legislation including EU</w:t>
      </w:r>
      <w:r>
        <w:t xml:space="preserve"> </w:t>
      </w:r>
      <w:r>
        <w:t xml:space="preserve">antitrust compliance. In the event of a pre-crisis, as a preventative action, previously</w:t>
      </w:r>
      <w:r>
        <w:t xml:space="preserve"> </w:t>
      </w:r>
      <w:r>
        <w:t xml:space="preserve">discussed with and advised on by the European Semiconductor Board, the Commission would</w:t>
      </w:r>
      <w:r>
        <w:t xml:space="preserve"> </w:t>
      </w:r>
      <w:r>
        <w:t xml:space="preserve">have the possibility to request aggregate information from the Platform.</w:t>
      </w:r>
      <w:r>
        <w:br/>
      </w:r>
      <w:r>
        <w:t xml:space="preserve">5.2.2.6 PM6: Information requests for aggregate data sent to the Platform in pre-crisis stage</w:t>
      </w:r>
      <w:r>
        <w:br/>
      </w:r>
      <w:r>
        <w:t xml:space="preserve">In situations where an alert is triggered (161), the Commission could send a request for</w:t>
      </w:r>
      <w:r>
        <w:t xml:space="preserve"> </w:t>
      </w:r>
      <w:r>
        <w:t xml:space="preserve">information to undertakings. This measure enhances the information available to public</w:t>
      </w:r>
      <w:r>
        <w:t xml:space="preserve"> </w:t>
      </w:r>
      <w:r>
        <w:t xml:space="preserve">authorities outside the formal crisis stage. It follows a two-step approach:</w:t>
      </w:r>
      <w:r>
        <w:br/>
      </w:r>
      <w:r>
        <w:t xml:space="preserve">• Working closely with the European Semiconductor Board, the Commission could</w:t>
      </w:r>
      <w:r>
        <w:t xml:space="preserve"> </w:t>
      </w:r>
      <w:r>
        <w:t xml:space="preserve">request information to the Platform, supported where possible by aggregated, non-</w:t>
      </w:r>
      <w:r>
        <w:t xml:space="preserve"> </w:t>
      </w:r>
      <w:r>
        <w:t xml:space="preserve">sensitive data from the Platform. The request for information should be sent to the</w:t>
      </w:r>
      <w:r>
        <w:t xml:space="preserve"> </w:t>
      </w:r>
      <w:r>
        <w:t xml:space="preserve">legal representative of the Platform, state its legal basis, purpose, be limited to what is</w:t>
      </w:r>
      <w:r>
        <w:t xml:space="preserve"> </w:t>
      </w:r>
      <w:r>
        <w:t xml:space="preserve">necessary and proportionate in terms of volume of the data and frequency of access to</w:t>
      </w:r>
      <w:r>
        <w:t xml:space="preserve"> </w:t>
      </w:r>
      <w:r>
        <w:t xml:space="preserve">the data requested, have regard for the legitimate aims of the Platform and set out the</w:t>
      </w:r>
      <w:r>
        <w:t xml:space="preserve"> </w:t>
      </w:r>
      <w:r>
        <w:t xml:space="preserve">time limit within which the information is to be provided, and possible penalties</w:t>
      </w:r>
      <w:r>
        <w:t xml:space="preserve"> </w:t>
      </w:r>
      <w:r>
        <w:t xml:space="preserve">according to Article 33 of the Chips Act.</w:t>
      </w:r>
      <w:r>
        <w:br/>
      </w:r>
      <w:r>
        <w:t xml:space="preserve">• If the answer is not sufficiently comprehensive, the Commission may issue mandatory</w:t>
      </w:r>
      <w:r>
        <w:t xml:space="preserve"> </w:t>
      </w:r>
      <w:r>
        <w:t xml:space="preserve">requests for information to individual companies that are not participating in the</w:t>
      </w:r>
      <w:r>
        <w:t xml:space="preserve"> </w:t>
      </w:r>
      <w:r>
        <w:t xml:space="preserve">Platform. These requests for information shall state the legal basis and purpose of the</w:t>
      </w:r>
      <w:r>
        <w:t xml:space="preserve"> </w:t>
      </w:r>
      <w:r>
        <w:t xml:space="preserve">request, be limited to what is necessary and be proportionate in terms of volume of the</w:t>
      </w:r>
      <w:r>
        <w:t xml:space="preserve"> </w:t>
      </w:r>
      <w:r>
        <w:t xml:space="preserve">data and frequency of access to the data requested, set out the time limit within which</w:t>
      </w:r>
      <w:r>
        <w:t xml:space="preserve"> </w:t>
      </w:r>
      <w:r>
        <w:t xml:space="preserve">the information is to be provided and possible penalties for incorrect, incomplete or</w:t>
      </w:r>
      <w:r>
        <w:t xml:space="preserve"> </w:t>
      </w:r>
      <w:r>
        <w:t xml:space="preserve">misleading information.</w:t>
      </w:r>
      <w:r>
        <w:t xml:space="preserve"> </w:t>
      </w:r>
      <w:r>
        <w:t xml:space="preserve">Where the Commission becomes aware of a risk of serious disruption in the supply of</w:t>
      </w:r>
      <w:r>
        <w:t xml:space="preserve"> </w:t>
      </w:r>
      <w:r>
        <w:t xml:space="preserve">semiconductors, or has concrete and reliable information of any other relevant risk factor or</w:t>
      </w:r>
      <w:r>
        <w:t xml:space="preserve"> </w:t>
      </w:r>
      <w:r>
        <w:t xml:space="preserve">event materialising, it shall without undue delay carry out the preventive actions set out in</w:t>
      </w:r>
      <w:r>
        <w:t xml:space="preserve"> </w:t>
      </w:r>
      <w:r>
        <w:t xml:space="preserve">Article 22 of the ECA.</w:t>
      </w:r>
    </w:p>
    <w:p>
      <w:pPr>
        <w:pStyle w:val="Compact"/>
        <w:numPr>
          <w:ilvl w:val="0"/>
          <w:numId w:val="1044"/>
        </w:numPr>
      </w:pPr>
      <w:r>
        <w:t xml:space="preserve">As set out in Article 22 paragraph 2 of the Chips Act.</w:t>
      </w:r>
    </w:p>
    <w:p>
      <w:pPr>
        <w:pStyle w:val="FirstParagraph"/>
      </w:pPr>
      <w:r>
        <w:t xml:space="preserve">63</w:t>
      </w:r>
    </w:p>
    <w:p>
      <w:pPr>
        <w:pStyle w:val="BodyText"/>
      </w:pPr>
      <w:r>
        <w:t xml:space="preserve">5.2.2.7 PM7: Increased investment in skills initiatives</w:t>
      </w:r>
      <w:r>
        <w:t xml:space="preserve"> </w:t>
      </w:r>
      <w:r>
        <w:t xml:space="preserve">This measure would promote coordination and investment in skills for the European</w:t>
      </w:r>
      <w:r>
        <w:t xml:space="preserve"> </w:t>
      </w:r>
      <w:r>
        <w:t xml:space="preserve">semiconductor sector via targeted upskilling and reskilling programmes to support the</w:t>
      </w:r>
      <w:r>
        <w:t xml:space="preserve"> </w:t>
      </w:r>
      <w:r>
        <w:t xml:space="preserve">rapid adaptation of the existing workforce in the framework of the Skills Partnership for</w:t>
      </w:r>
      <w:r>
        <w:t xml:space="preserve"> </w:t>
      </w:r>
      <w:r>
        <w:t xml:space="preserve">Microelectronics under the Pact for Skills (162). Members of the Pact already have access to</w:t>
      </w:r>
      <w:r>
        <w:t xml:space="preserve"> </w:t>
      </w:r>
      <w:r>
        <w:t xml:space="preserve">data on upskilling and reskilling needs, advice on relevant funding instruments to support life-</w:t>
      </w:r>
      <w:r>
        <w:t xml:space="preserve"> </w:t>
      </w:r>
      <w:r>
        <w:t xml:space="preserve">long learning in their regions and countries, and partnership opportunities within a growing</w:t>
      </w:r>
      <w:r>
        <w:t xml:space="preserve"> </w:t>
      </w:r>
      <w:r>
        <w:t xml:space="preserve">community. Here, up-skilling and re-skilling initiatives focus not only on semiconductor</w:t>
      </w:r>
      <w:r>
        <w:t xml:space="preserve"> </w:t>
      </w:r>
      <w:r>
        <w:t xml:space="preserve">firms but also the broader value chain.</w:t>
      </w:r>
      <w:r>
        <w:br/>
      </w:r>
      <w:r>
        <w:t xml:space="preserve">These activities would be intensified under Chips Act 2.0 and also be supported via actions</w:t>
      </w:r>
      <w:r>
        <w:t xml:space="preserve"> </w:t>
      </w:r>
      <w:r>
        <w:t xml:space="preserve">under FP10 as implemented by the successor to the Chips JU whose tripartite governance</w:t>
      </w:r>
      <w:r>
        <w:t xml:space="preserve"> </w:t>
      </w:r>
      <w:r>
        <w:t xml:space="preserve">involving the Union, Member States and industry enables the definition of initiatives that</w:t>
      </w:r>
      <w:r>
        <w:t xml:space="preserve"> </w:t>
      </w:r>
      <w:r>
        <w:t xml:space="preserve">respond to different realities in Member States, regions and segments of the semiconductor</w:t>
      </w:r>
      <w:r>
        <w:t xml:space="preserve"> </w:t>
      </w:r>
      <w:r>
        <w:t xml:space="preserve">industry.</w:t>
      </w:r>
      <w:r>
        <w:br/>
      </w:r>
      <w:r>
        <w:t xml:space="preserve">5.2.3 Policy Option 2: “Strategic sovereignty”</w:t>
      </w:r>
      <w:r>
        <w:br/>
      </w:r>
      <w:r>
        <w:t xml:space="preserve">This policy option adds a more vertical approach to industrial policy under the revised Chips</w:t>
      </w:r>
      <w:r>
        <w:t xml:space="preserve"> </w:t>
      </w:r>
      <w:r>
        <w:t xml:space="preserve">Act, while also including the policy measures listed above (from PM1 to PM7).</w:t>
      </w:r>
      <w:r>
        <w:t xml:space="preserve"> </w:t>
      </w:r>
      <w:r>
        <w:t xml:space="preserve">5.2.3.1 PM8: Strategic Projects</w:t>
      </w:r>
      <w:r>
        <w:br/>
      </w:r>
      <w:r>
        <w:t xml:space="preserve">This measure would adapt the Chips Act to the new realities and possibilities provided by the</w:t>
      </w:r>
      <w:r>
        <w:t xml:space="preserve"> </w:t>
      </w:r>
      <w:r>
        <w:t xml:space="preserve">upcoming Multiannual Financial Framework, particularly the proposed European</w:t>
      </w:r>
      <w:r>
        <w:t xml:space="preserve"> </w:t>
      </w:r>
      <w:r>
        <w:t xml:space="preserve">Competitiveness Fund, which will potentially allow direct management funds to support</w:t>
      </w:r>
      <w:r>
        <w:t xml:space="preserve"> </w:t>
      </w:r>
      <w:r>
        <w:t xml:space="preserve">Strategic Projects (163) focused on industrial deployment. Strategic Projects are an answer to</w:t>
      </w:r>
      <w:r>
        <w:t xml:space="preserve"> </w:t>
      </w:r>
      <w:r>
        <w:t xml:space="preserve">the specific economic conditions in the semiconductor industry characterized by large</w:t>
      </w:r>
      <w:r>
        <w:t xml:space="preserve"> </w:t>
      </w:r>
      <w:r>
        <w:t xml:space="preserve">investment volumes and high fixed costs, ecosystem clustering, and path dependencies. Such</w:t>
      </w:r>
      <w:r>
        <w:t xml:space="preserve"> </w:t>
      </w:r>
      <w:r>
        <w:t xml:space="preserve">projects would be developed by fostering a mix of public and private investment, including</w:t>
      </w:r>
      <w:r>
        <w:t xml:space="preserve"> </w:t>
      </w:r>
      <w:r>
        <w:t xml:space="preserve">potential additional public investments by Member States through a combination with the</w:t>
      </w:r>
      <w:r>
        <w:t xml:space="preserve"> </w:t>
      </w:r>
      <w:r>
        <w:t xml:space="preserve">concept of FOAK. This would enable EU-level supported investment across the</w:t>
      </w:r>
      <w:r>
        <w:t xml:space="preserve"> </w:t>
      </w:r>
      <w:r>
        <w:t xml:space="preserve">semiconductor value chain through the proposed European Competitiveness Fund. It would</w:t>
      </w:r>
      <w:r>
        <w:t xml:space="preserve"> </w:t>
      </w:r>
      <w:r>
        <w:t xml:space="preserve">complement the current Pillar II framework by introducing direct EU funding, thus increasing</w:t>
      </w:r>
      <w:r>
        <w:t xml:space="preserve"> </w:t>
      </w:r>
      <w:r>
        <w:t xml:space="preserve">the overall scale of public investment, strengthening the cross-border dimension through the</w:t>
      </w:r>
      <w:r>
        <w:t xml:space="preserve"> </w:t>
      </w:r>
      <w:r>
        <w:t xml:space="preserve">integration of manufacturing, design, and supply chain activities, and placing greater</w:t>
      </w:r>
      <w:r>
        <w:t xml:space="preserve"> </w:t>
      </w:r>
      <w:r>
        <w:t xml:space="preserve">emphasis on strategic autonomy and technological sovereignty. Strategic Projects would</w:t>
      </w:r>
      <w:r>
        <w:t xml:space="preserve"> </w:t>
      </w:r>
      <w:r>
        <w:t xml:space="preserve">allow for cross-border, value-chain wide investment that would seek to create synergies</w:t>
      </w:r>
      <w:r>
        <w:t xml:space="preserve"> </w:t>
      </w:r>
      <w:r>
        <w:t xml:space="preserve">across the European semiconductor ecosystem. They would also aim to better integrate SMEs</w:t>
      </w:r>
      <w:r>
        <w:t xml:space="preserve"> </w:t>
      </w:r>
      <w:r>
        <w:t xml:space="preserve">and SMCs along the value chain. The approach is also in line with the first recommendation</w:t>
      </w:r>
      <w:r>
        <w:t xml:space="preserve"> </w:t>
      </w:r>
      <w:r>
        <w:t xml:space="preserve">of Draghi report for a “centralised EU budgetary allocation dedicated to semiconductors,</w:t>
      </w:r>
      <w:r>
        <w:t xml:space="preserve"> </w:t>
      </w:r>
      <w:r>
        <w:t xml:space="preserve">allowing Member States’ co-investment on priority initiatives and industrial projects of high</w:t>
      </w:r>
      <w:r>
        <w:t xml:space="preserve"> </w:t>
      </w:r>
      <w:r>
        <w:t xml:space="preserve">EU added value.”</w:t>
      </w:r>
    </w:p>
    <w:p>
      <w:pPr>
        <w:pStyle w:val="Compact"/>
        <w:numPr>
          <w:ilvl w:val="0"/>
          <w:numId w:val="1045"/>
        </w:numPr>
      </w:pPr>
      <w:r>
        <w:t xml:space="preserve">Microelectronics | Pact for Skills</w:t>
      </w:r>
    </w:p>
    <w:p>
      <w:pPr>
        <w:pStyle w:val="Compact"/>
        <w:numPr>
          <w:ilvl w:val="0"/>
          <w:numId w:val="1045"/>
        </w:numPr>
      </w:pPr>
      <w:r>
        <w:t xml:space="preserve">Article 8 of the European Competitiveness Fund proposal.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In deploying Strategic Projects, a public-private partnership funding framework similar to</w:t>
      </w:r>
      <w:r>
        <w:t xml:space="preserve"> </w:t>
      </w:r>
      <w:r>
        <w:t xml:space="preserve">the one used for the AI Gigafactories could be used, mixing grants (co-financed by the EU</w:t>
      </w:r>
      <w:r>
        <w:t xml:space="preserve"> </w:t>
      </w:r>
      <w:r>
        <w:t xml:space="preserve">and Member States in compliance with State aid rules) and private investments from industry,</w:t>
      </w:r>
      <w:r>
        <w:t xml:space="preserve"> </w:t>
      </w:r>
      <w:r>
        <w:t xml:space="preserve">which would in turn be supported by the European Investment Bank and the European</w:t>
      </w:r>
      <w:r>
        <w:t xml:space="preserve"> </w:t>
      </w:r>
      <w:r>
        <w:t xml:space="preserve">Investment Fund, as well as other sources of public and private investment funds (164).</w:t>
      </w:r>
      <w:r>
        <w:br/>
      </w:r>
      <w:r>
        <w:t xml:space="preserve">By structuring the investment through a mix of grants and financial instruments (equity,</w:t>
      </w:r>
      <w:r>
        <w:t xml:space="preserve"> </w:t>
      </w:r>
      <w:r>
        <w:t xml:space="preserve">loans, guarantees), the Union could aim to mobilise both public and private sector</w:t>
      </w:r>
      <w:r>
        <w:t xml:space="preserve"> </w:t>
      </w:r>
      <w:r>
        <w:t xml:space="preserve">participation while de-risking capital-intensive projects. When it comes to grants, both EU</w:t>
      </w:r>
      <w:r>
        <w:t xml:space="preserve"> </w:t>
      </w:r>
      <w:r>
        <w:t xml:space="preserve">and Member States participation could be envisaged with a variable level of contribution</w:t>
      </w:r>
      <w:r>
        <w:t xml:space="preserve"> </w:t>
      </w:r>
      <w:r>
        <w:t xml:space="preserve">between the EU and Member States, depending on the Strategic Project.</w:t>
      </w:r>
      <w:r>
        <w:t xml:space="preserve"> </w:t>
      </w:r>
      <w:r>
        <w:t xml:space="preserve">To qualify, a project must comply with certain criteria:</w:t>
      </w:r>
      <w:r>
        <w:br/>
      </w:r>
      <w:r>
        <w:t xml:space="preserve">(i) deliver clear EU added value and support European priorities;</w:t>
      </w:r>
      <w:r>
        <w:br/>
      </w:r>
      <w:r>
        <w:t xml:space="preserve">(ii) have a cross-border dimension;</w:t>
      </w:r>
      <w:r>
        <w:br/>
      </w:r>
      <w:r>
        <w:t xml:space="preserve">(iii) strengthen the resilience, indispensability, and prosperity of Europe’s semiconductor</w:t>
      </w:r>
      <w:r>
        <w:t xml:space="preserve"> </w:t>
      </w:r>
      <w:r>
        <w:t xml:space="preserve">ecosystem;</w:t>
      </w:r>
      <w:r>
        <w:br/>
      </w:r>
      <w:r>
        <w:t xml:space="preserve">(iv) contribute meaningfully to Europe’s technological sovereignty and leadership.</w:t>
      </w:r>
      <w:r>
        <w:t xml:space="preserve"> </w:t>
      </w:r>
      <w:r>
        <w:t xml:space="preserve">Strategic Projects would be paired with demand-side measures (PM9, PM10) to increase</w:t>
      </w:r>
      <w:r>
        <w:t xml:space="preserve"> </w:t>
      </w:r>
      <w:r>
        <w:t xml:space="preserve">demand predictability and therefore improve utilisation rates, which is a critical factor for the</w:t>
      </w:r>
      <w:r>
        <w:t xml:space="preserve"> </w:t>
      </w:r>
      <w:r>
        <w:t xml:space="preserve">competitiveness of facilities with high fixed-costs.  </w:t>
      </w:r>
      <w:r>
        <w:br/>
      </w:r>
      <w:r>
        <w:t xml:space="preserve">Strategic Projects are explicitly designed as cross-border value-chain investments creating</w:t>
      </w:r>
      <w:r>
        <w:t xml:space="preserve"> </w:t>
      </w:r>
      <w:r>
        <w:t xml:space="preserve">spillovers that are economically durable: skills development, local supplier-customer</w:t>
      </w:r>
      <w:r>
        <w:t xml:space="preserve"> </w:t>
      </w:r>
      <w:r>
        <w:t xml:space="preserve">engagement, shorter innovation cycles, higher throughput. These effects improve productivity</w:t>
      </w:r>
      <w:r>
        <w:t xml:space="preserve"> </w:t>
      </w:r>
      <w:r>
        <w:t xml:space="preserve">and reduce costs with a flywheel effect supporting growth across the entire EU ecosystem. </w:t>
      </w:r>
      <w:r>
        <w:br/>
      </w:r>
      <w:r>
        <w:t xml:space="preserve">5.2.3.2 PM9: Innovation procurement and support for grand challenges</w:t>
      </w:r>
      <w:r>
        <w:t xml:space="preserve"> </w:t>
      </w:r>
      <w:r>
        <w:t xml:space="preserve">5.2.3.2.1 Innovation procurement</w:t>
      </w:r>
      <w:r>
        <w:t xml:space="preserve"> </w:t>
      </w:r>
      <w:r>
        <w:t xml:space="preserve">To contribute to the sustainability and viability of Strategic Projects (PM8), the revised Chips</w:t>
      </w:r>
      <w:r>
        <w:t xml:space="preserve"> </w:t>
      </w:r>
      <w:r>
        <w:t xml:space="preserve">Act will make demand stimulation through innovation procurement (pre-commercial</w:t>
      </w:r>
      <w:r>
        <w:t xml:space="preserve"> </w:t>
      </w:r>
      <w:r>
        <w:t xml:space="preserve">procurement and procurement of innovative solutions) an objective under Pillar I of the Chips</w:t>
      </w:r>
      <w:r>
        <w:t xml:space="preserve"> </w:t>
      </w:r>
      <w:r>
        <w:t xml:space="preserve">Act. This objective will complement the Chips Fund in scaling up start-ups in Europe. A first</w:t>
      </w:r>
      <w:r>
        <w:t xml:space="preserve"> </w:t>
      </w:r>
      <w:r>
        <w:t xml:space="preserve">application of this principle could be the deployment of AI chips designed in the EU. This</w:t>
      </w:r>
      <w:r>
        <w:t xml:space="preserve"> </w:t>
      </w:r>
      <w:r>
        <w:t xml:space="preserve">measure would target start-ups and SMEs that are scaling up and would be applicable to firms</w:t>
      </w:r>
      <w:r>
        <w:t xml:space="preserve"> </w:t>
      </w:r>
      <w:r>
        <w:t xml:space="preserve">across the semiconductor value chain.</w:t>
      </w:r>
      <w:r>
        <w:t xml:space="preserve"> </w:t>
      </w:r>
      <w:r>
        <w:t xml:space="preserve">Under PM9, Pre-Commercial Procurement (PCP) (165) could be used to create open EU-wide</w:t>
      </w:r>
      <w:r>
        <w:t xml:space="preserve"> </w:t>
      </w:r>
      <w:r>
        <w:t xml:space="preserve">competition for prototype development and testing, with R&amp;D contracts up to TRL 8. These</w:t>
      </w:r>
    </w:p>
    <w:p>
      <w:pPr>
        <w:pStyle w:val="BodyText"/>
      </w:pPr>
      <w:r>
        <w:t xml:space="preserve">(164)https://www.eib.org/en/press/all/2025-491-eib-group-and-european-commission-join-forces-to-finance-ai-</w:t>
      </w:r>
      <w:r>
        <w:t xml:space="preserve"> </w:t>
      </w:r>
      <w:r>
        <w:t xml:space="preserve">gigafactories</w:t>
      </w:r>
      <w:r>
        <w:br/>
      </w:r>
      <w:r>
        <w:t xml:space="preserve">165 European Commission. Pre-commercial procurement: Driving innovation to ensure sustainable high quality</w:t>
      </w:r>
      <w:r>
        <w:t xml:space="preserve"> </w:t>
      </w:r>
      <w:r>
        <w:t xml:space="preserve">public services in Europe. Communication from the Commission to the European Parliament, the Council, the</w:t>
      </w:r>
      <w:r>
        <w:t xml:space="preserve"> </w:t>
      </w:r>
      <w:r>
        <w:t xml:space="preserve">European Economic and Social Committee and the Committee of the Regions. COM(2007) 799 final. Brussels: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contracts could be awarded in phases, with suppliers selected based on performance and EU</w:t>
      </w:r>
      <w:r>
        <w:t xml:space="preserve"> </w:t>
      </w:r>
      <w:r>
        <w:t xml:space="preserve">added value. Where results meet the set requirements, public buyers can purchase and deploy</w:t>
      </w:r>
      <w:r>
        <w:t xml:space="preserve"> </w:t>
      </w:r>
      <w:r>
        <w:t xml:space="preserve">the best-performing solutions taking the obligation of current public procurement directives to</w:t>
      </w:r>
      <w:r>
        <w:t xml:space="preserve"> </w:t>
      </w:r>
      <w:r>
        <w:t xml:space="preserve">organise a competitive and transparent procedure into consideration (166). The involvement</w:t>
      </w:r>
      <w:r>
        <w:t xml:space="preserve"> </w:t>
      </w:r>
      <w:r>
        <w:t xml:space="preserve">and stimulation of the private sector as a buyer of European innovation is also foreseen</w:t>
      </w:r>
      <w:r>
        <w:t xml:space="preserve"> </w:t>
      </w:r>
      <w:r>
        <w:t xml:space="preserve">through grants for procurement.</w:t>
      </w:r>
      <w:r>
        <w:br/>
      </w:r>
      <w:r>
        <w:t xml:space="preserve">The first foreseen application of this measure is AI chips and systems for compute</w:t>
      </w:r>
      <w:r>
        <w:t xml:space="preserve"> </w:t>
      </w:r>
      <w:r>
        <w:t xml:space="preserve">infrastructure, where procurement can be managed by European AI Factories. Deployment</w:t>
      </w:r>
      <w:r>
        <w:t xml:space="preserve"> </w:t>
      </w:r>
      <w:r>
        <w:t xml:space="preserve">would include prototype orders, benchmarking in AI Factory environments, and if successful,</w:t>
      </w:r>
      <w:r>
        <w:t xml:space="preserve"> </w:t>
      </w:r>
      <w:r>
        <w:t xml:space="preserve">follow-on procurement. The same logic could be repeated at a later stage also with AI</w:t>
      </w:r>
      <w:r>
        <w:t xml:space="preserve"> </w:t>
      </w:r>
      <w:r>
        <w:t xml:space="preserve">Gigafactories, with broader ambitions for energy-efficient compute solutions built around</w:t>
      </w:r>
      <w:r>
        <w:t xml:space="preserve"> </w:t>
      </w:r>
      <w:r>
        <w:t xml:space="preserve">European technology.</w:t>
      </w:r>
      <w:r>
        <w:t xml:space="preserve"> </w:t>
      </w:r>
      <w:r>
        <w:t xml:space="preserve">Similar approaches can be followed in tandem with “grand” challenges for other domains</w:t>
      </w:r>
      <w:r>
        <w:t xml:space="preserve"> </w:t>
      </w:r>
      <w:r>
        <w:t xml:space="preserve">depending on strategic priorities:</w:t>
      </w:r>
      <w:r>
        <w:t xml:space="preserve"> </w:t>
      </w:r>
      <w:r>
        <w:t xml:space="preserve">• Automotive / autonomous driving processors: safety-critical compute, sensor fusion,</w:t>
      </w:r>
      <w:r>
        <w:t xml:space="preserve"> </w:t>
      </w:r>
      <w:r>
        <w:t xml:space="preserve">AI inference</w:t>
      </w:r>
      <w:r>
        <w:t xml:space="preserve"> </w:t>
      </w:r>
      <w:r>
        <w:t xml:space="preserve">• Secure processors: e.g. trusted CPU platforms for public sector and critical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• Ultra-energy-efficient computing: low-power architectures for edge, industrial,</w:t>
      </w:r>
      <w:r>
        <w:t xml:space="preserve"> </w:t>
      </w:r>
      <w:r>
        <w:t xml:space="preserve">robotics, drones.</w:t>
      </w:r>
      <w:r>
        <w:t xml:space="preserve"> </w:t>
      </w:r>
      <w:r>
        <w:t xml:space="preserve">• Telecom and network infrastructure chips: secure connectivity, RAN acceleration,</w:t>
      </w:r>
      <w:r>
        <w:t xml:space="preserve"> </w:t>
      </w:r>
      <w:r>
        <w:t xml:space="preserve">network processing</w:t>
      </w:r>
      <w:r>
        <w:t xml:space="preserve"> </w:t>
      </w:r>
      <w:r>
        <w:t xml:space="preserve">• Defence, space and secure communications: high-reliability and sovereignty-critical</w:t>
      </w:r>
      <w:r>
        <w:t xml:space="preserve"> </w:t>
      </w:r>
      <w:r>
        <w:t xml:space="preserve">chips</w:t>
      </w:r>
      <w:r>
        <w:t xml:space="preserve"> </w:t>
      </w:r>
      <w:r>
        <w:t xml:space="preserve">• Key enabling tools and equipment where Europe has strong capabilities but limited</w:t>
      </w:r>
      <w:r>
        <w:t xml:space="preserve"> </w:t>
      </w:r>
      <w:r>
        <w:t xml:space="preserve">first deployments: e.g. advanced packaging test/inspection, metrology, design</w:t>
      </w:r>
      <w:r>
        <w:t xml:space="preserve"> </w:t>
      </w:r>
      <w:r>
        <w:t xml:space="preserve">automation components, verification toolchains.</w:t>
      </w:r>
      <w:r>
        <w:t xml:space="preserve"> </w:t>
      </w:r>
      <w:r>
        <w:t xml:space="preserve">The key target beneficiaries of the measure would be EU-based start-ups/SMEs and scale-ups,</w:t>
      </w:r>
      <w:r>
        <w:t xml:space="preserve"> </w:t>
      </w:r>
      <w:r>
        <w:t xml:space="preserve">particularly fabless companies, as well as public buyers and strategic end-user industry</w:t>
      </w:r>
      <w:r>
        <w:t xml:space="preserve"> </w:t>
      </w:r>
      <w:r>
        <w:t xml:space="preserve">sectors, that will benefit from the delivered results. Further, depending on the focus of the</w:t>
      </w:r>
      <w:r>
        <w:t xml:space="preserve"> </w:t>
      </w:r>
      <w:r>
        <w:t xml:space="preserve">call, other key value-chain actors, such as equipment, IP, tools, packaging and testing, and the</w:t>
      </w:r>
      <w:r>
        <w:t xml:space="preserve"> </w:t>
      </w:r>
      <w:r>
        <w:t xml:space="preserve">wider EU semiconductor ecosystem.</w:t>
      </w:r>
      <w:r>
        <w:br/>
      </w:r>
      <w:r>
        <w:t xml:space="preserve">5.2.3.2.2 Grand challenges</w:t>
      </w:r>
      <w:r>
        <w:t xml:space="preserve"> </w:t>
      </w:r>
      <w:r>
        <w:t xml:space="preserve">The scope of grand challenges is the bridging of the gap between pilot line results and</w:t>
      </w:r>
      <w:r>
        <w:t xml:space="preserve"> </w:t>
      </w:r>
      <w:r>
        <w:t xml:space="preserve">industrial adoption by structuring close collaboration between pilot lines and Research and</w:t>
      </w:r>
      <w:r>
        <w:t xml:space="preserve"> </w:t>
      </w:r>
      <w:r>
        <w:t xml:space="preserve">Technology Organisations, start-ups and SMEs, and end-user industries (automotive,</w:t>
      </w:r>
      <w:r>
        <w:t xml:space="preserve"> </w:t>
      </w:r>
      <w:r>
        <w:t xml:space="preserve">industrial, telecom, defence, healthcare, datacentres). The focus of this measure will be on</w:t>
      </w:r>
      <w:r>
        <w:t xml:space="preserve"> </w:t>
      </w:r>
      <w:r>
        <w:t xml:space="preserve">concrete technology tracks such as advanced packaging/chiplets (2.5D/3D), silicon photonics,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2007.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lex.europa.eu/LexUriServ/LexUriServ.do?uri=COM:2007:0799:FIN:EN:PDF.</w:t>
      </w:r>
      <w:r>
        <w:t xml:space="preserve"> </w:t>
      </w:r>
      <w:r>
        <w:t xml:space="preserve">166 Directive 2014/24/EU on public procurement. This regulatory framework is under revision: Revision of the</w:t>
      </w:r>
      <w:r>
        <w:t xml:space="preserve"> </w:t>
      </w:r>
      <w:r>
        <w:t xml:space="preserve">Public Procurement Directives | Public Buyers Community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low-power edge-AI platforms, power semiconductors (SiC/GaN) and secure hardware</w:t>
      </w:r>
      <w:r>
        <w:t xml:space="preserve"> </w:t>
      </w:r>
      <w:r>
        <w:t xml:space="preserve">(trusted chips). The model shall be entrenched in application-driven programmes with users in</w:t>
      </w:r>
      <w:r>
        <w:t xml:space="preserve"> </w:t>
      </w:r>
      <w:r>
        <w:t xml:space="preserve">domains such as autonomous driving hardware, robotics, and wearables (e.g. smart glasses),</w:t>
      </w:r>
      <w:r>
        <w:t xml:space="preserve"> </w:t>
      </w:r>
      <w:r>
        <w:t xml:space="preserve">by accelerating prototyping, qualification and integration into real products with clear market</w:t>
      </w:r>
      <w:r>
        <w:t xml:space="preserve"> </w:t>
      </w:r>
      <w:r>
        <w:t xml:space="preserve">value.</w:t>
      </w:r>
      <w:r>
        <w:br/>
      </w:r>
      <w:r>
        <w:t xml:space="preserve">5.2.3.3 PM10: Recommend a security of supply declaration for semiconductors in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This measure would apply to public procurement, auctions and other forms of public</w:t>
      </w:r>
      <w:r>
        <w:t xml:space="preserve"> </w:t>
      </w:r>
      <w:r>
        <w:t xml:space="preserve">intervention involving semiconductors or semiconductor-enabled systems used in critical and</w:t>
      </w:r>
      <w:r>
        <w:t xml:space="preserve"> </w:t>
      </w:r>
      <w:r>
        <w:t xml:space="preserve">strategic sectors within the Union in scope of Annexes I and II of Directive (EU) 2022/2555</w:t>
      </w:r>
      <w:r>
        <w:t xml:space="preserve"> </w:t>
      </w:r>
      <w:r>
        <w:t xml:space="preserve">(NIS2). It would be a soft policy measure with the aim to increase supply chain transparency</w:t>
      </w:r>
      <w:r>
        <w:t xml:space="preserve"> </w:t>
      </w:r>
      <w:r>
        <w:t xml:space="preserve">and the share of semiconductors supplied by EU undertakings (domestic) or undertakings</w:t>
      </w:r>
      <w:r>
        <w:t xml:space="preserve"> </w:t>
      </w:r>
      <w:r>
        <w:t xml:space="preserve">from countries which can provide an equivalent level of supply chain reliability (equivalent),</w:t>
      </w:r>
      <w:r>
        <w:t xml:space="preserve"> </w:t>
      </w:r>
      <w:r>
        <w:t xml:space="preserve">for instance via the signature of free-trade agreements, participation in multilateral framework</w:t>
      </w:r>
      <w:r>
        <w:t xml:space="preserve"> </w:t>
      </w:r>
      <w:r>
        <w:t xml:space="preserve">such as the General Procurement Agreement or strategic partnerships on semiconductor</w:t>
      </w:r>
      <w:r>
        <w:t xml:space="preserve"> </w:t>
      </w:r>
      <w:r>
        <w:t xml:space="preserve">supply.</w:t>
      </w:r>
      <w:r>
        <w:t xml:space="preserve"> </w:t>
      </w:r>
      <w:r>
        <w:t xml:space="preserve">Concretely, PM10 would allow public procurement authorities to request from tenderers a</w:t>
      </w:r>
      <w:r>
        <w:t xml:space="preserve"> </w:t>
      </w:r>
      <w:r>
        <w:t xml:space="preserve">supply chain declaration analysing the provenance of semiconductors in the tendered</w:t>
      </w:r>
      <w:r>
        <w:t xml:space="preserve"> </w:t>
      </w:r>
      <w:r>
        <w:t xml:space="preserve">products, outlining their supply chain resilience strategy, in particular with regards to dual</w:t>
      </w:r>
      <w:r>
        <w:t xml:space="preserve"> </w:t>
      </w:r>
      <w:r>
        <w:t xml:space="preserve">sourcing. The declaration would also need to assess the quota of semiconductors supplied</w:t>
      </w:r>
      <w:r>
        <w:t xml:space="preserve"> </w:t>
      </w:r>
      <w:r>
        <w:t xml:space="preserve">from domestic undertakings or equivalent. The public procurement authorities may use the</w:t>
      </w:r>
      <w:r>
        <w:t xml:space="preserve"> </w:t>
      </w:r>
      <w:r>
        <w:t xml:space="preserve">supply chain resilience strategy as outlined in the declaration, and the quota of domestic or</w:t>
      </w:r>
      <w:r>
        <w:t xml:space="preserve"> </w:t>
      </w:r>
      <w:r>
        <w:t xml:space="preserve">equivalent semiconductor suppliers, as award criteria along with price.</w:t>
      </w:r>
      <w:r>
        <w:t xml:space="preserve"> </w:t>
      </w:r>
      <w:r>
        <w:t xml:space="preserve">The proposed PM10 would be complementary and without prejudice to the “Security of ICT</w:t>
      </w:r>
      <w:r>
        <w:t xml:space="preserve"> </w:t>
      </w:r>
      <w:r>
        <w:t xml:space="preserve">Supply chains” framework laid out in the Commission’s proposal for a Cybersecurity Act 2</w:t>
      </w:r>
      <w:r>
        <w:t xml:space="preserve"> </w:t>
      </w:r>
      <w:r>
        <w:t xml:space="preserve">(CSA2). While the CSA2 proposal focuses on the cybersecurity aspect, PM10 would address</w:t>
      </w:r>
      <w:r>
        <w:t xml:space="preserve"> </w:t>
      </w:r>
      <w:r>
        <w:t xml:space="preserve">the security of supply aspect, targeting a persistent demand-side market failure that</w:t>
      </w:r>
      <w:r>
        <w:t xml:space="preserve"> </w:t>
      </w:r>
      <w:r>
        <w:t xml:space="preserve">undervalues long-term resilience in procurement decisions, particularly where price-based</w:t>
      </w:r>
      <w:r>
        <w:t xml:space="preserve"> </w:t>
      </w:r>
      <w:r>
        <w:t xml:space="preserve">competition risks favouring subsidised and potentially unreliable suppliers. The limited</w:t>
      </w:r>
      <w:r>
        <w:t xml:space="preserve"> </w:t>
      </w:r>
      <w:r>
        <w:t xml:space="preserve">transparency of long supply chains risks exposing critical sectors in the Union to dangerous</w:t>
      </w:r>
      <w:r>
        <w:t xml:space="preserve"> </w:t>
      </w:r>
      <w:r>
        <w:t xml:space="preserve">dependencies, which could grow unnoticed and then create disruptions as happened in the</w:t>
      </w:r>
      <w:r>
        <w:t xml:space="preserve"> </w:t>
      </w:r>
      <w:r>
        <w:t xml:space="preserve">Nexperia case.</w:t>
      </w:r>
      <w:r>
        <w:br/>
      </w:r>
      <w:r>
        <w:t xml:space="preserve">The primary addressees of this measure are public authorities and operators in critical sectors,</w:t>
      </w:r>
      <w:r>
        <w:t xml:space="preserve"> </w:t>
      </w:r>
      <w:r>
        <w:t xml:space="preserve">which would benefit from more secure, resilient and trustworthy semiconductor supply</w:t>
      </w:r>
      <w:r>
        <w:t xml:space="preserve"> </w:t>
      </w:r>
      <w:r>
        <w:t xml:space="preserve">chains. Semiconductor manufacturers from the European Union and from equivalent</w:t>
      </w:r>
      <w:r>
        <w:t xml:space="preserve"> </w:t>
      </w:r>
      <w:r>
        <w:t xml:space="preserve">countries would benefit from reinforced market access and investment certainty. Ultimately,</w:t>
      </w:r>
      <w:r>
        <w:t xml:space="preserve"> </w:t>
      </w:r>
      <w:r>
        <w:t xml:space="preserve">end users and citizens would benefit from improved security, reliability and continuity of</w:t>
      </w:r>
      <w:r>
        <w:t xml:space="preserve"> </w:t>
      </w:r>
      <w:r>
        <w:t xml:space="preserve">essential services and infrastructure across the Union.</w:t>
      </w:r>
      <w:r>
        <w:t xml:space="preserve"> </w:t>
      </w:r>
      <w:r>
        <w:t xml:space="preserve">5.2.4 Overview of policy options</w:t>
      </w:r>
      <w:r>
        <w:t xml:space="preserve"> </w:t>
      </w:r>
      <w:r>
        <w:t xml:space="preserve">An overview of the policy options in line with the three-pillar structure of the Chips Act is</w:t>
      </w:r>
      <w:r>
        <w:t xml:space="preserve"> </w:t>
      </w:r>
      <w:r>
        <w:t xml:space="preserve">provided in the table below. The economic, social, and environmental impacts of these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options are assessed in Chapter 6 of this impact assessment, while a comparison of the options</w:t>
      </w:r>
      <w:r>
        <w:t xml:space="preserve"> </w:t>
      </w:r>
      <w:r>
        <w:t xml:space="preserve">is provided in Chapter 7 of this report.</w:t>
      </w:r>
      <w:r>
        <w:br/>
      </w:r>
      <w:r>
        <w:t xml:space="preserve">Pillars</w:t>
      </w:r>
      <w:r>
        <w:t xml:space="preserve"> </w:t>
      </w:r>
      <w:r>
        <w:t xml:space="preserve">Policy Option 0: the baseline/</w:t>
      </w:r>
      <w:r>
        <w:t xml:space="preserve"> </w:t>
      </w:r>
      <w:r>
        <w:t xml:space="preserve">business as usual scenario</w:t>
      </w:r>
      <w:r>
        <w:t xml:space="preserve"> </w:t>
      </w:r>
      <w:r>
        <w:t xml:space="preserve">Policy Option 1: Measures that</w:t>
      </w:r>
      <w:r>
        <w:t xml:space="preserve"> </w:t>
      </w:r>
      <w:r>
        <w:t xml:space="preserve">focus on the framework</w:t>
      </w:r>
      <w:r>
        <w:t xml:space="preserve"> </w:t>
      </w:r>
      <w:r>
        <w:t xml:space="preserve">conditions</w:t>
      </w:r>
      <w:r>
        <w:t xml:space="preserve"> </w:t>
      </w:r>
      <w:r>
        <w:t xml:space="preserve">Policy Option 2: Strategic</w:t>
      </w:r>
      <w:r>
        <w:t xml:space="preserve"> </w:t>
      </w:r>
      <w:r>
        <w:t xml:space="preserve">sovereignty (Includes measures of</w:t>
      </w:r>
      <w:r>
        <w:t xml:space="preserve"> </w:t>
      </w:r>
      <w:r>
        <w:t xml:space="preserve">PO1 and additional measures)</w:t>
      </w:r>
      <w:r>
        <w:br/>
      </w:r>
      <w:r>
        <w:t xml:space="preserve">Pillar I: The ‘Chips for</w:t>
      </w:r>
      <w:r>
        <w:t xml:space="preserve"> </w:t>
      </w:r>
      <w:r>
        <w:t xml:space="preserve">Europe’ Initiative</w:t>
      </w:r>
      <w:r>
        <w:br/>
      </w:r>
      <w:r>
        <w:t xml:space="preserve">Continue the existing R&amp;D&amp;I</w:t>
      </w:r>
      <w:r>
        <w:t xml:space="preserve"> </w:t>
      </w:r>
      <w:r>
        <w:t xml:space="preserve">program in the Chips JU.</w:t>
      </w:r>
      <w:r>
        <w:t xml:space="preserve"> </w:t>
      </w:r>
      <w:r>
        <w:t xml:space="preserve">PM1: Increased R&amp;D&amp;I</w:t>
      </w:r>
      <w:r>
        <w:t xml:space="preserve"> </w:t>
      </w:r>
      <w:r>
        <w:t xml:space="preserve">support through the Chips JU.</w:t>
      </w:r>
      <w:r>
        <w:t xml:space="preserve"> </w:t>
      </w:r>
      <w:r>
        <w:t xml:space="preserve">PM1: Increased R&amp;D&amp;I support</w:t>
      </w:r>
      <w:r>
        <w:t xml:space="preserve"> </w:t>
      </w:r>
      <w:r>
        <w:t xml:space="preserve">through Chips JU.</w:t>
      </w:r>
      <w:r>
        <w:br/>
      </w:r>
      <w:r>
        <w:t xml:space="preserve">PM9: Innovation procurement and</w:t>
      </w:r>
      <w:r>
        <w:t xml:space="preserve"> </w:t>
      </w:r>
      <w:r>
        <w:t xml:space="preserve">support for grand challenges based on</w:t>
      </w:r>
      <w:r>
        <w:t xml:space="preserve"> </w:t>
      </w:r>
      <w:r>
        <w:t xml:space="preserve">procurement (PCP).</w:t>
      </w:r>
      <w:r>
        <w:t xml:space="preserve"> </w:t>
      </w:r>
      <w:r>
        <w:t xml:space="preserve">Lab-to-fab industrial accelerators</w:t>
      </w:r>
      <w:r>
        <w:br/>
      </w:r>
      <w:r>
        <w:t xml:space="preserve">Pillar II: Security of</w:t>
      </w:r>
      <w:r>
        <w:t xml:space="preserve"> </w:t>
      </w:r>
      <w:r>
        <w:t xml:space="preserve">Supply and Resilience</w:t>
      </w:r>
      <w:r>
        <w:t xml:space="preserve"> </w:t>
      </w:r>
      <w:r>
        <w:t xml:space="preserve">The current “first-of-a-kind”</w:t>
      </w:r>
      <w:r>
        <w:t xml:space="preserve"> </w:t>
      </w:r>
      <w:r>
        <w:t xml:space="preserve">framework.</w:t>
      </w:r>
      <w:r>
        <w:br/>
      </w:r>
      <w:r>
        <w:t xml:space="preserve">PM2: Clarification of FOAK’s</w:t>
      </w:r>
      <w:r>
        <w:t xml:space="preserve"> </w:t>
      </w:r>
      <w:r>
        <w:t xml:space="preserve">scope to include the value chain</w:t>
      </w:r>
      <w:r>
        <w:t xml:space="preserve"> </w:t>
      </w:r>
      <w:r>
        <w:t xml:space="preserve">and its relationship with IPF,</w:t>
      </w:r>
      <w:r>
        <w:t xml:space="preserve"> </w:t>
      </w:r>
      <w:r>
        <w:t xml:space="preserve">OEF.</w:t>
      </w:r>
      <w:r>
        <w:br/>
      </w:r>
      <w:r>
        <w:t xml:space="preserve">Clarification of FOAK to</w:t>
      </w:r>
      <w:r>
        <w:t xml:space="preserve"> </w:t>
      </w:r>
      <w:r>
        <w:t xml:space="preserve">highlight security of supply and</w:t>
      </w:r>
      <w:r>
        <w:t xml:space="preserve"> </w:t>
      </w:r>
      <w:r>
        <w:t xml:space="preserve">resilience aspects</w:t>
      </w:r>
      <w:r>
        <w:t xml:space="preserve"> </w:t>
      </w:r>
      <w:r>
        <w:t xml:space="preserve">PM8: Strategic Projects stemming</w:t>
      </w:r>
      <w:r>
        <w:t xml:space="preserve"> </w:t>
      </w:r>
      <w:r>
        <w:t xml:space="preserve">from the ECF proposal.</w:t>
      </w:r>
      <w:r>
        <w:br/>
      </w:r>
      <w:r>
        <w:t xml:space="preserve">PM2: Clarification of FOAK’s scope</w:t>
      </w:r>
      <w:r>
        <w:t xml:space="preserve"> </w:t>
      </w:r>
      <w:r>
        <w:t xml:space="preserve">to include the value chain and its</w:t>
      </w:r>
      <w:r>
        <w:t xml:space="preserve"> </w:t>
      </w:r>
      <w:r>
        <w:t xml:space="preserve">relationship with IPF, OEF and</w:t>
      </w:r>
      <w:r>
        <w:t xml:space="preserve"> </w:t>
      </w:r>
      <w:r>
        <w:t xml:space="preserve">Strategic Projects.</w:t>
      </w:r>
      <w:r>
        <w:br/>
      </w:r>
      <w:r>
        <w:t xml:space="preserve">Clarification of FOAK to highlight</w:t>
      </w:r>
      <w:r>
        <w:t xml:space="preserve"> </w:t>
      </w:r>
      <w:r>
        <w:t xml:space="preserve">security of supply and resilience</w:t>
      </w:r>
      <w:r>
        <w:t xml:space="preserve"> </w:t>
      </w:r>
      <w:r>
        <w:t xml:space="preserve">aspects</w:t>
      </w:r>
    </w:p>
    <w:p>
      <w:pPr>
        <w:pStyle w:val="BodyText"/>
      </w:pPr>
      <w:r>
        <w:t xml:space="preserve">Pillar III: Monitoring</w:t>
      </w:r>
      <w:r>
        <w:t xml:space="preserve"> </w:t>
      </w:r>
      <w:r>
        <w:t xml:space="preserve">and Crisis Response</w:t>
      </w:r>
      <w:r>
        <w:t xml:space="preserve"> </w:t>
      </w:r>
      <w:r>
        <w:t xml:space="preserve">The existing crisis response</w:t>
      </w:r>
      <w:r>
        <w:t xml:space="preserve"> </w:t>
      </w:r>
      <w:r>
        <w:t xml:space="preserve">mechanism based on a voluntary</w:t>
      </w:r>
      <w:r>
        <w:t xml:space="preserve"> </w:t>
      </w:r>
      <w:r>
        <w:t xml:space="preserve">data-gathering regime.</w:t>
      </w:r>
      <w:r>
        <w:t xml:space="preserve"> </w:t>
      </w:r>
      <w:r>
        <w:t xml:space="preserve">PM5: Establish a Business-to-</w:t>
      </w:r>
      <w:r>
        <w:t xml:space="preserve"> </w:t>
      </w:r>
      <w:r>
        <w:t xml:space="preserve">business semiconductor supply</w:t>
      </w:r>
      <w:r>
        <w:t xml:space="preserve"> </w:t>
      </w:r>
      <w:r>
        <w:t xml:space="preserve">chain Platform.</w:t>
      </w:r>
      <w:r>
        <w:t xml:space="preserve"> </w:t>
      </w:r>
      <w:r>
        <w:t xml:space="preserve">PM6: Information requests for</w:t>
      </w:r>
      <w:r>
        <w:t xml:space="preserve"> </w:t>
      </w:r>
      <w:r>
        <w:t xml:space="preserve">aggregate data sent to the</w:t>
      </w:r>
      <w:r>
        <w:t xml:space="preserve"> </w:t>
      </w:r>
      <w:r>
        <w:t xml:space="preserve">Platform in pre -crisis stage</w:t>
      </w:r>
      <w:r>
        <w:br/>
      </w:r>
      <w:r>
        <w:t xml:space="preserve">PM5: Establish a Business-to-</w:t>
      </w:r>
      <w:r>
        <w:t xml:space="preserve"> </w:t>
      </w:r>
      <w:r>
        <w:t xml:space="preserve">business semiconductor supply chain</w:t>
      </w:r>
      <w:r>
        <w:t xml:space="preserve"> </w:t>
      </w:r>
      <w:r>
        <w:t xml:space="preserve">Platform.</w:t>
      </w:r>
      <w:r>
        <w:t xml:space="preserve"> </w:t>
      </w:r>
      <w:r>
        <w:t xml:space="preserve">PM6: information requests for</w:t>
      </w:r>
      <w:r>
        <w:t xml:space="preserve"> </w:t>
      </w:r>
      <w:r>
        <w:t xml:space="preserve">aggregate data sent to the Platform in</w:t>
      </w:r>
      <w:r>
        <w:t xml:space="preserve"> </w:t>
      </w:r>
      <w:r>
        <w:t xml:space="preserve">pre -crisis stage</w:t>
      </w:r>
      <w:r>
        <w:br/>
      </w:r>
      <w:r>
        <w:t xml:space="preserve">Other interventions</w:t>
      </w:r>
      <w:r>
        <w:br/>
      </w:r>
      <w:r>
        <w:t xml:space="preserve">No additional policy measures.</w:t>
      </w:r>
      <w:r>
        <w:br/>
      </w:r>
      <w:r>
        <w:t xml:space="preserve">PM4: The European</w:t>
      </w:r>
      <w:r>
        <w:t xml:space="preserve"> </w:t>
      </w:r>
      <w:r>
        <w:t xml:space="preserve">Semiconductor Regions of</w:t>
      </w:r>
      <w:r>
        <w:t xml:space="preserve"> </w:t>
      </w:r>
      <w:r>
        <w:t xml:space="preserve">Excellence seal</w:t>
      </w:r>
      <w:r>
        <w:br/>
      </w:r>
      <w:r>
        <w:t xml:space="preserve">PM7: Increased investment in</w:t>
      </w:r>
      <w:r>
        <w:t xml:space="preserve"> </w:t>
      </w:r>
      <w:r>
        <w:t xml:space="preserve">skills initiatives</w:t>
      </w:r>
      <w:r>
        <w:t xml:space="preserve"> </w:t>
      </w:r>
      <w:r>
        <w:t xml:space="preserve">PM3: Shorter and streamlined</w:t>
      </w:r>
      <w:r>
        <w:t xml:space="preserve"> </w:t>
      </w:r>
      <w:r>
        <w:t xml:space="preserve">permitting processes.</w:t>
      </w:r>
      <w:r>
        <w:br/>
      </w:r>
      <w:r>
        <w:t xml:space="preserve">PM7: Increased investment in skills</w:t>
      </w:r>
      <w:r>
        <w:t xml:space="preserve"> </w:t>
      </w:r>
      <w:r>
        <w:t xml:space="preserve">initiatives</w:t>
      </w:r>
      <w:r>
        <w:t xml:space="preserve"> </w:t>
      </w:r>
      <w:r>
        <w:t xml:space="preserve">PM3: Shorter and streamlined</w:t>
      </w:r>
      <w:r>
        <w:t xml:space="preserve"> </w:t>
      </w:r>
      <w:r>
        <w:t xml:space="preserve">permitting processes.</w:t>
      </w:r>
      <w:r>
        <w:br/>
      </w:r>
      <w:r>
        <w:t xml:space="preserve">PM10: Recommend a security of</w:t>
      </w:r>
      <w:r>
        <w:t xml:space="preserve"> </w:t>
      </w:r>
      <w:r>
        <w:t xml:space="preserve">supply declaration for</w:t>
      </w:r>
      <w:r>
        <w:t xml:space="preserve"> </w:t>
      </w:r>
      <w:r>
        <w:t xml:space="preserve">semiconductors in public procurement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Current semiconductor supply chains remain highly geographically concentrated, with several</w:t>
      </w:r>
      <w:r>
        <w:t xml:space="preserve"> </w:t>
      </w:r>
      <w:r>
        <w:t xml:space="preserve">essential technologies sourced from less trustworthy third countries(167). This introduces</w:t>
      </w:r>
      <w:r>
        <w:t xml:space="preserve"> </w:t>
      </w:r>
      <w:r>
        <w:t xml:space="preserve">systemic vulnerabilities: single-point supply chain failures, coercive economic practices,</w:t>
      </w:r>
      <w:r>
        <w:t xml:space="preserve"> </w:t>
      </w:r>
      <w:r>
        <w:t xml:space="preserve">long-lead disruptions and risks to public safety. Certain critical sectors cannot operate</w:t>
      </w:r>
      <w:r>
        <w:t xml:space="preserve"> </w:t>
      </w:r>
      <w:r>
        <w:t xml:space="preserve">effectively without a regular, trusted, and verifiable supply of advanced semiconductor</w:t>
      </w:r>
      <w:r>
        <w:t xml:space="preserve"> </w:t>
      </w:r>
      <w:r>
        <w:t xml:space="preserve">components.</w:t>
      </w:r>
    </w:p>
    <w:p>
      <w:pPr>
        <w:pStyle w:val="Compact"/>
        <w:numPr>
          <w:ilvl w:val="0"/>
          <w:numId w:val="1046"/>
        </w:numPr>
      </w:pPr>
      <w:r>
        <w:t xml:space="preserve">Special report 12/2025 - The EU’s strategy for microchips</w:t>
      </w:r>
    </w:p>
    <w:p>
      <w:pPr>
        <w:pStyle w:val="FirstParagraph"/>
      </w:pPr>
      <w:r>
        <w:t xml:space="preserve">68</w:t>
      </w:r>
    </w:p>
    <w:p>
      <w:pPr>
        <w:pStyle w:val="BodyText"/>
      </w:pPr>
      <w:r>
        <w:t xml:space="preserve">To materially reduce strategic dependencies, one considered policy response – “trusted chips</w:t>
      </w:r>
      <w:r>
        <w:t xml:space="preserve"> </w:t>
      </w:r>
      <w:r>
        <w:t xml:space="preserve">preference” - was to establish legally binding obligations to use trusted chips for operators of</w:t>
      </w:r>
      <w:r>
        <w:t xml:space="preserve"> </w:t>
      </w:r>
      <w:r>
        <w:t xml:space="preserve">critical infrastructure as listed in Annex 4 of the Chips Act. This option would go beyond</w:t>
      </w:r>
      <w:r>
        <w:t xml:space="preserve"> </w:t>
      </w:r>
      <w:r>
        <w:t xml:space="preserve">procurement preference.</w:t>
      </w:r>
      <w:r>
        <w:br/>
      </w:r>
      <w:r>
        <w:t xml:space="preserve">Furthermore, direct mandatory information-request provisions for all companies were</w:t>
      </w:r>
      <w:r>
        <w:t xml:space="preserve"> </w:t>
      </w:r>
      <w:r>
        <w:t xml:space="preserve">considered that would have enabled the Commission, under all circumstances, to obtain not</w:t>
      </w:r>
      <w:r>
        <w:t xml:space="preserve"> </w:t>
      </w:r>
      <w:r>
        <w:t xml:space="preserve">only qualitative assessments and aggregate data, but also granular, company-level</w:t>
      </w:r>
      <w:r>
        <w:t xml:space="preserve"> </w:t>
      </w:r>
      <w:r>
        <w:t xml:space="preserve">information, including business-confidential data where necessary.</w:t>
      </w:r>
      <w:r>
        <w:br/>
      </w:r>
      <w:r>
        <w:t xml:space="preserve">However, this policy option of “trusted chips preference” and “mandatory information</w:t>
      </w:r>
      <w:r>
        <w:t xml:space="preserve"> </w:t>
      </w:r>
      <w:r>
        <w:t xml:space="preserve">requests” was discarded due to overlap with existing legislative acts, such as in the area of</w:t>
      </w:r>
      <w:r>
        <w:t xml:space="preserve"> </w:t>
      </w:r>
      <w:r>
        <w:t xml:space="preserve">cybersecurity and ongoing revisions of the cybersecurity framework. Furthermore, this option</w:t>
      </w:r>
      <w:r>
        <w:t xml:space="preserve"> </w:t>
      </w:r>
      <w:r>
        <w:t xml:space="preserve">could impact the competitiveness of EU user industries.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impacts of the different policy options are assessed below based on the methodology set</w:t>
      </w:r>
      <w:r>
        <w:t xml:space="preserve"> </w:t>
      </w:r>
      <w:r>
        <w:t xml:space="preserve">out in Annex 4, the results of the open public consultation and Call for Evidence summarised</w:t>
      </w:r>
      <w:r>
        <w:t xml:space="preserve"> </w:t>
      </w:r>
      <w:r>
        <w:t xml:space="preserve">in Annex 2, analysis gained from over 20 targeted workshops with specific stakeholders’</w:t>
      </w:r>
      <w:r>
        <w:t xml:space="preserve"> </w:t>
      </w:r>
      <w:r>
        <w:t xml:space="preserve">groups, desk research and external studies. Only the relevant types of impacts affecting each</w:t>
      </w:r>
      <w:r>
        <w:t xml:space="preserve"> </w:t>
      </w:r>
      <w:r>
        <w:t xml:space="preserve">Pillar are assessed. Overall, the initiative is not expected to have any impact on fundamental</w:t>
      </w:r>
      <w:r>
        <w:t xml:space="preserve"> </w:t>
      </w:r>
      <w:r>
        <w:t xml:space="preserve">rights. The baseline scenario, outlined in Section 4.1 describes the implications and costs</w:t>
      </w:r>
      <w:r>
        <w:t xml:space="preserve"> </w:t>
      </w:r>
      <w:r>
        <w:t xml:space="preserve">associated with taking no further action.</w:t>
      </w:r>
      <w:r>
        <w:br/>
      </w:r>
      <w:r>
        <w:t xml:space="preserve">6.1</w:t>
      </w:r>
      <w:r>
        <w:t xml:space="preserve"> </w:t>
      </w:r>
      <w:r>
        <w:t xml:space="preserve">PO1 “MEASURES THAT FOCUS ON IMPROVING THE FRAMEWORK</w:t>
      </w:r>
      <w:r>
        <w:t xml:space="preserve"> </w:t>
      </w:r>
      <w:r>
        <w:t xml:space="preserve">CONDITIONS”</w:t>
      </w:r>
      <w:r>
        <w:t xml:space="preserve"> </w:t>
      </w:r>
      <w:r>
        <w:t xml:space="preserve">Policy Option 1 takes a non-interventionist approach to strengthening the EU’s semiconductor</w:t>
      </w:r>
      <w:r>
        <w:t xml:space="preserve"> </w:t>
      </w:r>
      <w:r>
        <w:t xml:space="preserve">ecosystem. Unlike Policy Option 2, it provides no additional Union funding and introduces no</w:t>
      </w:r>
      <w:r>
        <w:t xml:space="preserve"> </w:t>
      </w:r>
      <w:r>
        <w:t xml:space="preserve">additional direct financial support for manufacturing or supply chain resilience. Instead, it</w:t>
      </w:r>
      <w:r>
        <w:t xml:space="preserve"> </w:t>
      </w:r>
      <w:r>
        <w:t xml:space="preserve">focuses on improving framework conditions and horizontal support measures.</w:t>
      </w:r>
      <w:r>
        <w:br/>
      </w:r>
      <w:r>
        <w:t xml:space="preserve">6.1.1 Economic impacts</w:t>
      </w:r>
      <w:r>
        <w:t xml:space="preserve"> </w:t>
      </w:r>
      <w:r>
        <w:t xml:space="preserve">6.1.1.1 Impacts on EU semiconductor firms’ revenues</w:t>
      </w:r>
      <w:r>
        <w:t xml:space="preserve"> </w:t>
      </w:r>
      <w:r>
        <w:t xml:space="preserve">Semiconductor firm revenues</w:t>
      </w:r>
      <w:r>
        <w:t xml:space="preserve"> </w:t>
      </w:r>
      <w:r>
        <w:t xml:space="preserve">For EU-headquartered semiconductor firms, PO1 would largely maintain the status quo.</w:t>
      </w:r>
      <w:r>
        <w:t xml:space="preserve"> </w:t>
      </w:r>
      <w:r>
        <w:t xml:space="preserve">However, through PM3, the policy option would ease the business environment for the</w:t>
      </w:r>
      <w:r>
        <w:t xml:space="preserve"> </w:t>
      </w:r>
      <w:r>
        <w:t xml:space="preserve">semiconductor industry, through simplification efforts via shorter permitting times for the</w:t>
      </w:r>
      <w:r>
        <w:t xml:space="preserve"> </w:t>
      </w:r>
      <w:r>
        <w:t xml:space="preserve">deployment of manufacturing capacity. This measure would allow the Union to tackle the</w:t>
      </w:r>
      <w:r>
        <w:t xml:space="preserve"> </w:t>
      </w:r>
      <w:r>
        <w:t xml:space="preserve">external competitiveness issues that it faces as set out in Figure 12 of PD2, as permitting and</w:t>
      </w:r>
      <w:r>
        <w:t xml:space="preserve"> </w:t>
      </w:r>
      <w:r>
        <w:t xml:space="preserve">design timelines differ significantly between Taiwan, Southeast Asia and the EU. Analysis in</w:t>
      </w:r>
      <w:r>
        <w:t xml:space="preserve"> </w:t>
      </w:r>
      <w:r>
        <w:t xml:space="preserve">Annex 3 shows how European firms stand to save up to EUR 625 million in administrative</w:t>
      </w:r>
      <w:r>
        <w:t xml:space="preserve"> </w:t>
      </w:r>
      <w:r>
        <w:t xml:space="preserve">costs if permitting delays are addressed as set out in PM3.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 2025 study by the OECD has shown that high regulatory burdens and compliance costs are</w:t>
      </w:r>
      <w:r>
        <w:t xml:space="preserve"> </w:t>
      </w:r>
      <w:r>
        <w:t xml:space="preserve">“a factor associated with weaker labour productivity growth and business dynamism” (168).</w:t>
      </w:r>
      <w:r>
        <w:t xml:space="preserve"> </w:t>
      </w:r>
      <w:r>
        <w:t xml:space="preserve">Reducing these burdens would enable European firms to shift scarce resources to more</w:t>
      </w:r>
      <w:r>
        <w:t xml:space="preserve"> </w:t>
      </w:r>
      <w:r>
        <w:t xml:space="preserve">productive activities, which would in turn support an increase in revenue growth.</w:t>
      </w:r>
      <w:r>
        <w:br/>
      </w:r>
      <w:r>
        <w:t xml:space="preserve">This would be complemented by the European Semiconductor Regions of Excellence seal</w:t>
      </w:r>
      <w:r>
        <w:t xml:space="preserve"> </w:t>
      </w:r>
      <w:r>
        <w:t xml:space="preserve">(PM4), through which participating regions would have deployed enabling initiatives in the</w:t>
      </w:r>
      <w:r>
        <w:t xml:space="preserve"> </w:t>
      </w:r>
      <w:r>
        <w:t xml:space="preserve">areas of skills, infrastructure and administrative processes, thus supporting the reduction of</w:t>
      </w:r>
      <w:r>
        <w:t xml:space="preserve"> </w:t>
      </w:r>
      <w:r>
        <w:t xml:space="preserve">administrative burdens and supporting productivity growth. Its impact will vary by regional</w:t>
      </w:r>
      <w:r>
        <w:t xml:space="preserve"> </w:t>
      </w:r>
      <w:r>
        <w:t xml:space="preserve">baseline and cannot yet be quantified, as requirements will be set by delegated act.</w:t>
      </w:r>
      <w:r>
        <w:t xml:space="preserve"> </w:t>
      </w:r>
      <w:r>
        <w:t xml:space="preserve">Intensified skilling and re-skilling initiatives (PM7) support revenue growth indirectly by</w:t>
      </w:r>
      <w:r>
        <w:t xml:space="preserve"> </w:t>
      </w:r>
      <w:r>
        <w:t xml:space="preserve">easing skills shortages that constrain productivity, ramp-up and time-to-market (see section</w:t>
      </w:r>
      <w:r>
        <w:t xml:space="preserve"> </w:t>
      </w:r>
      <w:r>
        <w:t xml:space="preserve">5.1.3.3).</w:t>
      </w:r>
      <w:r>
        <w:t xml:space="preserve"> </w:t>
      </w:r>
      <w:r>
        <w:t xml:space="preserve">In essence, PO1 is expected to have a limited impact on the market share trajectories of EU-</w:t>
      </w:r>
      <w:r>
        <w:t xml:space="preserve"> </w:t>
      </w:r>
      <w:r>
        <w:t xml:space="preserve">headquartered semiconductor firms manufacturing in Europe. While PM3 would marginally</w:t>
      </w:r>
      <w:r>
        <w:t xml:space="preserve"> </w:t>
      </w:r>
      <w:r>
        <w:t xml:space="preserve">improve operating conditions through faster permitting and administrative simplification,</w:t>
      </w:r>
      <w:r>
        <w:t xml:space="preserve"> </w:t>
      </w:r>
      <w:r>
        <w:t xml:space="preserve">these measures primarily reduce friction rather than materially strengthening firms’</w:t>
      </w:r>
      <w:r>
        <w:t xml:space="preserve"> </w:t>
      </w:r>
      <w:r>
        <w:t xml:space="preserve">competitive position. Similarly, the European Semiconductor Regions of Excellence seal</w:t>
      </w:r>
      <w:r>
        <w:t xml:space="preserve"> </w:t>
      </w:r>
      <w:r>
        <w:t xml:space="preserve">under PM4 would provide visibility and signal regional commitment, but in the absence of</w:t>
      </w:r>
      <w:r>
        <w:t xml:space="preserve"> </w:t>
      </w:r>
      <w:r>
        <w:t xml:space="preserve">differentiated financial incentives, its effect on investment decisions and capacity expansion is</w:t>
      </w:r>
      <w:r>
        <w:t xml:space="preserve"> </w:t>
      </w:r>
      <w:r>
        <w:t xml:space="preserve">likely to remain modest. PM7. As a result, PO1 would broadly preserve existing market</w:t>
      </w:r>
      <w:r>
        <w:t xml:space="preserve"> </w:t>
      </w:r>
      <w:r>
        <w:t xml:space="preserve">dynamics, supporting continuity rather than driving a step-change in the global</w:t>
      </w:r>
      <w:r>
        <w:t xml:space="preserve"> </w:t>
      </w:r>
      <w:r>
        <w:t xml:space="preserve">competitiveness or market share growth of EU semiconductor firms.</w:t>
      </w:r>
      <w:r>
        <w:t xml:space="preserve"> </w:t>
      </w:r>
      <w:r>
        <w:t xml:space="preserve">6.1.1.2 Semiconductor value chain</w:t>
      </w:r>
      <w:r>
        <w:t xml:space="preserve"> </w:t>
      </w:r>
      <w:r>
        <w:t xml:space="preserve">PM2 would clarify the scope of FOAK to include the wider semiconductor value chain. Here,</w:t>
      </w:r>
      <w:r>
        <w:t xml:space="preserve"> </w:t>
      </w:r>
      <w:r>
        <w:t xml:space="preserve">the new FOAK definition would concentrate on clearly defined strategic priorities where EU</w:t>
      </w:r>
      <w:r>
        <w:t xml:space="preserve"> </w:t>
      </w:r>
      <w:r>
        <w:t xml:space="preserve">action is needed and can deliver the highest benefit in terms of security of supply and</w:t>
      </w:r>
      <w:r>
        <w:t xml:space="preserve"> </w:t>
      </w:r>
      <w:r>
        <w:t xml:space="preserve">technological leadership as set out in PM2. This clarification will enable Member States to</w:t>
      </w:r>
      <w:r>
        <w:t xml:space="preserve"> </w:t>
      </w:r>
      <w:r>
        <w:t xml:space="preserve">provide a more compelling case to semiconductor firms investing in the Union, anchoring</w:t>
      </w:r>
      <w:r>
        <w:t xml:space="preserve"> </w:t>
      </w:r>
      <w:r>
        <w:t xml:space="preserve">higher value-added activities within the Union and support the sustained expansion of the</w:t>
      </w:r>
      <w:r>
        <w:t xml:space="preserve"> </w:t>
      </w:r>
      <w:r>
        <w:t xml:space="preserve">European semiconductor value chain, rather than isolated capacity growth. This shall in turn</w:t>
      </w:r>
      <w:r>
        <w:t xml:space="preserve"> </w:t>
      </w:r>
      <w:r>
        <w:t xml:space="preserve">support more competitive firms which may increase revenues. At the same time, such a</w:t>
      </w:r>
      <w:r>
        <w:t xml:space="preserve"> </w:t>
      </w:r>
      <w:r>
        <w:t xml:space="preserve">measure could potentially fragment Member State’s budgets to a broader number of firms,</w:t>
      </w:r>
      <w:r>
        <w:t xml:space="preserve"> </w:t>
      </w:r>
      <w:r>
        <w:t xml:space="preserve">thus risking less concentrated support.</w:t>
      </w:r>
      <w:r>
        <w:br/>
      </w:r>
      <w:r>
        <w:t xml:space="preserve">The Semiconductor Regions of Excellence seal (PM4) would also introduce a regional</w:t>
      </w:r>
      <w:r>
        <w:t xml:space="preserve"> </w:t>
      </w:r>
      <w:r>
        <w:t xml:space="preserve">dimension to the Chips Act by encouraging regions to support the semiconductor value chain</w:t>
      </w:r>
      <w:r>
        <w:t xml:space="preserve"> </w:t>
      </w:r>
      <w:r>
        <w:t xml:space="preserve">through for example infrastructure investment and skills initiatives. Since the seal will</w:t>
      </w:r>
      <w:r>
        <w:t xml:space="preserve"> </w:t>
      </w:r>
      <w:r>
        <w:t xml:space="preserve">recognise regions who have direct measures supporting the value chain, it may also encourage</w:t>
      </w:r>
      <w:r>
        <w:t xml:space="preserve"> </w:t>
      </w:r>
      <w:r>
        <w:t xml:space="preserve">regions that do not host semiconductor firms directly but are home to firms that contribute to</w:t>
      </w:r>
    </w:p>
    <w:p>
      <w:pPr>
        <w:pStyle w:val="Compact"/>
        <w:numPr>
          <w:ilvl w:val="0"/>
          <w:numId w:val="1047"/>
        </w:numPr>
      </w:pPr>
      <w:r>
        <w:t xml:space="preserve">OECD (2025), OECD Economic Outlook, Volume 2025 Issue 2: Resilient Growth but with Increasing</w:t>
      </w:r>
      <w:r>
        <w:t xml:space="preserve"> </w:t>
      </w:r>
      <w:r>
        <w:t xml:space="preserve">Fragilities, OECD Publishing, Paris, https://doi.org/10.1787/9f653ca1-en.</w:t>
      </w:r>
    </w:p>
    <w:p>
      <w:pPr>
        <w:pStyle w:val="FirstParagraph"/>
      </w:pPr>
      <w:r>
        <w:t xml:space="preserve">70</w:t>
      </w:r>
    </w:p>
    <w:p>
      <w:pPr>
        <w:pStyle w:val="BodyText"/>
      </w:pPr>
      <w:r>
        <w:t xml:space="preserve">the broader value chain, to also focus on the strengthening of said ecosystem. This shall be</w:t>
      </w:r>
      <w:r>
        <w:t xml:space="preserve"> </w:t>
      </w:r>
      <w:r>
        <w:t xml:space="preserve">complemented by more comprehensive skills initiatives tackling both semiconductor firms</w:t>
      </w:r>
      <w:r>
        <w:t xml:space="preserve"> </w:t>
      </w:r>
      <w:r>
        <w:t xml:space="preserve">but also the value chain under PM7 which will have similar impacts as described above for</w:t>
      </w:r>
      <w:r>
        <w:t xml:space="preserve"> </w:t>
      </w:r>
      <w:r>
        <w:t xml:space="preserve">semiconductor firms.</w:t>
      </w:r>
      <w:r>
        <w:t xml:space="preserve"> </w:t>
      </w:r>
      <w:r>
        <w:t xml:space="preserve">Therefore, Policy Option 1 would reinforce the EU’s semiconductor ecosystem along</w:t>
      </w:r>
      <w:r>
        <w:t xml:space="preserve"> </w:t>
      </w:r>
      <w:r>
        <w:t xml:space="preserve">existing strengths, but without much coordination for concerted European action on value</w:t>
      </w:r>
      <w:r>
        <w:t xml:space="preserve"> </w:t>
      </w:r>
      <w:r>
        <w:t xml:space="preserve">chain resilience. Nevertheless, through a clarification of the FOAK definition, a larger</w:t>
      </w:r>
      <w:r>
        <w:t xml:space="preserve"> </w:t>
      </w:r>
      <w:r>
        <w:t xml:space="preserve">share of planned projects would be expected to proceed compared with the baseline</w:t>
      </w:r>
      <w:r>
        <w:t xml:space="preserve"> </w:t>
      </w:r>
      <w:r>
        <w:t xml:space="preserve">scenario (BAU).</w:t>
      </w:r>
      <w:r>
        <w:t xml:space="preserve"> </w:t>
      </w:r>
      <w:r>
        <w:t xml:space="preserve">6.1.1.3 Impacts on manufacturing capacity</w:t>
      </w:r>
      <w:r>
        <w:br/>
      </w:r>
      <w:r>
        <w:t xml:space="preserve">Policy Option 1 could moderately increase Europe’s attractiveness for investment and enable</w:t>
      </w:r>
      <w:r>
        <w:t xml:space="preserve"> </w:t>
      </w:r>
      <w:r>
        <w:t xml:space="preserve">a larger number of potential projects to be realised when compared with BAU but this would</w:t>
      </w:r>
      <w:r>
        <w:t xml:space="preserve"> </w:t>
      </w:r>
      <w:r>
        <w:t xml:space="preserve">largely depend on market dynamics and Member State and regional budgets.</w:t>
      </w:r>
      <w:r>
        <w:t xml:space="preserve"> </w:t>
      </w:r>
      <w:r>
        <w:t xml:space="preserve">Available evidence suggests that the EU’s expansion potential currently lies in mature and</w:t>
      </w:r>
      <w:r>
        <w:t xml:space="preserve"> </w:t>
      </w:r>
      <w:r>
        <w:t xml:space="preserve">application-specific technology nodes, where it already has a significant foothold. Reducing</w:t>
      </w:r>
      <w:r>
        <w:t xml:space="preserve"> </w:t>
      </w:r>
      <w:r>
        <w:t xml:space="preserve">regulatory burdens in permitting (PM3) and alleviating infrastructure bottlenecks (PD2)</w:t>
      </w:r>
      <w:r>
        <w:t xml:space="preserve"> </w:t>
      </w:r>
      <w:r>
        <w:t xml:space="preserve">through the Semiconductor Regions of Excellence label (PM4) would increase the likelihood</w:t>
      </w:r>
      <w:r>
        <w:t xml:space="preserve"> </w:t>
      </w:r>
      <w:r>
        <w:t xml:space="preserve">that planned projects in these segments materialise, thereby enabling incremental increases in</w:t>
      </w:r>
      <w:r>
        <w:t xml:space="preserve"> </w:t>
      </w:r>
      <w:r>
        <w:t xml:space="preserve">production over time. These effects would occur against the backdrop of the EU’s</w:t>
      </w:r>
      <w:r>
        <w:t xml:space="preserve"> </w:t>
      </w:r>
      <w:r>
        <w:t xml:space="preserve">comparatively less favourable business environment. By setting voluntary standards for</w:t>
      </w:r>
      <w:r>
        <w:t xml:space="preserve"> </w:t>
      </w:r>
      <w:r>
        <w:t xml:space="preserve">regions to support their local semiconductor industry and streamline regulatory compliance</w:t>
      </w:r>
      <w:r>
        <w:t xml:space="preserve"> </w:t>
      </w:r>
      <w:r>
        <w:t xml:space="preserve">requirements, the Semiconductor Regions of Excellence label would reduce administrative</w:t>
      </w:r>
      <w:r>
        <w:t xml:space="preserve"> </w:t>
      </w:r>
      <w:r>
        <w:t xml:space="preserve">overhead for industry stakeholders.</w:t>
      </w:r>
      <w:r>
        <w:t xml:space="preserve"> </w:t>
      </w:r>
      <w:r>
        <w:t xml:space="preserve">As set out above and in Annex 3, in Taiwan, these phases typically take between 6 and 13</w:t>
      </w:r>
      <w:r>
        <w:t xml:space="preserve"> </w:t>
      </w:r>
      <w:r>
        <w:t xml:space="preserve">months, whereas in the EU they usually require 16 to 18 months (169). This implies that</w:t>
      </w:r>
      <w:r>
        <w:t xml:space="preserve"> </w:t>
      </w:r>
      <w:r>
        <w:t xml:space="preserve">permitting and design in the EU are approximately 3 to 10 months longer than in Taiwan.</w:t>
      </w:r>
      <w:r>
        <w:t xml:space="preserve"> </w:t>
      </w:r>
      <w:r>
        <w:t xml:space="preserve">Using midpoint estimates, (170) the average amounts to roughly 7.5 months additional time.</w:t>
      </w:r>
      <w:r>
        <w:t xml:space="preserve"> </w:t>
      </w:r>
      <w:r>
        <w:t xml:space="preserve">As set out in Annex 3, the assumption that each year of delay adds around 5 % of total project</w:t>
      </w:r>
      <w:r>
        <w:t xml:space="preserve"> </w:t>
      </w:r>
      <w:r>
        <w:t xml:space="preserve">value (171) implies an additional cost equivalent to 3.125 % of overall investment. Concretely,</w:t>
      </w:r>
      <w:r>
        <w:t xml:space="preserve"> </w:t>
      </w:r>
      <w:r>
        <w:t xml:space="preserve">for a representative EUR 20 billion advanced semiconductor fabrication plant, this</w:t>
      </w:r>
      <w:r>
        <w:t xml:space="preserve"> </w:t>
      </w:r>
      <w:r>
        <w:t xml:space="preserve">corresponds to roughly EUR 625 million in additional expenditure. Therefore, a reduction in</w:t>
      </w:r>
      <w:r>
        <w:t xml:space="preserve"> </w:t>
      </w:r>
      <w:r>
        <w:t xml:space="preserve">permitting times (PM3) would substantially improve Europe’s competitiveness and in turn</w:t>
      </w:r>
      <w:r>
        <w:t xml:space="preserve"> </w:t>
      </w:r>
      <w:r>
        <w:t xml:space="preserve">increase the viability of setting up manufacturing facilities in the EU.</w:t>
      </w:r>
      <w:r>
        <w:br/>
      </w:r>
      <w:r>
        <w:t xml:space="preserve">However, the capacity of PO1 to generate substantial new manufacturing capacity in leading</w:t>
      </w:r>
      <w:r>
        <w:t xml:space="preserve"> </w:t>
      </w:r>
      <w:r>
        <w:t xml:space="preserve">edge technologies, will largely depend on organic growth and the capacity of Member States</w:t>
      </w:r>
      <w:r>
        <w:t xml:space="preserve"> </w:t>
      </w:r>
      <w:r>
        <w:t xml:space="preserve">to support such investments through State aid. The more likely outcome is that PO1 would</w:t>
      </w:r>
    </w:p>
    <w:p>
      <w:pPr>
        <w:pStyle w:val="Compact"/>
        <w:numPr>
          <w:ilvl w:val="0"/>
          <w:numId w:val="1048"/>
        </w:numPr>
      </w:pPr>
      <w:r>
        <w:t xml:space="preserve">see Figure 12 - Average duration of projects for building wafer fabs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Around 9.5 months for Taiwan and 17 months for the EU</w:t>
      </w:r>
    </w:p>
    <w:p>
      <w:pPr>
        <w:pStyle w:val="Compact"/>
        <w:numPr>
          <w:ilvl w:val="0"/>
          <w:numId w:val="1048"/>
        </w:numPr>
      </w:pPr>
      <w:r>
        <w:t xml:space="preserve">https://www.csis.org/analysis/streamlining-permitting-process-fab-construction</w:t>
      </w:r>
    </w:p>
    <w:p>
      <w:pPr>
        <w:pStyle w:val="FirstParagraph"/>
      </w:pPr>
      <w:r>
        <w:t xml:space="preserve">71</w:t>
      </w:r>
    </w:p>
    <w:p>
      <w:pPr>
        <w:pStyle w:val="BodyText"/>
      </w:pPr>
      <w:r>
        <w:t xml:space="preserve">consolidate the EU’s existing strengths in mature and application-specific nodes, support</w:t>
      </w:r>
      <w:r>
        <w:t xml:space="preserve"> </w:t>
      </w:r>
      <w:r>
        <w:t xml:space="preserve">equipment upgrades in current facilities and reduce critical dependencies.</w:t>
      </w:r>
      <w:r>
        <w:t xml:space="preserve"> </w:t>
      </w:r>
      <w:r>
        <w:t xml:space="preserve">6.1.1.4 Impacts on demand</w:t>
      </w:r>
      <w:r>
        <w:t xml:space="preserve"> </w:t>
      </w:r>
      <w:r>
        <w:t xml:space="preserve">No demand stimulation measures are foreseen under Policy Option 1 and therefore no change</w:t>
      </w:r>
      <w:r>
        <w:t xml:space="preserve"> </w:t>
      </w:r>
      <w:r>
        <w:t xml:space="preserve">in impact when compared to the baseline is expected.</w:t>
      </w:r>
      <w:r>
        <w:br/>
      </w:r>
      <w:r>
        <w:t xml:space="preserve">6.1.1.5 Impacts on the cost (price) competitiveness of the EU industry.</w:t>
      </w:r>
      <w:r>
        <w:br/>
      </w:r>
      <w:r>
        <w:t xml:space="preserve">Under BAU, the EU remains the highest-cost manufacturing location among major</w:t>
      </w:r>
      <w:r>
        <w:t xml:space="preserve"> </w:t>
      </w:r>
      <w:r>
        <w:t xml:space="preserve">regions.(172) PO1 would not significantly close this structural gap, as it mainly stems from</w:t>
      </w:r>
      <w:r>
        <w:t xml:space="preserve"> </w:t>
      </w:r>
      <w:r>
        <w:t xml:space="preserve">capital-intensive investment conditions beyond the scope of this option. However, as</w:t>
      </w:r>
      <w:r>
        <w:t xml:space="preserve"> </w:t>
      </w:r>
      <w:r>
        <w:t xml:space="preserve">highlighted by the Draghi report, by improving predictability, reducing regulatory complexity</w:t>
      </w:r>
      <w:r>
        <w:t xml:space="preserve"> </w:t>
      </w:r>
      <w:r>
        <w:t xml:space="preserve">and streamlining permitting procedures, PO1 could enhance competitiveness and support</w:t>
      </w:r>
      <w:r>
        <w:t xml:space="preserve"> </w:t>
      </w:r>
      <w:r>
        <w:t xml:space="preserve">incremental productivity gains.</w:t>
      </w:r>
      <w:r>
        <w:br/>
      </w:r>
      <w:r>
        <w:t xml:space="preserve">On capital costs, faster permitting as set out in PM3 as well as better-coordinated</w:t>
      </w:r>
      <w:r>
        <w:t xml:space="preserve"> </w:t>
      </w:r>
      <w:r>
        <w:t xml:space="preserve">infrastructure planning and clearer regulatory requirements under PM4 would reduce delays</w:t>
      </w:r>
      <w:r>
        <w:t xml:space="preserve"> </w:t>
      </w:r>
      <w:r>
        <w:t xml:space="preserve">and contingencies that, as discussed in PD2, currently inflate investment costs through</w:t>
      </w:r>
      <w:r>
        <w:t xml:space="preserve"> </w:t>
      </w:r>
      <w:r>
        <w:t xml:space="preserve">extended construction timelines and higher financing costs. Under Policy Option 1, smoother</w:t>
      </w:r>
      <w:r>
        <w:t xml:space="preserve"> </w:t>
      </w:r>
      <w:r>
        <w:t xml:space="preserve">project execution would lower risk premia and help keep projects within budget, particularly</w:t>
      </w:r>
      <w:r>
        <w:t xml:space="preserve"> </w:t>
      </w:r>
      <w:r>
        <w:t xml:space="preserve">in Semiconductor Regions of Excellence whose infrastructure and procedures are suitably</w:t>
      </w:r>
      <w:r>
        <w:t xml:space="preserve"> </w:t>
      </w:r>
      <w:r>
        <w:t xml:space="preserve">adapted.</w:t>
      </w:r>
      <w:r>
        <w:br/>
      </w:r>
      <w:r>
        <w:t xml:space="preserve">A clarified FOAK approach (PM2) would give Member States greater flexibility to support</w:t>
      </w:r>
      <w:r>
        <w:t xml:space="preserve"> </w:t>
      </w:r>
      <w:r>
        <w:t xml:space="preserve">the entire value chain and thus support European industry in overcoming the cost constraints</w:t>
      </w:r>
      <w:r>
        <w:t xml:space="preserve"> </w:t>
      </w:r>
      <w:r>
        <w:t xml:space="preserve">discussed in PD2 due to localisation effects that lower logistics costs, reduce supply-chain</w:t>
      </w:r>
      <w:r>
        <w:t xml:space="preserve"> </w:t>
      </w:r>
      <w:r>
        <w:t xml:space="preserve">vulnerabilities, and instil co-development.(173)</w:t>
      </w:r>
      <w:r>
        <w:br/>
      </w:r>
      <w:r>
        <w:t xml:space="preserve">Other costs such as energy and labour costs are largely shaped by broader market conditions</w:t>
      </w:r>
      <w:r>
        <w:t xml:space="preserve"> </w:t>
      </w:r>
      <w:r>
        <w:t xml:space="preserve">and would not be affected by this option. However, investments in skills (PM7) and more</w:t>
      </w:r>
      <w:r>
        <w:t xml:space="preserve"> </w:t>
      </w:r>
      <w:r>
        <w:t xml:space="preserve">predictable framework conditions would raise labour productivity, support smoother ramp-up</w:t>
      </w:r>
      <w:r>
        <w:t xml:space="preserve"> </w:t>
      </w:r>
      <w:r>
        <w:t xml:space="preserve">and enhance yields. By easing skills shortages, improving the general investment conditions</w:t>
      </w:r>
      <w:r>
        <w:t xml:space="preserve"> </w:t>
      </w:r>
      <w:r>
        <w:t xml:space="preserve">and governance challenges, firms could reduce downtime, improve throughput and better</w:t>
      </w:r>
      <w:r>
        <w:t xml:space="preserve"> </w:t>
      </w:r>
      <w:r>
        <w:t xml:space="preserve">leverage automation.</w:t>
      </w:r>
      <w:r>
        <w:br/>
      </w:r>
      <w:r>
        <w:t xml:space="preserve">In these segments, modest reductions in effective capital and operating costs, combined</w:t>
      </w:r>
      <w:r>
        <w:t xml:space="preserve"> </w:t>
      </w:r>
      <w:r>
        <w:t xml:space="preserve">with more reliable project delivery, would lower risk margins than under BAU. While the</w:t>
      </w:r>
      <w:r>
        <w:t xml:space="preserve"> </w:t>
      </w:r>
      <w:r>
        <w:t xml:space="preserve">PO1 would strengthen the competitiveness of EU suppliers in automotive, industrial and</w:t>
      </w:r>
      <w:r>
        <w:t xml:space="preserve"> </w:t>
      </w:r>
      <w:r>
        <w:t xml:space="preserve">power-electronics markets, where customers value cost efficiency and supply reliability. The</w:t>
      </w:r>
      <w:r>
        <w:t xml:space="preserve"> </w:t>
      </w:r>
      <w:r>
        <w:t xml:space="preserve">effectiveness of accelerated permitting and streamlined FOAK will depend on Member</w:t>
      </w:r>
    </w:p>
    <w:p>
      <w:pPr>
        <w:pStyle w:val="Compact"/>
        <w:numPr>
          <w:ilvl w:val="0"/>
          <w:numId w:val="1049"/>
        </w:numPr>
      </w:pPr>
      <w:r>
        <w:t xml:space="preserve">Benchmarking shows that production costs in the US are roughly 16% lower, while costs in leading Asian</w:t>
      </w:r>
      <w:r>
        <w:t xml:space="preserve"> </w:t>
      </w:r>
      <w:r>
        <w:t xml:space="preserve">ecosystems can be up to 50% lower.</w:t>
      </w:r>
    </w:p>
    <w:p>
      <w:pPr>
        <w:pStyle w:val="Compact"/>
        <w:numPr>
          <w:ilvl w:val="0"/>
          <w:numId w:val="1049"/>
        </w:numPr>
      </w:pPr>
      <w:r>
        <w:t xml:space="preserve">Co-development advantages include faster process co-optimisations and joint research activities that are</w:t>
      </w:r>
      <w:r>
        <w:t xml:space="preserve"> </w:t>
      </w:r>
      <w:r>
        <w:t xml:space="preserve">common in dense ecosystems.</w:t>
      </w:r>
    </w:p>
    <w:p>
      <w:pPr>
        <w:pStyle w:val="FirstParagraph"/>
      </w:pPr>
      <w:r>
        <w:t xml:space="preserve">72</w:t>
      </w:r>
    </w:p>
    <w:p>
      <w:pPr>
        <w:pStyle w:val="BodyText"/>
      </w:pPr>
      <w:r>
        <w:t xml:space="preserve">States’ implementation capacity, which may produce uneven gains and potentially favour</w:t>
      </w:r>
      <w:r>
        <w:t xml:space="preserve"> </w:t>
      </w:r>
      <w:r>
        <w:t xml:space="preserve">incumbents.</w:t>
      </w:r>
      <w:r>
        <w:br/>
      </w:r>
      <w:r>
        <w:t xml:space="preserve">6.1.1.6 Impacts on public budget</w:t>
      </w:r>
      <w:r>
        <w:t xml:space="preserve"> </w:t>
      </w:r>
      <w:r>
        <w:t xml:space="preserve">Overall, the budgetary impact on EU, national and regional budgets would remain moderate</w:t>
      </w:r>
      <w:r>
        <w:t xml:space="preserve"> </w:t>
      </w:r>
      <w:r>
        <w:t xml:space="preserve">compared with the existing Chips Act envelope.</w:t>
      </w:r>
      <w:r>
        <w:t xml:space="preserve"> </w:t>
      </w:r>
      <w:r>
        <w:t xml:space="preserve">At Union level, the main budget effects stem from increased R&amp;D&amp;I commitments within the</w:t>
      </w:r>
      <w:r>
        <w:t xml:space="preserve"> </w:t>
      </w:r>
      <w:r>
        <w:t xml:space="preserve">the next MFF (2028–2034), notably through FP10 and the digital window of the proposed</w:t>
      </w:r>
      <w:r>
        <w:t xml:space="preserve"> </w:t>
      </w:r>
      <w:r>
        <w:t xml:space="preserve">ECF. Support would focus on research, pilot lines and innovation activities implemented</w:t>
      </w:r>
      <w:r>
        <w:t xml:space="preserve"> </w:t>
      </w:r>
      <w:r>
        <w:t xml:space="preserve">through existing instruments. Skills-related spending would increase relative to BAU, subject</w:t>
      </w:r>
      <w:r>
        <w:t xml:space="preserve"> </w:t>
      </w:r>
      <w:r>
        <w:t xml:space="preserve">to availability of budget under the next MFF, and would be channelled through established</w:t>
      </w:r>
      <w:r>
        <w:t xml:space="preserve"> </w:t>
      </w:r>
      <w:r>
        <w:t xml:space="preserve">funding streams. All this is subject to agreement on the next MFF, its programmes, and</w:t>
      </w:r>
      <w:r>
        <w:t xml:space="preserve"> </w:t>
      </w:r>
      <w:r>
        <w:t xml:space="preserve">allocation of budgets from programmes to actions described here. This document does not</w:t>
      </w:r>
      <w:r>
        <w:t xml:space="preserve"> </w:t>
      </w:r>
      <w:r>
        <w:t xml:space="preserve">alter or circumvent the design and architecture set out in the Commission’s proposal on the</w:t>
      </w:r>
      <w:r>
        <w:t xml:space="preserve"> </w:t>
      </w:r>
      <w:r>
        <w:t xml:space="preserve">MFF 2028–2034, nor does it pre-empt its implementation.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Business-to-business</w:t>
      </w:r>
      <w:r>
        <w:t xml:space="preserve"> </w:t>
      </w:r>
      <w:r>
        <w:t xml:space="preserve">Semiconductor Supply Chain Platform (PM5) are estimated at around EUR 70 million.</w:t>
      </w:r>
      <w:r>
        <w:t xml:space="preserve"> </w:t>
      </w:r>
      <w:r>
        <w:t xml:space="preserve">These figures are based on an analysis of comparable data infrastructures such as CATENA-</w:t>
      </w:r>
      <w:r>
        <w:t xml:space="preserve"> </w:t>
      </w:r>
      <w:r>
        <w:t xml:space="preserve">X.(174) Implementation would also require approximately six FTEs within the Commission to</w:t>
      </w:r>
      <w:r>
        <w:t xml:space="preserve"> </w:t>
      </w:r>
      <w:r>
        <w:t xml:space="preserve">gather, maintain and analyse data. These resources are necessary to anticipate disruptions,</w:t>
      </w:r>
      <w:r>
        <w:t xml:space="preserve"> </w:t>
      </w:r>
      <w:r>
        <w:t xml:space="preserve">coordinate preparedness measures and ensure the effective functioning of the monitoring</w:t>
      </w:r>
      <w:r>
        <w:t xml:space="preserve"> </w:t>
      </w:r>
      <w:r>
        <w:t xml:space="preserve">mechanism under Policy Option 1.</w:t>
      </w:r>
      <w:r>
        <w:t xml:space="preserve"> </w:t>
      </w:r>
      <w:r>
        <w:t xml:space="preserve">For Member States(175), a clarified FOAK definition (PM2) would facilitate public support</w:t>
      </w:r>
      <w:r>
        <w:t xml:space="preserve"> </w:t>
      </w:r>
      <w:r>
        <w:t xml:space="preserve">for semiconductor investments. This could increase national spending when compared with</w:t>
      </w:r>
      <w:r>
        <w:t xml:space="preserve"> </w:t>
      </w:r>
      <w:r>
        <w:t xml:space="preserve">BAU, although the magnitude would depend on national priorities and fiscal headroom.</w:t>
      </w:r>
      <w:r>
        <w:br/>
      </w:r>
      <w:r>
        <w:t xml:space="preserve">6.1.1.7 Impacts on R&amp;D and innovation ecosystem</w:t>
      </w:r>
      <w:r>
        <w:t xml:space="preserve"> </w:t>
      </w:r>
      <w:r>
        <w:t xml:space="preserve">PO1 is expected to generate positive impacts on European R&amp;D activity within the</w:t>
      </w:r>
      <w:r>
        <w:t xml:space="preserve"> </w:t>
      </w:r>
      <w:r>
        <w:t xml:space="preserve">semiconductor ecosystem and related sectors through increased funding (PM1) via the</w:t>
      </w:r>
      <w:r>
        <w:t xml:space="preserve"> </w:t>
      </w:r>
      <w:r>
        <w:t xml:space="preserve">proposed FP10 and ECF. The consultation process highlighted design capabilities as a</w:t>
      </w:r>
      <w:r>
        <w:t xml:space="preserve"> </w:t>
      </w:r>
      <w:r>
        <w:t xml:space="preserve">recurrent priority, including support for fabless actors, open-source architectures and</w:t>
      </w:r>
      <w:r>
        <w:t xml:space="preserve"> </w:t>
      </w:r>
      <w:r>
        <w:t xml:space="preserve">processor development. Under PO1, these priorities would primarily be addressed through</w:t>
      </w:r>
      <w:r>
        <w:t xml:space="preserve"> </w:t>
      </w:r>
      <w:r>
        <w:t xml:space="preserve">reinforced Pillar I instruments under PM1 (pilot lines, competence centres, quantum, design</w:t>
      </w:r>
      <w:r>
        <w:t xml:space="preserve"> </w:t>
      </w:r>
      <w:r>
        <w:t xml:space="preserve">support and the Chips Fund 2.0), improving technology maturity and knowledge diffusion but</w:t>
      </w:r>
      <w:r>
        <w:t xml:space="preserve"> </w:t>
      </w:r>
      <w:r>
        <w:t xml:space="preserve">with limited direct links to industrial-scale deployment. This additional support would also</w:t>
      </w:r>
      <w:r>
        <w:t xml:space="preserve"> </w:t>
      </w:r>
      <w:r>
        <w:t xml:space="preserve">strengthen the scientific and technological capabilities of universities and Research and</w:t>
      </w:r>
    </w:p>
    <w:p>
      <w:pPr>
        <w:pStyle w:val="Compact"/>
        <w:numPr>
          <w:ilvl w:val="0"/>
          <w:numId w:val="1050"/>
        </w:numPr>
      </w:pPr>
      <w:r>
        <w:t xml:space="preserve">Delivered! 5 Stars! Catena-X: A 3-year, EUR 250 million software start-up success | DIH</w:t>
      </w:r>
    </w:p>
    <w:p>
      <w:pPr>
        <w:pStyle w:val="Compact"/>
        <w:numPr>
          <w:ilvl w:val="0"/>
          <w:numId w:val="1050"/>
        </w:numPr>
      </w:pPr>
      <w:r>
        <w:t xml:space="preserve">It is not possible to quantify the potential increase in national expenditure, as this would depend on the</w:t>
      </w:r>
      <w:r>
        <w:t xml:space="preserve"> </w:t>
      </w:r>
      <w:r>
        <w:t xml:space="preserve">specific form of simplification introduced, the fiscal space and policy priorities of individual Member States, and</w:t>
      </w:r>
      <w:r>
        <w:t xml:space="preserve"> </w:t>
      </w:r>
      <w:r>
        <w:t xml:space="preserve">their willingness to expand or redesign national schemes. While streamlined procedures could reduce</w:t>
      </w:r>
      <w:r>
        <w:t xml:space="preserve"> </w:t>
      </w:r>
      <w:r>
        <w:t xml:space="preserve">administrative costs and may lead to higher demand for support from firms, any resulting increase in national</w:t>
      </w:r>
      <w:r>
        <w:t xml:space="preserve"> </w:t>
      </w:r>
      <w:r>
        <w:t xml:space="preserve">spending would remain uncertain and cannot be reliably estimated ex ante.</w:t>
      </w:r>
    </w:p>
    <w:p>
      <w:pPr>
        <w:pStyle w:val="FirstParagraph"/>
      </w:pPr>
      <w:r>
        <w:t xml:space="preserve">73</w:t>
      </w:r>
    </w:p>
    <w:p>
      <w:pPr>
        <w:pStyle w:val="BodyText"/>
      </w:pPr>
      <w:r>
        <w:t xml:space="preserve">Technology Organisations. A secondary, indirect effect may result from reinforced</w:t>
      </w:r>
      <w:r>
        <w:t xml:space="preserve"> </w:t>
      </w:r>
      <w:r>
        <w:t xml:space="preserve">complementary national actions since higher EU-level investment, that is contingent on co-</w:t>
      </w:r>
      <w:r>
        <w:t xml:space="preserve"> </w:t>
      </w:r>
      <w:r>
        <w:t xml:space="preserve">funding, could incentivise Member States to increase their own R&amp;D efforts in order to</w:t>
      </w:r>
      <w:r>
        <w:t xml:space="preserve"> </w:t>
      </w:r>
      <w:r>
        <w:t xml:space="preserve">leverage synergies and maintain competitiveness. Such a dynamic could further boost the</w:t>
      </w:r>
      <w:r>
        <w:t xml:space="preserve"> </w:t>
      </w:r>
      <w:r>
        <w:t xml:space="preserve">EU’s capacity to advance semiconductor research and innovation.</w:t>
      </w:r>
      <w:r>
        <w:t xml:space="preserve"> </w:t>
      </w:r>
      <w:r>
        <w:t xml:space="preserve">Technology transfer and knowledge spillovers are likely to intensify as a consequence of</w:t>
      </w:r>
      <w:r>
        <w:t xml:space="preserve"> </w:t>
      </w:r>
      <w:r>
        <w:t xml:space="preserve">increased R&amp;D activity. The semiconductor sector already exhibits strong linkages between</w:t>
      </w:r>
      <w:r>
        <w:t xml:space="preserve"> </w:t>
      </w:r>
      <w:r>
        <w:t xml:space="preserve">academia and industry, and existing Chips Act projects have established cooperation</w:t>
      </w:r>
      <w:r>
        <w:t xml:space="preserve"> </w:t>
      </w:r>
      <w:r>
        <w:t xml:space="preserve">structures that reduce barriers to knowledge exchange. Enhanced collaboration should</w:t>
      </w:r>
      <w:r>
        <w:t xml:space="preserve"> </w:t>
      </w:r>
      <w:r>
        <w:t xml:space="preserve">therefore facilitate the diffusion of scientific and technical know-how, including from foreign</w:t>
      </w:r>
      <w:r>
        <w:t xml:space="preserve"> </w:t>
      </w:r>
      <w:r>
        <w:t xml:space="preserve">firms expanding their activities in the EU to domestic enterprises and universities.</w:t>
      </w:r>
      <w:r>
        <w:t xml:space="preserve"> </w:t>
      </w:r>
      <w:r>
        <w:t xml:space="preserve">The funding of new actions on R&amp;D&amp;I (revised Pillar 1) in Chips Act 2 will depend on the</w:t>
      </w:r>
      <w:r>
        <w:t xml:space="preserve"> </w:t>
      </w:r>
      <w:r>
        <w:t xml:space="preserve">whether the digital windows of the proposed FP10 and the ECF are of sufficient size and scale</w:t>
      </w:r>
      <w:r>
        <w:t xml:space="preserve"> </w:t>
      </w:r>
      <w:r>
        <w:t xml:space="preserve">to maintain European leadership in semiconductor research and support the industrialisation</w:t>
      </w:r>
      <w:r>
        <w:t xml:space="preserve"> </w:t>
      </w:r>
      <w:r>
        <w:t xml:space="preserve">from the ‘lab to the fab’. Since it is expected that the Chips JU will serve as the prime vehicle</w:t>
      </w:r>
      <w:r>
        <w:t xml:space="preserve"> </w:t>
      </w:r>
      <w:r>
        <w:t xml:space="preserve">for the deployment of this funding, the modalities of how this R&amp;D&amp;I support will be</w:t>
      </w:r>
      <w:r>
        <w:t xml:space="preserve"> </w:t>
      </w:r>
      <w:r>
        <w:t xml:space="preserve">deployed will be elaborated in the upcoming policymaking process related to the follow-</w:t>
      </w:r>
      <w:r>
        <w:t xml:space="preserve"> </w:t>
      </w:r>
      <w:r>
        <w:t xml:space="preserve">up legislation to Council Regulation 2021/2085 establishing Joint Undertakings.</w:t>
      </w:r>
      <w:r>
        <w:t xml:space="preserve"> </w:t>
      </w:r>
      <w:r>
        <w:t xml:space="preserve">When it comes to the impact of a renewed Chips Fund 2.0 in the next Chips Act, one can</w:t>
      </w:r>
      <w:r>
        <w:t xml:space="preserve"> </w:t>
      </w:r>
      <w:r>
        <w:t xml:space="preserve">consider the outcomes of the current Chips Fund, which is implemented through the EIC</w:t>
      </w:r>
      <w:r>
        <w:t xml:space="preserve"> </w:t>
      </w:r>
      <w:r>
        <w:t xml:space="preserve">accelerator and Invest EU. The Chips Fund has led to a total public investment of EUR 425</w:t>
      </w:r>
      <w:r>
        <w:t xml:space="preserve"> </w:t>
      </w:r>
      <w:r>
        <w:t xml:space="preserve">million and has resulted in the funding of 55 semiconductor and quantum startups, leveraging</w:t>
      </w:r>
      <w:r>
        <w:t xml:space="preserve"> </w:t>
      </w:r>
      <w:r>
        <w:t xml:space="preserve">an average of EUR 3.8 of private investments for each Euro of equity investment from public</w:t>
      </w:r>
      <w:r>
        <w:t xml:space="preserve"> </w:t>
      </w:r>
      <w:r>
        <w:t xml:space="preserve">funding.</w:t>
      </w:r>
      <w:r>
        <w:br/>
      </w:r>
      <w:r>
        <w:t xml:space="preserve">6.1.1.8 Impacts on SME/start-up ecosystem</w:t>
      </w:r>
      <w:r>
        <w:t xml:space="preserve"> </w:t>
      </w:r>
      <w:r>
        <w:t xml:space="preserve">The lab-to-fab gap is widely recognised as a key barrier to start-up dynamism in the</w:t>
      </w:r>
      <w:r>
        <w:t xml:space="preserve"> </w:t>
      </w:r>
      <w:r>
        <w:t xml:space="preserve">European semiconductor ecosystem. However, underlying drivers of this gap, such as limited</w:t>
      </w:r>
      <w:r>
        <w:t xml:space="preserve"> </w:t>
      </w:r>
      <w:r>
        <w:t xml:space="preserve">venture capital and administrative burdens, reflect long-standing structural challenges for</w:t>
      </w:r>
      <w:r>
        <w:t xml:space="preserve"> </w:t>
      </w:r>
      <w:r>
        <w:t xml:space="preserve">European start-ups. These issues fall beyond the scope of the Chips Act and require broader</w:t>
      </w:r>
      <w:r>
        <w:t xml:space="preserve"> </w:t>
      </w:r>
      <w:r>
        <w:t xml:space="preserve">action. SMEs often face higher barriers to entry in Chips Act instruments, as application</w:t>
      </w:r>
      <w:r>
        <w:t xml:space="preserve"> </w:t>
      </w:r>
      <w:r>
        <w:t xml:space="preserve">processes impose disproportionate administrative and compliance costs compared with larger</w:t>
      </w:r>
      <w:r>
        <w:t xml:space="preserve"> </w:t>
      </w:r>
      <w:r>
        <w:t xml:space="preserve">firms.</w:t>
      </w:r>
      <w:r>
        <w:br/>
      </w:r>
      <w:r>
        <w:t xml:space="preserve">Policy Option 1 is expected to generate only modest improvements for the start-up and</w:t>
      </w:r>
      <w:r>
        <w:t xml:space="preserve"> </w:t>
      </w:r>
      <w:r>
        <w:t xml:space="preserve">SME ecosystem. Start-ups and SMEs would benefit indirectly from an improved regulatory</w:t>
      </w:r>
      <w:r>
        <w:t xml:space="preserve"> </w:t>
      </w:r>
      <w:r>
        <w:t xml:space="preserve">framework as well as potential technology transfer and financial support from the</w:t>
      </w:r>
      <w:r>
        <w:t xml:space="preserve"> </w:t>
      </w:r>
      <w:r>
        <w:t xml:space="preserve">aforementioned intensified R&amp;D&amp;I activities.</w:t>
      </w:r>
      <w:r>
        <w:br/>
      </w:r>
      <w:r>
        <w:t xml:space="preserve">6.1.2 Environmental impacts</w:t>
      </w:r>
      <w:r>
        <w:t xml:space="preserve"> </w:t>
      </w:r>
      <w:r>
        <w:t xml:space="preserve">Under PO1, the estimated increase in environmental impact is moderate and reflects normal</w:t>
      </w:r>
      <w:r>
        <w:t xml:space="preserve"> </w:t>
      </w:r>
      <w:r>
        <w:t xml:space="preserve">industry developments associated with capacity expansion. Considering the projected increase</w:t>
      </w:r>
      <w:r>
        <w:t xml:space="preserve"> </w:t>
      </w:r>
      <w:r>
        <w:t xml:space="preserve">in manufacturing capacity under PO1, largely through brownfield expansions, calculations</w:t>
      </w:r>
      <w:r>
        <w:t xml:space="preserve"> </w:t>
      </w:r>
      <w:r>
        <w:t xml:space="preserve">indicate that Scope 1 emissions would be around 0.064 tCO2e per wafer, while Scope 2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emissions would account to approximately 0.325 tCO2e per wafer on a location-based basis</w:t>
      </w:r>
      <w:r>
        <w:t xml:space="preserve"> </w:t>
      </w:r>
      <w:r>
        <w:t xml:space="preserve">and 0.288 tCO2e per wafer on a market-based basis(176). These results are in line with the</w:t>
      </w:r>
      <w:r>
        <w:t xml:space="preserve"> </w:t>
      </w:r>
      <w:r>
        <w:t xml:space="preserve">imec.netzero multi-parametric life-cycle assessment model of the environmental footprint for</w:t>
      </w:r>
      <w:r>
        <w:t xml:space="preserve"> </w:t>
      </w:r>
      <w:r>
        <w:t xml:space="preserve">the fabrication of integrated circuits in a high-volume semiconductor fab – 0.08 tCO2e per</w:t>
      </w:r>
      <w:r>
        <w:t xml:space="preserve"> </w:t>
      </w:r>
      <w:r>
        <w:t xml:space="preserve">wafer for Scope 1 emissions and 0.42 tCO2e per wafer for Scope 2 emissions.(177) Water</w:t>
      </w:r>
      <w:r>
        <w:t xml:space="preserve"> </w:t>
      </w:r>
      <w:r>
        <w:t xml:space="preserve">withdrawal is estimated to increase by about 10.75 m3 per wafer.</w:t>
      </w:r>
      <w:r>
        <w:br/>
      </w:r>
      <w:r>
        <w:t xml:space="preserve">Under PO1, more favourable policy frameworks would lead to a manufacturing capacity</w:t>
      </w:r>
      <w:r>
        <w:t xml:space="preserve"> </w:t>
      </w:r>
      <w:r>
        <w:t xml:space="preserve">growth rate of 4% from 2030 onwards. This would lead to a capacity of 20.3 million wafers</w:t>
      </w:r>
      <w:r>
        <w:t xml:space="preserve"> </w:t>
      </w:r>
      <w:r>
        <w:t xml:space="preserve">per year, which in turn would account to between 1.3 – 1.6 Mt CO2 in Scope 1 emissions and</w:t>
      </w:r>
      <w:r>
        <w:t xml:space="preserve"> </w:t>
      </w:r>
      <w:r>
        <w:t xml:space="preserve">6.6 – 8.52 Mt CO2 in Scope 2 emissions (location-based). Overall, the environmental costs</w:t>
      </w:r>
      <w:r>
        <w:t xml:space="preserve"> </w:t>
      </w:r>
      <w:r>
        <w:t xml:space="preserve">under PO1 are estimated to be between EUR 1.5 – EUR 2.4 billion (taking into consideration</w:t>
      </w:r>
      <w:r>
        <w:t xml:space="preserve"> </w:t>
      </w:r>
      <w:r>
        <w:t xml:space="preserve">aggregated Scope 1 and 2 emissions (location-based)).</w:t>
      </w:r>
      <w:r>
        <w:t xml:space="preserve"> </w:t>
      </w:r>
      <w:r>
        <w:t xml:space="preserve">Accelerated permitting, clearer and more predictable regulatory frameworks, and improved</w:t>
      </w:r>
      <w:r>
        <w:t xml:space="preserve"> </w:t>
      </w:r>
      <w:r>
        <w:t xml:space="preserve">infrastructure coordination can support earlier deployment of resource-efficient technologies</w:t>
      </w:r>
      <w:r>
        <w:t xml:space="preserve"> </w:t>
      </w:r>
      <w:r>
        <w:t xml:space="preserve">and facilitate access to low-carbon and renewable energy. Targeted support for research,</w:t>
      </w:r>
      <w:r>
        <w:t xml:space="preserve"> </w:t>
      </w:r>
      <w:r>
        <w:t xml:space="preserve">development and innovation under PM1 is also expected to improve energy, water and</w:t>
      </w:r>
      <w:r>
        <w:t xml:space="preserve"> </w:t>
      </w:r>
      <w:r>
        <w:t xml:space="preserve">material efficiency over time.</w:t>
      </w:r>
      <w:r>
        <w:t xml:space="preserve"> </w:t>
      </w:r>
      <w:r>
        <w:t xml:space="preserve">From a climate perspective, PO1 is broadly aligned with EU climate objectives, including the</w:t>
      </w:r>
      <w:r>
        <w:t xml:space="preserve"> </w:t>
      </w:r>
      <w:r>
        <w:t xml:space="preserve">2030 emissions reduction target and climate neutrality by 2050. The small increase in</w:t>
      </w:r>
      <w:r>
        <w:t xml:space="preserve"> </w:t>
      </w:r>
      <w:r>
        <w:t xml:space="preserve">emissions per wafer, combined with Europe’s low-carbon electricity mix and growing</w:t>
      </w:r>
      <w:r>
        <w:t xml:space="preserve"> </w:t>
      </w:r>
      <w:r>
        <w:t xml:space="preserve">renewable capacity, limits the risk of a significant rise in absolute greenhouse gas emissions.</w:t>
      </w:r>
      <w:r>
        <w:t xml:space="preserve"> </w:t>
      </w:r>
      <w:r>
        <w:t xml:space="preserve">Overall, the environmental and climate impacts of PO1 would be incremental, manageable</w:t>
      </w:r>
      <w:r>
        <w:t xml:space="preserve"> </w:t>
      </w:r>
      <w:r>
        <w:t xml:space="preserve">and compatible with decarbonisation pathways.</w:t>
      </w:r>
      <w:r>
        <w:t xml:space="preserve"> </w:t>
      </w:r>
      <w:r>
        <w:t xml:space="preserve">6.1.3 Social impacts</w:t>
      </w:r>
      <w:r>
        <w:t xml:space="preserve"> </w:t>
      </w:r>
      <w:r>
        <w:t xml:space="preserve">6.1.3.1 Impact on skills.</w:t>
      </w:r>
      <w:r>
        <w:t xml:space="preserve"> </w:t>
      </w:r>
      <w:r>
        <w:t xml:space="preserve">PO1 through PM7 aims to rapidly address ongoing skills shortages, which in Europe is</w:t>
      </w:r>
      <w:r>
        <w:t xml:space="preserve"> </w:t>
      </w:r>
      <w:r>
        <w:t xml:space="preserve">currently estimated at 100,000 engineers(178), while establishing a robust talent pipeline</w:t>
      </w:r>
      <w:r>
        <w:t xml:space="preserve"> </w:t>
      </w:r>
      <w:r>
        <w:t xml:space="preserve">for the semiconductor ecosystem. This focus is supported by feedback from the open public</w:t>
      </w:r>
      <w:r>
        <w:t xml:space="preserve"> </w:t>
      </w:r>
      <w:r>
        <w:t xml:space="preserve">consultation, where 94% of respondents agreed that serious talent shortages require</w:t>
      </w:r>
      <w:r>
        <w:t xml:space="preserve"> </w:t>
      </w:r>
      <w:r>
        <w:t xml:space="preserve">investment in attraction, skilling, reskilling and training policies (with 65% strongly</w:t>
      </w:r>
      <w:r>
        <w:t xml:space="preserve"> </w:t>
      </w:r>
      <w:r>
        <w:t xml:space="preserve">agreeing). This option would combine short-term interventions designed to mobilise available</w:t>
      </w:r>
      <w:r>
        <w:t xml:space="preserve"> </w:t>
      </w:r>
      <w:r>
        <w:t xml:space="preserve">labour with long-term structural reforms to strengthen the EU’s education and training</w:t>
      </w:r>
      <w:r>
        <w:t xml:space="preserve"> </w:t>
      </w:r>
      <w:r>
        <w:t xml:space="preserve">capacities. It would respond directly to industry demands, labour market projections and</w:t>
      </w:r>
      <w:r>
        <w:t xml:space="preserve"> </w:t>
      </w:r>
      <w:r>
        <w:t xml:space="preserve">Member State feedback gathered during the evaluation of the Chips Act.</w:t>
      </w:r>
    </w:p>
    <w:p>
      <w:pPr>
        <w:pStyle w:val="Compact"/>
        <w:numPr>
          <w:ilvl w:val="0"/>
          <w:numId w:val="1051"/>
        </w:numPr>
      </w:pPr>
      <w:r>
        <w:t xml:space="preserve">All calculations are presented in Annex 4, section 4.</w:t>
      </w:r>
    </w:p>
    <w:p>
      <w:pPr>
        <w:pStyle w:val="Compact"/>
        <w:numPr>
          <w:ilvl w:val="0"/>
          <w:numId w:val="1051"/>
        </w:numPr>
      </w:pPr>
      <w:r>
        <w:t xml:space="preserve">Die Setup - imec.netzero; technologies: N28 (Logic Mobile SoC, 300 mm), Germany - average ; 10 mm</w:t>
      </w:r>
      <w:r>
        <w:t xml:space="preserve"> </w:t>
      </w:r>
      <w:r>
        <w:t xml:space="preserve">die size X and die size Y: yield 85%; IPCC Tier 2C with combustion abatement model.</w:t>
      </w:r>
    </w:p>
    <w:p>
      <w:pPr>
        <w:pStyle w:val="Compact"/>
        <w:numPr>
          <w:ilvl w:val="0"/>
          <w:numId w:val="1051"/>
        </w:numPr>
      </w:pPr>
      <w:r>
        <w:t xml:space="preserve">McKinsey &amp; Company. (2024). McKinsey on semiconductors: Creating value, pursuing innovation, and</w:t>
      </w:r>
      <w:r>
        <w:t xml:space="preserve"> </w:t>
      </w:r>
      <w:r>
        <w:t xml:space="preserve">optimizing operations (No. 9, March 2024). McKinsey &amp; Company.</w:t>
      </w:r>
    </w:p>
    <w:p>
      <w:pPr>
        <w:pStyle w:val="FirstParagraph"/>
      </w:pPr>
      <w:r>
        <w:t xml:space="preserve">75</w:t>
      </w:r>
    </w:p>
    <w:p>
      <w:pPr>
        <w:pStyle w:val="BodyText"/>
      </w:pPr>
      <w:r>
        <w:t xml:space="preserve">Evidence points to a significant tightening of the talent pipeline: analysis referenced by the</w:t>
      </w:r>
      <w:r>
        <w:t xml:space="preserve"> </w:t>
      </w:r>
      <w:r>
        <w:t xml:space="preserve">European Chips Skills Academy indicates that around 30% of the current semiconductor</w:t>
      </w:r>
      <w:r>
        <w:t xml:space="preserve"> </w:t>
      </w:r>
      <w:r>
        <w:t xml:space="preserve">workforce is expected to retire between 2023 and 2030, increasing replacement and</w:t>
      </w:r>
      <w:r>
        <w:t xml:space="preserve"> </w:t>
      </w:r>
      <w:r>
        <w:t xml:space="preserve">upskilling needs. In addition, an ECSA stakeholder survey identifies chip design profiles as</w:t>
      </w:r>
      <w:r>
        <w:t xml:space="preserve"> </w:t>
      </w:r>
      <w:r>
        <w:t xml:space="preserve">a critical shortage, with 52% of firms reporting them among the most sought-after roles.</w:t>
      </w:r>
      <w:r>
        <w:t xml:space="preserve"> </w:t>
      </w:r>
      <w:r>
        <w:t xml:space="preserve">These constraints reinforce the rationale for PM7 as a prerequisite for scaling advanced</w:t>
      </w:r>
      <w:r>
        <w:t xml:space="preserve"> </w:t>
      </w:r>
      <w:r>
        <w:t xml:space="preserve">manufacturing and the EU’s fabless ecosystem.</w:t>
      </w:r>
      <w:r>
        <w:t xml:space="preserve"> </w:t>
      </w:r>
      <w:r>
        <w:t xml:space="preserve">PO1 would support targeted upskilling and reskilling programmes to support the rapid</w:t>
      </w:r>
      <w:r>
        <w:t xml:space="preserve"> </w:t>
      </w:r>
      <w:r>
        <w:t xml:space="preserve">adaptation of the existing workforce. These programmes would enable engineers to transition</w:t>
      </w:r>
      <w:r>
        <w:t xml:space="preserve"> </w:t>
      </w:r>
      <w:r>
        <w:t xml:space="preserve">from digital design to analogue and system design and equipment manufacturing workers</w:t>
      </w:r>
      <w:r>
        <w:t xml:space="preserve"> </w:t>
      </w:r>
      <w:r>
        <w:t xml:space="preserve">with the competencies needed to operate AI- and robotics-based tools and manage associated</w:t>
      </w:r>
      <w:r>
        <w:t xml:space="preserve"> </w:t>
      </w:r>
      <w:r>
        <w:t xml:space="preserve">data processes.</w:t>
      </w:r>
    </w:p>
    <w:p>
      <w:pPr>
        <w:pStyle w:val="BodyText"/>
      </w:pPr>
      <w:r>
        <w:t xml:space="preserve">Figure 18 - EU regions facing a talent gap versus talent surplus in semiconductor industry</w:t>
      </w:r>
      <w:r>
        <w:t xml:space="preserve"> </w:t>
      </w:r>
      <w:r>
        <w:t xml:space="preserve">(Source: European Skills Strategy 2025)</w:t>
      </w:r>
      <w:r>
        <w:t xml:space="preserve"> </w:t>
      </w:r>
      <w:r>
        <w:t xml:space="preserve">To ensure long-term resilience, PO1 foresees significant expansion of training capacities in</w:t>
      </w:r>
      <w:r>
        <w:t xml:space="preserve"> </w:t>
      </w:r>
      <w:r>
        <w:t xml:space="preserve">critical semiconductor fields. Dedicated training hubs would be created for highly</w:t>
      </w:r>
      <w:r>
        <w:t xml:space="preserve"> </w:t>
      </w:r>
      <w:r>
        <w:t xml:space="preserve">specialised profiles such as system designers, analogue designers and cybersecurity experts,</w:t>
      </w:r>
      <w:r>
        <w:t xml:space="preserve"> </w:t>
      </w:r>
      <w:r>
        <w:t xml:space="preserve">where severe shortages are expected by 2030. In addition, the option targets reinforcement of</w:t>
      </w:r>
      <w:r>
        <w:t xml:space="preserve"> </w:t>
      </w:r>
      <w:r>
        <w:t xml:space="preserve">electrical and electronic engineering programmes, with a particular focus on Member States</w:t>
      </w:r>
      <w:r>
        <w:t xml:space="preserve"> </w:t>
      </w:r>
      <w:r>
        <w:t xml:space="preserve">where capacity is insufficient or declining. PO1 would promote the deployment of modern</w:t>
      </w:r>
      <w:r>
        <w:t xml:space="preserve"> </w:t>
      </w:r>
      <w:r>
        <w:t xml:space="preserve">digital learning infrastructures, including virtual labs, simulation platforms and remote</w:t>
      </w:r>
      <w:r>
        <w:t xml:space="preserve"> </w:t>
      </w:r>
      <w:r>
        <w:t xml:space="preserve">learning environments, to ensure high-quality training across the Union. Concrete</w:t>
      </w:r>
      <w:r>
        <w:t xml:space="preserve"> </w:t>
      </w:r>
      <w:r>
        <w:t xml:space="preserve">implementation of these activities would rely on the Chips JU and its successor.</w:t>
      </w:r>
      <w:r>
        <w:br/>
      </w:r>
      <w:r>
        <w:t xml:space="preserve">The lack of available design talent in the Union has contributed to firms expanding their</w:t>
      </w:r>
      <w:r>
        <w:t xml:space="preserve"> </w:t>
      </w:r>
      <w:r>
        <w:t xml:space="preserve">design workforce in other regions rather than in the EU, underscoring the relevance of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targeted skills investments to retain and grow high-value activities in Europe.(179)Therefore</w:t>
      </w:r>
      <w:r>
        <w:t xml:space="preserve"> </w:t>
      </w:r>
      <w:r>
        <w:t xml:space="preserve">the successful delivery of skills measures under PO1 would rely on strong industrial</w:t>
      </w:r>
      <w:r>
        <w:t xml:space="preserve"> </w:t>
      </w:r>
      <w:r>
        <w:t xml:space="preserve">participation. Companies would be encouraged to support the development of curricula with</w:t>
      </w:r>
      <w:r>
        <w:t xml:space="preserve"> </w:t>
      </w:r>
      <w:r>
        <w:t xml:space="preserve">universities and vocational providers, contribute to specialised short courses and training</w:t>
      </w:r>
      <w:r>
        <w:t xml:space="preserve"> </w:t>
      </w:r>
      <w:r>
        <w:t xml:space="preserve">modules, and systematically engage in updating educational content according to</w:t>
      </w:r>
      <w:r>
        <w:t xml:space="preserve"> </w:t>
      </w:r>
      <w:r>
        <w:t xml:space="preserve">technological evolution. Furthermore, considering that skills are a national competence,</w:t>
      </w:r>
      <w:r>
        <w:t xml:space="preserve"> </w:t>
      </w:r>
      <w:r>
        <w:t xml:space="preserve">the effectiveness of PM7 under PO1 also relies on the capacity of Member States and</w:t>
      </w:r>
      <w:r>
        <w:t xml:space="preserve"> </w:t>
      </w:r>
      <w:r>
        <w:t xml:space="preserve">regions to absorb the increased resources.</w:t>
      </w:r>
      <w:r>
        <w:br/>
      </w:r>
      <w:r>
        <w:t xml:space="preserve">6.1.3.2 Impacts on territorial cohesion.</w:t>
      </w:r>
      <w:r>
        <w:t xml:space="preserve"> </w:t>
      </w:r>
      <w:r>
        <w:t xml:space="preserve">As stated by the European Semiconductor Regions Alliance (ESRA), the European</w:t>
      </w:r>
      <w:r>
        <w:t xml:space="preserve"> </w:t>
      </w:r>
      <w:r>
        <w:t xml:space="preserve">semiconductor value chain “thrives on proximity, where co-located firms, research</w:t>
      </w:r>
      <w:r>
        <w:t xml:space="preserve"> </w:t>
      </w:r>
      <w:r>
        <w:t xml:space="preserve">institutions, and supply chain partners create synergies that amplify innovation and</w:t>
      </w:r>
      <w:r>
        <w:t xml:space="preserve"> </w:t>
      </w:r>
      <w:r>
        <w:t xml:space="preserve">production” (180). This points to how important the European semiconductor value chain can</w:t>
      </w:r>
      <w:r>
        <w:t xml:space="preserve"> </w:t>
      </w:r>
      <w:r>
        <w:t xml:space="preserve">be as an engine for regional development and cohesion. PO1 introduces under PM4 the</w:t>
      </w:r>
      <w:r>
        <w:t xml:space="preserve"> </w:t>
      </w:r>
      <w:r>
        <w:t xml:space="preserve">Semiconductor Regions of Excellence label, which would set voluntary standards for</w:t>
      </w:r>
      <w:r>
        <w:t xml:space="preserve"> </w:t>
      </w:r>
      <w:r>
        <w:t xml:space="preserve">regions to support their local semiconductor industry and streamline compliance</w:t>
      </w:r>
      <w:r>
        <w:t xml:space="preserve"> </w:t>
      </w:r>
      <w:r>
        <w:t xml:space="preserve">requirements.</w:t>
      </w:r>
      <w:r>
        <w:br/>
      </w:r>
      <w:r>
        <w:t xml:space="preserve">This measure would recognise regions who have direct measures in place to support the</w:t>
      </w:r>
      <w:r>
        <w:t xml:space="preserve"> </w:t>
      </w:r>
      <w:r>
        <w:t xml:space="preserve">semiconductor value chain in their region and aims to encourage additional regions to also</w:t>
      </w:r>
      <w:r>
        <w:t xml:space="preserve"> </w:t>
      </w:r>
      <w:r>
        <w:t xml:space="preserve">take supportive measures. The increased reputation of a region, for its excellence in the</w:t>
      </w:r>
      <w:r>
        <w:t xml:space="preserve"> </w:t>
      </w:r>
      <w:r>
        <w:t xml:space="preserve">semiconductor sector, through the PM4 label, will improve the visibility of said regions as</w:t>
      </w:r>
      <w:r>
        <w:t xml:space="preserve"> </w:t>
      </w:r>
      <w:r>
        <w:t xml:space="preserve">potential targets of investment into their local semiconductor ecosystem. A Network of</w:t>
      </w:r>
      <w:r>
        <w:t xml:space="preserve"> </w:t>
      </w:r>
      <w:r>
        <w:t xml:space="preserve">European Semiconductor Regions of Excellence would be established to exchange best</w:t>
      </w:r>
      <w:r>
        <w:t xml:space="preserve"> </w:t>
      </w:r>
      <w:r>
        <w:t xml:space="preserve">practices and encourage regions to develop complementary industrial strategies in synergy. In</w:t>
      </w:r>
      <w:r>
        <w:t xml:space="preserve"> </w:t>
      </w:r>
      <w:r>
        <w:t xml:space="preserve">this way, PO1, especially under PM4, is expected to have positive impacts on cohesion and</w:t>
      </w:r>
      <w:r>
        <w:t xml:space="preserve"> </w:t>
      </w:r>
      <w:r>
        <w:t xml:space="preserve">regional prosperity. The level of effectiveness of this measure will depend to a large extent on</w:t>
      </w:r>
      <w:r>
        <w:t xml:space="preserve"> </w:t>
      </w:r>
      <w:r>
        <w:t xml:space="preserve">the reputational value the label acquires to compel regions to take the necessary steps to grow</w:t>
      </w:r>
      <w:r>
        <w:t xml:space="preserve"> </w:t>
      </w:r>
      <w:r>
        <w:t xml:space="preserve">their semiconductor ecosystem.</w:t>
      </w:r>
      <w:r>
        <w:br/>
      </w:r>
      <w:r>
        <w:t xml:space="preserve">6.1.3.3 Impacts on security of supply</w:t>
      </w:r>
      <w:r>
        <w:t xml:space="preserve"> </w:t>
      </w:r>
      <w:r>
        <w:t xml:space="preserve">PM2 would clarify the scope of FOAK to encompass the wider semiconductor value chain</w:t>
      </w:r>
      <w:r>
        <w:t xml:space="preserve"> </w:t>
      </w:r>
      <w:r>
        <w:t xml:space="preserve">and to allow the financing of projects of public interest where these demonstrably contribute</w:t>
      </w:r>
      <w:r>
        <w:t xml:space="preserve"> </w:t>
      </w:r>
      <w:r>
        <w:t xml:space="preserve">to the EU’s security of supply and economic security, thereby addressing key</w:t>
      </w:r>
      <w:r>
        <w:t xml:space="preserve"> </w:t>
      </w:r>
      <w:r>
        <w:t xml:space="preserve">vulnerabilities in the EU semiconductor supply chain as identified under P1. By strengthening</w:t>
      </w:r>
      <w:r>
        <w:t xml:space="preserve"> </w:t>
      </w:r>
      <w:r>
        <w:t xml:space="preserve">support for identified supply chains, PM2 would help safeguard the functioning of the Single</w:t>
      </w:r>
      <w:r>
        <w:t xml:space="preserve"> </w:t>
      </w:r>
      <w:r>
        <w:t xml:space="preserve">Market and significantly enhance EU-level crisis preparedness and response, notably through</w:t>
      </w:r>
      <w:r>
        <w:t xml:space="preserve"> </w:t>
      </w:r>
      <w:r>
        <w:t xml:space="preserve">improved availability of chips in crisis. PM10 would incentivise the supply of semiconductor</w:t>
      </w:r>
      <w:r>
        <w:t xml:space="preserve"> </w:t>
      </w:r>
      <w:r>
        <w:t xml:space="preserve">in critical infrastructures from domestic undertakings or from third countries which can</w:t>
      </w:r>
      <w:r>
        <w:t xml:space="preserve"> </w:t>
      </w:r>
      <w:r>
        <w:t xml:space="preserve">guarantee security of supply. While the overall benefits cannot be fully quantified, they are</w:t>
      </w:r>
    </w:p>
    <w:p>
      <w:pPr>
        <w:pStyle w:val="Compact"/>
        <w:numPr>
          <w:ilvl w:val="0"/>
          <w:numId w:val="1052"/>
        </w:numPr>
      </w:pPr>
      <w:r>
        <w:t xml:space="preserve">Final-Skills-Strategy-2025-Nov2025.pdf</w:t>
      </w:r>
    </w:p>
    <w:p>
      <w:pPr>
        <w:pStyle w:val="Compact"/>
        <w:numPr>
          <w:ilvl w:val="0"/>
          <w:numId w:val="1052"/>
        </w:numPr>
      </w:pPr>
      <w:r>
        <w:t xml:space="preserve">ESRA, Home - European Semiconductor Regions Alliance</w:t>
      </w:r>
    </w:p>
    <w:p>
      <w:pPr>
        <w:pStyle w:val="FirstParagraph"/>
      </w:pPr>
      <w:r>
        <w:t xml:space="preserve">77</w:t>
      </w:r>
    </w:p>
    <w:p>
      <w:pPr>
        <w:pStyle w:val="BodyText"/>
      </w:pPr>
      <w:r>
        <w:t xml:space="preserve">expected to generate a substantially positive impact on security of supply by ensuring</w:t>
      </w:r>
      <w:r>
        <w:t xml:space="preserve"> </w:t>
      </w:r>
      <w:r>
        <w:t xml:space="preserve">continuity of essential goods and services during crises across the Union.</w:t>
      </w:r>
      <w:r>
        <w:t xml:space="preserve"> </w:t>
      </w:r>
      <w:r>
        <w:t xml:space="preserve">6.1.4 Governance</w:t>
      </w:r>
      <w:r>
        <w:t xml:space="preserve"> </w:t>
      </w:r>
      <w:r>
        <w:t xml:space="preserve">6.1.4.1 Impacts on governance</w:t>
      </w:r>
      <w:r>
        <w:br/>
      </w:r>
      <w:r>
        <w:t xml:space="preserve">PO1 introduces a set of industry-driven transparency tools aimed at improving situational</w:t>
      </w:r>
      <w:r>
        <w:t xml:space="preserve"> </w:t>
      </w:r>
      <w:r>
        <w:t xml:space="preserve">awareness and strengthening the Union’s capacity to anticipate, detect and mitigate</w:t>
      </w:r>
      <w:r>
        <w:t xml:space="preserve"> </w:t>
      </w:r>
      <w:r>
        <w:t xml:space="preserve">semiconductor supply chain disruptions, while minimising administrative burden and</w:t>
      </w:r>
      <w:r>
        <w:t xml:space="preserve"> </w:t>
      </w:r>
      <w:r>
        <w:t xml:space="preserve">protecting business confidentiality (PM6). Under this option the Union would support the</w:t>
      </w:r>
      <w:r>
        <w:t xml:space="preserve"> </w:t>
      </w:r>
      <w:r>
        <w:t xml:space="preserve">establishment of a Business-to-Business Semiconductor Supply Chain Platform (PM5) for</w:t>
      </w:r>
      <w:r>
        <w:t xml:space="preserve"> </w:t>
      </w:r>
      <w:r>
        <w:t xml:space="preserve">companies across the semiconductor value chain building on the recommendations of the</w:t>
      </w:r>
      <w:r>
        <w:t xml:space="preserve"> </w:t>
      </w:r>
      <w:r>
        <w:t xml:space="preserve">Working Group on Supply chains from the Industrial Alliance. (181) The Platform would</w:t>
      </w:r>
      <w:r>
        <w:t xml:space="preserve"> </w:t>
      </w:r>
      <w:r>
        <w:t xml:space="preserve">operate as a secure digital twin of the supply chain, enabling participating firms to upload</w:t>
      </w:r>
      <w:r>
        <w:t xml:space="preserve"> </w:t>
      </w:r>
      <w:r>
        <w:t xml:space="preserve">information, which would then be anonymised and aggregated. Companies would benefit</w:t>
      </w:r>
      <w:r>
        <w:t xml:space="preserve"> </w:t>
      </w:r>
      <w:r>
        <w:t xml:space="preserve">from aggregated insights on supply chain risks, thus supporting internal resilience-building</w:t>
      </w:r>
      <w:r>
        <w:t xml:space="preserve"> </w:t>
      </w:r>
      <w:r>
        <w:t xml:space="preserve">and reducing their own market-information costs. The platform would be managed by a</w:t>
      </w:r>
      <w:r>
        <w:t xml:space="preserve"> </w:t>
      </w:r>
      <w:r>
        <w:t xml:space="preserve">trusted intermediary on a secure data-sharing infrastructure and in compliance with Article</w:t>
      </w:r>
      <w:r>
        <w:t xml:space="preserve"> </w:t>
      </w:r>
      <w:r>
        <w:t xml:space="preserve">101 TFEU. The Platform would mitigate part of these risks by enabling trusted, privacy-</w:t>
      </w:r>
      <w:r>
        <w:t xml:space="preserve"> </w:t>
      </w:r>
      <w:r>
        <w:t xml:space="preserve">preserving multiparty computation and faster, more reliable information-sharing across the</w:t>
      </w:r>
      <w:r>
        <w:t xml:space="preserve"> </w:t>
      </w:r>
      <w:r>
        <w:t xml:space="preserve">semiconductor supply chain. By providing earlier visibility on supply constraints, demand</w:t>
      </w:r>
      <w:r>
        <w:t xml:space="preserve"> </w:t>
      </w:r>
      <w:r>
        <w:t xml:space="preserve">surges, and potential single points of failure, the Platform could reduce downstream</w:t>
      </w:r>
      <w:r>
        <w:t xml:space="preserve"> </w:t>
      </w:r>
      <w:r>
        <w:t xml:space="preserve">exposure to global shocks and limit the economic impact of disruptions. The type of</w:t>
      </w:r>
      <w:r>
        <w:t xml:space="preserve"> </w:t>
      </w:r>
      <w:r>
        <w:t xml:space="preserve">information shared through the Platform would be largely determined by participating</w:t>
      </w:r>
      <w:r>
        <w:t xml:space="preserve"> </w:t>
      </w:r>
      <w:r>
        <w:t xml:space="preserve">industrial stakeholders and is expected to relate to key supply chain metrics, such as</w:t>
      </w:r>
      <w:r>
        <w:t xml:space="preserve"> </w:t>
      </w:r>
      <w:r>
        <w:t xml:space="preserve">availability-to-promise (including available quantities and lead times). To ensure broad</w:t>
      </w:r>
      <w:r>
        <w:t xml:space="preserve"> </w:t>
      </w:r>
      <w:r>
        <w:t xml:space="preserve">participation and compliance, the measure would be accompanied by supporting actions (i.e.,</w:t>
      </w:r>
      <w:r>
        <w:t xml:space="preserve"> </w:t>
      </w:r>
      <w:r>
        <w:t xml:space="preserve">technical assistance and interoperability standards) aimed at reducing implementation costs</w:t>
      </w:r>
      <w:r>
        <w:t xml:space="preserve"> </w:t>
      </w:r>
      <w:r>
        <w:t xml:space="preserve">and facilitating effective uptake. The cost for the large companies is estimated at around EUR</w:t>
      </w:r>
      <w:r>
        <w:t xml:space="preserve"> </w:t>
      </w:r>
      <w:r>
        <w:t xml:space="preserve">100 000 for the initial year (including setting up the API connectors) and then EUR 50 000</w:t>
      </w:r>
      <w:r>
        <w:t xml:space="preserve"> </w:t>
      </w:r>
      <w:r>
        <w:t xml:space="preserve">for the yearly operations. (182)</w:t>
      </w:r>
      <w:r>
        <w:t xml:space="preserve"> </w:t>
      </w:r>
      <w:r>
        <w:t xml:space="preserve">PM5 is expected to generate substantial economic benefits by reducing the severity and</w:t>
      </w:r>
      <w:r>
        <w:t xml:space="preserve"> </w:t>
      </w:r>
      <w:r>
        <w:t xml:space="preserve">duration of potential supply chain disruptions. Public authorities and industry benefit from the</w:t>
      </w:r>
      <w:r>
        <w:t xml:space="preserve"> </w:t>
      </w:r>
      <w:r>
        <w:t xml:space="preserve">Platform’s real-time risk mapping, which enables faster crisis response and reduces</w:t>
      </w:r>
      <w:r>
        <w:t xml:space="preserve"> </w:t>
      </w:r>
      <w:r>
        <w:t xml:space="preserve">downstream disruption costs. Evidence gained from the workshop on supply chains and the</w:t>
      </w:r>
      <w:r>
        <w:t xml:space="preserve"> </w:t>
      </w:r>
      <w:r>
        <w:t xml:space="preserve">Call for Evidence (183) showed that supply chain transparency infrastructure should be</w:t>
      </w:r>
      <w:r>
        <w:t xml:space="preserve"> </w:t>
      </w:r>
      <w:r>
        <w:t xml:space="preserve">considered a core priority. Participants called for establishing platforms that collect and share</w:t>
      </w:r>
      <w:r>
        <w:t xml:space="preserve"> </w:t>
      </w:r>
      <w:r>
        <w:t xml:space="preserve">real-time information about disruptions, capacity, and supply levels whilst respecting</w:t>
      </w:r>
      <w:r>
        <w:t xml:space="preserve"> </w:t>
      </w:r>
      <w:r>
        <w:t xml:space="preserve">commercial sensitivities.(184)</w:t>
      </w:r>
    </w:p>
    <w:p>
      <w:pPr>
        <w:pStyle w:val="Compact"/>
        <w:numPr>
          <w:ilvl w:val="0"/>
          <w:numId w:val="1053"/>
        </w:numPr>
      </w:pPr>
      <w:r>
        <w:t xml:space="preserve">Working Group on Supply Chains | ALLPROS.eu</w:t>
      </w:r>
    </w:p>
    <w:p>
      <w:pPr>
        <w:pStyle w:val="Compact"/>
        <w:numPr>
          <w:ilvl w:val="0"/>
          <w:numId w:val="1053"/>
        </w:numPr>
      </w:pPr>
      <w:r>
        <w:t xml:space="preserve">Annex 3 of the Impact assessment.</w:t>
      </w:r>
    </w:p>
    <w:p>
      <w:pPr>
        <w:pStyle w:val="Compact"/>
        <w:numPr>
          <w:ilvl w:val="0"/>
          <w:numId w:val="1053"/>
        </w:numPr>
      </w:pPr>
      <w:r>
        <w:t xml:space="preserve">SEMI Europe Publishes 30 Recommendations for a Forward-Looking European Chips Act | SEMI</w:t>
      </w:r>
      <w:r>
        <w:t xml:space="preserve"> </w:t>
      </w:r>
      <w:r>
        <w:t xml:space="preserve">(184)Annex 2 Section 8</w:t>
      </w:r>
    </w:p>
    <w:p>
      <w:pPr>
        <w:pStyle w:val="FirstParagraph"/>
      </w:pPr>
      <w:r>
        <w:t xml:space="preserve">78</w:t>
      </w:r>
    </w:p>
    <w:p>
      <w:pPr>
        <w:pStyle w:val="BodyText"/>
      </w:pPr>
      <w:r>
        <w:t xml:space="preserve">The caveat is that quantifying the precise impact of such a measure is inherently difficult</w:t>
      </w:r>
      <w:r>
        <w:t xml:space="preserve"> </w:t>
      </w:r>
      <w:r>
        <w:t xml:space="preserve">as geopolitical and security risks are the main factors. For the purpose of this impact</w:t>
      </w:r>
      <w:r>
        <w:t xml:space="preserve"> </w:t>
      </w:r>
      <w:r>
        <w:t xml:space="preserve">assessment, the analysis focuses on illustrating what is economically at stake in the absence</w:t>
      </w:r>
      <w:r>
        <w:t xml:space="preserve"> </w:t>
      </w:r>
      <w:r>
        <w:t xml:space="preserve">of improved coordination and early-warning mechanisms. In 2023, two major consuming</w:t>
      </w:r>
      <w:r>
        <w:t xml:space="preserve"> </w:t>
      </w:r>
      <w:r>
        <w:t xml:space="preserve">sectors of semiconductors - motor vehicles and transport equipment (EUR 934 billion) and</w:t>
      </w:r>
      <w:r>
        <w:t xml:space="preserve"> </w:t>
      </w:r>
      <w:r>
        <w:t xml:space="preserve">machinery and equipment (EUR 600 billion) - generated over EUR 1.53 trillion in</w:t>
      </w:r>
      <w:r>
        <w:t xml:space="preserve"> </w:t>
      </w:r>
      <w:r>
        <w:t xml:space="preserve">production value. (185) Without an EU-wide monitoring and crisis-anticipation mechanism,</w:t>
      </w:r>
      <w:r>
        <w:t xml:space="preserve"> </w:t>
      </w:r>
      <w:r>
        <w:t xml:space="preserve">this output remains vulnerable to semiconductor supply shocks. In a worst-case scenario</w:t>
      </w:r>
      <w:r>
        <w:t xml:space="preserve"> </w:t>
      </w:r>
      <w:r>
        <w:t xml:space="preserve">driven by major geopolitical disruptions, more than EUR 1.5 trillion in annual economic</w:t>
      </w:r>
      <w:r>
        <w:t xml:space="preserve"> </w:t>
      </w:r>
      <w:r>
        <w:t xml:space="preserve">activity in these sectors alone could be at risk if alternative capabilities are not secured</w:t>
      </w:r>
      <w:r>
        <w:t xml:space="preserve"> </w:t>
      </w:r>
      <w:r>
        <w:t xml:space="preserve">within one year.</w:t>
      </w:r>
      <w:r>
        <w:t xml:space="preserve"> </w:t>
      </w:r>
      <w:r>
        <w:t xml:space="preserve">Two examples from recent years provide additional observable evidence. During the 2021–</w:t>
      </w:r>
      <w:r>
        <w:t xml:space="preserve"> </w:t>
      </w:r>
      <w:r>
        <w:t xml:space="preserve">2022 global semiconductor shortage, the European automotive industry incurred losses</w:t>
      </w:r>
      <w:r>
        <w:t xml:space="preserve"> </w:t>
      </w:r>
      <w:r>
        <w:t xml:space="preserve">estimated at over EUR 100 billion. (186) While the semiconductor market is inherently</w:t>
      </w:r>
      <w:r>
        <w:t xml:space="preserve"> </w:t>
      </w:r>
      <w:r>
        <w:t xml:space="preserve">cyclical, the structural vulnerabilities that contributed to this crisis persist and as described</w:t>
      </w:r>
      <w:r>
        <w:t xml:space="preserve"> </w:t>
      </w:r>
      <w:r>
        <w:t xml:space="preserve">under PD1, have in some respects intensified due to the current geopolitical context. Industry</w:t>
      </w:r>
      <w:r>
        <w:t xml:space="preserve"> </w:t>
      </w:r>
      <w:r>
        <w:t xml:space="preserve">data suggests, for example, that the chip shortfall linked to the Nexperia case could result in</w:t>
      </w:r>
      <w:r>
        <w:t xml:space="preserve"> </w:t>
      </w:r>
      <w:r>
        <w:t xml:space="preserve">more than EUR 5 billion in lost output for the affected sector in the final quarter of 2025</w:t>
      </w:r>
      <w:r>
        <w:t xml:space="preserve"> </w:t>
      </w:r>
      <w:r>
        <w:t xml:space="preserve">alone. (187)</w:t>
      </w:r>
      <w:r>
        <w:t xml:space="preserve"> </w:t>
      </w:r>
      <w:r>
        <w:t xml:space="preserve">Additionally, the option would further refine the Chips Act’s information request on an ad-</w:t>
      </w:r>
      <w:r>
        <w:t xml:space="preserve"> </w:t>
      </w:r>
      <w:r>
        <w:t xml:space="preserve">hoc basis, to assess potential pre-crisis stages with a view to identifying the appropriate and</w:t>
      </w:r>
      <w:r>
        <w:t xml:space="preserve"> </w:t>
      </w:r>
      <w:r>
        <w:t xml:space="preserve">proportionate content of such a request (PM6). The requests would ensure that industrial</w:t>
      </w:r>
      <w:r>
        <w:t xml:space="preserve"> </w:t>
      </w:r>
      <w:r>
        <w:t xml:space="preserve">stakeholders are not required to disclose business-confidential or commercially sensitive data.</w:t>
      </w:r>
      <w:r>
        <w:t xml:space="preserve"> </w:t>
      </w:r>
      <w:r>
        <w:t xml:space="preserve">Instead of granular, company-specific datasets, the Commission could ask for information</w:t>
      </w:r>
      <w:r>
        <w:t xml:space="preserve"> </w:t>
      </w:r>
      <w:r>
        <w:t xml:space="preserve">request - supported where possible by aggregated, non-sensitive data sourced from the</w:t>
      </w:r>
      <w:r>
        <w:t xml:space="preserve"> </w:t>
      </w:r>
      <w:r>
        <w:t xml:space="preserve">Platform and if judged insufficient directly by companies. Such requests would only be</w:t>
      </w:r>
      <w:r>
        <w:t xml:space="preserve"> </w:t>
      </w:r>
      <w:r>
        <w:t xml:space="preserve">applicable under strict safeguards. This soft approach reduces compliance burdens, ensures</w:t>
      </w:r>
      <w:r>
        <w:t xml:space="preserve"> </w:t>
      </w:r>
      <w:r>
        <w:t xml:space="preserve">principles of proportionality, and enhances trust and cooperation between industry and public</w:t>
      </w:r>
      <w:r>
        <w:t xml:space="preserve"> </w:t>
      </w:r>
      <w:r>
        <w:t xml:space="preserve">authorities. Burden per request for information can be estimated at 10 days/person and hence</w:t>
      </w:r>
      <w:r>
        <w:t xml:space="preserve"> </w:t>
      </w:r>
      <w:r>
        <w:t xml:space="preserve">less than 0.1 additional FTEs. (188) This can be translated into EUR 2782 per request and</w:t>
      </w:r>
      <w:r>
        <w:t xml:space="preserve"> </w:t>
      </w:r>
      <w:r>
        <w:t xml:space="preserve">hence negligible and appropriate, compared to the potential savings in anticipating a crisis.</w:t>
      </w:r>
      <w:r>
        <w:t xml:space="preserve"> </w:t>
      </w:r>
      <w:r>
        <w:t xml:space="preserve">Transmission of these requests would take place through a secured communication and</w:t>
      </w:r>
      <w:r>
        <w:t xml:space="preserve"> </w:t>
      </w:r>
      <w:r>
        <w:t xml:space="preserve">information could only be used for the purpose of this request.</w:t>
      </w:r>
      <w:r>
        <w:br/>
      </w:r>
      <w:r>
        <w:t xml:space="preserve">The safeguards would be similar to the ones provided in the articles 25 and 32 of the Chips</w:t>
      </w:r>
      <w:r>
        <w:t xml:space="preserve"> </w:t>
      </w:r>
      <w:r>
        <w:t xml:space="preserve">Act (which concern information gathering after the crisis stage is activated and treatment of</w:t>
      </w:r>
      <w:r>
        <w:t xml:space="preserve"> </w:t>
      </w:r>
      <w:r>
        <w:t xml:space="preserve">confidential information respectively). The safeguards should remain flexible enough though</w:t>
      </w:r>
      <w:r>
        <w:t xml:space="preserve"> </w:t>
      </w:r>
      <w:r>
        <w:t xml:space="preserve">to enable the Commission to request information. The requested information shall be limited</w:t>
      </w:r>
      <w:r>
        <w:t xml:space="preserve"> </w:t>
      </w:r>
      <w:r>
        <w:t xml:space="preserve">to what is necessary: to assess the nature of the potential semiconductor crisis and to</w:t>
      </w:r>
      <w:r>
        <w:t xml:space="preserve"> </w:t>
      </w:r>
      <w:r>
        <w:t xml:space="preserve">identify and assess potential mitigation or emergency measures at Union or national</w:t>
      </w:r>
    </w:p>
    <w:p>
      <w:pPr>
        <w:pStyle w:val="Compact"/>
        <w:numPr>
          <w:ilvl w:val="0"/>
          <w:numId w:val="1054"/>
        </w:numPr>
      </w:pPr>
      <w:r>
        <w:t xml:space="preserve">https://ec.europa.eu/eurostat/web/products-eurostat-news/w/ddn-20240724-1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Missing chips cost EUR100bn to the European auto sector | Allianz</w:t>
      </w:r>
    </w:p>
    <w:p>
      <w:pPr>
        <w:pStyle w:val="Compact"/>
        <w:numPr>
          <w:ilvl w:val="0"/>
          <w:numId w:val="1054"/>
        </w:numPr>
      </w:pPr>
      <w:r>
        <w:t xml:space="preserve">Europe’s Carmakers Brace for Severe Chip Supply Crisis</w:t>
      </w:r>
    </w:p>
    <w:p>
      <w:pPr>
        <w:pStyle w:val="Compact"/>
        <w:numPr>
          <w:ilvl w:val="0"/>
          <w:numId w:val="1054"/>
        </w:numPr>
      </w:pPr>
      <w:r>
        <w:t xml:space="preserve">Annex 3 of the Impact assessment.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level before a formal crisis activation (thus for preparedness of the Commission and</w:t>
      </w:r>
      <w:r>
        <w:t xml:space="preserve"> </w:t>
      </w:r>
      <w:r>
        <w:t xml:space="preserve">Member States in case private sector preparedness measures are not enough and public</w:t>
      </w:r>
      <w:r>
        <w:t xml:space="preserve"> </w:t>
      </w:r>
      <w:r>
        <w:t xml:space="preserve">intervention is required) or to assess whether initiating the procedure referred to in</w:t>
      </w:r>
      <w:r>
        <w:t xml:space="preserve"> </w:t>
      </w:r>
      <w:r>
        <w:t xml:space="preserve">Article 23 of the Chips Act (crisis activation) may be necessary and proportionate. </w:t>
      </w:r>
      <w:r>
        <w:br/>
      </w:r>
      <w:r>
        <w:t xml:space="preserve">These requests for information shall state the legal basis and purpose of the request, be limited</w:t>
      </w:r>
      <w:r>
        <w:t xml:space="preserve"> </w:t>
      </w:r>
      <w:r>
        <w:t xml:space="preserve">to what is necessary and be proportionate in terms of volume of the data and frequency of</w:t>
      </w:r>
      <w:r>
        <w:t xml:space="preserve"> </w:t>
      </w:r>
      <w:r>
        <w:t xml:space="preserve">access to the data requested, set out the time limit within which the information is to be</w:t>
      </w:r>
      <w:r>
        <w:t xml:space="preserve"> </w:t>
      </w:r>
      <w:r>
        <w:t xml:space="preserve">provided and possible penalties for incorrect, incomplete or misleading information. This</w:t>
      </w:r>
      <w:r>
        <w:t xml:space="preserve"> </w:t>
      </w:r>
      <w:r>
        <w:t xml:space="preserve">request for information should always be accompanied with a request to join the platform.</w:t>
      </w:r>
      <w:r>
        <w:t xml:space="preserve"> </w:t>
      </w:r>
      <w:r>
        <w:t xml:space="preserve">This approach ensures consistent data availability and harmonised monitoring practices across</w:t>
      </w:r>
      <w:r>
        <w:t xml:space="preserve"> </w:t>
      </w:r>
      <w:r>
        <w:t xml:space="preserve">the Union. This targeted access to detailed datasets would allow the Commission to assess</w:t>
      </w:r>
      <w:r>
        <w:t xml:space="preserve"> </w:t>
      </w:r>
      <w:r>
        <w:t xml:space="preserve">specific bottlenecks, dependencies or disruptions with high precision, before reaching the</w:t>
      </w:r>
      <w:r>
        <w:t xml:space="preserve"> </w:t>
      </w:r>
      <w:r>
        <w:t xml:space="preserve">crisis activation stage, thereby improving the effectiveness of proactive crisis-avoidance or</w:t>
      </w:r>
      <w:r>
        <w:t xml:space="preserve"> </w:t>
      </w:r>
      <w:r>
        <w:t xml:space="preserve">mitigation measures. Appropriate safeguards would be applied to ensure strict protection of</w:t>
      </w:r>
      <w:r>
        <w:t xml:space="preserve"> </w:t>
      </w:r>
      <w:r>
        <w:t xml:space="preserve">business-confidential information, proportionality of requests, and compliance with EU data</w:t>
      </w:r>
      <w:r>
        <w:t xml:space="preserve"> </w:t>
      </w:r>
      <w:r>
        <w:t xml:space="preserve">protection and competition rules.</w:t>
      </w:r>
      <w:r>
        <w:t xml:space="preserve"> </w:t>
      </w:r>
      <w:r>
        <w:t xml:space="preserve">The combined implementation of PM5 and PM6 would significantly strengthen the EU’s</w:t>
      </w:r>
      <w:r>
        <w:t xml:space="preserve"> </w:t>
      </w:r>
      <w:r>
        <w:t xml:space="preserve">ability to anticipate and mitigate semiconductor supply chain risks, particularly by improving</w:t>
      </w:r>
      <w:r>
        <w:t xml:space="preserve"> </w:t>
      </w:r>
      <w:r>
        <w:t xml:space="preserve">SO3 monitoring capabilities. This would enable a more agile, effective, and proactive</w:t>
      </w:r>
      <w:r>
        <w:t xml:space="preserve"> </w:t>
      </w:r>
      <w:r>
        <w:t xml:space="preserve">response to potential crises.</w:t>
      </w:r>
      <w:r>
        <w:t xml:space="preserve"> </w:t>
      </w:r>
      <w:r>
        <w:t xml:space="preserve">6.2</w:t>
      </w:r>
      <w:r>
        <w:t xml:space="preserve"> </w:t>
      </w:r>
      <w:r>
        <w:t xml:space="preserve">PO2 “STRATEGIC SOVEREIGNTY”</w:t>
      </w:r>
      <w:r>
        <w:t xml:space="preserve"> </w:t>
      </w:r>
      <w:r>
        <w:t xml:space="preserve">PO2 includes several key measures: designating Strategic Projects in line with the proposed</w:t>
      </w:r>
      <w:r>
        <w:t xml:space="preserve"> </w:t>
      </w:r>
      <w:r>
        <w:t xml:space="preserve">Competitiveness Fund to support initiatives under Pillar II, deploying innovation procurement</w:t>
      </w:r>
      <w:r>
        <w:t xml:space="preserve"> </w:t>
      </w:r>
      <w:r>
        <w:t xml:space="preserve">and lab-to-fab accelerators, and strengthening the Union’s capacity for crisis preparedness.</w:t>
      </w:r>
      <w:r>
        <w:t xml:space="preserve"> </w:t>
      </w:r>
      <w:r>
        <w:t xml:space="preserve">PO2 would also absorb all the policy measures under PO1.</w:t>
      </w:r>
      <w:r>
        <w:t xml:space="preserve"> </w:t>
      </w:r>
      <w:r>
        <w:t xml:space="preserve">6.2.1 Economic impacts</w:t>
      </w:r>
      <w:r>
        <w:t xml:space="preserve"> </w:t>
      </w:r>
      <w:r>
        <w:t xml:space="preserve">6.2.1.1 Impacts on EU semiconductor firms’ revenues</w:t>
      </w:r>
      <w:r>
        <w:t xml:space="preserve"> </w:t>
      </w:r>
      <w:r>
        <w:t xml:space="preserve">6.2.1.1.1 Semiconductor firms</w:t>
      </w:r>
      <w:r>
        <w:t xml:space="preserve"> </w:t>
      </w:r>
      <w:r>
        <w:t xml:space="preserve">Strategic Projects (PM8) are expected to increase the revenues of EU semiconductor firms,</w:t>
      </w:r>
      <w:r>
        <w:t xml:space="preserve"> </w:t>
      </w:r>
      <w:r>
        <w:t xml:space="preserve">with outcomes depending on the technological orientation of the investments. Assuming a</w:t>
      </w:r>
      <w:r>
        <w:t xml:space="preserve"> </w:t>
      </w:r>
      <w:r>
        <w:t xml:space="preserve">potential public budget envelope of EUR 15 billion from the EU via the ECF and from</w:t>
      </w:r>
      <w:r>
        <w:t xml:space="preserve"> </w:t>
      </w:r>
      <w:r>
        <w:t xml:space="preserve">Member States for the sovereign manufacturing stream, two scenarios can be considered.</w:t>
      </w:r>
      <w:r>
        <w:t xml:space="preserve"> </w:t>
      </w:r>
      <w:r>
        <w:t xml:space="preserve">As set out in Annex 4 Section 5, if new capacity broadly follows the current European wafer</w:t>
      </w:r>
      <w:r>
        <w:t xml:space="preserve"> </w:t>
      </w:r>
      <w:r>
        <w:t xml:space="preserve">mix, which is dominated by mature and specialty nodes, this investment would approximately</w:t>
      </w:r>
      <w:r>
        <w:t xml:space="preserve"> </w:t>
      </w:r>
      <w:r>
        <w:t xml:space="preserve">generate up to EUR 6.6 billion in additional annual revenue. In an alternate scenario where</w:t>
      </w:r>
      <w:r>
        <w:t xml:space="preserve"> </w:t>
      </w:r>
      <w:r>
        <w:t xml:space="preserve">part of the investment supports a leading-edge logic fab while the remainder follows the</w:t>
      </w:r>
      <w:r>
        <w:t xml:space="preserve"> </w:t>
      </w:r>
      <w:r>
        <w:t xml:space="preserve">existing mix, the higher value added would result in a significantly larger market impact of up</w:t>
      </w:r>
      <w:r>
        <w:t xml:space="preserve"> </w:t>
      </w:r>
      <w:r>
        <w:t xml:space="preserve">to EUR 11.5 billion per year. Together, these scenarios provide lower- and upper-bound</w:t>
      </w:r>
      <w:r>
        <w:t xml:space="preserve"> </w:t>
      </w:r>
      <w:r>
        <w:t xml:space="preserve">estimates of the revenue effects of Strategic Projects, depending on whether investment</w:t>
      </w:r>
      <w:r>
        <w:t xml:space="preserve"> </w:t>
      </w:r>
      <w:r>
        <w:t xml:space="preserve">reinforces the current industrial structure or enables a partial shift towards advanced</w:t>
      </w:r>
      <w:r>
        <w:t xml:space="preserve"> </w:t>
      </w:r>
      <w:r>
        <w:t xml:space="preserve">manufacturing. For simplicity of analysis, this projection considers only front-end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manufacturing since quantifying revenues from back-end facilities is more complex due to the</w:t>
      </w:r>
      <w:r>
        <w:t xml:space="preserve"> </w:t>
      </w:r>
      <w:r>
        <w:t xml:space="preserve">heterogeneous nature of back-end facilities, which are discussed further in Annex 4 Section 5.</w:t>
      </w:r>
      <w:r>
        <w:t xml:space="preserve"> </w:t>
      </w:r>
      <w:r>
        <w:t xml:space="preserve">Under the chip design stream of PM8, the Union and Member States, through their support</w:t>
      </w:r>
      <w:r>
        <w:t xml:space="preserve"> </w:t>
      </w:r>
      <w:r>
        <w:t xml:space="preserve">of designs of strategic importance to the Union such as those for AI chips, are expected to</w:t>
      </w:r>
      <w:r>
        <w:t xml:space="preserve"> </w:t>
      </w:r>
      <w:r>
        <w:t xml:space="preserve">have a net positive impact on the revenues of European semiconductor firms. Public support</w:t>
      </w:r>
      <w:r>
        <w:t xml:space="preserve"> </w:t>
      </w:r>
      <w:r>
        <w:t xml:space="preserve">is likely to de-risk early-stage design activities, accelerate time to market, and enable firms to</w:t>
      </w:r>
      <w:r>
        <w:t xml:space="preserve"> </w:t>
      </w:r>
      <w:r>
        <w:t xml:space="preserve">address high-growth segments with strong global demand. This, in turn, would for example</w:t>
      </w:r>
      <w:r>
        <w:t xml:space="preserve"> </w:t>
      </w:r>
      <w:r>
        <w:t xml:space="preserve">support higher licensing income, increased sales of proprietary designs, or gain in market</w:t>
      </w:r>
      <w:r>
        <w:t xml:space="preserve"> </w:t>
      </w:r>
      <w:r>
        <w:t xml:space="preserve">share for EU-based fabless companies. By strengthening the Union’s presence in advanced</w:t>
      </w:r>
      <w:r>
        <w:t xml:space="preserve"> </w:t>
      </w:r>
      <w:r>
        <w:t xml:space="preserve">and application-specific chip design, notably for AI and high-performance computing, these</w:t>
      </w:r>
      <w:r>
        <w:t xml:space="preserve"> </w:t>
      </w:r>
      <w:r>
        <w:t xml:space="preserve">measures are expected to contribute to higher value added and more resilient revenue streams,</w:t>
      </w:r>
      <w:r>
        <w:t xml:space="preserve"> </w:t>
      </w:r>
      <w:r>
        <w:t xml:space="preserve">compared to a continuation of current market trends without targeted public intervention.</w:t>
      </w:r>
      <w:r>
        <w:t xml:space="preserve"> </w:t>
      </w:r>
      <w:r>
        <w:t xml:space="preserve">Because the chips design stream could potentially support a wide variety of designs, end uses,</w:t>
      </w:r>
      <w:r>
        <w:t xml:space="preserve"> </w:t>
      </w:r>
      <w:r>
        <w:t xml:space="preserve">and technology combinations, with heterogeneous business models and revenue channels, it is</w:t>
      </w:r>
      <w:r>
        <w:t xml:space="preserve"> </w:t>
      </w:r>
      <w:r>
        <w:t xml:space="preserve">difficult to quantify its aggregate impact on semiconductor firms’ revenues in a robust</w:t>
      </w:r>
      <w:r>
        <w:t xml:space="preserve"> </w:t>
      </w:r>
      <w:r>
        <w:t xml:space="preserve">manner.</w:t>
      </w:r>
      <w:r>
        <w:t xml:space="preserve"> </w:t>
      </w:r>
      <w:r>
        <w:t xml:space="preserve">The implementation of grand challenges under PM9 would substantially boost revenues for</w:t>
      </w:r>
      <w:r>
        <w:t xml:space="preserve"> </w:t>
      </w:r>
      <w:r>
        <w:t xml:space="preserve">EU fabless SMEs by leveraging innovation procurement to provide early demand, enable</w:t>
      </w:r>
      <w:r>
        <w:t xml:space="preserve"> </w:t>
      </w:r>
      <w:r>
        <w:t xml:space="preserve">reference deployment and accelerate market entry for leading-edge designs. It would reduce</w:t>
      </w:r>
      <w:r>
        <w:t xml:space="preserve"> </w:t>
      </w:r>
      <w:r>
        <w:t xml:space="preserve">upfront capital constraints and shorten time-to-market, allowing SMEs to reach</w:t>
      </w:r>
      <w:r>
        <w:t xml:space="preserve"> </w:t>
      </w:r>
      <w:r>
        <w:t xml:space="preserve">commercialisation milestones faster and demonstrate market readiness to attract private</w:t>
      </w:r>
      <w:r>
        <w:t xml:space="preserve"> </w:t>
      </w:r>
      <w:r>
        <w:t xml:space="preserve">investors and further sales orders. By formulating mission-oriented requirements in key</w:t>
      </w:r>
      <w:r>
        <w:t xml:space="preserve"> </w:t>
      </w:r>
      <w:r>
        <w:t xml:space="preserve">strategic areas (cloud, automotive, edge, robotics), these challenges would foster</w:t>
      </w:r>
      <w:r>
        <w:t xml:space="preserve"> </w:t>
      </w:r>
      <w:r>
        <w:t xml:space="preserve">differentiated European IP and application-specific chips, enabling SMEs to capture market</w:t>
      </w:r>
      <w:r>
        <w:t xml:space="preserve"> </w:t>
      </w:r>
      <w:r>
        <w:t xml:space="preserve">share in high-growth segments.</w:t>
      </w:r>
      <w:r>
        <w:t xml:space="preserve"> </w:t>
      </w:r>
      <w:r>
        <w:t xml:space="preserve">Furthermore, as explained in Annex 6, the use of innovation procurement (PM9) would</w:t>
      </w:r>
      <w:r>
        <w:t xml:space="preserve"> </w:t>
      </w:r>
      <w:r>
        <w:t xml:space="preserve">enable SMEs to validate technologies early on, making them more attractive for venture</w:t>
      </w:r>
      <w:r>
        <w:t xml:space="preserve"> </w:t>
      </w:r>
      <w:r>
        <w:t xml:space="preserve">capital and investment.</w:t>
      </w:r>
      <w:r>
        <w:br/>
      </w:r>
      <w:r>
        <w:t xml:space="preserve">Through support for lab-to-fab accelerators (PM9), semiconductor firms are expected to</w:t>
      </w:r>
      <w:r>
        <w:t xml:space="preserve"> </w:t>
      </w:r>
      <w:r>
        <w:t xml:space="preserve">benefit from faster translation of research results from Europe’s world class research institutes</w:t>
      </w:r>
      <w:r>
        <w:t xml:space="preserve"> </w:t>
      </w:r>
      <w:r>
        <w:t xml:space="preserve">into commercially viable products thus reducing development timelines and associated costs.</w:t>
      </w:r>
      <w:r>
        <w:t xml:space="preserve"> </w:t>
      </w:r>
      <w:r>
        <w:t xml:space="preserve">By lowering technological and financial barriers, these measures would enable firms to bring</w:t>
      </w:r>
      <w:r>
        <w:t xml:space="preserve"> </w:t>
      </w:r>
      <w:r>
        <w:t xml:space="preserve">new designs and process innovations to market more quickly, improving their ability to</w:t>
      </w:r>
      <w:r>
        <w:t xml:space="preserve"> </w:t>
      </w:r>
      <w:r>
        <w:t xml:space="preserve">capture early revenues in fast-moving segments.</w:t>
      </w:r>
      <w:r>
        <w:t xml:space="preserve"> </w:t>
      </w:r>
      <w:r>
        <w:t xml:space="preserve">Together, PM8 and PM9 will significantly contribute to achieving SO1 and SO2. By 2035,</w:t>
      </w:r>
      <w:r>
        <w:t xml:space="preserve"> </w:t>
      </w:r>
      <w:r>
        <w:t xml:space="preserve">they will contribute to enable the creation of 200 EU-incorporated semiconductor value-chain</w:t>
      </w:r>
      <w:r>
        <w:t xml:space="preserve"> </w:t>
      </w:r>
      <w:r>
        <w:t xml:space="preserve">start-ups (spinouts or new ventures) that reach at least a seed funding round. Additionally, by</w:t>
      </w:r>
      <w:r>
        <w:t xml:space="preserve"> </w:t>
      </w:r>
      <w:r>
        <w:t xml:space="preserve">2035, PM9 will contribute to grow the EU’s indigenous demand for European solutions by</w:t>
      </w:r>
      <w:r>
        <w:t xml:space="preserve"> </w:t>
      </w:r>
      <w:r>
        <w:t xml:space="preserve">securing EUR 5 billion in innovation procurement for semiconductor-enabled solutions across</w:t>
      </w:r>
      <w:r>
        <w:t xml:space="preserve"> </w:t>
      </w:r>
      <w:r>
        <w:t xml:space="preserve">the automotive, industrial, energy, AI, health, and telecoms sectors, and will deliver at least</w:t>
      </w:r>
      <w:r>
        <w:t xml:space="preserve"> </w:t>
      </w:r>
      <w:r>
        <w:t xml:space="preserve">one flagship co-development project per sector.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6.2.1.1.2 Value chain</w:t>
      </w:r>
      <w:r>
        <w:t xml:space="preserve"> </w:t>
      </w:r>
      <w:r>
        <w:t xml:space="preserve">Under the value chain stream of Strategic Projects (PM8), the Union would have the means to</w:t>
      </w:r>
      <w:r>
        <w:t xml:space="preserve"> </w:t>
      </w:r>
      <w:r>
        <w:t xml:space="preserve">co-invest with Member States in industrial support for companies across the semiconductor</w:t>
      </w:r>
      <w:r>
        <w:t xml:space="preserve"> </w:t>
      </w:r>
      <w:r>
        <w:t xml:space="preserve">value chain, thereby strengthening revenue generation beyond a single segment (for example,</w:t>
      </w:r>
      <w:r>
        <w:t xml:space="preserve"> </w:t>
      </w:r>
      <w:r>
        <w:t xml:space="preserve">manufacturing) and supporting more balanced growth across upstream and downstream</w:t>
      </w:r>
      <w:r>
        <w:t xml:space="preserve"> </w:t>
      </w:r>
      <w:r>
        <w:t xml:space="preserve">activities.</w:t>
      </w:r>
      <w:r>
        <w:br/>
      </w:r>
      <w:r>
        <w:t xml:space="preserve">The value-chain wide and cross-border nature of Strategic Projects would strengthen cluster</w:t>
      </w:r>
      <w:r>
        <w:t xml:space="preserve"> </w:t>
      </w:r>
      <w:r>
        <w:t xml:space="preserve">dynamics, reduce fragmentation and enable progress in segments that require</w:t>
      </w:r>
      <w:r>
        <w:t xml:space="preserve"> </w:t>
      </w:r>
      <w:r>
        <w:t xml:space="preserve">coordinated progress across several stages of development. Such investments would de-</w:t>
      </w:r>
      <w:r>
        <w:t xml:space="preserve"> </w:t>
      </w:r>
      <w:r>
        <w:t xml:space="preserve">risk investment in the value chain and thereby encourage European firms to develop new</w:t>
      </w:r>
      <w:r>
        <w:t xml:space="preserve"> </w:t>
      </w:r>
      <w:r>
        <w:t xml:space="preserve">capabilities or build competitive advantages that would enable increases in market share and</w:t>
      </w:r>
      <w:r>
        <w:t xml:space="preserve"> </w:t>
      </w:r>
      <w:r>
        <w:t xml:space="preserve">increased revenues. They would contribute to better integrate SMEs and SMCs into the</w:t>
      </w:r>
      <w:r>
        <w:t xml:space="preserve"> </w:t>
      </w:r>
      <w:r>
        <w:t xml:space="preserve">European semiconductor ecosystem with the potential to increase the value chain’s resilience</w:t>
      </w:r>
      <w:r>
        <w:t xml:space="preserve"> </w:t>
      </w:r>
      <w:r>
        <w:t xml:space="preserve">by for instance providing innovative solutions or alternatives to current dependencies.</w:t>
      </w:r>
      <w:r>
        <w:br/>
      </w:r>
      <w:r>
        <w:t xml:space="preserve">6.2.1.2 Impacts on manufacturing capacity</w:t>
      </w:r>
      <w:r>
        <w:br/>
      </w:r>
      <w:r>
        <w:t xml:space="preserve">PO2 marks a step change from the BAU scenario and PO1, where support from the Union’s</w:t>
      </w:r>
      <w:r>
        <w:t xml:space="preserve"> </w:t>
      </w:r>
      <w:r>
        <w:t xml:space="preserve">budget is focused on classical R&amp;I support under the research framework programme. Under</w:t>
      </w:r>
      <w:r>
        <w:t xml:space="preserve"> </w:t>
      </w:r>
      <w:r>
        <w:t xml:space="preserve">PO2, through PM8, assuming a EUR 15 billion public investment for front-end</w:t>
      </w:r>
      <w:r>
        <w:t xml:space="preserve"> </w:t>
      </w:r>
      <w:r>
        <w:t xml:space="preserve">manufacturing that in turn generates an additional EUR 25 billion in private investment, in</w:t>
      </w:r>
      <w:r>
        <w:t xml:space="preserve"> </w:t>
      </w:r>
      <w:r>
        <w:t xml:space="preserve">line with aid intensities seen in previous FOAK cases, it is estimated that investment through</w:t>
      </w:r>
      <w:r>
        <w:t xml:space="preserve"> </w:t>
      </w:r>
      <w:r>
        <w:t xml:space="preserve">PM8 would generate, if coupled by improved framework conditions, around 222,000</w:t>
      </w:r>
      <w:r>
        <w:t xml:space="preserve"> </w:t>
      </w:r>
      <w:r>
        <w:t xml:space="preserve">additional wafers per month if projects broadly follow the current European wafer mix and</w:t>
      </w:r>
      <w:r>
        <w:t xml:space="preserve"> </w:t>
      </w:r>
      <w:r>
        <w:t xml:space="preserve">up to 108,000 wafers per month if the investments would include a leading edge facility.</w:t>
      </w:r>
      <w:r>
        <w:br/>
      </w:r>
      <w:r>
        <w:t xml:space="preserve">Since budgets are not yet defined and therefore concrete impact analyses are difficult, an</w:t>
      </w:r>
      <w:r>
        <w:t xml:space="preserve"> </w:t>
      </w:r>
      <w:r>
        <w:t xml:space="preserve">assessment was undertaken to illustrate the potential scale of outcomes from Strategic</w:t>
      </w:r>
      <w:r>
        <w:t xml:space="preserve"> </w:t>
      </w:r>
      <w:r>
        <w:t xml:space="preserve">Projects, based on a total investment envelope of EUR 40 billion (public and private</w:t>
      </w:r>
      <w:r>
        <w:t xml:space="preserve"> </w:t>
      </w:r>
      <w:r>
        <w:t xml:space="preserve">combined).</w:t>
      </w:r>
      <w:r>
        <w:t xml:space="preserve"> </w:t>
      </w:r>
      <w:r>
        <w:t xml:space="preserve">In the analysis of impacts, two scenarios were considered: either all projects would follow the</w:t>
      </w:r>
      <w:r>
        <w:t xml:space="preserve"> </w:t>
      </w:r>
      <w:r>
        <w:t xml:space="preserve">profile of previous FOAK; or the project mix would include one leading-edge front-end</w:t>
      </w:r>
      <w:r>
        <w:t xml:space="preserve"> </w:t>
      </w:r>
      <w:r>
        <w:t xml:space="preserve">manufacturing facility (Scenario 2), with the rest following the profile of previous FOAK</w:t>
      </w:r>
      <w:r>
        <w:t xml:space="preserve"> </w:t>
      </w:r>
      <w:r>
        <w:t xml:space="preserve">projects.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Figure 19 – Projected revenues generated through Strategic projects</w:t>
      </w:r>
      <w:r>
        <w:t xml:space="preserve"> </w:t>
      </w:r>
      <w:r>
        <w:t xml:space="preserve">Assuming this level of investment, funding for Strategic Projects would increase EU</w:t>
      </w:r>
      <w:r>
        <w:t xml:space="preserve"> </w:t>
      </w:r>
      <w:r>
        <w:t xml:space="preserve">semiconductor manufacturing capacity within the range of ~108,000 to ~222,000 wafers per</w:t>
      </w:r>
      <w:r>
        <w:t xml:space="preserve"> </w:t>
      </w:r>
      <w:r>
        <w:t xml:space="preserve">month, depending on the technology mix. Expansion following the current profile of the</w:t>
      </w:r>
      <w:r>
        <w:t xml:space="preserve"> </w:t>
      </w:r>
      <w:r>
        <w:t xml:space="preserve">Union’s manufacturing capacity yields higher volume, but lower value added (≈ EUR 6.6</w:t>
      </w:r>
      <w:r>
        <w:t xml:space="preserve"> </w:t>
      </w:r>
      <w:r>
        <w:t xml:space="preserve">billion additional annual revenue), while partial reallocation towards leading-edge</w:t>
      </w:r>
      <w:r>
        <w:t xml:space="preserve"> </w:t>
      </w:r>
      <w:r>
        <w:t xml:space="preserve">manufacturing delivers lower capacity expansion but higher revenues (≈ EUR 11.5 billion per</w:t>
      </w:r>
      <w:r>
        <w:t xml:space="preserve"> </w:t>
      </w:r>
      <w:r>
        <w:t xml:space="preserve">year). Outcomes reflect a trade-off between volume-driven growth and higher-value</w:t>
      </w:r>
      <w:r>
        <w:t xml:space="preserve"> </w:t>
      </w:r>
      <w:r>
        <w:t xml:space="preserve">advanced-node production.</w:t>
      </w:r>
      <w:r>
        <w:br/>
      </w:r>
      <w:r>
        <w:t xml:space="preserve">As set out in Annex 4, by analysing previous examples in the previous FOAK projects, a EUR</w:t>
      </w:r>
      <w:r>
        <w:t xml:space="preserve"> </w:t>
      </w:r>
      <w:r>
        <w:t xml:space="preserve">40 billion investment facilitated by Strategic Projects would generate 7301 direct jobs and</w:t>
      </w:r>
      <w:r>
        <w:t xml:space="preserve"> </w:t>
      </w:r>
      <w:r>
        <w:t xml:space="preserve">16,000-36,500 indirect jobs.</w:t>
      </w:r>
      <w:r>
        <w:br/>
      </w:r>
      <w:r>
        <w:t xml:space="preserve">The lower wafer count under the second scenario is explained by the fact that a leading-edge</w:t>
      </w:r>
      <w:r>
        <w:t xml:space="preserve"> </w:t>
      </w:r>
      <w:r>
        <w:t xml:space="preserve">facility would absorb more of the budget. However, this scenario would give Europe the</w:t>
      </w:r>
      <w:r>
        <w:t xml:space="preserve"> </w:t>
      </w:r>
      <w:r>
        <w:t xml:space="preserve">sovereign means to manufacture leading-edge chips, crucial for AI systems amongst other</w:t>
      </w:r>
      <w:r>
        <w:t xml:space="preserve"> </w:t>
      </w:r>
      <w:r>
        <w:t xml:space="preserve">applications.</w:t>
      </w:r>
      <w:r>
        <w:br/>
      </w:r>
      <w:r>
        <w:t xml:space="preserve">Under the ‘sovereign manufacturing’ stream of PM8, support for back-end facilities is also</w:t>
      </w:r>
      <w:r>
        <w:t xml:space="preserve"> </w:t>
      </w:r>
      <w:r>
        <w:t xml:space="preserve">foreseen to address vulnerabilities discussed in PD2, however forecasting manufacturing</w:t>
      </w:r>
      <w:r>
        <w:t xml:space="preserve"> </w:t>
      </w:r>
      <w:r>
        <w:t xml:space="preserve">capacity in advanced packaging is less straightforward than for front-end fabs because output</w:t>
      </w:r>
      <w:r>
        <w:t xml:space="preserve"> </w:t>
      </w:r>
      <w:r>
        <w:t xml:space="preserve">cannot be expressed in a single, comparable “wafers per month” metric. Packaging</w:t>
      </w:r>
      <w:r>
        <w:t xml:space="preserve"> </w:t>
      </w:r>
      <w:r>
        <w:t xml:space="preserve">throughput depends on heterogeneous product mixes and process routes (for example,</w:t>
      </w:r>
      <w:r>
        <w:t xml:space="preserve"> </w:t>
      </w:r>
      <w:r>
        <w:t xml:space="preserve">2.5D/3D integration, fan-out, interposers, chiplets), with capacity constrained by different</w:t>
      </w:r>
      <w:r>
        <w:t xml:space="preserve"> </w:t>
      </w:r>
      <w:r>
        <w:t xml:space="preserve">tools and steps and measured in units such as packages, substrates or panels rather than</w:t>
      </w:r>
      <w:r>
        <w:t xml:space="preserve"> </w:t>
      </w:r>
      <w:r>
        <w:t xml:space="preserve">wafers. As a result, nominal tool capacity is highly sensitive to design choices (die size, layer</w:t>
      </w:r>
      <w:r>
        <w:t xml:space="preserve"> </w:t>
      </w:r>
      <w:r>
        <w:t xml:space="preserve">counts, bump pitch, yields and test requirements), making forward-looking capacity estimates</w:t>
      </w:r>
      <w:r>
        <w:t xml:space="preserve"> </w:t>
      </w:r>
      <w:r>
        <w:t xml:space="preserve">less comparable and less predictable than in front-end manufacturing. Furthermore, support</w:t>
      </w:r>
      <w:r>
        <w:t xml:space="preserve"> </w:t>
      </w:r>
      <w:r>
        <w:t xml:space="preserve">under the ‘supply chain resilience’ stream of PM8 would enable the scaling up of</w:t>
      </w:r>
      <w:r>
        <w:t xml:space="preserve"> </w:t>
      </w:r>
      <w:r>
        <w:t xml:space="preserve">manufacturing across the value chain from materials to equipment to design tools.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6.2.1.3 Impacts on demand</w:t>
      </w:r>
      <w:r>
        <w:t xml:space="preserve"> </w:t>
      </w:r>
      <w:r>
        <w:t xml:space="preserve">The envisaged capacity would be unsustainable without sufficient commensurate demand. As</w:t>
      </w:r>
      <w:r>
        <w:t xml:space="preserve"> </w:t>
      </w:r>
      <w:r>
        <w:t xml:space="preserve">explained in previous chapters, the EU’s demand for AI chips in data centre infrastructure and</w:t>
      </w:r>
      <w:r>
        <w:t xml:space="preserve"> </w:t>
      </w:r>
      <w:r>
        <w:t xml:space="preserve">at the edge is expected to rise as AI continues to be deployed across industry and society(189).</w:t>
      </w:r>
      <w:r>
        <w:t xml:space="preserve"> </w:t>
      </w:r>
      <w:r>
        <w:t xml:space="preserve">The upcoming AI Gigafactories, the expected rise in data centre capacity through the</w:t>
      </w:r>
      <w:r>
        <w:t xml:space="preserve"> </w:t>
      </w:r>
      <w:r>
        <w:t xml:space="preserve">upcoming Cloud and AI Development Act coupled with advances in robotics including</w:t>
      </w:r>
      <w:r>
        <w:t xml:space="preserve"> </w:t>
      </w:r>
      <w:r>
        <w:t xml:space="preserve">humanoids but also, autonomous cars, other autonomous defence systems such as drones,</w:t>
      </w:r>
      <w:r>
        <w:t xml:space="preserve"> </w:t>
      </w:r>
      <w:r>
        <w:t xml:space="preserve">immersive-reality technologies (wearables, smart glasses) and the broader AI-driven</w:t>
      </w:r>
      <w:r>
        <w:t xml:space="preserve"> </w:t>
      </w:r>
      <w:r>
        <w:t xml:space="preserve">transformation of all sectors of the European economy create a great opportunity for the</w:t>
      </w:r>
      <w:r>
        <w:t xml:space="preserve"> </w:t>
      </w:r>
      <w:r>
        <w:t xml:space="preserve">Union to channel this rising demand into the emergence of a new generation of fabless</w:t>
      </w:r>
      <w:r>
        <w:t xml:space="preserve"> </w:t>
      </w:r>
      <w:r>
        <w:t xml:space="preserve">companies (190).</w:t>
      </w:r>
      <w:r>
        <w:br/>
      </w:r>
      <w:r>
        <w:t xml:space="preserve">However, as set out in PD3, many start-ups face a critical gap beyond access to venture</w:t>
      </w:r>
      <w:r>
        <w:t xml:space="preserve"> </w:t>
      </w:r>
      <w:r>
        <w:t xml:space="preserve">capital: the absence of potential anchor customers who can provide early revenue and help</w:t>
      </w:r>
      <w:r>
        <w:t xml:space="preserve"> </w:t>
      </w:r>
      <w:r>
        <w:t xml:space="preserve">establish the credibility of their products. In addition, stakeholders during public consultation</w:t>
      </w:r>
      <w:r>
        <w:t xml:space="preserve"> </w:t>
      </w:r>
      <w:r>
        <w:t xml:space="preserve">repeatedly expressed support for the introduction of demand-aggregation frameworks,</w:t>
      </w:r>
      <w:r>
        <w:t xml:space="preserve"> </w:t>
      </w:r>
      <w:r>
        <w:t xml:space="preserve">enabling</w:t>
      </w:r>
      <w:r>
        <w:t xml:space="preserve"> </w:t>
      </w:r>
      <w:r>
        <w:t xml:space="preserve">coordinated</w:t>
      </w:r>
      <w:r>
        <w:t xml:space="preserve"> </w:t>
      </w:r>
      <w:r>
        <w:t xml:space="preserve">procurement</w:t>
      </w:r>
      <w:r>
        <w:t xml:space="preserve"> </w:t>
      </w:r>
      <w:r>
        <w:t xml:space="preserve">across</w:t>
      </w:r>
      <w:r>
        <w:t xml:space="preserve"> </w:t>
      </w:r>
      <w:r>
        <w:t xml:space="preserve">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defence,</w:t>
      </w:r>
      <w:r>
        <w:t xml:space="preserve"> </w:t>
      </w:r>
      <w:r>
        <w:t xml:space="preserve">telecommunications, automotive, health and space. It is for this reason, that PO2 incorporates</w:t>
      </w:r>
      <w:r>
        <w:t xml:space="preserve"> </w:t>
      </w:r>
      <w:r>
        <w:t xml:space="preserve">a measure (PM9) related to innovation procurement. Such measure would allow start-ups</w:t>
      </w:r>
      <w:r>
        <w:t xml:space="preserve"> </w:t>
      </w:r>
      <w:r>
        <w:t xml:space="preserve">and SMEs to be involved in projects involving not only the classical support for R&amp;D but also</w:t>
      </w:r>
      <w:r>
        <w:t xml:space="preserve"> </w:t>
      </w:r>
      <w:r>
        <w:t xml:space="preserve">eventual procurement by both public and private sectors, with this procurement being</w:t>
      </w:r>
      <w:r>
        <w:t xml:space="preserve"> </w:t>
      </w:r>
      <w:r>
        <w:t xml:space="preserve">derisked by the Union’s investment. This will mark a departure from the BAU approach</w:t>
      </w:r>
      <w:r>
        <w:t xml:space="preserve"> </w:t>
      </w:r>
      <w:r>
        <w:t xml:space="preserve">where support is usually reserved for R&amp;D grants. Innovation procurement is also a useful</w:t>
      </w:r>
      <w:r>
        <w:t xml:space="preserve"> </w:t>
      </w:r>
      <w:r>
        <w:t xml:space="preserve">mechanism for the implementation of thematic grand challenges for leading-edge chip</w:t>
      </w:r>
      <w:r>
        <w:t xml:space="preserve"> </w:t>
      </w:r>
      <w:r>
        <w:t xml:space="preserve">designs in different application areas such as datacentre AI accelerators, automated driving</w:t>
      </w:r>
      <w:r>
        <w:t xml:space="preserve"> </w:t>
      </w:r>
      <w:r>
        <w:t xml:space="preserve">processors, edge AI solutions or AI processors for AI Factories and Gigafactories. Over time,</w:t>
      </w:r>
      <w:r>
        <w:t xml:space="preserve"> </w:t>
      </w:r>
      <w:r>
        <w:t xml:space="preserve">more predictable demand would also help anchor ecosystem actors such as specialised</w:t>
      </w:r>
      <w:r>
        <w:t xml:space="preserve"> </w:t>
      </w:r>
      <w:r>
        <w:t xml:space="preserve">materials suppliers and design houses within the EU market, contributing to broader market</w:t>
      </w:r>
      <w:r>
        <w:t xml:space="preserve"> </w:t>
      </w:r>
      <w:r>
        <w:t xml:space="preserve">growth and contribute to the alleviation of PD2.</w:t>
      </w:r>
      <w:r>
        <w:t xml:space="preserve"> </w:t>
      </w:r>
      <w:r>
        <w:t xml:space="preserve">Empirical evidence(191) indicates that competitive public procurement contracts for</w:t>
      </w:r>
      <w:r>
        <w:t xml:space="preserve"> </w:t>
      </w:r>
      <w:r>
        <w:t xml:space="preserve">innovation can generate persistent revenue effects (up to EUR 0.5 per euro of contract</w:t>
      </w:r>
      <w:r>
        <w:t xml:space="preserve"> </w:t>
      </w:r>
      <w:r>
        <w:t xml:space="preserve">value) and crowd in private investment (around EUR 0.2 per euro of public demand)</w:t>
      </w:r>
      <w:r>
        <w:t xml:space="preserve"> </w:t>
      </w:r>
      <w:r>
        <w:t xml:space="preserve">over the medium term. Public procurement is also associated with measurable reductions in</w:t>
      </w:r>
      <w:r>
        <w:t xml:space="preserve"> </w:t>
      </w:r>
      <w:r>
        <w:t xml:space="preserve">firm-level risk and uncertainty, particularly during periods of financial stress, supporting</w:t>
      </w:r>
      <w:r>
        <w:t xml:space="preserve"> </w:t>
      </w:r>
      <w:r>
        <w:t xml:space="preserve">investment and resilience in capital-intensive sectors.</w:t>
      </w:r>
      <w:r>
        <w:t xml:space="preserve"> </w:t>
      </w:r>
      <w:r>
        <w:t xml:space="preserve">The intervention to incentivise chips from domestic or domestic-equivalent undertakings in</w:t>
      </w:r>
      <w:r>
        <w:t xml:space="preserve"> </w:t>
      </w:r>
      <w:r>
        <w:t xml:space="preserve">public procurement of critical infrastructures (PM10) is implemented through a limited</w:t>
      </w:r>
      <w:r>
        <w:t xml:space="preserve"> </w:t>
      </w:r>
      <w:r>
        <w:t xml:space="preserve">adjustment to existing procurement conditions and does not create new regulatory bodies or</w:t>
      </w:r>
    </w:p>
    <w:p>
      <w:pPr>
        <w:pStyle w:val="Compact"/>
        <w:numPr>
          <w:ilvl w:val="0"/>
          <w:numId w:val="1055"/>
        </w:numPr>
      </w:pPr>
      <w:r>
        <w:t xml:space="preserve">Decision based on Eurostat and WSTS.</w:t>
      </w:r>
    </w:p>
    <w:p>
      <w:pPr>
        <w:pStyle w:val="Compact"/>
        <w:numPr>
          <w:ilvl w:val="0"/>
          <w:numId w:val="1055"/>
        </w:numPr>
      </w:pPr>
      <w:r>
        <w:t xml:space="preserve">McKinsey Technology Trends Outlook 2025 | McKinsey</w:t>
      </w:r>
    </w:p>
    <w:p>
      <w:pPr>
        <w:pStyle w:val="Compact"/>
        <w:numPr>
          <w:ilvl w:val="0"/>
          <w:numId w:val="1055"/>
        </w:numPr>
      </w:pPr>
      <w:r>
        <w:t xml:space="preserve">Budrys, Z. (2025). Consumer of last resort: Government procurement, firm-level evidence and the</w:t>
      </w:r>
      <w:r>
        <w:t xml:space="preserve"> </w:t>
      </w:r>
      <w:r>
        <w:t xml:space="preserve">macroeconomy</w:t>
      </w:r>
      <w:r>
        <w:t xml:space="preserve"> </w:t>
      </w:r>
      <w:r>
        <w:t xml:space="preserve">(Working</w:t>
      </w:r>
      <w:r>
        <w:t xml:space="preserve"> </w:t>
      </w:r>
      <w:r>
        <w:t xml:space="preserve">Paper).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https://zymantasbudrys.com/wp-</w:t>
      </w:r>
      <w:r>
        <w:t xml:space="preserve"> </w:t>
      </w:r>
      <w:r>
        <w:t xml:space="preserve">content/uploads/2022/10/ZymantasBudrys_JMP_LastConsumer.pdf. Refer to Annex 4, section 6 for more</w:t>
      </w:r>
      <w:r>
        <w:t xml:space="preserve"> </w:t>
      </w:r>
      <w:r>
        <w:t xml:space="preserve">details.</w:t>
      </w:r>
    </w:p>
    <w:p>
      <w:pPr>
        <w:pStyle w:val="FirstParagraph"/>
      </w:pPr>
      <w:r>
        <w:t xml:space="preserve">84</w:t>
      </w:r>
    </w:p>
    <w:p>
      <w:pPr>
        <w:pStyle w:val="BodyText"/>
      </w:pPr>
      <w:r>
        <w:t xml:space="preserve">compliance systems. Furthermore, contracting authorities already routinely specify security-</w:t>
      </w:r>
      <w:r>
        <w:t xml:space="preserve"> </w:t>
      </w:r>
      <w:r>
        <w:t xml:space="preserve">and certification-related requirements for chips. Requesting a semiconductor supply chain</w:t>
      </w:r>
      <w:r>
        <w:t xml:space="preserve"> </w:t>
      </w:r>
      <w:r>
        <w:t xml:space="preserve">declaration will remain optional, but recommended, for procurement authorities, which may</w:t>
      </w:r>
      <w:r>
        <w:t xml:space="preserve"> </w:t>
      </w:r>
      <w:r>
        <w:t xml:space="preserve">take security of supply considerations into account when designing the technical specification</w:t>
      </w:r>
      <w:r>
        <w:t xml:space="preserve"> </w:t>
      </w:r>
      <w:r>
        <w:t xml:space="preserve">and contract clauses, and consider the information provided in the declaration as criterion</w:t>
      </w:r>
      <w:r>
        <w:t xml:space="preserve"> </w:t>
      </w:r>
      <w:r>
        <w:t xml:space="preserve">other than price when awarding the contract. Potential unit-cost effects are expected to be</w:t>
      </w:r>
      <w:r>
        <w:t xml:space="preserve"> </w:t>
      </w:r>
      <w:r>
        <w:t xml:space="preserve">limited, as semiconductors for critical applications are often already provided by domestic</w:t>
      </w:r>
      <w:r>
        <w:t xml:space="preserve"> </w:t>
      </w:r>
      <w:r>
        <w:t xml:space="preserve">undertakings and semiconductors represent a minor cost component within overall ICT</w:t>
      </w:r>
      <w:r>
        <w:t xml:space="preserve"> </w:t>
      </w:r>
      <w:r>
        <w:t xml:space="preserve">procurement, except for data centres, for which domestic or equivalent undertakings already</w:t>
      </w:r>
      <w:r>
        <w:t xml:space="preserve"> </w:t>
      </w:r>
      <w:r>
        <w:t xml:space="preserve">currently supply the near totality of the chips for the EU market. As a result, the measure is</w:t>
      </w:r>
      <w:r>
        <w:t xml:space="preserve"> </w:t>
      </w:r>
      <w:r>
        <w:t xml:space="preserve">not expected to significantly increase public procurement expenditure while safeguarding</w:t>
      </w:r>
      <w:r>
        <w:t xml:space="preserve"> </w:t>
      </w:r>
      <w:r>
        <w:t xml:space="preserve">security of supply for public infrastructures.</w:t>
      </w:r>
      <w:r>
        <w:t xml:space="preserve"> </w:t>
      </w:r>
      <w:r>
        <w:t xml:space="preserve">Estimating the policy-relevant market requires mapping semiconductor consumption across</w:t>
      </w:r>
      <w:r>
        <w:t xml:space="preserve"> </w:t>
      </w:r>
      <w:r>
        <w:t xml:space="preserve">NIS2-defined sectors and applying a public procurement share to the resulting totals. The total</w:t>
      </w:r>
      <w:r>
        <w:t xml:space="preserve"> </w:t>
      </w:r>
      <w:r>
        <w:t xml:space="preserve">EU semiconductor consumption in NIS2-relevant sectors is estimated at approximately</w:t>
      </w:r>
      <w:r>
        <w:t xml:space="preserve"> </w:t>
      </w:r>
      <w:r>
        <w:t xml:space="preserve">EUR 25.6 billion in 2025, spanning industrial electronics including energy and water (EUR</w:t>
      </w:r>
      <w:r>
        <w:t xml:space="preserve"> </w:t>
      </w:r>
      <w:r>
        <w:t xml:space="preserve">5.4bn), digital infrastructure including telecoms and servers (EUR 14.9bn), automotive</w:t>
      </w:r>
      <w:r>
        <w:t xml:space="preserve"> </w:t>
      </w:r>
      <w:r>
        <w:t xml:space="preserve">limited to NIS2-relevant applications (EUR 3.6bn), security and safety systems (EUR 1.2bn),</w:t>
      </w:r>
      <w:r>
        <w:t xml:space="preserve"> </w:t>
      </w:r>
      <w:r>
        <w:t xml:space="preserve">health (EUR 1.0bn), defence (EUR 0.4bn) and aerospace (EUR 0.3bn).192 Applying a public</w:t>
      </w:r>
      <w:r>
        <w:t xml:space="preserve"> </w:t>
      </w:r>
      <w:r>
        <w:t xml:space="preserve">procurement share of 15 to 30%, consistent with OECD estimates for comparable</w:t>
      </w:r>
      <w:r>
        <w:t xml:space="preserve"> </w:t>
      </w:r>
      <w:r>
        <w:t xml:space="preserve">economies193, yields a chip value in publicly-procured NIS2 equipment of between</w:t>
      </w:r>
      <w:r>
        <w:t xml:space="preserve"> </w:t>
      </w:r>
      <w:r>
        <w:t xml:space="preserve">approximately EUR 3.8 billion and EUR 7.7 billion.</w:t>
      </w:r>
      <w:r>
        <w:t xml:space="preserve"> </w:t>
      </w:r>
      <w:r>
        <w:t xml:space="preserve">Currently, undertakings which are neither domestic nor equivalent have a limited</w:t>
      </w:r>
      <w:r>
        <w:t xml:space="preserve"> </w:t>
      </w:r>
      <w:r>
        <w:t xml:space="preserve">market presence in the semiconductor categories most relevant to NIS2 sectors, though</w:t>
      </w:r>
      <w:r>
        <w:t xml:space="preserve"> </w:t>
      </w:r>
      <w:r>
        <w:t xml:space="preserve">the picture varies by product type. In the mature-node segments that dominate industrial,</w:t>
      </w:r>
      <w:r>
        <w:t xml:space="preserve"> </w:t>
      </w:r>
      <w:r>
        <w:t xml:space="preserve">energy and automotive applications (analogue components, discrete semiconductors and</w:t>
      </w:r>
      <w:r>
        <w:t xml:space="preserve"> </w:t>
      </w:r>
      <w:r>
        <w:t xml:space="preserve">microcontrollers) non-domestic suppliers have not yet captured significant EU market share.</w:t>
      </w:r>
      <w:r>
        <w:t xml:space="preserve"> </w:t>
      </w:r>
      <w:r>
        <w:t xml:space="preserve">In industrial and energy procurement, the leading suppliers of analogue and power</w:t>
      </w:r>
      <w:r>
        <w:t xml:space="preserve"> </w:t>
      </w:r>
      <w:r>
        <w:t xml:space="preserve">semiconductors remain predominantly European and North American, with Chinese</w:t>
      </w:r>
      <w:r>
        <w:t xml:space="preserve"> </w:t>
      </w:r>
      <w:r>
        <w:t xml:space="preserve">competitors such as Hangzhou Silan and BYD Semiconductor together holding low single-</w:t>
      </w:r>
      <w:r>
        <w:t xml:space="preserve"> </w:t>
      </w:r>
      <w:r>
        <w:t xml:space="preserve">digit market shares. In automotive and telecoms infrastructure, no non-domestic firm</w:t>
      </w:r>
      <w:r>
        <w:t xml:space="preserve"> </w:t>
      </w:r>
      <w:r>
        <w:t xml:space="preserve">currently features among the top five suppliers by revenue in the relevant product</w:t>
      </w:r>
      <w:r>
        <w:t xml:space="preserve"> </w:t>
      </w:r>
      <w:r>
        <w:t xml:space="preserve">categories.194</w:t>
      </w:r>
      <w:r>
        <w:t xml:space="preserve"> </w:t>
      </w:r>
      <w:r>
        <w:t xml:space="preserve">The data centre and AI segment, despite representing the highest chip values, carries the</w:t>
      </w:r>
      <w:r>
        <w:t xml:space="preserve"> </w:t>
      </w:r>
      <w:r>
        <w:t xml:space="preserve">lowest exposure to suppliers who are neither domestic nor equivalent (signatories of</w:t>
      </w:r>
      <w:r>
        <w:t xml:space="preserve"> </w:t>
      </w:r>
      <w:r>
        <w:t xml:space="preserve">agreements which would apply to the supply of semiconductor). Advanced-node components</w:t>
      </w:r>
      <w:r>
        <w:t xml:space="preserve"> </w:t>
      </w:r>
      <w:r>
        <w:t xml:space="preserve">(AI accelerators and high-bandwidth memory) are exclusively designed by US companies and</w:t>
      </w:r>
      <w:r>
        <w:t xml:space="preserve"> </w:t>
      </w:r>
      <w:r>
        <w:t xml:space="preserve">front-end manufacturing is concentrated in Taiwan and South Korea.</w:t>
      </w:r>
    </w:p>
    <w:p>
      <w:pPr>
        <w:pStyle w:val="BodyText"/>
      </w:pPr>
      <w:r>
        <w:t xml:space="preserve">192 Data by Decision Etudes &amp; Conseil, forthcoming, 2026.</w:t>
      </w:r>
      <w:r>
        <w:br/>
      </w:r>
      <w:r>
        <w:t xml:space="preserve">193Government at a Glance 2025 | OECD</w:t>
      </w:r>
      <w:r>
        <w:br/>
      </w:r>
      <w:r>
        <w:t xml:space="preserve">194Q4 2025 Results | Infineon Technologies.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most extreme hypothetical scenario, in which public procurement authorities in all</w:t>
      </w:r>
      <w:r>
        <w:t xml:space="preserve"> </w:t>
      </w:r>
      <w:r>
        <w:t xml:space="preserve">sectors would choose to apply the most restrictive criteria on non-domestic semiconductor</w:t>
      </w:r>
      <w:r>
        <w:t xml:space="preserve"> </w:t>
      </w:r>
      <w:r>
        <w:t xml:space="preserve">suppliers, would be a de-facto ban of non-domestic semiconductors. This would have the</w:t>
      </w:r>
      <w:r>
        <w:t xml:space="preserve"> </w:t>
      </w:r>
      <w:r>
        <w:t xml:space="preserve">most significant practical effect on industrial, energy and transport sectors, where mature-</w:t>
      </w:r>
      <w:r>
        <w:t xml:space="preserve"> </w:t>
      </w:r>
      <w:r>
        <w:t xml:space="preserve">node off-the-shelf components represent a potential area of growing exposure as non-</w:t>
      </w:r>
      <w:r>
        <w:t xml:space="preserve"> </w:t>
      </w:r>
      <w:r>
        <w:t xml:space="preserve">domestic suppliers seek to gain market share through artificially low pricing. Even in these</w:t>
      </w:r>
      <w:r>
        <w:t xml:space="preserve"> </w:t>
      </w:r>
      <w:r>
        <w:t xml:space="preserve">sectors, however, switching costs rather than unit price differentials are the primary concern:</w:t>
      </w:r>
      <w:r>
        <w:t xml:space="preserve"> </w:t>
      </w:r>
      <w:r>
        <w:t xml:space="preserve">replacing components typically requires extended qualification timelines, design adaptation</w:t>
      </w:r>
      <w:r>
        <w:t xml:space="preserve"> </w:t>
      </w:r>
      <w:r>
        <w:t xml:space="preserve">and in some cases recertification, meaning that the measure’s effects would materialise</w:t>
      </w:r>
      <w:r>
        <w:t xml:space="preserve"> </w:t>
      </w:r>
      <w:r>
        <w:t xml:space="preserve">primarily over a medium- to long-term horizon.195 Exception clauses for cases of</w:t>
      </w:r>
      <w:r>
        <w:t xml:space="preserve"> </w:t>
      </w:r>
      <w:r>
        <w:t xml:space="preserve">unavailability, disproportionate cost or technical incompatibility are therefore operationally</w:t>
      </w:r>
      <w:r>
        <w:t xml:space="preserve"> </w:t>
      </w:r>
      <w:r>
        <w:t xml:space="preserve">essential, particularly in the short term, and would need to be applied with sufficient precision</w:t>
      </w:r>
      <w:r>
        <w:t xml:space="preserve"> </w:t>
      </w:r>
      <w:r>
        <w:t xml:space="preserve">to avoid supply disruptions in time-sensitive procurement contexts.</w:t>
      </w:r>
      <w:r>
        <w:t xml:space="preserve"> </w:t>
      </w:r>
      <w:r>
        <w:t xml:space="preserve">The self-declaration mechanism places most of the compliance burden on tenderers, who are</w:t>
      </w:r>
      <w:r>
        <w:t xml:space="preserve"> </w:t>
      </w:r>
      <w:r>
        <w:t xml:space="preserve">best placed to map their own supply chains, rather than on contracting authorities, who</w:t>
      </w:r>
      <w:r>
        <w:t xml:space="preserve"> </w:t>
      </w:r>
      <w:r>
        <w:t xml:space="preserve">typically lack the commercial data or technical expertise to verify chip provenance</w:t>
      </w:r>
      <w:r>
        <w:t xml:space="preserve"> </w:t>
      </w:r>
      <w:r>
        <w:t xml:space="preserve">independently. This approach avoids the creation of new regulatory bodies or product-level</w:t>
      </w:r>
      <w:r>
        <w:t xml:space="preserve"> </w:t>
      </w:r>
      <w:r>
        <w:t xml:space="preserve">approval procedures and is administratively lighter than a pre-certification regime. However,</w:t>
      </w:r>
      <w:r>
        <w:t xml:space="preserve"> </w:t>
      </w:r>
      <w:r>
        <w:t xml:space="preserve">self-declaration alone does not eliminate the need for oversight: competent authorities would</w:t>
      </w:r>
      <w:r>
        <w:t xml:space="preserve"> </w:t>
      </w:r>
      <w:r>
        <w:t xml:space="preserve">still need to audit a proportion of declarations and verify the credibility of supplier origin</w:t>
      </w:r>
      <w:r>
        <w:t xml:space="preserve"> </w:t>
      </w:r>
      <w:r>
        <w:t xml:space="preserve">claims, requiring dedicated technical capacity at EU or Member State level.</w:t>
      </w:r>
      <w:r>
        <w:br/>
      </w:r>
      <w:r>
        <w:t xml:space="preserve">Tenderers may sometimes be several steps removed from the original chip vendor, as OEMs</w:t>
      </w:r>
      <w:r>
        <w:t xml:space="preserve"> </w:t>
      </w:r>
      <w:r>
        <w:t xml:space="preserve">frequently do not track chip-level provenance through their supply chains, and for commodity</w:t>
      </w:r>
      <w:r>
        <w:t xml:space="preserve"> </w:t>
      </w:r>
      <w:r>
        <w:t xml:space="preserve">or off-the-shelf components, the specific chip models and their geographic origin may not be</w:t>
      </w:r>
      <w:r>
        <w:t xml:space="preserve"> </w:t>
      </w:r>
      <w:r>
        <w:t xml:space="preserve">commercially disclosed (one aspect that the proposed measure is expected to change).196 They</w:t>
      </w:r>
      <w:r>
        <w:t xml:space="preserve"> </w:t>
      </w:r>
      <w:r>
        <w:t xml:space="preserve">would need to bear some costs, which however would have to be weighed against the costs of</w:t>
      </w:r>
      <w:r>
        <w:t xml:space="preserve"> </w:t>
      </w:r>
      <w:r>
        <w:t xml:space="preserve">increasingly-likely supply chain disruptions due to poor visibility of dependencies, as</w:t>
      </w:r>
      <w:r>
        <w:t xml:space="preserve"> </w:t>
      </w:r>
      <w:r>
        <w:t xml:space="preserve">happened during the COVID-19 pandemic or with the Nexperia case.</w:t>
      </w:r>
      <w:r>
        <w:t xml:space="preserve"> </w:t>
      </w:r>
      <w:r>
        <w:t xml:space="preserve">6.2.1.4 The cost (price) competitiveness of the EU industry</w:t>
      </w:r>
      <w:r>
        <w:t xml:space="preserve"> </w:t>
      </w:r>
      <w:r>
        <w:t xml:space="preserve">As under PO1, the EU is expected to remain at the higher end of the global cost curve for</w:t>
      </w:r>
      <w:r>
        <w:t xml:space="preserve"> </w:t>
      </w:r>
      <w:r>
        <w:t xml:space="preserve">semiconductor manufacturing, reflecting structural factors such as comparatively higher</w:t>
      </w:r>
      <w:r>
        <w:t xml:space="preserve"> </w:t>
      </w:r>
      <w:r>
        <w:t xml:space="preserve">energy and labour costs (as set out in PD2). However, PO2 would further reduce investment</w:t>
      </w:r>
      <w:r>
        <w:t xml:space="preserve"> </w:t>
      </w:r>
      <w:r>
        <w:t xml:space="preserve">and operational risks through a combination of Strategic Projects (PM8) and demand-side</w:t>
      </w:r>
      <w:r>
        <w:t xml:space="preserve"> </w:t>
      </w:r>
      <w:r>
        <w:t xml:space="preserve">initiatives (PM9, PM10) alongside continued support via First-of-a-Kind (FOAK) projects,</w:t>
      </w:r>
      <w:r>
        <w:t xml:space="preserve"> </w:t>
      </w:r>
      <w:r>
        <w:t xml:space="preserve">complemented by enhanced supply chain transparency and the framework conditions</w:t>
      </w:r>
      <w:r>
        <w:t xml:space="preserve"> </w:t>
      </w:r>
      <w:r>
        <w:t xml:space="preserve">improvements already present under PO1. On capital costs, PO2 is expected to improve</w:t>
      </w:r>
      <w:r>
        <w:t xml:space="preserve"> </w:t>
      </w:r>
      <w:r>
        <w:t xml:space="preserve">investment feasibility beyond PO1. Under PO1, faster permitting, coordinated infrastructure</w:t>
      </w:r>
      <w:r>
        <w:t xml:space="preserve"> </w:t>
      </w:r>
      <w:r>
        <w:t xml:space="preserve">planning and clearer regulatory processes would continue to reduce delays and associated</w:t>
      </w:r>
      <w:r>
        <w:t xml:space="preserve"> </w:t>
      </w:r>
      <w:r>
        <w:t xml:space="preserve">financing costs relative to BAU. Under PO2, these effects would be emboldened through EU-</w:t>
      </w:r>
      <w:r>
        <w:t xml:space="preserve"> </w:t>
      </w:r>
      <w:r>
        <w:t xml:space="preserve">level co-funding for Strategic Projects (PM8), which would lower upfront capital</w:t>
      </w:r>
    </w:p>
    <w:p>
      <w:pPr>
        <w:pStyle w:val="BodyText"/>
      </w:pPr>
      <w:r>
        <w:t xml:space="preserve">195 Vulnerabilities in the semiconductor supply chain | OECD</w:t>
      </w:r>
      <w:r>
        <w:br/>
      </w:r>
      <w:r>
        <w:t xml:space="preserve">196 Comments of the Semiconductor Industry Association on the NIST Internal Report NIST IR 8536 2pd | SIA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requirements for selected large-scale investments and reduce the cost of capital by lowering</w:t>
      </w:r>
      <w:r>
        <w:t xml:space="preserve"> </w:t>
      </w:r>
      <w:r>
        <w:t xml:space="preserve">risk premia. This would partially mitigate the EU’s structural cost disadvantage described in</w:t>
      </w:r>
      <w:r>
        <w:t xml:space="preserve"> </w:t>
      </w:r>
      <w:r>
        <w:t xml:space="preserve">PD2.</w:t>
      </w:r>
      <w:r>
        <w:br/>
      </w:r>
      <w:r>
        <w:t xml:space="preserve">Demand-side measures such as innovation procurement (PM9) and incentivised procurement</w:t>
      </w:r>
      <w:r>
        <w:t xml:space="preserve"> </w:t>
      </w:r>
      <w:r>
        <w:t xml:space="preserve">from domestic or equivalent undertakings (PM10) are expected to support capacity utilisation</w:t>
      </w:r>
      <w:r>
        <w:t xml:space="preserve"> </w:t>
      </w:r>
      <w:r>
        <w:t xml:space="preserve">by strengthening downstream demand and supporting the scaling-up of European fabless and</w:t>
      </w:r>
      <w:r>
        <w:t xml:space="preserve"> </w:t>
      </w:r>
      <w:r>
        <w:t xml:space="preserve">system firms. Higher utilisation rates, by a scaled-up European fabless ecosystem, would</w:t>
      </w:r>
      <w:r>
        <w:t xml:space="preserve"> </w:t>
      </w:r>
      <w:r>
        <w:t xml:space="preserve">support lower unit costs for foundries by spreading fixed costs over a larger output base and</w:t>
      </w:r>
      <w:r>
        <w:t xml:space="preserve"> </w:t>
      </w:r>
      <w:r>
        <w:t xml:space="preserve">reducing the effective capital expenditure per unit of output relative to BAU. While</w:t>
      </w:r>
      <w:r>
        <w:t xml:space="preserve"> </w:t>
      </w:r>
      <w:r>
        <w:t xml:space="preserve">construction and equipment costs would remain broadly unchanged, lower financial risk and</w:t>
      </w:r>
      <w:r>
        <w:t xml:space="preserve"> </w:t>
      </w:r>
      <w:r>
        <w:t xml:space="preserve">reduced underutilisation risk would improve the realised cost position of supported facilities.</w:t>
      </w:r>
      <w:r>
        <w:t xml:space="preserve"> </w:t>
      </w:r>
      <w:r>
        <w:t xml:space="preserve">Supply chain transparency (PM6) would not materially reduce OPEX, though better visibility</w:t>
      </w:r>
      <w:r>
        <w:t xml:space="preserve"> </w:t>
      </w:r>
      <w:r>
        <w:t xml:space="preserve">of critical inputs could enable the Union to proactively address issues and reduce unplanned</w:t>
      </w:r>
      <w:r>
        <w:t xml:space="preserve"> </w:t>
      </w:r>
      <w:r>
        <w:t xml:space="preserve">stoppages and operational volatility. This could support improved cost predictability, with</w:t>
      </w:r>
      <w:r>
        <w:t xml:space="preserve"> </w:t>
      </w:r>
      <w:r>
        <w:t xml:space="preserve">indirect positive effects on competitiveness through reduced downtime.</w:t>
      </w:r>
      <w:r>
        <w:br/>
      </w:r>
      <w:r>
        <w:t xml:space="preserve">When it comes to price competitiveness, as further elaborated on in Annex 5, PO2 would</w:t>
      </w:r>
      <w:r>
        <w:t xml:space="preserve"> </w:t>
      </w:r>
      <w:r>
        <w:t xml:space="preserve">strengthen the EU’s position in specialised higher-value segments where reliability, co-</w:t>
      </w:r>
      <w:r>
        <w:t xml:space="preserve"> </w:t>
      </w:r>
      <w:r>
        <w:t xml:space="preserve">design and advanced packaging are critical differentiators, all elements that could be</w:t>
      </w:r>
      <w:r>
        <w:t xml:space="preserve"> </w:t>
      </w:r>
      <w:r>
        <w:t xml:space="preserve">supported by PM8. While global cost hierarchies would still reflect structural factors such as</w:t>
      </w:r>
      <w:r>
        <w:t xml:space="preserve"> </w:t>
      </w:r>
      <w:r>
        <w:t xml:space="preserve">energy prices and ecosystem density, PO2 would meaningfully enhance the EU’s</w:t>
      </w:r>
      <w:r>
        <w:t xml:space="preserve"> </w:t>
      </w:r>
      <w:r>
        <w:t xml:space="preserve">competitiveness and enable diversification beyond current markets and strengths into future,</w:t>
      </w:r>
      <w:r>
        <w:t xml:space="preserve"> </w:t>
      </w:r>
      <w:r>
        <w:t xml:space="preserve">high-growth markets. Strategic Projects could support specialised nodes or packaging</w:t>
      </w:r>
      <w:r>
        <w:t xml:space="preserve"> </w:t>
      </w:r>
      <w:r>
        <w:t xml:space="preserve">technologies with higher value per wafer, improving pricing flexibility relative to BAU.</w:t>
      </w:r>
      <w:r>
        <w:br/>
      </w:r>
      <w:r>
        <w:t xml:space="preserve">6.2.1.5 Impacts on public budgets</w:t>
      </w:r>
      <w:r>
        <w:t xml:space="preserve"> </w:t>
      </w:r>
      <w:r>
        <w:t xml:space="preserve">This subsection assesses how PO2 would affect public budgets relative to the baseline,</w:t>
      </w:r>
      <w:r>
        <w:t xml:space="preserve"> </w:t>
      </w:r>
      <w:r>
        <w:t xml:space="preserve">covering EU and national expenditure and administrative costs. Under BAU, significant</w:t>
      </w:r>
      <w:r>
        <w:t xml:space="preserve"> </w:t>
      </w:r>
      <w:r>
        <w:t xml:space="preserve">resources are already committed to the semiconductor ecosystem with approximately EUR 43</w:t>
      </w:r>
      <w:r>
        <w:t xml:space="preserve"> </w:t>
      </w:r>
      <w:r>
        <w:t xml:space="preserve">billion in combined EU and national support for 2023-2030. PO2 would go beyond this</w:t>
      </w:r>
      <w:r>
        <w:t xml:space="preserve"> </w:t>
      </w:r>
      <w:r>
        <w:t xml:space="preserve">baseline by introducing EU-funded (and Member States co-funded) Strategic Projects (PM8),</w:t>
      </w:r>
      <w:r>
        <w:t xml:space="preserve"> </w:t>
      </w:r>
      <w:r>
        <w:t xml:space="preserve">demand-side tools (PM9, PM10) and mandatory information mechanisms for qualitative data,</w:t>
      </w:r>
      <w:r>
        <w:t xml:space="preserve"> </w:t>
      </w:r>
      <w:r>
        <w:t xml:space="preserve">resulting in higher and more concentrated public expenditure, including administrative</w:t>
      </w:r>
      <w:r>
        <w:t xml:space="preserve"> </w:t>
      </w:r>
      <w:r>
        <w:t xml:space="preserve">costs, than under either BAU or PO1.</w:t>
      </w:r>
      <w:r>
        <w:br/>
      </w:r>
      <w:r>
        <w:t xml:space="preserve">At EU level, the largest fiscal effect would come from the creation and co-financing of</w:t>
      </w:r>
      <w:r>
        <w:t xml:space="preserve"> </w:t>
      </w:r>
      <w:r>
        <w:t xml:space="preserve">Strategic Projects (PM8). Unlike PO1, which increases R&amp;D&amp;I support but does not fund</w:t>
      </w:r>
      <w:r>
        <w:t xml:space="preserve"> </w:t>
      </w:r>
      <w:r>
        <w:t xml:space="preserve">manufacturing investments, PO2 requires substantial EU contributions for cross-border</w:t>
      </w:r>
      <w:r>
        <w:t xml:space="preserve"> </w:t>
      </w:r>
      <w:r>
        <w:t xml:space="preserve">projects in sovereign manufacturing, advanced packaging, design and supply chain resilience.</w:t>
      </w:r>
      <w:r>
        <w:t xml:space="preserve"> </w:t>
      </w:r>
      <w:r>
        <w:t xml:space="preserve">These allocations would represent a significant deviation from the baseline in both scale and</w:t>
      </w:r>
      <w:r>
        <w:t xml:space="preserve"> </w:t>
      </w:r>
      <w:r>
        <w:t xml:space="preserve">intensity, covering capital investment and multi-year coordination. Demand-side measures,</w:t>
      </w:r>
      <w:r>
        <w:t xml:space="preserve"> </w:t>
      </w:r>
      <w:r>
        <w:t xml:space="preserve">such as innovation procurement, would also require EU resources beyond BAU and PO1,</w:t>
      </w:r>
      <w:r>
        <w:t xml:space="preserve"> </w:t>
      </w:r>
      <w:r>
        <w:t xml:space="preserve">dependant on procurement volumes.</w:t>
      </w:r>
      <w:r>
        <w:t xml:space="preserve"> </w:t>
      </w:r>
      <w:r>
        <w:t xml:space="preserve">Union budget depends on the outcome of the next MFF discussions. However, EU level</w:t>
      </w:r>
      <w:r>
        <w:t xml:space="preserve"> </w:t>
      </w:r>
      <w:r>
        <w:t xml:space="preserve">support, the main source of funding would come from the proposed ECF, should it</w:t>
      </w:r>
      <w:r>
        <w:t xml:space="preserve"> </w:t>
      </w:r>
      <w:r>
        <w:t xml:space="preserve">materialise. On the national side, possible sources of financing include cohesion funds.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Under PM8, a public-private investment in the range of EUR 40 billion would ensure a</w:t>
      </w:r>
      <w:r>
        <w:t xml:space="preserve"> </w:t>
      </w:r>
      <w:r>
        <w:t xml:space="preserve">sufficiently robust investment package on front-end manufacturing to address the leading-</w:t>
      </w:r>
      <w:r>
        <w:t xml:space="preserve"> </w:t>
      </w:r>
      <w:r>
        <w:t xml:space="preserve">edge manufacturing vulnerability thus protecting the Union from geopolitical dependencies or</w:t>
      </w:r>
      <w:r>
        <w:t xml:space="preserve"> </w:t>
      </w:r>
      <w:r>
        <w:t xml:space="preserve">economic coercion as set out in PD1 while also having further room for investment in front-</w:t>
      </w:r>
      <w:r>
        <w:t xml:space="preserve"> </w:t>
      </w:r>
      <w:r>
        <w:t xml:space="preserve">end facilities in line with Europe’s demand profile that continue building on the ongoing</w:t>
      </w:r>
      <w:r>
        <w:t xml:space="preserve"> </w:t>
      </w:r>
      <w:r>
        <w:t xml:space="preserve">FOAK investments.(197) Recent State aid intensities for FOAK projects in Europe, aid is</w:t>
      </w:r>
      <w:r>
        <w:t xml:space="preserve"> </w:t>
      </w:r>
      <w:r>
        <w:t xml:space="preserve">usually at around 30-40% of the project’s total costs. This would imply a public investment</w:t>
      </w:r>
      <w:r>
        <w:t xml:space="preserve"> </w:t>
      </w:r>
      <w:r>
        <w:t xml:space="preserve">(EU and Member States) of EUR 15 billion.(198)</w:t>
      </w:r>
      <w:r>
        <w:br/>
      </w:r>
      <w:r>
        <w:t xml:space="preserve">PM8 would also cover back-end investment in advanced packaging and testing, especially</w:t>
      </w:r>
      <w:r>
        <w:t xml:space="preserve"> </w:t>
      </w:r>
      <w:r>
        <w:t xml:space="preserve">2.5D/3D integration and chiplet-based architectures. These capabilities are increasingly</w:t>
      </w:r>
      <w:r>
        <w:t xml:space="preserve"> </w:t>
      </w:r>
      <w:r>
        <w:t xml:space="preserve">decisive for performance and time-to-market in AI/HPC, automotive and other applications,</w:t>
      </w:r>
      <w:r>
        <w:t xml:space="preserve"> </w:t>
      </w:r>
      <w:r>
        <w:t xml:space="preserve">and would reduce critical EU overdependencies on third-country packaging capacity.</w:t>
      </w:r>
      <w:r>
        <w:br/>
      </w:r>
      <w:r>
        <w:t xml:space="preserve">Considering the fact that the Union will for the first time be deploying direct management</w:t>
      </w:r>
      <w:r>
        <w:t xml:space="preserve"> </w:t>
      </w:r>
      <w:r>
        <w:t xml:space="preserve">funding via the ECF for manufacturing capacity, additional administrative resources will be</w:t>
      </w:r>
      <w:r>
        <w:t xml:space="preserve"> </w:t>
      </w:r>
      <w:r>
        <w:t xml:space="preserve">necessary. As set out in Annex 3, around 12 FTEs would be required to supervise and</w:t>
      </w:r>
      <w:r>
        <w:t xml:space="preserve"> </w:t>
      </w:r>
      <w:r>
        <w:t xml:space="preserve">administer Strategic Projects.</w:t>
      </w:r>
      <w:r>
        <w:br/>
      </w:r>
      <w:r>
        <w:t xml:space="preserve">Further measures would be necessary to support design and the broader value chain, although</w:t>
      </w:r>
      <w:r>
        <w:t xml:space="preserve"> </w:t>
      </w:r>
      <w:r>
        <w:t xml:space="preserve">considering the heterogeneous nature of such activities, it is difficult to quantify such support</w:t>
      </w:r>
      <w:r>
        <w:t xml:space="preserve"> </w:t>
      </w:r>
      <w:r>
        <w:t xml:space="preserve">in generic terms. A notable example would be support for strategic design assets (including IP</w:t>
      </w:r>
      <w:r>
        <w:t xml:space="preserve"> </w:t>
      </w:r>
      <w:r>
        <w:t xml:space="preserve">blocks) in the area of AI chips. Here, for leading edge technologies budgets can be significant.</w:t>
      </w:r>
      <w:r>
        <w:t xml:space="preserve"> </w:t>
      </w:r>
      <w:r>
        <w:t xml:space="preserve">In fact, the cost of development of an advanced design at a 2nm technology node may reach</w:t>
      </w:r>
      <w:r>
        <w:t xml:space="preserve"> </w:t>
      </w:r>
      <w:r>
        <w:t xml:space="preserve">up to USD 1 billion,(199) with public support under Strategic Projects supporting a portion of</w:t>
      </w:r>
      <w:r>
        <w:t xml:space="preserve"> </w:t>
      </w:r>
      <w:r>
        <w:t xml:space="preserve">this figure.</w:t>
      </w:r>
      <w:r>
        <w:br/>
      </w:r>
      <w:r>
        <w:t xml:space="preserve">In PO2, national budgets would be supported by the EU budget via the ECF when</w:t>
      </w:r>
      <w:r>
        <w:t xml:space="preserve"> </w:t>
      </w:r>
      <w:r>
        <w:t xml:space="preserve">compared with BAU and with PO1. Strategic Projects require coordinated co-funding by EU,</w:t>
      </w:r>
      <w:r>
        <w:t xml:space="preserve"> </w:t>
      </w:r>
      <w:r>
        <w:t xml:space="preserve">national and industry partners, implying that participating Member States’ budgets would face</w:t>
      </w:r>
      <w:r>
        <w:t xml:space="preserve"> </w:t>
      </w:r>
      <w:r>
        <w:t xml:space="preserve">lower budgetary pressure than when compared to granting State aid alone. Furthermore, this</w:t>
      </w:r>
      <w:r>
        <w:t xml:space="preserve"> </w:t>
      </w:r>
      <w:r>
        <w:t xml:space="preserve">expenditure could generate fiscal returns such as higher long-term tax revenues.</w:t>
      </w:r>
      <w:r>
        <w:br/>
      </w:r>
      <w:r>
        <w:t xml:space="preserve">Furthermore, successfully scaled Strategic Projects may generate fiscal returns through</w:t>
      </w:r>
      <w:r>
        <w:t xml:space="preserve"> </w:t>
      </w:r>
      <w:r>
        <w:t xml:space="preserve">personal income taxes and social contributions from direct and indirect employment, as well</w:t>
      </w:r>
      <w:r>
        <w:t xml:space="preserve"> </w:t>
      </w:r>
      <w:r>
        <w:t xml:space="preserve">as corporate taxation linked to additional semiconductor revenues. Based on estimated</w:t>
      </w:r>
      <w:r>
        <w:t xml:space="preserve"> </w:t>
      </w:r>
      <w:r>
        <w:t xml:space="preserve">employment effects (direct and indirect), and additionally generated revenues, the initiative is</w:t>
      </w:r>
      <w:r>
        <w:t xml:space="preserve"> </w:t>
      </w:r>
      <w:r>
        <w:t xml:space="preserve">expected to yield positive net fiscal flows over time, partially offsetting public support. Based</w:t>
      </w:r>
      <w:r>
        <w:t xml:space="preserve"> </w:t>
      </w:r>
      <w:r>
        <w:t xml:space="preserve">on the modelling presented in Annex 4 in Section 5 Strategic Projects might imply annual</w:t>
      </w:r>
      <w:r>
        <w:t xml:space="preserve"> </w:t>
      </w:r>
      <w:r>
        <w:t xml:space="preserve">direct fiscal returns of between EUR 380 million and EUR 662 million.</w:t>
      </w:r>
    </w:p>
    <w:p>
      <w:pPr>
        <w:pStyle w:val="Compact"/>
        <w:numPr>
          <w:ilvl w:val="0"/>
          <w:numId w:val="1056"/>
        </w:numPr>
      </w:pPr>
      <w:r>
        <w:t xml:space="preserve">Further discussed in Annex 4.</w:t>
      </w:r>
    </w:p>
    <w:p>
      <w:pPr>
        <w:pStyle w:val="Compact"/>
        <w:numPr>
          <w:ilvl w:val="0"/>
          <w:numId w:val="1056"/>
        </w:numPr>
      </w:pPr>
      <w:r>
        <w:t xml:space="preserve">All listed budgets are for illustrative purposes only and are without prejudice to the negotiations of the</w:t>
      </w:r>
      <w:r>
        <w:t xml:space="preserve"> </w:t>
      </w:r>
      <w:r>
        <w:t xml:space="preserve">upcoming Multiannual Financial Framework for 2028-2035.</w:t>
      </w:r>
    </w:p>
    <w:p>
      <w:pPr>
        <w:pStyle w:val="Compact"/>
        <w:numPr>
          <w:ilvl w:val="0"/>
          <w:numId w:val="1056"/>
        </w:numPr>
      </w:pPr>
      <w:r>
        <w:t xml:space="preserve">IBS, Global Semiconductor Industry Service, Analysis of Design Costs, September 2024.</w:t>
      </w:r>
    </w:p>
    <w:p>
      <w:pPr>
        <w:pStyle w:val="FirstParagraph"/>
      </w:pPr>
      <w:r>
        <w:t xml:space="preserve">88</w:t>
      </w:r>
    </w:p>
    <w:p>
      <w:pPr>
        <w:pStyle w:val="BodyText"/>
      </w:pPr>
      <w:r>
        <w:t xml:space="preserve">6.2.1.6 Impacts on R&amp;D and innovation ecosystem</w:t>
      </w:r>
      <w:r>
        <w:t xml:space="preserve"> </w:t>
      </w:r>
      <w:r>
        <w:t xml:space="preserve">Semiconductor R&amp;D and innovation would benefit substantially from PO2. Strategic Projects</w:t>
      </w:r>
      <w:r>
        <w:t xml:space="preserve"> </w:t>
      </w:r>
      <w:r>
        <w:t xml:space="preserve">under the proposed ECF will be enabling the industrialisation of a greater share of research</w:t>
      </w:r>
      <w:r>
        <w:t xml:space="preserve"> </w:t>
      </w:r>
      <w:r>
        <w:t xml:space="preserve">from publicly funded programmes, including from the pilot lines under Pillar I. Given that</w:t>
      </w:r>
      <w:r>
        <w:t xml:space="preserve"> </w:t>
      </w:r>
      <w:r>
        <w:t xml:space="preserve">much of the innovation in the semiconductor industry involves process optimisation and</w:t>
      </w:r>
      <w:r>
        <w:t xml:space="preserve"> </w:t>
      </w:r>
      <w:r>
        <w:t xml:space="preserve">requires close interaction between laboratory work and manufacturing environments, the</w:t>
      </w:r>
      <w:r>
        <w:t xml:space="preserve"> </w:t>
      </w:r>
      <w:r>
        <w:t xml:space="preserve">expansion of production activities in the EU supported by the Chips Act could also stimulate</w:t>
      </w:r>
      <w:r>
        <w:t xml:space="preserve"> </w:t>
      </w:r>
      <w:r>
        <w:t xml:space="preserve">additional R&amp;D through the need to co-locate research with fabrication. A potential</w:t>
      </w:r>
      <w:r>
        <w:t xml:space="preserve"> </w:t>
      </w:r>
      <w:r>
        <w:t xml:space="preserve">bottleneck, however, is the shortage of skilled scientists and engineers, especially when</w:t>
      </w:r>
      <w:r>
        <w:t xml:space="preserve"> </w:t>
      </w:r>
      <w:r>
        <w:t xml:space="preserve">moving to below 2nm nodes, a challenge already well-documented in the European</w:t>
      </w:r>
      <w:r>
        <w:t xml:space="preserve"> </w:t>
      </w:r>
      <w:r>
        <w:t xml:space="preserve">semiconductor sector.</w:t>
      </w:r>
      <w:r>
        <w:br/>
      </w:r>
      <w:r>
        <w:t xml:space="preserve">Furthermore, greater public backing may encourage firms to commit more of their own</w:t>
      </w:r>
      <w:r>
        <w:t xml:space="preserve"> </w:t>
      </w:r>
      <w:r>
        <w:t xml:space="preserve">resources to higher-risk R&amp;D projects, knowing that stronger public support reduces the</w:t>
      </w:r>
      <w:r>
        <w:t xml:space="preserve"> </w:t>
      </w:r>
      <w:r>
        <w:t xml:space="preserve">financial uncertainty associated with such efforts. In addition, empirical evidence suggests</w:t>
      </w:r>
      <w:r>
        <w:t xml:space="preserve"> </w:t>
      </w:r>
      <w:r>
        <w:t xml:space="preserve">that participation in innovation-oriented public procurement is associated with 10–20</w:t>
      </w:r>
      <w:r>
        <w:t xml:space="preserve"> </w:t>
      </w:r>
      <w:r>
        <w:t xml:space="preserve">percentage point higher probabilities of product innovation, and around 6 percentage point</w:t>
      </w:r>
      <w:r>
        <w:t xml:space="preserve"> </w:t>
      </w:r>
      <w:r>
        <w:t xml:space="preserve">higher probabilities of process innovation, compared to otherwise similar firms (200), (201) (see</w:t>
      </w:r>
      <w:r>
        <w:t xml:space="preserve"> </w:t>
      </w:r>
      <w:r>
        <w:t xml:space="preserve">Annex 4, section 6 for more details).</w:t>
      </w:r>
      <w:r>
        <w:t xml:space="preserve"> </w:t>
      </w:r>
      <w:r>
        <w:t xml:space="preserve">6.2.1.7 Impacts on SME/start-up ecosystem</w:t>
      </w:r>
      <w:r>
        <w:t xml:space="preserve"> </w:t>
      </w:r>
      <w:r>
        <w:t xml:space="preserve">Start-ups and SMEs would also benefit significantly from PO2. The semiconductor industry</w:t>
      </w:r>
      <w:r>
        <w:t xml:space="preserve"> </w:t>
      </w:r>
      <w:r>
        <w:t xml:space="preserve">relies on a wide network of highly specialised smaller firms across the value chain, and</w:t>
      </w:r>
      <w:r>
        <w:t xml:space="preserve"> </w:t>
      </w:r>
      <w:r>
        <w:t xml:space="preserve">increased investment through Strategic Projects under the ECF, together with an expanded</w:t>
      </w:r>
      <w:r>
        <w:t xml:space="preserve"> </w:t>
      </w:r>
      <w:r>
        <w:t xml:space="preserve">scope for First-of-a-Kind projects, would stimulate additional demand for these specialised</w:t>
      </w:r>
      <w:r>
        <w:t xml:space="preserve"> </w:t>
      </w:r>
      <w:r>
        <w:t xml:space="preserve">inputs.</w:t>
      </w:r>
      <w:r>
        <w:br/>
      </w:r>
      <w:r>
        <w:t xml:space="preserve">Chip design is another area where start-ups and SMEs stand to gain especially since the EU’s</w:t>
      </w:r>
      <w:r>
        <w:t xml:space="preserve"> </w:t>
      </w:r>
      <w:r>
        <w:t xml:space="preserve">fabless companies are almost entirely SMEs whose work is within scope under Strategic</w:t>
      </w:r>
      <w:r>
        <w:t xml:space="preserve"> </w:t>
      </w:r>
      <w:r>
        <w:t xml:space="preserve">Projects (PM8).</w:t>
      </w:r>
      <w:r>
        <w:br/>
      </w:r>
      <w:r>
        <w:t xml:space="preserve">Furthermore, through the deployment of innovation procurement, start-ups and SMEs can</w:t>
      </w:r>
      <w:r>
        <w:t xml:space="preserve"> </w:t>
      </w:r>
      <w:r>
        <w:t xml:space="preserve">benefit from anchor customers that grant them the first revenues while also serving as a</w:t>
      </w:r>
      <w:r>
        <w:t xml:space="preserve"> </w:t>
      </w:r>
      <w:r>
        <w:t xml:space="preserve">testbed for validation of technology and a pull-factor for further investment. Therefore,</w:t>
      </w:r>
      <w:r>
        <w:t xml:space="preserve"> </w:t>
      </w:r>
      <w:r>
        <w:t xml:space="preserve">beyond firm-level revenues, innovation procurement under PM9 would strengthen the</w:t>
      </w:r>
      <w:r>
        <w:t xml:space="preserve"> </w:t>
      </w:r>
      <w:r>
        <w:t xml:space="preserve">SME/start-up ecosystem through innovation-to-market routes with clear technical milestones,</w:t>
      </w:r>
      <w:r>
        <w:t xml:space="preserve"> </w:t>
      </w:r>
      <w:r>
        <w:t xml:space="preserve">testing environments and first deployments. By providing reference projects, access to testbed</w:t>
      </w:r>
      <w:r>
        <w:t xml:space="preserve"> </w:t>
      </w:r>
      <w:r>
        <w:t xml:space="preserve">and integration partners, this approach reduces market-entry risks and information</w:t>
      </w:r>
      <w:r>
        <w:t xml:space="preserve"> </w:t>
      </w:r>
      <w:r>
        <w:t xml:space="preserve">asymmetries for investors and customers, improving SME’s ability to raise follow-on</w:t>
      </w:r>
    </w:p>
    <w:p>
      <w:pPr>
        <w:pStyle w:val="Compact"/>
        <w:numPr>
          <w:ilvl w:val="0"/>
          <w:numId w:val="1057"/>
        </w:numPr>
      </w:pPr>
      <w:r>
        <w:t xml:space="preserve">Andrea Bastianin, Paolo Castelnovo, Lorenzo Zirulia, Overcoming the innovation threshold through</w:t>
      </w:r>
      <w:r>
        <w:t xml:space="preserve"> </w:t>
      </w:r>
      <w:r>
        <w:t xml:space="preserve">innovative public procurement: evidence from CERN, Industrial and Corporate Change, Volume 34, Issue 5,</w:t>
      </w:r>
      <w:r>
        <w:t xml:space="preserve"> </w:t>
      </w:r>
      <w:r>
        <w:t xml:space="preserve">October 2025, Pages 871–900, https://doi.org/10.1093/icc/dtaf004</w:t>
      </w:r>
    </w:p>
    <w:p>
      <w:pPr>
        <w:pStyle w:val="Compact"/>
        <w:numPr>
          <w:ilvl w:val="0"/>
          <w:numId w:val="1057"/>
        </w:numPr>
      </w:pPr>
      <w:r>
        <w:t xml:space="preserve">Dragana Radicic, Effectiveness of public procurement of innovation versus supply-side innovation</w:t>
      </w:r>
      <w:r>
        <w:t xml:space="preserve"> </w:t>
      </w:r>
      <w:r>
        <w:t xml:space="preserve">measures in manufacturing and service sectors, Science and Public Policy, Volume 46, Issue 5, October 2019,</w:t>
      </w:r>
      <w:r>
        <w:t xml:space="preserve"> </w:t>
      </w:r>
      <w:r>
        <w:t xml:space="preserve">Pages 732–746, https://doi.org/10.1093/scipol/scz026.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financing and scale internationally while stimulating cluster effects across the full</w:t>
      </w:r>
      <w:r>
        <w:t xml:space="preserve"> </w:t>
      </w:r>
      <w:r>
        <w:t xml:space="preserve">hardware/software stack and across the European semiconductor value chain.</w:t>
      </w:r>
      <w:r>
        <w:t xml:space="preserve"> </w:t>
      </w:r>
      <w:r>
        <w:t xml:space="preserve">Design-focused SMEs could also benefit from new investments in advanced chip fabs. Such</w:t>
      </w:r>
      <w:r>
        <w:t xml:space="preserve"> </w:t>
      </w:r>
      <w:r>
        <w:t xml:space="preserve">facilities would shorten and accelerate innovation cycles by reducing reliance on long third-</w:t>
      </w:r>
      <w:r>
        <w:t xml:space="preserve"> </w:t>
      </w:r>
      <w:r>
        <w:t xml:space="preserve">country supply chains and exposure to fluctuating lead times, enhance customer trust when</w:t>
      </w:r>
      <w:r>
        <w:t xml:space="preserve"> </w:t>
      </w:r>
      <w:r>
        <w:t xml:space="preserve">handling sensitive technologies, and offer manufacturing opportunities for lot sizes that large</w:t>
      </w:r>
      <w:r>
        <w:t xml:space="preserve"> </w:t>
      </w:r>
      <w:r>
        <w:t xml:space="preserve">global fabs may consider too small or too specialised.(202)This support would complement</w:t>
      </w:r>
      <w:r>
        <w:t xml:space="preserve"> </w:t>
      </w:r>
      <w:r>
        <w:t xml:space="preserve">existing BAU measures such as the Design Platform, pilot lines, Competence Centres and an</w:t>
      </w:r>
      <w:r>
        <w:t xml:space="preserve"> </w:t>
      </w:r>
      <w:r>
        <w:t xml:space="preserve">expanded Chips Fund, all measures currently in place under the Chips Act. Taken together,</w:t>
      </w:r>
      <w:r>
        <w:t xml:space="preserve"> </w:t>
      </w:r>
      <w:r>
        <w:t xml:space="preserve">increased technological support, improved framework conditions including financing, and the</w:t>
      </w:r>
      <w:r>
        <w:t xml:space="preserve"> </w:t>
      </w:r>
      <w:r>
        <w:t xml:space="preserve">emergence of new manufacturing capacities could be transformative for design-oriented</w:t>
      </w:r>
      <w:r>
        <w:t xml:space="preserve"> </w:t>
      </w:r>
      <w:r>
        <w:t xml:space="preserve">SMEs and start-ups, providing accessibility, speed, security, specialisation and ecosystem</w:t>
      </w:r>
      <w:r>
        <w:t xml:space="preserve"> </w:t>
      </w:r>
      <w:r>
        <w:t xml:space="preserve">benefits that are difficult to obtain from traditional global players.</w:t>
      </w:r>
      <w:r>
        <w:t xml:space="preserve"> </w:t>
      </w:r>
      <w:r>
        <w:t xml:space="preserve">6.2.2 Environmental impact</w:t>
      </w:r>
      <w:r>
        <w:t xml:space="preserve"> </w:t>
      </w:r>
      <w:r>
        <w:t xml:space="preserve">When it comes to environmental impact, two scenarios are considered in Section 4 of Annex</w:t>
      </w:r>
      <w:r>
        <w:t xml:space="preserve"> </w:t>
      </w:r>
      <w:r>
        <w:t xml:space="preserve">4. In scenario 1, (203) the additional capacity generated by PM8 through EUR 15 billion in</w:t>
      </w:r>
      <w:r>
        <w:t xml:space="preserve"> </w:t>
      </w:r>
      <w:r>
        <w:t xml:space="preserve">public investment would reach around 1.8 Mio wafers per month, leading to around 22.0 Mio</w:t>
      </w:r>
      <w:r>
        <w:t xml:space="preserve"> </w:t>
      </w:r>
      <w:r>
        <w:t xml:space="preserve">wafers per year overall capacity. This expansion would be associated with estimated total</w:t>
      </w:r>
      <w:r>
        <w:t xml:space="preserve"> </w:t>
      </w:r>
      <w:r>
        <w:t xml:space="preserve">scope 1 emissions of 1.4 - 1.7 MtCO2e and scope 2 emissions of 7.1 - 9.2 MtCO2e on a</w:t>
      </w:r>
      <w:r>
        <w:t xml:space="preserve"> </w:t>
      </w:r>
      <w:r>
        <w:t xml:space="preserve">location-based basis, and water withdrawal of around 236.5 Mio m3 per year(204). Total water</w:t>
      </w:r>
      <w:r>
        <w:t xml:space="preserve"> </w:t>
      </w:r>
      <w:r>
        <w:t xml:space="preserve">withdrawal represents an 8.5% increase compared with the baseline; a magnitude comparable</w:t>
      </w:r>
      <w:r>
        <w:t xml:space="preserve"> </w:t>
      </w:r>
      <w:r>
        <w:t xml:space="preserve">to mainstream capacity expansions outside Europe. Scenario 2 combines the expansion of</w:t>
      </w:r>
      <w:r>
        <w:t xml:space="preserve"> </w:t>
      </w:r>
      <w:r>
        <w:t xml:space="preserve">mainstream nodes with the establishment of one leading-edge fab.</w:t>
      </w:r>
      <w:r>
        <w:br/>
      </w:r>
      <w:r>
        <w:t xml:space="preserve">New mainstream capacity would amount to the addition of around 997,596 wafers per year</w:t>
      </w:r>
      <w:r>
        <w:t xml:space="preserve"> </w:t>
      </w:r>
      <w:r>
        <w:t xml:space="preserve">resulting in a total capacity of around 20.4 Mio wafers per year, with estimated total scope 1</w:t>
      </w:r>
      <w:r>
        <w:t xml:space="preserve"> </w:t>
      </w:r>
      <w:r>
        <w:t xml:space="preserve">emissions of 1.3 – 1.6 MtCO2e, scope 2 emissions of 6.6 - 8.5 MtCO2e on a location-based</w:t>
      </w:r>
      <w:r>
        <w:t xml:space="preserve"> </w:t>
      </w:r>
      <w:r>
        <w:t xml:space="preserve">basis, and water withdrawal of about 222.5 Mio m3 per year. The leading-edge fab, modelled</w:t>
      </w:r>
      <w:r>
        <w:t xml:space="preserve"> </w:t>
      </w:r>
      <w:r>
        <w:t xml:space="preserve">on industry data and assumed to reach 300 000 wafers per year, would generate around 74</w:t>
      </w:r>
      <w:r>
        <w:t xml:space="preserve"> </w:t>
      </w:r>
      <w:r>
        <w:t xml:space="preserve">555 – 79 005 tCO2e for scope 1 and 290 740 - 310 509 tCO2e for scope 2 on a location-base</w:t>
      </w:r>
      <w:r>
        <w:t xml:space="preserve"> </w:t>
      </w:r>
      <w:r>
        <w:t xml:space="preserve">basis (assuming average annual increase of 5.79% in emissions per wafer due to rising</w:t>
      </w:r>
      <w:r>
        <w:t xml:space="preserve"> </w:t>
      </w:r>
      <w:r>
        <w:t xml:space="preserve">process complexity). All details of the calculation are provided in Annex 4 - section 4.</w:t>
      </w:r>
      <w:r>
        <w:t xml:space="preserve"> </w:t>
      </w:r>
      <w:r>
        <w:t xml:space="preserve">Overall, scenario 2 would result in total emissions of about 1.4 - 1.7 MtCO2e for scope 1, 6.9</w:t>
      </w:r>
      <w:r>
        <w:t xml:space="preserve"> </w:t>
      </w:r>
      <w:r>
        <w:t xml:space="preserve">- 8.8 MtCO2e for scope 2 on a location-based basis with a total water withdrawal of</w:t>
      </w:r>
      <w:r>
        <w:t xml:space="preserve"> </w:t>
      </w:r>
      <w:r>
        <w:t xml:space="preserve">approximately 222.3 - Mio m3 per year. While European fabs currently recycle around 10–</w:t>
      </w:r>
      <w:r>
        <w:t xml:space="preserve"> </w:t>
      </w:r>
      <w:r>
        <w:t xml:space="preserve">14% of water, non-European fabs in water-scarce regions such as Taiwan achieve reuse rates</w:t>
      </w:r>
      <w:r>
        <w:t xml:space="preserve"> </w:t>
      </w:r>
      <w:r>
        <w:t xml:space="preserve">of about 80%, indicating significant potential for Europe to improve efficiency and</w:t>
      </w:r>
      <w:r>
        <w:t xml:space="preserve"> </w:t>
      </w:r>
      <w:r>
        <w:t xml:space="preserve">competitiveness through advanced water management. In parallel, the shift to leading-edge</w:t>
      </w:r>
    </w:p>
    <w:p>
      <w:pPr>
        <w:pStyle w:val="Compact"/>
        <w:numPr>
          <w:ilvl w:val="0"/>
          <w:numId w:val="1058"/>
        </w:numPr>
      </w:pPr>
      <w:r>
        <w:t xml:space="preserve">A methodological toolbox to monitor the semiconductors’ supply-chain, Publications Office of the</w:t>
      </w:r>
      <w:r>
        <w:t xml:space="preserve"> </w:t>
      </w:r>
      <w:r>
        <w:t xml:space="preserve">European Union, Luxembourg, 2024, doi:10.2760/5085463, JRC138921.</w:t>
      </w:r>
    </w:p>
    <w:p>
      <w:pPr>
        <w:pStyle w:val="Compact"/>
        <w:numPr>
          <w:ilvl w:val="0"/>
          <w:numId w:val="1058"/>
        </w:numPr>
      </w:pPr>
      <w:r>
        <w:t xml:space="preserve">Projects following the technology mix typical for European firms.</w:t>
      </w:r>
    </w:p>
    <w:p>
      <w:pPr>
        <w:pStyle w:val="Compact"/>
        <w:numPr>
          <w:ilvl w:val="0"/>
          <w:numId w:val="1058"/>
        </w:numPr>
      </w:pPr>
      <w:r>
        <w:t xml:space="preserve">All calculations are presented in Annex 4.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nodes and advanced packaging would increase material use, as mask layers rise from around</w:t>
      </w:r>
      <w:r>
        <w:t xml:space="preserve"> </w:t>
      </w:r>
      <w:r>
        <w:t xml:space="preserve">40 at 65 nm to up to 110 at 5-3 nm and additional packaging steps are required. As a result,</w:t>
      </w:r>
      <w:r>
        <w:t xml:space="preserve"> </w:t>
      </w:r>
      <w:r>
        <w:t xml:space="preserve">Europe’s total material consumption could increase by up to 65%, broadly in line with trends</w:t>
      </w:r>
      <w:r>
        <w:t xml:space="preserve"> </w:t>
      </w:r>
      <w:r>
        <w:t xml:space="preserve">already observed in leading non-European semiconductor manufacturing hubs.</w:t>
      </w:r>
      <w:r>
        <w:t xml:space="preserve"> </w:t>
      </w:r>
      <w:r>
        <w:t xml:space="preserve">6.2.3 Social Impacts</w:t>
      </w:r>
      <w:r>
        <w:br/>
      </w:r>
      <w:r>
        <w:t xml:space="preserve">6.2.3.1 Impacts on the labour market</w:t>
      </w:r>
      <w:r>
        <w:t xml:space="preserve"> </w:t>
      </w:r>
      <w:r>
        <w:t xml:space="preserve">Strategic projects and demand-side measures in PO2 will lead to considerable positive effects</w:t>
      </w:r>
      <w:r>
        <w:t xml:space="preserve"> </w:t>
      </w:r>
      <w:r>
        <w:t xml:space="preserve">on jobs in the European semiconductor industry. These effects will be even larger when</w:t>
      </w:r>
      <w:r>
        <w:t xml:space="preserve"> </w:t>
      </w:r>
      <w:r>
        <w:t xml:space="preserve">employment effects during construction of new fabs and further up the supply chain are also</w:t>
      </w:r>
      <w:r>
        <w:t xml:space="preserve"> </w:t>
      </w:r>
      <w:r>
        <w:t xml:space="preserve">considered. A modelling of potential employment impacts shows that due to the Strategic</w:t>
      </w:r>
      <w:r>
        <w:t xml:space="preserve"> </w:t>
      </w:r>
      <w:r>
        <w:t xml:space="preserve">Projects alone, if EUR 15 billion in public funding is dedicated to sovereign manufacturing,</w:t>
      </w:r>
      <w:r>
        <w:t xml:space="preserve"> </w:t>
      </w:r>
      <w:r>
        <w:t xml:space="preserve">one should expect between 4,700 and 7,300 new direct jobs (205) and an additional 16,000 to</w:t>
      </w:r>
      <w:r>
        <w:t xml:space="preserve"> </w:t>
      </w:r>
      <w:r>
        <w:t xml:space="preserve">36,000 indirect jobs (depending on other external factors, but projected with a good degree of</w:t>
      </w:r>
      <w:r>
        <w:t xml:space="preserve"> </w:t>
      </w:r>
      <w:r>
        <w:t xml:space="preserve">confidence from the current first-of-a-kind investment). Direct jobs in the semiconductor</w:t>
      </w:r>
      <w:r>
        <w:t xml:space="preserve"> </w:t>
      </w:r>
      <w:r>
        <w:t xml:space="preserve">industry are also reported as high-quality, as reflected in above-average salaries.(206) Stronger</w:t>
      </w:r>
      <w:r>
        <w:t xml:space="preserve"> </w:t>
      </w:r>
      <w:r>
        <w:t xml:space="preserve">support for design activities in start-ups and SMEs will also add to employment growth, since</w:t>
      </w:r>
      <w:r>
        <w:t xml:space="preserve"> </w:t>
      </w:r>
      <w:r>
        <w:t xml:space="preserve">these are currently more labour-intensive than automated semiconductor production.</w:t>
      </w:r>
      <w:r>
        <w:br/>
      </w:r>
      <w:r>
        <w:t xml:space="preserve">6.2.3.2 Impacts on territorial cohesion</w:t>
      </w:r>
      <w:r>
        <w:t xml:space="preserve"> </w:t>
      </w:r>
      <w:r>
        <w:t xml:space="preserve">The European semiconductor value chain “thrives on proximity, where co-located firms,</w:t>
      </w:r>
      <w:r>
        <w:t xml:space="preserve"> </w:t>
      </w:r>
      <w:r>
        <w:t xml:space="preserve">research institutions, and supply chain partners create synergies that amplify innovation</w:t>
      </w:r>
      <w:r>
        <w:t xml:space="preserve"> </w:t>
      </w:r>
      <w:r>
        <w:t xml:space="preserve">and production” (207), which makes the fostering of regional semiconductor ecosystems a</w:t>
      </w:r>
      <w:r>
        <w:t xml:space="preserve"> </w:t>
      </w:r>
      <w:r>
        <w:t xml:space="preserve">powerful engine for regional growth and cohesion. PM8 aims to deliver investments across</w:t>
      </w:r>
      <w:r>
        <w:t xml:space="preserve"> </w:t>
      </w:r>
      <w:r>
        <w:t xml:space="preserve">the European semiconductor value chain. From a cohesion policy perspective, this can lead to</w:t>
      </w:r>
      <w:r>
        <w:t xml:space="preserve"> </w:t>
      </w:r>
      <w:r>
        <w:t xml:space="preserve">spillover effects and multiplication of investment across regions that may not be directly</w:t>
      </w:r>
      <w:r>
        <w:t xml:space="preserve"> </w:t>
      </w:r>
      <w:r>
        <w:t xml:space="preserve">involved in the semiconductor value chain, but in its upstream markets.</w:t>
      </w:r>
      <w:r>
        <w:t xml:space="preserve"> </w:t>
      </w:r>
      <w:r>
        <w:t xml:space="preserve">PO2 is therefore expected to deliver significant benefits for cohesion and regional prosperity,</w:t>
      </w:r>
      <w:r>
        <w:t xml:space="preserve"> </w:t>
      </w:r>
      <w:r>
        <w:t xml:space="preserve">with the additional funding serving as an incentive for regions to adopt enabling measures and</w:t>
      </w:r>
      <w:r>
        <w:t xml:space="preserve"> </w:t>
      </w:r>
      <w:r>
        <w:t xml:space="preserve">invest in the development of their semiconductor ecosystems.</w:t>
      </w:r>
      <w:r>
        <w:br/>
      </w:r>
      <w:r>
        <w:t xml:space="preserve">6.2.3.3 Impacts on security of supply</w:t>
      </w:r>
      <w:r>
        <w:t xml:space="preserve"> </w:t>
      </w:r>
      <w:r>
        <w:t xml:space="preserve">The availability of EU-level co-funding under PO2 would enable the Union to invest in</w:t>
      </w:r>
      <w:r>
        <w:t xml:space="preserve"> </w:t>
      </w:r>
      <w:r>
        <w:t xml:space="preserve">facilities that would serve the common European interest by ensuring the availability of</w:t>
      </w:r>
      <w:r>
        <w:t xml:space="preserve"> </w:t>
      </w:r>
      <w:r>
        <w:t xml:space="preserve">critical manufacturing capacity, particularly when it comes to leading-edge chips, where</w:t>
      </w:r>
    </w:p>
    <w:p>
      <w:pPr>
        <w:pStyle w:val="Compact"/>
        <w:numPr>
          <w:ilvl w:val="0"/>
          <w:numId w:val="1059"/>
        </w:numPr>
      </w:pPr>
      <w:r>
        <w:t xml:space="preserve">See Annex 4.</w:t>
      </w:r>
    </w:p>
    <w:p>
      <w:pPr>
        <w:pStyle w:val="Compact"/>
        <w:numPr>
          <w:ilvl w:val="0"/>
          <w:numId w:val="1059"/>
        </w:numPr>
      </w:pPr>
      <w:r>
        <w:t xml:space="preserve">For example, in the US case, according to the White House Council of Economic Advisers, the median</w:t>
      </w:r>
      <w:r>
        <w:t xml:space="preserve"> </w:t>
      </w:r>
      <w:r>
        <w:t xml:space="preserve">annual wage in semiconductor and other electronic component manufacturing exceeds that in overall</w:t>
      </w:r>
      <w:r>
        <w:t xml:space="preserve"> </w:t>
      </w:r>
      <w:r>
        <w:t xml:space="preserve">manufacturing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nearly</w:t>
      </w:r>
      <w:r>
        <w:t xml:space="preserve"> </w:t>
      </w:r>
      <w:r>
        <w:t xml:space="preserve">double</w:t>
      </w:r>
      <w:r>
        <w:t xml:space="preserve"> </w:t>
      </w:r>
      <w:r>
        <w:t xml:space="preserve">the</w:t>
      </w:r>
      <w:r>
        <w:t xml:space="preserve"> </w:t>
      </w:r>
      <w:r>
        <w:t xml:space="preserve">median</w:t>
      </w:r>
      <w:r>
        <w:t xml:space="preserve"> </w:t>
      </w:r>
      <w:r>
        <w:t xml:space="preserve">for</w:t>
      </w:r>
      <w:r>
        <w:t xml:space="preserve"> </w:t>
      </w:r>
      <w:r>
        <w:t xml:space="preserve">retail</w:t>
      </w:r>
      <w:r>
        <w:t xml:space="preserve"> </w:t>
      </w:r>
      <w:r>
        <w:t xml:space="preserve">trade</w:t>
      </w:r>
      <w:r>
        <w:t xml:space="preserve"> </w:t>
      </w:r>
      <w:r>
        <w:t xml:space="preserve">jobshttps://bidenwhitehouse.archives.gov/cea/written-materials/2024/03/20/u-s-semiconductor-jobs-are-making-</w:t>
      </w:r>
      <w:r>
        <w:t xml:space="preserve"> </w:t>
      </w:r>
      <w:r>
        <w:t xml:space="preserve">a-comeback/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ESRA, Home - European Semiconductor Regions Alliance.</w:t>
      </w:r>
    </w:p>
    <w:p>
      <w:pPr>
        <w:pStyle w:val="FirstParagraph"/>
      </w:pPr>
      <w:r>
        <w:t xml:space="preserve">91</w:t>
      </w:r>
    </w:p>
    <w:p>
      <w:pPr>
        <w:pStyle w:val="BodyText"/>
      </w:pPr>
      <w:r>
        <w:t xml:space="preserve">the Union has critical dependencies on third countries as discussed in P1. Furthermore, PO2</w:t>
      </w:r>
      <w:r>
        <w:t xml:space="preserve"> </w:t>
      </w:r>
      <w:r>
        <w:t xml:space="preserve">would also enable greater integration and depth across the semiconductor value chain than the</w:t>
      </w:r>
      <w:r>
        <w:t xml:space="preserve"> </w:t>
      </w:r>
      <w:r>
        <w:t xml:space="preserve">baseline. A Strategic Project could potentially involve several stages of the value chain,</w:t>
      </w:r>
      <w:r>
        <w:t xml:space="preserve"> </w:t>
      </w:r>
      <w:r>
        <w:t xml:space="preserve">including design, manufacturing, advanced packaging and resilience-related activities. This</w:t>
      </w:r>
      <w:r>
        <w:t xml:space="preserve"> </w:t>
      </w:r>
      <w:r>
        <w:t xml:space="preserve">structure would instil a cross-border dimension across Member States and encourage tighter</w:t>
      </w:r>
      <w:r>
        <w:t xml:space="preserve"> </w:t>
      </w:r>
      <w:r>
        <w:t xml:space="preserve">collaboration between manufacturers, design firms, equipment suppliers and materials</w:t>
      </w:r>
      <w:r>
        <w:t xml:space="preserve"> </w:t>
      </w:r>
      <w:r>
        <w:t xml:space="preserve">producers.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chapter provides a comparison of policy options against the criteria of effectiveness,</w:t>
      </w:r>
      <w:r>
        <w:t xml:space="preserve"> </w:t>
      </w:r>
      <w:r>
        <w:t xml:space="preserve">efficiency, and coherence as well as the principles of proportionality and subsidiarity.</w:t>
      </w:r>
      <w:r>
        <w:br/>
      </w:r>
      <w:r>
        <w:t xml:space="preserve">7.1</w:t>
      </w:r>
      <w:r>
        <w:t xml:space="preserve"> </w:t>
      </w:r>
      <w:r>
        <w:t xml:space="preserve">Effectiveness</w:t>
      </w:r>
      <w:r>
        <w:br/>
      </w:r>
      <w:r>
        <w:t xml:space="preserve">SO1: Under the baseline scenario, capacity expansion would continue to rely primarily on</w:t>
      </w:r>
      <w:r>
        <w:t xml:space="preserve"> </w:t>
      </w:r>
      <w:r>
        <w:t xml:space="preserve">market-driven investment decisions within the existing framework. While some incremental</w:t>
      </w:r>
      <w:r>
        <w:t xml:space="preserve"> </w:t>
      </w:r>
      <w:r>
        <w:t xml:space="preserve">growth is expected in areas where the EU already holds structural strengths, persistent</w:t>
      </w:r>
      <w:r>
        <w:t xml:space="preserve"> </w:t>
      </w:r>
      <w:r>
        <w:t xml:space="preserve">bottlenecks related to investment risk, feasibility constraints and limited coordination are</w:t>
      </w:r>
      <w:r>
        <w:t xml:space="preserve"> </w:t>
      </w:r>
      <w:r>
        <w:t xml:space="preserve">likely to constrain expansion in more capital-intensive and technologically advanced</w:t>
      </w:r>
      <w:r>
        <w:t xml:space="preserve"> </w:t>
      </w:r>
      <w:r>
        <w:t xml:space="preserve">segments. As a result, the baseline scenario would only partially contribute to enhancing</w:t>
      </w:r>
      <w:r>
        <w:t xml:space="preserve"> </w:t>
      </w:r>
      <w:r>
        <w:t xml:space="preserve">security of supply and would not materially address strategic gaps in advanced manufacturing</w:t>
      </w:r>
      <w:r>
        <w:t xml:space="preserve"> </w:t>
      </w:r>
      <w:r>
        <w:t xml:space="preserve">and packaging. Persistent issues related to permitting duration, regulatory uncertainty and</w:t>
      </w:r>
      <w:r>
        <w:t xml:space="preserve"> </w:t>
      </w:r>
      <w:r>
        <w:t xml:space="preserve">skills availability would continue to affect investment decisions and project execution,</w:t>
      </w:r>
      <w:r>
        <w:t xml:space="preserve"> </w:t>
      </w:r>
      <w:r>
        <w:t xml:space="preserve">resulting in a suboptimal investment environment</w:t>
      </w:r>
      <w:r>
        <w:t xml:space="preserve"> </w:t>
      </w:r>
      <w:r>
        <w:t xml:space="preserve">Policy Option 1 would improve conditions for capacity expansion by addressing non-financial</w:t>
      </w:r>
      <w:r>
        <w:t xml:space="preserve"> </w:t>
      </w:r>
      <w:r>
        <w:t xml:space="preserve">barriers, notably through faster and more predictable permitting, clearer regulatory</w:t>
      </w:r>
      <w:r>
        <w:t xml:space="preserve"> </w:t>
      </w:r>
      <w:r>
        <w:t xml:space="preserve">requirements and a clarified framework for First-of-a-Kind facilities. These measures are</w:t>
      </w:r>
      <w:r>
        <w:t xml:space="preserve"> </w:t>
      </w:r>
      <w:r>
        <w:t xml:space="preserve">expected to facilitate investment execution and reduce uncertainty. However, in the absence</w:t>
      </w:r>
      <w:r>
        <w:t xml:space="preserve"> </w:t>
      </w:r>
      <w:r>
        <w:t xml:space="preserve">of targeted Union-level support or demand-oriented instruments, capacity expansion would</w:t>
      </w:r>
      <w:r>
        <w:t xml:space="preserve"> </w:t>
      </w:r>
      <w:r>
        <w:t xml:space="preserve">likely remain concentrated in segments where the EU is already competitive, with limited</w:t>
      </w:r>
      <w:r>
        <w:t xml:space="preserve"> </w:t>
      </w:r>
      <w:r>
        <w:t xml:space="preserve">impact on underrepresented technologies such as advanced logic or packaging. Additionally,</w:t>
      </w:r>
      <w:r>
        <w:t xml:space="preserve"> </w:t>
      </w:r>
      <w:r>
        <w:t xml:space="preserve">Policy Option 1 focuses on horizontal framework improvements, including faster permitting,</w:t>
      </w:r>
      <w:r>
        <w:t xml:space="preserve"> </w:t>
      </w:r>
      <w:r>
        <w:t xml:space="preserve">regulatory clarity and targeted skills measures. These actions are expected to ease long-</w:t>
      </w:r>
      <w:r>
        <w:t xml:space="preserve"> </w:t>
      </w:r>
      <w:r>
        <w:t xml:space="preserve">standing non-financial barriers, improve predictability and support more reliable project</w:t>
      </w:r>
      <w:r>
        <w:t xml:space="preserve"> </w:t>
      </w:r>
      <w:r>
        <w:t xml:space="preserve">implementation across the value chain.</w:t>
      </w:r>
      <w:r>
        <w:br/>
      </w:r>
      <w:r>
        <w:t xml:space="preserve">Policy Option 2 builds on these horizontal measures while adding Union-level coordination</w:t>
      </w:r>
      <w:r>
        <w:t xml:space="preserve"> </w:t>
      </w:r>
      <w:r>
        <w:t xml:space="preserve">through Strategic Projects. This additional layer aims to address feasibility constraints for</w:t>
      </w:r>
      <w:r>
        <w:t xml:space="preserve"> </w:t>
      </w:r>
      <w:r>
        <w:t xml:space="preserve">large and technologically critical investments and promote deeper integration across design,</w:t>
      </w:r>
      <w:r>
        <w:t xml:space="preserve"> </w:t>
      </w:r>
      <w:r>
        <w:t xml:space="preserve">manufacturing and advanced packaging. Policy Option 2 combines framework improvements</w:t>
      </w:r>
      <w:r>
        <w:t xml:space="preserve"> </w:t>
      </w:r>
      <w:r>
        <w:t xml:space="preserve">with Strategic Projects and demand-side instruments. These measures would address</w:t>
      </w:r>
      <w:r>
        <w:t xml:space="preserve"> </w:t>
      </w:r>
      <w:r>
        <w:t xml:space="preserve">feasibility constraints for large-scale and technologically critical investments by reducing</w:t>
      </w:r>
      <w:r>
        <w:t xml:space="preserve"> </w:t>
      </w:r>
      <w:r>
        <w:t xml:space="preserve">investment risk and supporting earlier and more predictable utilisation of new facilities. This</w:t>
      </w:r>
      <w:r>
        <w:t xml:space="preserve"> </w:t>
      </w:r>
      <w:r>
        <w:t xml:space="preserve">approach is expected to enable capacity development in both mainstream and advanced</w:t>
      </w:r>
      <w:r>
        <w:t xml:space="preserve"> </w:t>
      </w:r>
      <w:r>
        <w:t xml:space="preserve">segments, including those relevant for sensitive and security-critical applications.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SO2: Under the baseline scenario, user industries would continue to face supply uncertainty</w:t>
      </w:r>
      <w:r>
        <w:t xml:space="preserve"> </w:t>
      </w:r>
      <w:r>
        <w:t xml:space="preserve">and limited incentives to source semiconductors produced in the EU. Here, adoption of new</w:t>
      </w:r>
      <w:r>
        <w:t xml:space="preserve"> </w:t>
      </w:r>
      <w:r>
        <w:t xml:space="preserve">semiconductor and AI-related technologies would largely depend on global market conditions</w:t>
      </w:r>
      <w:r>
        <w:t xml:space="preserve"> </w:t>
      </w:r>
      <w:r>
        <w:t xml:space="preserve">and external suppliers, with limited impact on demand formation within the Union.</w:t>
      </w:r>
      <w:r>
        <w:t xml:space="preserve"> </w:t>
      </w:r>
      <w:r>
        <w:t xml:space="preserve">Policy Option 1 may contribute indirectly to demand development by improving supply</w:t>
      </w:r>
      <w:r>
        <w:t xml:space="preserve"> </w:t>
      </w:r>
      <w:r>
        <w:t xml:space="preserve">stability and investment conditions, which could encourage adoption over time. However, it</w:t>
      </w:r>
      <w:r>
        <w:t xml:space="preserve"> </w:t>
      </w:r>
      <w:r>
        <w:t xml:space="preserve">does not include instruments specifically designed to stimulate demand or provide offtake</w:t>
      </w:r>
      <w:r>
        <w:t xml:space="preserve"> </w:t>
      </w:r>
      <w:r>
        <w:t xml:space="preserve">opportunities for new technologies. Policy Option 2 introduces demand-side mechanisms,</w:t>
      </w:r>
      <w:r>
        <w:t xml:space="preserve"> </w:t>
      </w:r>
      <w:r>
        <w:t xml:space="preserve">notably innovation procurement, which would provide earlier and more predictable offtake</w:t>
      </w:r>
      <w:r>
        <w:t xml:space="preserve"> </w:t>
      </w:r>
      <w:r>
        <w:t xml:space="preserve">for semiconductor and AI-related products. These measures are expected to facilitate faster</w:t>
      </w:r>
      <w:r>
        <w:t xml:space="preserve"> </w:t>
      </w:r>
      <w:r>
        <w:t xml:space="preserve">adoption by user industries and strengthen linkages between EU-based production and</w:t>
      </w:r>
      <w:r>
        <w:t xml:space="preserve"> </w:t>
      </w:r>
      <w:r>
        <w:t xml:space="preserve">downstream demand.</w:t>
      </w:r>
      <w:r>
        <w:t xml:space="preserve"> </w:t>
      </w:r>
      <w:r>
        <w:t xml:space="preserve">SO3: Under the baseline, monitoring and crisis preparedness would remain fragmented and</w:t>
      </w:r>
      <w:r>
        <w:t xml:space="preserve"> </w:t>
      </w:r>
      <w:r>
        <w:t xml:space="preserve">largely reactive, limiting the Union’s ability to identify vulnerabilities and anticipate</w:t>
      </w:r>
      <w:r>
        <w:t xml:space="preserve"> </w:t>
      </w:r>
      <w:r>
        <w:t xml:space="preserve">disruptions.</w:t>
      </w:r>
      <w:r>
        <w:t xml:space="preserve"> </w:t>
      </w:r>
      <w:r>
        <w:t xml:space="preserve">Policy Option 1 would improve coordination and information exchange but would not</w:t>
      </w:r>
      <w:r>
        <w:t xml:space="preserve"> </w:t>
      </w:r>
      <w:r>
        <w:t xml:space="preserve">fundamentally alter the scope or depth of monitoring capabilities. Policy Option 2 strengthens</w:t>
      </w:r>
      <w:r>
        <w:t xml:space="preserve"> </w:t>
      </w:r>
      <w:r>
        <w:t xml:space="preserve">information requirements and establishes a Business-to-Business Semiconductor Supply</w:t>
      </w:r>
      <w:r>
        <w:t xml:space="preserve"> </w:t>
      </w:r>
      <w:r>
        <w:t xml:space="preserve">Chain Platform, enabling more systematic and timely insights into vulnerabilities across the</w:t>
      </w:r>
      <w:r>
        <w:t xml:space="preserve"> </w:t>
      </w:r>
      <w:r>
        <w:t xml:space="preserve">value chain. This would support earlier identification of risks and more proactive EU-level</w:t>
      </w:r>
      <w:r>
        <w:t xml:space="preserve"> </w:t>
      </w:r>
      <w:r>
        <w:t xml:space="preserve">preparedness.</w:t>
      </w:r>
      <w:r>
        <w:br/>
      </w:r>
      <w:r>
        <w:t xml:space="preserve">7.2</w:t>
      </w:r>
      <w:r>
        <w:t xml:space="preserve"> </w:t>
      </w:r>
      <w:r>
        <w:t xml:space="preserve">Efficiency</w:t>
      </w:r>
      <w:r>
        <w:br/>
      </w:r>
      <w:r>
        <w:t xml:space="preserve">The baseline scenario entails no additional administrative, compliance or budgetary costs.</w:t>
      </w:r>
      <w:r>
        <w:t xml:space="preserve"> </w:t>
      </w:r>
      <w:r>
        <w:t xml:space="preserve">However, it is the least efficient option, as it leaves major structural inefficiencies unresolved</w:t>
      </w:r>
      <w:r>
        <w:t xml:space="preserve"> </w:t>
      </w:r>
      <w:r>
        <w:t xml:space="preserve">and allows substantial implicit economic costs to persist. Evidence from the evaluation and</w:t>
      </w:r>
      <w:r>
        <w:t xml:space="preserve"> </w:t>
      </w:r>
      <w:r>
        <w:t xml:space="preserve">problem analysis shows that under the baseline, lengthy permitting procedures generate</w:t>
      </w:r>
      <w:r>
        <w:t xml:space="preserve"> </w:t>
      </w:r>
      <w:r>
        <w:t xml:space="preserve">significant delay-related costs. Semiconductor projects in the EU face permitting timelines</w:t>
      </w:r>
      <w:r>
        <w:t xml:space="preserve"> </w:t>
      </w:r>
      <w:r>
        <w:t xml:space="preserve">that are on average 7-8 months longer than in leading Asian jurisdictions, corresponding to</w:t>
      </w:r>
      <w:r>
        <w:t xml:space="preserve"> </w:t>
      </w:r>
      <w:r>
        <w:t xml:space="preserve">cost penalties of around 3% of total project value (approximately EUR 600-650 million for a</w:t>
      </w:r>
      <w:r>
        <w:t xml:space="preserve"> </w:t>
      </w:r>
      <w:r>
        <w:t xml:space="preserve">EUR 20 billion fab). In addition, limited monitoring and preparedness lead to reactive rather</w:t>
      </w:r>
      <w:r>
        <w:t xml:space="preserve"> </w:t>
      </w:r>
      <w:r>
        <w:t xml:space="preserve">than proactive crisis management and large downstream losses. Recent shortages resulted in</w:t>
      </w:r>
      <w:r>
        <w:t xml:space="preserve"> </w:t>
      </w:r>
      <w:r>
        <w:t xml:space="preserve">tens of billions of euros in lost output, including EUR 5 billion in the automotive sector linked</w:t>
      </w:r>
      <w:r>
        <w:t xml:space="preserve"> </w:t>
      </w:r>
      <w:r>
        <w:t xml:space="preserve">to the Nexperia disruption and EUR 50-100 billion economy-wide losses reported during</w:t>
      </w:r>
      <w:r>
        <w:t xml:space="preserve"> </w:t>
      </w:r>
      <w:r>
        <w:t xml:space="preserve">2021–2022. While avoiding direct compliance costs, the baseline therefore performs poorly in</w:t>
      </w:r>
      <w:r>
        <w:t xml:space="preserve"> </w:t>
      </w:r>
      <w:r>
        <w:t xml:space="preserve">efficiency terms.</w:t>
      </w:r>
      <w:r>
        <w:br/>
      </w:r>
      <w:r>
        <w:t xml:space="preserve">Policy Option 1 improves efficiency by addressing process inefficiencies and coordination</w:t>
      </w:r>
      <w:r>
        <w:t xml:space="preserve"> </w:t>
      </w:r>
      <w:r>
        <w:t xml:space="preserve">failures primarily through horizontal framework measures. Incremental costs relative to the</w:t>
      </w:r>
      <w:r>
        <w:t xml:space="preserve"> </w:t>
      </w:r>
      <w:r>
        <w:t xml:space="preserve">baseline are limited. Additional administrative and compliance costs for industry are modest</w:t>
      </w:r>
      <w:r>
        <w:t xml:space="preserve"> </w:t>
      </w:r>
      <w:r>
        <w:t xml:space="preserve">and mainly linked to coordination and information exchange; no continuous reporting or new</w:t>
      </w:r>
      <w:r>
        <w:t xml:space="preserve"> </w:t>
      </w:r>
      <w:r>
        <w:t xml:space="preserve">operational requirements are introduced. Based on comparable EU frameworks and observed</w:t>
      </w:r>
      <w:r>
        <w:t xml:space="preserve"> </w:t>
      </w:r>
      <w:r>
        <w:t xml:space="preserve">administrative burdens in similar regulatory settings, these costs correspond to low single-</w:t>
      </w:r>
      <w:r>
        <w:t xml:space="preserve"> </w:t>
      </w:r>
      <w:r>
        <w:t xml:space="preserve">digit person-days per year for large firms. Costs for Member States and EU authorities relate</w:t>
      </w:r>
      <w:r>
        <w:t xml:space="preserve"> </w:t>
      </w:r>
      <w:r>
        <w:t xml:space="preserve">mainly to enhanced coordination and limited monitoring capacity and are largely absorbed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within existing structures. Policy Option 1 does not introduce additional operational costs</w:t>
      </w:r>
      <w:r>
        <w:t xml:space="preserve"> </w:t>
      </w:r>
      <w:r>
        <w:t xml:space="preserve">(such as energy or resource use), as it does not mandate new production capacity, new</w:t>
      </w:r>
      <w:r>
        <w:t xml:space="preserve"> </w:t>
      </w:r>
      <w:r>
        <w:t xml:space="preserve">equipment or changes in production processes beyond firms’ existing investment decisions.</w:t>
      </w:r>
      <w:r>
        <w:t xml:space="preserve"> </w:t>
      </w:r>
      <w:r>
        <w:t xml:space="preserve">Against these limited costs, PO1 delivers noticeable efficiency gains by shortening permitting</w:t>
      </w:r>
      <w:r>
        <w:t xml:space="preserve"> </w:t>
      </w:r>
      <w:r>
        <w:t xml:space="preserve">timelines, increasing regulatory predictability and reducing investment risk and delay-related</w:t>
      </w:r>
      <w:r>
        <w:t xml:space="preserve"> </w:t>
      </w:r>
      <w:r>
        <w:t xml:space="preserve">costs.</w:t>
      </w:r>
      <w:r>
        <w:t xml:space="preserve"> </w:t>
      </w:r>
      <w:r>
        <w:t xml:space="preserve">Policy Option 2 builds on PO1 by introducing Strategic Projects, demand-side instruments</w:t>
      </w:r>
      <w:r>
        <w:t xml:space="preserve"> </w:t>
      </w:r>
      <w:r>
        <w:t xml:space="preserve">and enhanced pre-crisis intelligence, resulting in higher incremental costs, but also more</w:t>
      </w:r>
      <w:r>
        <w:t xml:space="preserve"> </w:t>
      </w:r>
      <w:r>
        <w:t xml:space="preserve">ambitious outcomes. Incremental costs include costs for industry, concentrated on firms</w:t>
      </w:r>
      <w:r>
        <w:t xml:space="preserve"> </w:t>
      </w:r>
      <w:r>
        <w:t xml:space="preserve">voluntarily participating in Strategic Projects, notably through capital co-investment.</w:t>
      </w:r>
      <w:r>
        <w:t xml:space="preserve"> </w:t>
      </w:r>
      <w:r>
        <w:t xml:space="preserve">Administrative and reporting costs linked to enhanced monitoring remain limited and</w:t>
      </w:r>
      <w:r>
        <w:t xml:space="preserve"> </w:t>
      </w:r>
      <w:r>
        <w:t xml:space="preserve">proportionate: reporting is triggered only on an as-needed basis in pre-crisis situations, with</w:t>
      </w:r>
      <w:r>
        <w:t xml:space="preserve"> </w:t>
      </w:r>
      <w:r>
        <w:t xml:space="preserve">preliminary estimates indicating up to 10 person-days per reporting cycle for large firms, and</w:t>
      </w:r>
      <w:r>
        <w:t xml:space="preserve"> </w:t>
      </w:r>
      <w:r>
        <w:t xml:space="preserve">no continuous monitoring obligation. Public costs for Member States arise from co-financing</w:t>
      </w:r>
      <w:r>
        <w:t xml:space="preserve"> </w:t>
      </w:r>
      <w:r>
        <w:t xml:space="preserve">Strategic Projects and strengthened administrative capacity. Under PO2, additional</w:t>
      </w:r>
      <w:r>
        <w:t xml:space="preserve"> </w:t>
      </w:r>
      <w:r>
        <w:t xml:space="preserve">operational costs (including energy and resource use) arise only from voluntary capacity</w:t>
      </w:r>
      <w:r>
        <w:t xml:space="preserve"> </w:t>
      </w:r>
      <w:r>
        <w:t xml:space="preserve">expansion under Strategic Projects and are inherent to increased production rather than to</w:t>
      </w:r>
      <w:r>
        <w:t xml:space="preserve"> </w:t>
      </w:r>
      <w:r>
        <w:t xml:space="preserve">regulatory compliance obligations. These costs are directly linked to measurable benefits.</w:t>
      </w:r>
      <w:r>
        <w:t xml:space="preserve"> </w:t>
      </w:r>
      <w:r>
        <w:t xml:space="preserve">Strategic Projects are expected to generate EUR 6.6-11.5 billion in additional annual</w:t>
      </w:r>
      <w:r>
        <w:t xml:space="preserve"> </w:t>
      </w:r>
      <w:r>
        <w:t xml:space="preserve">revenues, while EU co-funding reduces investment risk, lowers the cost of capital and enables</w:t>
      </w:r>
      <w:r>
        <w:t xml:space="preserve"> </w:t>
      </w:r>
      <w:r>
        <w:t xml:space="preserve">earlier and more predictable utilisation of new capacity. Enhanced intelligence reduces the</w:t>
      </w:r>
      <w:r>
        <w:t xml:space="preserve"> </w:t>
      </w:r>
      <w:r>
        <w:t xml:space="preserve">probability and severity of supply disruptions, mitigating losses that have previously reached</w:t>
      </w:r>
      <w:r>
        <w:t xml:space="preserve"> </w:t>
      </w:r>
      <w:r>
        <w:t xml:space="preserve">tens of billions of euros.</w:t>
      </w:r>
      <w:r>
        <w:t xml:space="preserve"> </w:t>
      </w:r>
      <w:r>
        <w:t xml:space="preserve">Overall, PO2 can be considered efficient. While it entails higher costs and implementation</w:t>
      </w:r>
      <w:r>
        <w:t xml:space="preserve"> </w:t>
      </w:r>
      <w:r>
        <w:t xml:space="preserve">risks than PO1, these are proportionate with the scale of the economic security risks</w:t>
      </w:r>
      <w:r>
        <w:t xml:space="preserve"> </w:t>
      </w:r>
      <w:r>
        <w:t xml:space="preserve">addressed. The cost of inaction would leave the Union exposed to persistent vulnerabilities</w:t>
      </w:r>
      <w:r>
        <w:t xml:space="preserve"> </w:t>
      </w:r>
      <w:r>
        <w:t xml:space="preserve">and potentially very large disruption-related losses that would significantly exceed the</w:t>
      </w:r>
      <w:r>
        <w:t xml:space="preserve"> </w:t>
      </w:r>
      <w:r>
        <w:t xml:space="preserve">incremental costs of the intervention.</w:t>
      </w:r>
      <w:r>
        <w:t xml:space="preserve"> </w:t>
      </w:r>
      <w:r>
        <w:t xml:space="preserve">While Policy Option 1 achieves efficiency gains through a low-cost, proportionate</w:t>
      </w:r>
      <w:r>
        <w:t xml:space="preserve"> </w:t>
      </w:r>
      <w:r>
        <w:t xml:space="preserve">intervention with limited administrative and compliance burdens, and Policy Option 2 entails</w:t>
      </w:r>
      <w:r>
        <w:t xml:space="preserve"> </w:t>
      </w:r>
      <w:r>
        <w:t xml:space="preserve">higher incremental costs and implementation complexity, the latter also delivers higher</w:t>
      </w:r>
      <w:r>
        <w:t xml:space="preserve"> </w:t>
      </w:r>
      <w:r>
        <w:t xml:space="preserve">expected benefits in terms of avoided disruption losses, risk reduction and revenue</w:t>
      </w:r>
      <w:r>
        <w:t xml:space="preserve"> </w:t>
      </w:r>
      <w:r>
        <w:t xml:space="preserve">generation; as a result, both options can be considered to achieve a comparable level of</w:t>
      </w:r>
      <w:r>
        <w:t xml:space="preserve"> </w:t>
      </w:r>
      <w:r>
        <w:t xml:space="preserve">efficiency when assessed as the ratio between costs incurred and results achieved.</w:t>
      </w:r>
      <w:r>
        <w:t xml:space="preserve"> </w:t>
      </w:r>
      <w:r>
        <w:t xml:space="preserve">7.3</w:t>
      </w:r>
      <w:r>
        <w:t xml:space="preserve"> </w:t>
      </w:r>
      <w:r>
        <w:t xml:space="preserve">Coherence</w:t>
      </w:r>
      <w:r>
        <w:br/>
      </w:r>
      <w:r>
        <w:t xml:space="preserve">Internal coherence. All options are internally coherent, as they build on the three-pillar</w:t>
      </w:r>
      <w:r>
        <w:t xml:space="preserve"> </w:t>
      </w:r>
      <w:r>
        <w:t xml:space="preserve">structure of the Chips Act, providing a consistent intervention logic that address a multitude</w:t>
      </w:r>
      <w:r>
        <w:t xml:space="preserve"> </w:t>
      </w:r>
      <w:r>
        <w:t xml:space="preserve">of policy areas from R&amp;I to manufacturing and crisis preparedness under a common</w:t>
      </w:r>
      <w:r>
        <w:t xml:space="preserve"> </w:t>
      </w:r>
      <w:r>
        <w:t xml:space="preserve">governance framework. The scope of Chips Act 2.0 is unchanged across options.</w:t>
      </w:r>
      <w:r>
        <w:t xml:space="preserve"> </w:t>
      </w:r>
      <w:r>
        <w:t xml:space="preserve">Coherence with EU policies and legal frameworks. The baseline remains formally coherent</w:t>
      </w:r>
      <w:r>
        <w:t xml:space="preserve"> </w:t>
      </w:r>
      <w:r>
        <w:t xml:space="preserve">with existing EU policies and internal market, competition and State aid rules, as it essentially</w:t>
      </w:r>
      <w:r>
        <w:t xml:space="preserve"> </w:t>
      </w:r>
      <w:r>
        <w:t xml:space="preserve">maintains the current framework. However, it makes limited use of complementarities with</w:t>
      </w:r>
      <w:r>
        <w:t xml:space="preserve"> </w:t>
      </w:r>
      <w:r>
        <w:t xml:space="preserve">newer priorities on competitiveness, economic security and strategic technologies. Policy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Option 1 strengthens coherence with EU competitiveness and internal market objectives by</w:t>
      </w:r>
      <w:r>
        <w:t xml:space="preserve"> </w:t>
      </w:r>
      <w:r>
        <w:t xml:space="preserve">improving framework conditions through faster permitting, regulatory clarity and skills</w:t>
      </w:r>
      <w:r>
        <w:t xml:space="preserve"> </w:t>
      </w:r>
      <w:r>
        <w:t xml:space="preserve">measures. It aligns well with the Digital Decade Policy Programme, industrial policy and</w:t>
      </w:r>
      <w:r>
        <w:t xml:space="preserve"> </w:t>
      </w:r>
      <w:r>
        <w:t xml:space="preserve">climate objectives, as it does not mandate new capacity or alter environmental standards and</w:t>
      </w:r>
      <w:r>
        <w:t xml:space="preserve"> </w:t>
      </w:r>
      <w:r>
        <w:t xml:space="preserve">raises no new State aid or competition concerns.</w:t>
      </w:r>
      <w:r>
        <w:t xml:space="preserve"> </w:t>
      </w:r>
      <w:r>
        <w:t xml:space="preserve">Policy Option 2 shows the strongest alignment with the EU’s evolving strategic agenda,</w:t>
      </w:r>
      <w:r>
        <w:t xml:space="preserve"> </w:t>
      </w:r>
      <w:r>
        <w:t xml:space="preserve">including the European Economic Security Strategy, STEP and the Competitiveness</w:t>
      </w:r>
      <w:r>
        <w:t xml:space="preserve"> </w:t>
      </w:r>
      <w:r>
        <w:t xml:space="preserve">Compass. By combining framework measures with Strategic Projects and demand-side</w:t>
      </w:r>
      <w:r>
        <w:t xml:space="preserve"> </w:t>
      </w:r>
      <w:r>
        <w:t xml:space="preserve">instruments, it enhances coherence with EU funding programmes and investment priorities.</w:t>
      </w:r>
      <w:r>
        <w:t xml:space="preserve"> </w:t>
      </w:r>
      <w:r>
        <w:t xml:space="preserve">Targeted support creates potential trade-offs with competition and State aid principles, but</w:t>
      </w:r>
      <w:r>
        <w:t xml:space="preserve"> </w:t>
      </w:r>
      <w:r>
        <w:t xml:space="preserve">these are mitigated through EU-level coordination and compliance with existing State aid</w:t>
      </w:r>
      <w:r>
        <w:t xml:space="preserve"> </w:t>
      </w:r>
      <w:r>
        <w:t xml:space="preserve">rules. Increased manufacturing activity may raise energy demand, requiring consistency with</w:t>
      </w:r>
      <w:r>
        <w:t xml:space="preserve"> </w:t>
      </w:r>
      <w:r>
        <w:t xml:space="preserve">climate and energy policies.</w:t>
      </w:r>
      <w:r>
        <w:t xml:space="preserve"> </w:t>
      </w:r>
      <w:r>
        <w:t xml:space="preserve">Coherence with international commitments. All options are consistent with the EU’s</w:t>
      </w:r>
      <w:r>
        <w:t xml:space="preserve"> </w:t>
      </w:r>
      <w:r>
        <w:t xml:space="preserve">international commitments, including WTO rules. The baseline and Policy Option 1 rely on</w:t>
      </w:r>
      <w:r>
        <w:t xml:space="preserve"> </w:t>
      </w:r>
      <w:r>
        <w:t xml:space="preserve">non-discriminatory framework measures. Policy Option 2, while more interventionist,</w:t>
      </w:r>
      <w:r>
        <w:t xml:space="preserve"> </w:t>
      </w:r>
      <w:r>
        <w:t xml:space="preserve">remains compatible with trade rules by focusing on resilience, innovation and security of</w:t>
      </w:r>
      <w:r>
        <w:t xml:space="preserve"> </w:t>
      </w:r>
      <w:r>
        <w:t xml:space="preserve">supply without introducing discriminatory or trade-restrictive measures.</w:t>
      </w:r>
    </w:p>
    <w:p>
      <w:pPr>
        <w:pStyle w:val="BodyText"/>
      </w:pPr>
      <w:r>
        <w:t xml:space="preserve">Effectiveness in meeting objectives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SO1:</w:t>
      </w:r>
      <w:r>
        <w:t xml:space="preserve"> </w:t>
      </w:r>
      <w:r>
        <w:t xml:space="preserve">Enhance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in</w:t>
      </w:r>
      <w:r>
        <w:t xml:space="preserve"> </w:t>
      </w:r>
      <w:r>
        <w:t xml:space="preserve">mainstream</w:t>
      </w:r>
      <w:r>
        <w:t xml:space="preserve"> </w:t>
      </w:r>
      <w:r>
        <w:t xml:space="preserve">and</w:t>
      </w:r>
      <w:r>
        <w:t xml:space="preserve"> </w:t>
      </w:r>
      <w:r>
        <w:t xml:space="preserve">advanced</w:t>
      </w:r>
      <w:r>
        <w:t xml:space="preserve"> </w:t>
      </w:r>
      <w:r>
        <w:t xml:space="preserve">chips,</w:t>
      </w:r>
      <w:r>
        <w:t xml:space="preserve"> </w:t>
      </w:r>
      <w:r>
        <w:t xml:space="preserve">including AI chips</w:t>
      </w:r>
      <w:r>
        <w:t xml:space="preserve"> </w:t>
      </w:r>
      <w:r>
        <w:t xml:space="preserve">SO2:</w:t>
      </w:r>
      <w:r>
        <w:t xml:space="preserve"> </w:t>
      </w:r>
      <w:r>
        <w:t xml:space="preserve">Develop</w:t>
      </w:r>
      <w:r>
        <w:t xml:space="preserve"> </w:t>
      </w:r>
      <w:r>
        <w:t xml:space="preserve">a</w:t>
      </w:r>
      <w:r>
        <w:t xml:space="preserve"> </w:t>
      </w:r>
      <w:r>
        <w:t xml:space="preserve">strong user</w:t>
      </w:r>
      <w:r>
        <w:t xml:space="preserve"> </w:t>
      </w:r>
      <w:r>
        <w:t xml:space="preserve">market</w:t>
      </w:r>
      <w:r>
        <w:t xml:space="preserve"> </w:t>
      </w:r>
      <w:r>
        <w:t xml:space="preserve">across key industry</w:t>
      </w:r>
      <w:r>
        <w:t xml:space="preserve"> </w:t>
      </w:r>
      <w:r>
        <w:t xml:space="preserve">sectors</w:t>
      </w:r>
      <w:r>
        <w:t xml:space="preserve"> </w:t>
      </w:r>
      <w:r>
        <w:t xml:space="preserve">SO3:</w:t>
      </w:r>
      <w:r>
        <w:t xml:space="preserve"> </w:t>
      </w:r>
      <w:r>
        <w:t xml:space="preserve">Increase</w:t>
      </w:r>
      <w:r>
        <w:t xml:space="preserve"> </w:t>
      </w:r>
      <w:r>
        <w:t xml:space="preserve">intelligence</w:t>
      </w:r>
      <w:r>
        <w:t xml:space="preserve"> </w:t>
      </w:r>
      <w:r>
        <w:t xml:space="preserve">capabilities for crisis</w:t>
      </w:r>
      <w:r>
        <w:t xml:space="preserve"> </w:t>
      </w:r>
      <w:r>
        <w:t xml:space="preserve">preparedness</w:t>
      </w:r>
      <w:r>
        <w:t xml:space="preserve"> </w:t>
      </w:r>
      <w:r>
        <w:t xml:space="preserve">and</w:t>
      </w:r>
      <w:r>
        <w:t xml:space="preserve"> </w:t>
      </w:r>
      <w:r>
        <w:t xml:space="preserve">response</w:t>
      </w:r>
    </w:p>
    <w:p>
      <w:pPr>
        <w:pStyle w:val="BodyText"/>
      </w:pPr>
      <w:r>
        <w:t xml:space="preserve">PO0 (BAU):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PO1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 2</w:t>
      </w:r>
      <w:r>
        <w:br/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 +</w:t>
      </w:r>
      <w:r>
        <w:t xml:space="preserve"> </w:t>
      </w:r>
      <w:r>
        <w:t xml:space="preserve">Legend: 0 no / neutral impact; + minor positive impact; ++ positive impact; +++ significant</w:t>
      </w:r>
      <w:r>
        <w:t xml:space="preserve"> </w:t>
      </w:r>
      <w:r>
        <w:t xml:space="preserve">positive impact; - minor negative impact; – negative impact; — significant negative impact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</w:t>
      </w:r>
      <w:r>
        <w:t xml:space="preserve"> </w:t>
      </w:r>
      <w:r>
        <w:t xml:space="preserve">Reasons for the preferred option</w:t>
      </w:r>
      <w:r>
        <w:t xml:space="preserve"> </w:t>
      </w:r>
      <w:r>
        <w:t xml:space="preserve">The revision of the Chips Act takes place in a context of geopolitical challenges for the EU,</w:t>
      </w:r>
      <w:r>
        <w:t xml:space="preserve"> </w:t>
      </w:r>
      <w:r>
        <w:t xml:space="preserve">persistent supply chain vulnerabilities and rapid technological developments, particularly in</w:t>
      </w:r>
      <w:r>
        <w:t xml:space="preserve"> </w:t>
      </w:r>
      <w:r>
        <w:t xml:space="preserve">AI. As set out in Chapter 2, the Union continues to rely heavily on a small number of non-EU</w:t>
      </w:r>
      <w:r>
        <w:t xml:space="preserve"> </w:t>
      </w:r>
      <w:r>
        <w:t xml:space="preserve">actors for semiconductor design and manufacturing capabilities. These overdependencies</w:t>
      </w:r>
      <w:r>
        <w:t xml:space="preserve"> </w:t>
      </w:r>
      <w:r>
        <w:t xml:space="preserve">have already resulted in disruptions with significant economic and societal impacts. At the</w:t>
      </w:r>
      <w:r>
        <w:t xml:space="preserve"> </w:t>
      </w:r>
      <w:r>
        <w:t xml:space="preserve">same time, the EU lacks sufficient tools to anticipate and manage semiconductor supply</w:t>
      </w:r>
      <w:r>
        <w:t xml:space="preserve"> </w:t>
      </w:r>
      <w:r>
        <w:t xml:space="preserve">shocks. As Call for Evidence respondents consistently emphasised that there is need for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sustained, long-term strategic commitment at Union level to achieve the EU’s ambitions in</w:t>
      </w:r>
      <w:r>
        <w:t xml:space="preserve"> </w:t>
      </w:r>
      <w:r>
        <w:t xml:space="preserve">this sector - reinforcing the assessment that incremental or short-term measures are</w:t>
      </w:r>
      <w:r>
        <w:t xml:space="preserve"> </w:t>
      </w:r>
      <w:r>
        <w:t xml:space="preserve">insufficient to address structural vulnerabilities in the value chain.(208) Policy Option 2 is the</w:t>
      </w:r>
      <w:r>
        <w:t xml:space="preserve"> </w:t>
      </w:r>
      <w:r>
        <w:t xml:space="preserve">preferred option because it provides a coherent and ambitious albeit proportionate</w:t>
      </w:r>
      <w:r>
        <w:t xml:space="preserve"> </w:t>
      </w:r>
      <w:r>
        <w:t xml:space="preserve">response to these structural challenges.</w:t>
      </w:r>
      <w:r>
        <w:t xml:space="preserve"> </w:t>
      </w:r>
      <w:r>
        <w:t xml:space="preserve">Policy Option 2 strengthens and extends the current Chips Act through three mutually</w:t>
      </w:r>
      <w:r>
        <w:t xml:space="preserve"> </w:t>
      </w:r>
      <w:r>
        <w:t xml:space="preserve">reinforcing components: EU-co-funded Strategic Projects, targeted demand-side</w:t>
      </w:r>
      <w:r>
        <w:t xml:space="preserve"> </w:t>
      </w:r>
      <w:r>
        <w:t xml:space="preserve">measures and a more robust monitoring and crisis-preparedness framework. These</w:t>
      </w:r>
      <w:r>
        <w:t xml:space="preserve"> </w:t>
      </w:r>
      <w:r>
        <w:t xml:space="preserve">measures address the core problems identified, namely the EU’s overdependence on third-</w:t>
      </w:r>
      <w:r>
        <w:t xml:space="preserve"> </w:t>
      </w:r>
      <w:r>
        <w:t xml:space="preserve">country suppliers and its insufficient supply chain intelligence capabilities, and they help</w:t>
      </w:r>
      <w:r>
        <w:t xml:space="preserve"> </w:t>
      </w:r>
      <w:r>
        <w:t xml:space="preserve">establish the conditions for a more competitive, resilient and sovereign semiconductor</w:t>
      </w:r>
      <w:r>
        <w:t xml:space="preserve"> </w:t>
      </w:r>
      <w:r>
        <w:t xml:space="preserve">ecosystem.</w:t>
      </w:r>
      <w:r>
        <w:br/>
      </w:r>
      <w:r>
        <w:t xml:space="preserve">Strategic Projects would help to bolster the Union’s capacities in critical segments of the</w:t>
      </w:r>
      <w:r>
        <w:t xml:space="preserve"> </w:t>
      </w:r>
      <w:r>
        <w:t xml:space="preserve">value chain. While the initial Chips Act has triggered multiple investments the Union</w:t>
      </w:r>
      <w:r>
        <w:t xml:space="preserve"> </w:t>
      </w:r>
      <w:r>
        <w:t xml:space="preserve">maintains precarious technological dependencies. Strategic Projects provide a coordinated</w:t>
      </w:r>
      <w:r>
        <w:t xml:space="preserve"> </w:t>
      </w:r>
      <w:r>
        <w:t xml:space="preserve">Union framework to mobilise and pool resources for facilities of strategic European</w:t>
      </w:r>
      <w:r>
        <w:t xml:space="preserve"> </w:t>
      </w:r>
      <w:r>
        <w:t xml:space="preserve">relevance, including leading-edge manufacturing, advanced packaging, specialised foundries,</w:t>
      </w:r>
      <w:r>
        <w:t xml:space="preserve"> </w:t>
      </w:r>
      <w:r>
        <w:t xml:space="preserve">design capacity and key upstream supply chain segments. By reducing financing risks an</w:t>
      </w:r>
      <w:r>
        <w:t xml:space="preserve"> </w:t>
      </w:r>
      <w:r>
        <w:t xml:space="preserve">ensuring cross-border spillovers and coherence, these projects respond directly to the</w:t>
      </w:r>
      <w:r>
        <w:t xml:space="preserve"> </w:t>
      </w:r>
      <w:r>
        <w:t xml:space="preserve">structural gaps identified in the problem analysis and are central to increasing capacity,</w:t>
      </w:r>
      <w:r>
        <w:t xml:space="preserve"> </w:t>
      </w:r>
      <w:r>
        <w:t xml:space="preserve">competitiveness and technological sovereignty.</w:t>
      </w:r>
      <w:r>
        <w:t xml:space="preserve"> </w:t>
      </w:r>
      <w:r>
        <w:t xml:space="preserve">Secondly, there are demand-side instruments, notably innovative procurement and</w:t>
      </w:r>
      <w:r>
        <w:t xml:space="preserve"> </w:t>
      </w:r>
      <w:r>
        <w:t xml:space="preserve">procurement of chips. These measures respond to a structural weakness of the EU economy,</w:t>
      </w:r>
      <w:r>
        <w:t xml:space="preserve"> </w:t>
      </w:r>
      <w:r>
        <w:t xml:space="preserve">whereby its main industries consume significant volumes of semiconductors - predominantly</w:t>
      </w:r>
      <w:r>
        <w:t xml:space="preserve"> </w:t>
      </w:r>
      <w:r>
        <w:t xml:space="preserve">of mature technologies - while generating only limited direct demand for the advanced chips</w:t>
      </w:r>
      <w:r>
        <w:t xml:space="preserve"> </w:t>
      </w:r>
      <w:r>
        <w:t xml:space="preserve">that drive global investment decisions. Much of the Union’s consumption of leading-edge</w:t>
      </w:r>
      <w:r>
        <w:t xml:space="preserve"> </w:t>
      </w:r>
      <w:r>
        <w:t xml:space="preserve">chips is embedded in imported systems, limiting the business case for locating advanced</w:t>
      </w:r>
      <w:r>
        <w:t xml:space="preserve"> </w:t>
      </w:r>
      <w:r>
        <w:t xml:space="preserve">manufacturing and design activities in Europe. AI is expected to change this with demand for</w:t>
      </w:r>
      <w:r>
        <w:t xml:space="preserve"> </w:t>
      </w:r>
      <w:r>
        <w:t xml:space="preserve">AI chips for AI Factories, Gigafactories and datacentres rising at a steep rate. By providing</w:t>
      </w:r>
      <w:r>
        <w:t xml:space="preserve"> </w:t>
      </w:r>
      <w:r>
        <w:t xml:space="preserve">predictable early offtake for strategically important chips, demand-side measures reduce</w:t>
      </w:r>
      <w:r>
        <w:t xml:space="preserve"> </w:t>
      </w:r>
      <w:r>
        <w:t xml:space="preserve">utilisation risks in the ramp-up of new facilities and accelerate technological uptake in key</w:t>
      </w:r>
      <w:r>
        <w:t xml:space="preserve"> </w:t>
      </w:r>
      <w:r>
        <w:t xml:space="preserve">user industries such as automotive, industrial automation, robotics, telecoms and defence.</w:t>
      </w:r>
      <w:r>
        <w:t xml:space="preserve"> </w:t>
      </w:r>
      <w:r>
        <w:t xml:space="preserve">This supports the emergence of a stronger internal market for advanced semiconductors and</w:t>
      </w:r>
      <w:r>
        <w:t xml:space="preserve"> </w:t>
      </w:r>
      <w:r>
        <w:t xml:space="preserve">reinforces Europe’s broader industrial competitiveness as set out in Annex 5.</w:t>
      </w:r>
      <w:r>
        <w:t xml:space="preserve"> </w:t>
      </w:r>
      <w:r>
        <w:t xml:space="preserve">The third component concerns monitoring and crisis preparedness, an area where the</w:t>
      </w:r>
      <w:r>
        <w:t xml:space="preserve"> </w:t>
      </w:r>
      <w:r>
        <w:t xml:space="preserve">evaluation identified clear shortcomings. Despite progress under Pillar III of the current Chips</w:t>
      </w:r>
      <w:r>
        <w:t xml:space="preserve"> </w:t>
      </w:r>
      <w:r>
        <w:t xml:space="preserve">Act, voluntary and ad-hoc information collection has not provided the effectiveness required</w:t>
      </w:r>
      <w:r>
        <w:t xml:space="preserve"> </w:t>
      </w:r>
      <w:r>
        <w:t xml:space="preserve">to anticipate risks or coordinate timely responses. The preferred option therefore establishes a</w:t>
      </w:r>
      <w:r>
        <w:t xml:space="preserve"> </w:t>
      </w:r>
      <w:r>
        <w:t xml:space="preserve">Business-to-Business Semiconductor Supply Chain Platform, supported by the possibility</w:t>
      </w:r>
      <w:r>
        <w:t xml:space="preserve"> </w:t>
      </w:r>
      <w:r>
        <w:t xml:space="preserve">for the Commission to use requests for information. This framework enables continuous</w:t>
      </w:r>
      <w:r>
        <w:t xml:space="preserve"> </w:t>
      </w:r>
      <w:r>
        <w:t xml:space="preserve">access to risk-relevant data, including information on dependencies and single points of</w:t>
      </w:r>
    </w:p>
    <w:p>
      <w:pPr>
        <w:pStyle w:val="Compact"/>
        <w:numPr>
          <w:ilvl w:val="0"/>
          <w:numId w:val="1060"/>
        </w:numPr>
      </w:pPr>
      <w:r>
        <w:t xml:space="preserve">Annex 2 Stakeholder Consultation (Synopsis Report).</w:t>
      </w:r>
    </w:p>
    <w:p>
      <w:pPr>
        <w:pStyle w:val="FirstParagraph"/>
      </w:pPr>
      <w:r>
        <w:t xml:space="preserve">96</w:t>
      </w:r>
    </w:p>
    <w:p>
      <w:pPr>
        <w:pStyle w:val="BodyText"/>
      </w:pPr>
      <w:r>
        <w:t xml:space="preserve">failure, under strict confidentiality safeguards and EU antitrust compliance. It</w:t>
      </w:r>
      <w:r>
        <w:t xml:space="preserve"> </w:t>
      </w:r>
      <w:r>
        <w:t xml:space="preserve">strengthens the Union’s capacity to detect, assess and mitigate disruptions and to coordinate</w:t>
      </w:r>
      <w:r>
        <w:t xml:space="preserve"> </w:t>
      </w:r>
      <w:r>
        <w:t xml:space="preserve">measures across Member States. This enhanced intelligence function is essential to ensuring</w:t>
      </w:r>
      <w:r>
        <w:t xml:space="preserve"> </w:t>
      </w:r>
      <w:r>
        <w:t xml:space="preserve">the Union’s economic security in an increasingly complex and contested global environment.</w:t>
      </w:r>
      <w:r>
        <w:t xml:space="preserve"> </w:t>
      </w:r>
      <w:r>
        <w:t xml:space="preserve">Overall, Policy Option 2 provides the most coherent and effective pathway to achieving the</w:t>
      </w:r>
      <w:r>
        <w:t xml:space="preserve"> </w:t>
      </w:r>
      <w:r>
        <w:t xml:space="preserve">general objectives of the Chips Act 2.0: strengthening Europe’s semiconductor</w:t>
      </w:r>
      <w:r>
        <w:t xml:space="preserve"> </w:t>
      </w:r>
      <w:r>
        <w:t xml:space="preserve">competitiveness209 and resilience and reinforcing the Union’s capacity to anticipate and</w:t>
      </w:r>
      <w:r>
        <w:t xml:space="preserve"> </w:t>
      </w:r>
      <w:r>
        <w:t xml:space="preserve">manage supply chain crises. It does so by addressing the root causes identified in the problem</w:t>
      </w:r>
      <w:r>
        <w:t xml:space="preserve"> </w:t>
      </w:r>
      <w:r>
        <w:t xml:space="preserve">analysis and by providing targeted solutions for each of the four specific objectives. Strategic</w:t>
      </w:r>
      <w:r>
        <w:t xml:space="preserve"> </w:t>
      </w:r>
      <w:r>
        <w:t xml:space="preserve">Projects directly address the EU’s missing or insufficient capacities in key segments of the</w:t>
      </w:r>
      <w:r>
        <w:t xml:space="preserve"> </w:t>
      </w:r>
      <w:r>
        <w:t xml:space="preserve">value chain (SO1). By reducing investment risks and aligning national and Union-level</w:t>
      </w:r>
      <w:r>
        <w:t xml:space="preserve"> </w:t>
      </w:r>
      <w:r>
        <w:t xml:space="preserve">initiatives, they also improve the European investment environment (SO3), enabling projects</w:t>
      </w:r>
      <w:r>
        <w:t xml:space="preserve"> </w:t>
      </w:r>
      <w:r>
        <w:t xml:space="preserve">that would otherwise not materialise under current legislation. Demand-side measures</w:t>
      </w:r>
      <w:r>
        <w:t xml:space="preserve"> </w:t>
      </w:r>
      <w:r>
        <w:t xml:space="preserve">complement this by stimulating early and predictable uptake of advanced semiconductor</w:t>
      </w:r>
      <w:r>
        <w:t xml:space="preserve"> </w:t>
      </w:r>
      <w:r>
        <w:t xml:space="preserve">technologies in Europe’s major user industries (SO2). Here, reaching the set target of EUR 5</w:t>
      </w:r>
      <w:r>
        <w:t xml:space="preserve"> </w:t>
      </w:r>
      <w:r>
        <w:t xml:space="preserve">billion in innovation procurement would enable the validation of European technologies</w:t>
      </w:r>
      <w:r>
        <w:t xml:space="preserve"> </w:t>
      </w:r>
      <w:r>
        <w:t xml:space="preserve">which are currently unavailable on the market and thus giving user industries the possibility to</w:t>
      </w:r>
      <w:r>
        <w:t xml:space="preserve"> </w:t>
      </w:r>
      <w:r>
        <w:t xml:space="preserve">procure indigenous solutions. These instruments help overcome the EU’s weak market pull</w:t>
      </w:r>
      <w:r>
        <w:t xml:space="preserve"> </w:t>
      </w:r>
      <w:r>
        <w:t xml:space="preserve">for leading-edge chips, shorten time-to-market for innovative products and strengthen the</w:t>
      </w:r>
      <w:r>
        <w:t xml:space="preserve"> </w:t>
      </w:r>
      <w:r>
        <w:t xml:space="preserve">interdependence between EU-based manufacturing and downstream user industries.</w:t>
      </w:r>
      <w:r>
        <w:br/>
      </w:r>
      <w:r>
        <w:t xml:space="preserve">The enhanced monitoring and crisis-preparedness framework addresses the Union’s gap in</w:t>
      </w:r>
      <w:r>
        <w:t xml:space="preserve"> </w:t>
      </w:r>
      <w:r>
        <w:t xml:space="preserve">granular and timely information that limits its ability to detect vulnerabilities and coordinate</w:t>
      </w:r>
      <w:r>
        <w:t xml:space="preserve"> </w:t>
      </w:r>
      <w:r>
        <w:t xml:space="preserve">responses (SO4). The Business-to-Business Semiconductor Supply Chain Platform</w:t>
      </w:r>
      <w:r>
        <w:t xml:space="preserve"> </w:t>
      </w:r>
      <w:r>
        <w:t xml:space="preserve">provides the intelligence required for effective early-warning, preparedness and mitigation</w:t>
      </w:r>
      <w:r>
        <w:t xml:space="preserve"> </w:t>
      </w:r>
      <w:r>
        <w:t xml:space="preserve">strategies.</w:t>
      </w:r>
      <w:r>
        <w:br/>
      </w:r>
      <w:r>
        <w:t xml:space="preserve">The preferred option is consistent with Articles 173(3) and 114 TFEU, as its core</w:t>
      </w:r>
      <w:r>
        <w:t xml:space="preserve"> </w:t>
      </w:r>
      <w:r>
        <w:t xml:space="preserve">measures address challenges that Member States cannot resolve alone without fragmenting</w:t>
      </w:r>
      <w:r>
        <w:t xml:space="preserve"> </w:t>
      </w:r>
      <w:r>
        <w:t xml:space="preserve">the internal market. Strategic Projects require EU-level coordination and pooled funding to</w:t>
      </w:r>
      <w:r>
        <w:t xml:space="preserve"> </w:t>
      </w:r>
      <w:r>
        <w:t xml:space="preserve">ensure that new manufacturing, design and packaging capacities strengthen the Union’s</w:t>
      </w:r>
      <w:r>
        <w:t xml:space="preserve"> </w:t>
      </w:r>
      <w:r>
        <w:t xml:space="preserve">strategic position in a coherent and complementary manner, avoiding duplication of efforts.</w:t>
      </w:r>
      <w:r>
        <w:t xml:space="preserve"> </w:t>
      </w:r>
      <w:r>
        <w:t xml:space="preserve">Likewise, demand-side instruments function effectively only at Union scale; without common</w:t>
      </w:r>
      <w:r>
        <w:t xml:space="preserve"> </w:t>
      </w:r>
      <w:r>
        <w:t xml:space="preserve">frameworks, divergent national incentives would risk distorting competition and weakening</w:t>
      </w:r>
      <w:r>
        <w:t xml:space="preserve"> </w:t>
      </w:r>
      <w:r>
        <w:t xml:space="preserve">the internal market for advanced technologies.</w:t>
      </w:r>
      <w:r>
        <w:t xml:space="preserve"> </w:t>
      </w:r>
      <w:r>
        <w:t xml:space="preserve">The enhanced monitoring and crisis-preparedness framework reflects the need for Union</w:t>
      </w:r>
      <w:r>
        <w:t xml:space="preserve"> </w:t>
      </w:r>
      <w:r>
        <w:t xml:space="preserve">action: semiconductor supply chains are cross-border, and only an EU-level Platform can</w:t>
      </w:r>
      <w:r>
        <w:t xml:space="preserve"> </w:t>
      </w:r>
      <w:r>
        <w:t xml:space="preserve">provide the integrated visibility necessary for timely and proportionate responses. These</w:t>
      </w:r>
      <w:r>
        <w:t xml:space="preserve"> </w:t>
      </w:r>
      <w:r>
        <w:t xml:space="preserve">measures are proportionate, as they introduce obligations only where voluntary cooperation</w:t>
      </w:r>
      <w:r>
        <w:t xml:space="preserve"> </w:t>
      </w:r>
      <w:r>
        <w:t xml:space="preserve">has proven insufficient, target well-defined market failures and apply strict safeguards to</w:t>
      </w:r>
      <w:r>
        <w:t xml:space="preserve"> </w:t>
      </w:r>
      <w:r>
        <w:t xml:space="preserve">information requirements. The Call for Evidence respondents called for strengthened</w:t>
      </w:r>
      <w:r>
        <w:t xml:space="preserve"> </w:t>
      </w:r>
      <w:r>
        <w:t xml:space="preserve">industry–government dialogue and a more prominent role for the ESB to improve strategic</w:t>
      </w:r>
      <w:r>
        <w:t xml:space="preserve"> </w:t>
      </w:r>
      <w:r>
        <w:t xml:space="preserve">coordination. This feedback supports the governance enhancements envisaged under the</w:t>
      </w:r>
    </w:p>
    <w:p>
      <w:pPr>
        <w:pStyle w:val="BodyText"/>
      </w:pPr>
      <w:r>
        <w:t xml:space="preserve">209 For further information, see Annex 5.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preferred option, including improved coordination, transparency and preparedness, without</w:t>
      </w:r>
      <w:r>
        <w:t xml:space="preserve"> </w:t>
      </w:r>
      <w:r>
        <w:t xml:space="preserve">fundamentally altering the institutional architecture.</w:t>
      </w:r>
      <w:r>
        <w:t xml:space="preserve"> </w:t>
      </w:r>
      <w:r>
        <w:t xml:space="preserve">The expected impacts of the preferred option reflect its targeted and strategic nature.</w:t>
      </w:r>
      <w:r>
        <w:t xml:space="preserve"> </w:t>
      </w:r>
      <w:r>
        <w:t xml:space="preserve">Economically, it supports the deployment of critical manufacturing and design</w:t>
      </w:r>
      <w:r>
        <w:t xml:space="preserve"> </w:t>
      </w:r>
      <w:r>
        <w:t xml:space="preserve">capabilities, enhances ecosystem depth and reduces disruption-related losses through</w:t>
      </w:r>
      <w:r>
        <w:t xml:space="preserve"> </w:t>
      </w:r>
      <w:r>
        <w:t xml:space="preserve">strengthened intelligence. Socially, it contributes to the creation of highly skilled</w:t>
      </w:r>
      <w:r>
        <w:t xml:space="preserve"> </w:t>
      </w:r>
      <w:r>
        <w:t xml:space="preserve">employment with high wages and creates improved conditions for innovation, including</w:t>
      </w:r>
      <w:r>
        <w:t xml:space="preserve"> </w:t>
      </w:r>
      <w:r>
        <w:t xml:space="preserve">for SMEs and start-ups. Environmentally, while expanded capacity increases absolute</w:t>
      </w:r>
      <w:r>
        <w:t xml:space="preserve"> </w:t>
      </w:r>
      <w:r>
        <w:t xml:space="preserve">resource use, new facilities are expected to operate with higher efficiency.</w:t>
      </w:r>
      <w:r>
        <w:br/>
      </w:r>
      <w:r>
        <w:t xml:space="preserve">8.2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8.2.1 Strategy for implementation</w:t>
      </w:r>
      <w:r>
        <w:t xml:space="preserve"> </w:t>
      </w:r>
      <w:r>
        <w:t xml:space="preserve">For the Union to address its dependencies it must take a two-fold approach:</w:t>
      </w:r>
      <w:r>
        <w:t xml:space="preserve"> </w:t>
      </w:r>
      <w:r>
        <w:t xml:space="preserve">• Strengthen our strengths – delivered by the first Chips Act, which mobilised EUR</w:t>
      </w:r>
      <w:r>
        <w:t xml:space="preserve"> </w:t>
      </w:r>
      <w:r>
        <w:t xml:space="preserve">80 billion in manufacturing investments aligned with the needs of European user</w:t>
      </w:r>
      <w:r>
        <w:t xml:space="preserve"> </w:t>
      </w:r>
      <w:r>
        <w:t xml:space="preserve">industries, and reinforced Europe’s world-class Research and Technology</w:t>
      </w:r>
      <w:r>
        <w:t xml:space="preserve"> </w:t>
      </w:r>
      <w:r>
        <w:t xml:space="preserve">Organisations through an unprecedented EUR 2.5 billion investment in pilot lines.</w:t>
      </w:r>
      <w:r>
        <w:t xml:space="preserve"> </w:t>
      </w:r>
      <w:r>
        <w:t xml:space="preserve">This shall continue through the implementation of initiatives similar to the ones</w:t>
      </w:r>
      <w:r>
        <w:t xml:space="preserve"> </w:t>
      </w:r>
      <w:r>
        <w:t xml:space="preserve">undertaken under the first Chips Act.</w:t>
      </w:r>
      <w:r>
        <w:t xml:space="preserve"> </w:t>
      </w:r>
      <w:r>
        <w:t xml:space="preserve">• Venture into new markets – by fostering a new generation of European</w:t>
      </w:r>
      <w:r>
        <w:t xml:space="preserve"> </w:t>
      </w:r>
      <w:r>
        <w:t xml:space="preserve">semiconductor companies and helping them scale. This is increasingly important as AI</w:t>
      </w:r>
      <w:r>
        <w:t xml:space="preserve"> </w:t>
      </w:r>
      <w:r>
        <w:t xml:space="preserve">and robotics diffuse across society and industry. Meeting the resulting demand for</w:t>
      </w:r>
      <w:r>
        <w:t xml:space="preserve"> </w:t>
      </w:r>
      <w:r>
        <w:t xml:space="preserve">compute, both in centralised data centres and at the edge, will create new markets and</w:t>
      </w:r>
      <w:r>
        <w:t xml:space="preserve"> </w:t>
      </w:r>
      <w:r>
        <w:t xml:space="preserve">application areas. Capturing these opportunities will depend on disruptive innovation,</w:t>
      </w:r>
      <w:r>
        <w:t xml:space="preserve"> </w:t>
      </w:r>
      <w:r>
        <w:t xml:space="preserve">which is typically difficult for incumbents to deliver at speed. By venturing into new</w:t>
      </w:r>
      <w:r>
        <w:t xml:space="preserve"> </w:t>
      </w:r>
      <w:r>
        <w:t xml:space="preserve">markets across the semiconductor value chain, particularly for more leading-edge</w:t>
      </w:r>
      <w:r>
        <w:t xml:space="preserve"> </w:t>
      </w:r>
      <w:r>
        <w:t xml:space="preserve">technologies, the Union will then create the conditions for manufacturing capacity to</w:t>
      </w:r>
      <w:r>
        <w:t xml:space="preserve"> </w:t>
      </w:r>
      <w:r>
        <w:t xml:space="preserve">increase which in turn would strengthen security-of-supply and resilience.</w:t>
      </w:r>
      <w:r>
        <w:br/>
      </w:r>
      <w:r>
        <w:t xml:space="preserve">When operating in tandem, the tools set out in PO2, notably increased RDI investment (PM1),</w:t>
      </w:r>
      <w:r>
        <w:t xml:space="preserve"> </w:t>
      </w:r>
      <w:r>
        <w:t xml:space="preserve">Strategic Projects (PM9) and Innovation Procurement (PM10) complemented by the existing</w:t>
      </w:r>
      <w:r>
        <w:t xml:space="preserve"> </w:t>
      </w:r>
      <w:r>
        <w:t xml:space="preserve">measures under the Chips Act such as the Design Platform and the Chips Fund, create new</w:t>
      </w:r>
      <w:r>
        <w:t xml:space="preserve"> </w:t>
      </w:r>
      <w:r>
        <w:t xml:space="preserve">opportunities to deliver the second part of the approach.</w:t>
      </w:r>
      <w:r>
        <w:t xml:space="preserve"> </w:t>
      </w:r>
      <w:r>
        <w:t xml:space="preserve">8.2.1.1 Scaling-up a new generation of European semiconductor market actors</w:t>
      </w:r>
      <w:r>
        <w:t xml:space="preserve"> </w:t>
      </w:r>
      <w:r>
        <w:t xml:space="preserve">The new measures proposed in PO2 allow for the creation of new companies and the de-</w:t>
      </w:r>
      <w:r>
        <w:t xml:space="preserve"> </w:t>
      </w:r>
      <w:r>
        <w:t xml:space="preserve">risking of development of new technologies across the value chain from specialised materials</w:t>
      </w:r>
      <w:r>
        <w:t xml:space="preserve"> </w:t>
      </w:r>
      <w:r>
        <w:t xml:space="preserve">to design to the deployment of process technology in new foundry capacity. This is a vital</w:t>
      </w:r>
      <w:r>
        <w:t xml:space="preserve"> </w:t>
      </w:r>
      <w:r>
        <w:t xml:space="preserve">pre-requisite to re-instil dynamism into the European semiconductor ecosystem.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20 - Chips Act 2: A more comprehensive toolbox for scaling up semiconductor start-ups</w:t>
      </w:r>
      <w:r>
        <w:t xml:space="preserve"> </w:t>
      </w:r>
      <w:r>
        <w:t xml:space="preserve">The measures proposed in Chips Act 2 provide all the elements required for a concerted</w:t>
      </w:r>
      <w:r>
        <w:t xml:space="preserve"> </w:t>
      </w:r>
      <w:r>
        <w:t xml:space="preserve">European effort to support a sovereign semiconductor industry - starting from research (PM1)</w:t>
      </w:r>
      <w:r>
        <w:t xml:space="preserve"> </w:t>
      </w:r>
      <w:r>
        <w:t xml:space="preserve">to industrial deployment via Strategic Projects (PM8) and eventually also demand stimulation</w:t>
      </w:r>
      <w:r>
        <w:t xml:space="preserve"> </w:t>
      </w:r>
      <w:r>
        <w:t xml:space="preserve">via innovation procurement (PM9).</w:t>
      </w:r>
      <w:r>
        <w:t xml:space="preserve"> </w:t>
      </w:r>
      <w:r>
        <w:t xml:space="preserve">These measures can be applied to a wide variety of contexts, but for the sake of example, they</w:t>
      </w:r>
      <w:r>
        <w:t xml:space="preserve"> </w:t>
      </w:r>
      <w:r>
        <w:t xml:space="preserve">will be applied for the case of the development of a sovereign European AI Inference chip. A</w:t>
      </w:r>
      <w:r>
        <w:t xml:space="preserve"> </w:t>
      </w:r>
      <w:r>
        <w:t xml:space="preserve">potential approach is foreseen as follows:</w:t>
      </w:r>
      <w:r>
        <w:br/>
      </w:r>
      <w:r>
        <w:t xml:space="preserve">PM1 would support basic and applied research in the development of new breakthrough</w:t>
      </w:r>
      <w:r>
        <w:t xml:space="preserve"> </w:t>
      </w:r>
      <w:r>
        <w:t xml:space="preserve">technologies, and foster innovation, addressing different computing paradigms and process</w:t>
      </w:r>
      <w:r>
        <w:t xml:space="preserve"> </w:t>
      </w:r>
      <w:r>
        <w:t xml:space="preserve">technologies.</w:t>
      </w:r>
      <w:r>
        <w:br/>
      </w:r>
      <w:r>
        <w:t xml:space="preserve">Once this technology is proven to a sufficient level, industrialisation could be potentially</w:t>
      </w:r>
      <w:r>
        <w:t xml:space="preserve"> </w:t>
      </w:r>
      <w:r>
        <w:t xml:space="preserve">supported as a Strategic Project via PM8. Eventually support for innovation procurement via</w:t>
      </w:r>
      <w:r>
        <w:t xml:space="preserve"> </w:t>
      </w:r>
      <w:r>
        <w:t xml:space="preserve">PM9 would be granted, which creates predictable demand with anchor customers and enables</w:t>
      </w:r>
      <w:r>
        <w:t xml:space="preserve"> </w:t>
      </w:r>
      <w:r>
        <w:t xml:space="preserve">reference deployment of EU chips in strategic segments, starting with AI Factories and</w:t>
      </w:r>
      <w:r>
        <w:t xml:space="preserve"> </w:t>
      </w:r>
      <w:r>
        <w:t xml:space="preserve">Gigafactories driving internal demand for advanced AI chip design. At the same time,</w:t>
      </w:r>
      <w:r>
        <w:t xml:space="preserve"> </w:t>
      </w:r>
      <w:r>
        <w:t xml:space="preserve">industrial accelerators will convert pilot-line outputs into user-ready solutions. The above can</w:t>
      </w:r>
      <w:r>
        <w:t xml:space="preserve"> </w:t>
      </w:r>
      <w:r>
        <w:t xml:space="preserve">be applied to different sectors, such as automotive, defence, telecom and critical</w:t>
      </w:r>
      <w:r>
        <w:t xml:space="preserve"> </w:t>
      </w:r>
      <w:r>
        <w:t xml:space="preserve">infrastructure.</w:t>
      </w:r>
      <w:r>
        <w:br/>
      </w:r>
      <w:r>
        <w:t xml:space="preserve">Public authorities may also prioritise the procurement of this sovereign solution via non-</w:t>
      </w:r>
      <w:r>
        <w:t xml:space="preserve"> </w:t>
      </w:r>
      <w:r>
        <w:t xml:space="preserve">market criteria in PM10, creating a structural premium for secure supply and protecting EU</w:t>
      </w:r>
      <w:r>
        <w:t xml:space="preserve"> </w:t>
      </w:r>
      <w:r>
        <w:t xml:space="preserve">downstream sectors from future dependency risks.</w:t>
      </w:r>
      <w:r>
        <w:br/>
      </w:r>
      <w:r>
        <w:t xml:space="preserve">With sufficient private co-investment and buy-in (which would always be the vast majority of</w:t>
      </w:r>
      <w:r>
        <w:t xml:space="preserve"> </w:t>
      </w:r>
      <w:r>
        <w:t xml:space="preserve">investment), such a combination of measures would represent a complete system of</w:t>
      </w:r>
      <w:r>
        <w:t xml:space="preserve"> </w:t>
      </w:r>
      <w:r>
        <w:t xml:space="preserve">intervention that could lead to the nurturing of commercially viable European solutions.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With sustained investment, a critical mass of emerging semiconductor companies could be</w:t>
      </w:r>
      <w:r>
        <w:t xml:space="preserve"> </w:t>
      </w:r>
      <w:r>
        <w:t xml:space="preserve">built. These firms would be positioned to seize the opportunities set out in Section 1.1 and to</w:t>
      </w:r>
      <w:r>
        <w:t xml:space="preserve"> </w:t>
      </w:r>
      <w:r>
        <w:t xml:space="preserve">capture demand from an era of expanding AI data-centre capacity and the mass adoption of</w:t>
      </w:r>
      <w:r>
        <w:t xml:space="preserve"> </w:t>
      </w:r>
      <w:r>
        <w:t xml:space="preserve">robotics.</w:t>
      </w:r>
      <w:r>
        <w:t xml:space="preserve"> </w:t>
      </w:r>
      <w:r>
        <w:t xml:space="preserve">As seen in Figure 21, data centre demand is expected to increase at a rate of 12% per year –</w:t>
      </w:r>
      <w:r>
        <w:t xml:space="preserve"> </w:t>
      </w:r>
      <w:r>
        <w:t xml:space="preserve">reaching 62GW in 2036. Taking a general assumption that one GPU consumes approximately</w:t>
      </w:r>
      <w:r>
        <w:t xml:space="preserve"> </w:t>
      </w:r>
      <w:r>
        <w:t xml:space="preserve">1kW of energy (210) – this would imply around 62,000,000 chips which represents a</w:t>
      </w:r>
      <w:r>
        <w:t xml:space="preserve"> </w:t>
      </w:r>
      <w:r>
        <w:t xml:space="preserve">significant demand that could potentially be tapped into by European actors.</w:t>
      </w:r>
      <w:r>
        <w:br/>
      </w:r>
      <w:r>
        <w:t xml:space="preserve">Furthermore, the ongoing deployment of AI Factories and the planned investment in AI</w:t>
      </w:r>
      <w:r>
        <w:t xml:space="preserve"> </w:t>
      </w:r>
      <w:r>
        <w:t xml:space="preserve">Gigafactories, backed by the EUR 20 billion in the InvestAI facility and envisaged to support</w:t>
      </w:r>
      <w:r>
        <w:t xml:space="preserve"> </w:t>
      </w:r>
      <w:r>
        <w:t xml:space="preserve">up to five facilities, are another example of upcoming deployment of AI compute</w:t>
      </w:r>
      <w:r>
        <w:t xml:space="preserve"> </w:t>
      </w:r>
      <w:r>
        <w:t xml:space="preserve">infrastructure. Under this initiative, the ambition is to deploy 5 datacentres with 100MW of</w:t>
      </w:r>
      <w:r>
        <w:t xml:space="preserve"> </w:t>
      </w:r>
      <w:r>
        <w:t xml:space="preserve">compute capacity each.</w:t>
      </w:r>
    </w:p>
    <w:p>
      <w:pPr>
        <w:pStyle w:val="BodyText"/>
      </w:pPr>
      <w:r>
        <w:t xml:space="preserve">Figure 21 - Evolution of the gap between data centre demand and supply (figures in GW)</w:t>
      </w:r>
      <w:r>
        <w:t xml:space="preserve"> </w:t>
      </w:r>
      <w:r>
        <w:t xml:space="preserve">Source: Technopolis</w:t>
      </w:r>
      <w:r>
        <w:t xml:space="preserve"> </w:t>
      </w:r>
      <w:r>
        <w:t xml:space="preserve">The AI Gigafactories as a publicly steered initiative can serve as an important vehicle for the</w:t>
      </w:r>
      <w:r>
        <w:t xml:space="preserve"> </w:t>
      </w:r>
      <w:r>
        <w:t xml:space="preserve">validation of European technologies. Here, PM9 may be deployed for the procurement of</w:t>
      </w:r>
      <w:r>
        <w:t xml:space="preserve"> </w:t>
      </w:r>
      <w:r>
        <w:t xml:space="preserve">experimental European technology for validation purposes through pre-commercial</w:t>
      </w:r>
      <w:r>
        <w:t xml:space="preserve"> </w:t>
      </w:r>
      <w:r>
        <w:t xml:space="preserve">procurement and public procurement of innovation. Should 5% of the capacity of the AI</w:t>
      </w:r>
      <w:r>
        <w:t xml:space="preserve"> </w:t>
      </w:r>
      <w:r>
        <w:t xml:space="preserve">Gigafactories be dedicated to the validation of European solutions, this would serve as an</w:t>
      </w:r>
      <w:r>
        <w:t xml:space="preserve"> </w:t>
      </w:r>
      <w:r>
        <w:t xml:space="preserve">opportunity to deploy 25 MW of compute capacity that is European sourced.</w:t>
      </w:r>
    </w:p>
    <w:p>
      <w:pPr>
        <w:pStyle w:val="BodyText"/>
      </w:pPr>
      <w:r>
        <w:t xml:space="preserve">210 Nvidia turns up the AI heat with 1,200W Blackwell GPUs | The Register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Figure 22 - Uptake of sovereign EU AI compute</w:t>
      </w:r>
      <w:r>
        <w:t xml:space="preserve"> </w:t>
      </w:r>
      <w:r>
        <w:t xml:space="preserve">This validation would then in turn give these market actors credibility on the market which</w:t>
      </w:r>
      <w:r>
        <w:t xml:space="preserve"> </w:t>
      </w:r>
      <w:r>
        <w:t xml:space="preserve">can be used to pursue the larger EU data centre market and also compete globally.</w:t>
      </w:r>
      <w:r>
        <w:br/>
      </w:r>
      <w:r>
        <w:t xml:space="preserve">8.2.1.2 Embedding resilience – selective investments on crucial components of the value</w:t>
      </w:r>
      <w:r>
        <w:t xml:space="preserve"> </w:t>
      </w:r>
      <w:r>
        <w:t xml:space="preserve">chain</w:t>
      </w:r>
    </w:p>
    <w:p>
      <w:pPr>
        <w:pStyle w:val="BodyText"/>
      </w:pPr>
      <w:r>
        <w:t xml:space="preserve">Figure 23 - Architecture of Strategic Projects (PM9)</w:t>
      </w:r>
      <w:r>
        <w:t xml:space="preserve"> </w:t>
      </w:r>
      <w:r>
        <w:t xml:space="preserve">As set out above, the EU, despite some strengths, has significant dependencies across all the</w:t>
      </w:r>
      <w:r>
        <w:t xml:space="preserve"> </w:t>
      </w:r>
      <w:r>
        <w:t xml:space="preserve">semiconductor value chain. Re-shoring the entire value chain, is neither realistic nor desirable</w:t>
      </w:r>
      <w:r>
        <w:t xml:space="preserve"> </w:t>
      </w:r>
      <w:r>
        <w:t xml:space="preserve">and therefore this necessitates that choices are made.</w:t>
      </w:r>
      <w:r>
        <w:br/>
      </w:r>
      <w:r>
        <w:t xml:space="preserve">Crucial amongst these is the lack of leading-edge front-end manufacturing capacity and an</w:t>
      </w:r>
      <w:r>
        <w:t xml:space="preserve"> </w:t>
      </w:r>
      <w:r>
        <w:t xml:space="preserve">advanced packaging facility together with some meaningful manufacturing capacity in</w:t>
      </w:r>
      <w:r>
        <w:t xml:space="preserve"> </w:t>
      </w:r>
      <w:r>
        <w:t xml:space="preserve">memory technologies in Europe which are core-components of an AI value chain. Addressing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such vulnerabilities shall be a principal pursuit when implementing the revised Chips Act for</w:t>
      </w:r>
      <w:r>
        <w:t xml:space="preserve"> </w:t>
      </w:r>
      <w:r>
        <w:t xml:space="preserve">two reasons:</w:t>
      </w:r>
      <w:r>
        <w:t xml:space="preserve"> </w:t>
      </w:r>
      <w:r>
        <w:t xml:space="preserve">8.2.1.2.1 Crucial strategic importance</w:t>
      </w:r>
      <w:r>
        <w:t xml:space="preserve"> </w:t>
      </w:r>
      <w:r>
        <w:t xml:space="preserve">Firstly, supply disruption of these semiconductors would deny Europe the possibility to</w:t>
      </w:r>
      <w:r>
        <w:t xml:space="preserve"> </w:t>
      </w:r>
      <w:r>
        <w:t xml:space="preserve">deploy crucial AI infrastructure, both at the edge and in the data centre, which in the medium</w:t>
      </w:r>
      <w:r>
        <w:t xml:space="preserve"> </w:t>
      </w:r>
      <w:r>
        <w:t xml:space="preserve">term will be of vital importance for the maintenance of economic growth and the functioning</w:t>
      </w:r>
      <w:r>
        <w:t xml:space="preserve"> </w:t>
      </w:r>
      <w:r>
        <w:t xml:space="preserve">of essential societal services and industry.</w:t>
      </w:r>
      <w:r>
        <w:br/>
      </w:r>
      <w:r>
        <w:t xml:space="preserve">Furthermore, the increasingly differentiating factor that this technology could have when it</w:t>
      </w:r>
      <w:r>
        <w:t xml:space="preserve"> </w:t>
      </w:r>
      <w:r>
        <w:t xml:space="preserve">comes to security and defence, including cybersecurity, means that lack of sovereign access</w:t>
      </w:r>
      <w:r>
        <w:t xml:space="preserve"> </w:t>
      </w:r>
      <w:r>
        <w:t xml:space="preserve">may render Europe vulnerable to violations of public order and security.</w:t>
      </w:r>
      <w:r>
        <w:t xml:space="preserve"> </w:t>
      </w:r>
      <w:r>
        <w:t xml:space="preserve">8.2.1.2.2 Market opportunity</w:t>
      </w:r>
      <w:r>
        <w:t xml:space="preserve"> </w:t>
      </w:r>
      <w:r>
        <w:t xml:space="preserve">Secondly, this segment of leading-edge technologies is the fastest growing segment in the</w:t>
      </w:r>
      <w:r>
        <w:t xml:space="preserve"> </w:t>
      </w:r>
      <w:r>
        <w:t xml:space="preserve">semiconductor market. It is the driver of unprecedented growth in the industry that is</w:t>
      </w:r>
      <w:r>
        <w:t xml:space="preserve"> </w:t>
      </w:r>
      <w:r>
        <w:t xml:space="preserve">expected to reach USD 1 trillion in revenues by 2026, an acceleration of 4 years from the</w:t>
      </w:r>
      <w:r>
        <w:t xml:space="preserve"> </w:t>
      </w:r>
      <w:r>
        <w:t xml:space="preserve">consensus of market analysts. Europe’s lack of participation in this segment is resulting in</w:t>
      </w:r>
      <w:r>
        <w:t xml:space="preserve"> </w:t>
      </w:r>
      <w:r>
        <w:t xml:space="preserve">a rapid loss of market share and risks rendering the EU irrelevant in the global</w:t>
      </w:r>
      <w:r>
        <w:t xml:space="preserve"> </w:t>
      </w:r>
      <w:r>
        <w:t xml:space="preserve">semiconductor market.</w:t>
      </w:r>
      <w:r>
        <w:br/>
      </w:r>
      <w:r>
        <w:t xml:space="preserve">Recent evidence indicates that leading-edge AI chip markets are characterised by short-run</w:t>
      </w:r>
      <w:r>
        <w:t xml:space="preserve"> </w:t>
      </w:r>
      <w:r>
        <w:t xml:space="preserve">capacity constraints and limited price responsiveness. For example, advanced 2.5D packaging</w:t>
      </w:r>
      <w:r>
        <w:t xml:space="preserve"> </w:t>
      </w:r>
      <w:r>
        <w:t xml:space="preserve">capacity, particularly TSMC’s Chip-on-Wafer-on-Substrate (CoWoS) platform used for</w:t>
      </w:r>
      <w:r>
        <w:t xml:space="preserve"> </w:t>
      </w:r>
      <w:r>
        <w:t xml:space="preserve">frontier AI chips, has been reported as sold out through 2025 and into 2026, with</w:t>
      </w:r>
      <w:r>
        <w:t xml:space="preserve"> </w:t>
      </w:r>
      <w:r>
        <w:t xml:space="preserve">oversubscription at least until mid-2026.(211)When it comes to front-end manufacturing, it is</w:t>
      </w:r>
      <w:r>
        <w:t xml:space="preserve"> </w:t>
      </w:r>
      <w:r>
        <w:t xml:space="preserve">expected that foundry capacity will be scarce until at least end of 2027 and will probably</w:t>
      </w:r>
      <w:r>
        <w:t xml:space="preserve"> </w:t>
      </w:r>
      <w:r>
        <w:t xml:space="preserve">persist as data-centre and AI compute demand increases exponentially, with foundries not</w:t>
      </w:r>
      <w:r>
        <w:t xml:space="preserve"> </w:t>
      </w:r>
      <w:r>
        <w:t xml:space="preserve">being able to keep abreast.</w:t>
      </w:r>
      <w:r>
        <w:br/>
      </w:r>
      <w:r>
        <w:t xml:space="preserve">Category Logic node</w:t>
      </w:r>
      <w:r>
        <w:t xml:space="preserve"> </w:t>
      </w:r>
      <w:r>
        <w:t xml:space="preserve">Product</w:t>
      </w:r>
      <w:r>
        <w:t xml:space="preserve"> </w:t>
      </w:r>
      <w:r>
        <w:t xml:space="preserve">2026 Q1 2026 Q2 2026 Q3 2026 Q4 2027 Q1 2027 Q2</w:t>
      </w:r>
      <w:r>
        <w:t xml:space="preserve"> </w:t>
      </w:r>
      <w:r>
        <w:t xml:space="preserve">Logic</w:t>
      </w:r>
      <w:r>
        <w:t xml:space="preserve"> </w:t>
      </w:r>
      <w:r>
        <w:t xml:space="preserve">≤2nm</w:t>
      </w:r>
      <w:r>
        <w:t xml:space="preserve"> </w:t>
      </w:r>
      <w:r>
        <w:t xml:space="preserve">Accelerator</w:t>
      </w:r>
      <w:r>
        <w:t xml:space="preserve"> </w:t>
      </w:r>
      <w:r>
        <w:t xml:space="preserve">90</w:t>
      </w:r>
      <w:r>
        <w:t xml:space="preserve"> </w:t>
      </w:r>
      <w:r>
        <w:t xml:space="preserve">80</w:t>
      </w:r>
      <w:r>
        <w:t xml:space="preserve"> </w:t>
      </w:r>
      <w:r>
        <w:t xml:space="preserve">72</w:t>
      </w:r>
      <w:r>
        <w:t xml:space="preserve"> </w:t>
      </w:r>
      <w:r>
        <w:t xml:space="preserve">76</w:t>
      </w:r>
      <w:r>
        <w:t xml:space="preserve"> </w:t>
      </w:r>
      <w:r>
        <w:t xml:space="preserve">80</w:t>
      </w:r>
      <w:r>
        <w:t xml:space="preserve"> </w:t>
      </w:r>
      <w:r>
        <w:t xml:space="preserve">84</w:t>
      </w:r>
      <w:r>
        <w:t xml:space="preserve"> </w:t>
      </w:r>
      <w:r>
        <w:t xml:space="preserve">Logic</w:t>
      </w:r>
      <w:r>
        <w:t xml:space="preserve"> </w:t>
      </w:r>
      <w:r>
        <w:t xml:space="preserve">CPU</w:t>
      </w:r>
      <w:r>
        <w:t xml:space="preserve"> </w:t>
      </w:r>
      <w:r>
        <w:t xml:space="preserve">77</w:t>
      </w:r>
      <w:r>
        <w:t xml:space="preserve"> </w:t>
      </w:r>
      <w:r>
        <w:t xml:space="preserve">75</w:t>
      </w:r>
      <w:r>
        <w:t xml:space="preserve"> </w:t>
      </w:r>
      <w:r>
        <w:t xml:space="preserve">73</w:t>
      </w:r>
      <w:r>
        <w:t xml:space="preserve"> </w:t>
      </w:r>
      <w:r>
        <w:t xml:space="preserve">77</w:t>
      </w:r>
      <w:r>
        <w:t xml:space="preserve"> </w:t>
      </w:r>
      <w:r>
        <w:t xml:space="preserve">81</w:t>
      </w:r>
      <w:r>
        <w:t xml:space="preserve"> </w:t>
      </w:r>
      <w:r>
        <w:t xml:space="preserve">87</w:t>
      </w:r>
      <w:r>
        <w:t xml:space="preserve"> </w:t>
      </w:r>
      <w:r>
        <w:t xml:space="preserve">Logic</w:t>
      </w:r>
      <w:r>
        <w:t xml:space="preserve"> </w:t>
      </w:r>
      <w:r>
        <w:t xml:space="preserve">5/4/3nm</w:t>
      </w:r>
      <w:r>
        <w:t xml:space="preserve"> </w:t>
      </w:r>
      <w:r>
        <w:t xml:space="preserve">Accelerator</w:t>
      </w:r>
      <w:r>
        <w:t xml:space="preserve"> </w:t>
      </w:r>
      <w:r>
        <w:t xml:space="preserve">74</w:t>
      </w:r>
      <w:r>
        <w:t xml:space="preserve"> </w:t>
      </w:r>
      <w:r>
        <w:t xml:space="preserve">76</w:t>
      </w:r>
      <w:r>
        <w:t xml:space="preserve"> </w:t>
      </w:r>
      <w:r>
        <w:t xml:space="preserve">80</w:t>
      </w:r>
      <w:r>
        <w:t xml:space="preserve"> </w:t>
      </w:r>
      <w:r>
        <w:t xml:space="preserve">85</w:t>
      </w:r>
      <w:r>
        <w:t xml:space="preserve"> </w:t>
      </w:r>
      <w:r>
        <w:t xml:space="preserve">89</w:t>
      </w:r>
      <w:r>
        <w:t xml:space="preserve"> </w:t>
      </w:r>
      <w:r>
        <w:t xml:space="preserve">93</w:t>
      </w:r>
      <w:r>
        <w:t xml:space="preserve"> </w:t>
      </w:r>
      <w:r>
        <w:t xml:space="preserve">Logic</w:t>
      </w:r>
      <w:r>
        <w:t xml:space="preserve"> </w:t>
      </w:r>
      <w:r>
        <w:t xml:space="preserve">CPU</w:t>
      </w:r>
      <w:r>
        <w:t xml:space="preserve"> </w:t>
      </w:r>
      <w:r>
        <w:t xml:space="preserve">76</w:t>
      </w:r>
      <w:r>
        <w:t xml:space="preserve"> </w:t>
      </w:r>
      <w:r>
        <w:t xml:space="preserve">80</w:t>
      </w:r>
      <w:r>
        <w:t xml:space="preserve"> </w:t>
      </w:r>
      <w:r>
        <w:t xml:space="preserve">87</w:t>
      </w:r>
      <w:r>
        <w:t xml:space="preserve"> </w:t>
      </w:r>
      <w:r>
        <w:t xml:space="preserve">90</w:t>
      </w:r>
      <w:r>
        <w:t xml:space="preserve"> </w:t>
      </w:r>
      <w:r>
        <w:t xml:space="preserve">92</w:t>
      </w:r>
      <w:r>
        <w:t xml:space="preserve"> </w:t>
      </w:r>
      <w:r>
        <w:t xml:space="preserve">94</w:t>
      </w:r>
      <w:r>
        <w:t xml:space="preserve"> </w:t>
      </w:r>
      <w:r>
        <w:t xml:space="preserve">Logic</w:t>
      </w:r>
      <w:r>
        <w:t xml:space="preserve"> </w:t>
      </w:r>
      <w:r>
        <w:t xml:space="preserve">7nm</w:t>
      </w:r>
      <w:r>
        <w:t xml:space="preserve"> </w:t>
      </w:r>
      <w:r>
        <w:t xml:space="preserve">Miscellaneous products</w:t>
      </w:r>
      <w:r>
        <w:t xml:space="preserve"> </w:t>
      </w:r>
      <w:r>
        <w:t xml:space="preserve">82</w:t>
      </w:r>
      <w:r>
        <w:t xml:space="preserve"> </w:t>
      </w:r>
      <w:r>
        <w:t xml:space="preserve">81</w:t>
      </w:r>
      <w:r>
        <w:t xml:space="preserve"> </w:t>
      </w:r>
      <w:r>
        <w:t xml:space="preserve">79</w:t>
      </w:r>
      <w:r>
        <w:t xml:space="preserve"> </w:t>
      </w:r>
      <w:r>
        <w:t xml:space="preserve">81</w:t>
      </w:r>
      <w:r>
        <w:t xml:space="preserve"> </w:t>
      </w:r>
      <w:r>
        <w:t xml:space="preserve">84</w:t>
      </w:r>
      <w:r>
        <w:t xml:space="preserve"> </w:t>
      </w:r>
      <w:r>
        <w:t xml:space="preserve">86</w:t>
      </w:r>
      <w:r>
        <w:t xml:space="preserve"> </w:t>
      </w:r>
      <w:r>
        <w:t xml:space="preserve">Figure 24 - Percent of supply versus demand for semiconductors (Source: IBS)212</w:t>
      </w:r>
    </w:p>
    <w:p>
      <w:pPr>
        <w:pStyle w:val="Compact"/>
        <w:numPr>
          <w:ilvl w:val="0"/>
          <w:numId w:val="1061"/>
        </w:numPr>
      </w:pPr>
      <w:r>
        <w:t xml:space="preserve">Fusion Worldwide. (2025). Inside the AI bottleneck: CoWoS, HBM, and 2/3nm capacity constraints through</w:t>
      </w:r>
    </w:p>
    <w:p>
      <w:pPr>
        <w:pStyle w:val="Compact"/>
        <w:numPr>
          <w:ilvl w:val="0"/>
          <w:numId w:val="1062"/>
        </w:numPr>
      </w:pPr>
      <w:r>
        <w:t xml:space="preserve">https://info.fusionww.com/blog/inside-the-ai-bottleneck-cowos-hbm-and-2-3nm-capacity-constraints-</w:t>
      </w:r>
      <w:r>
        <w:t xml:space="preserve"> </w:t>
      </w:r>
      <w:r>
        <w:t xml:space="preserve">through-2027</w:t>
      </w:r>
      <w:r>
        <w:br/>
      </w:r>
    </w:p>
    <w:p>
      <w:pPr>
        <w:pStyle w:val="Compact"/>
        <w:numPr>
          <w:ilvl w:val="0"/>
          <w:numId w:val="1063"/>
        </w:numPr>
      </w:pPr>
      <w:r>
        <w:t xml:space="preserve">IBS, Global Semiconductor Industry Service February 2026 - Analysis of Semiconductor Shortages.</w:t>
      </w:r>
    </w:p>
    <w:p>
      <w:pPr>
        <w:pStyle w:val="FirstParagraph"/>
      </w:pPr>
      <w:r>
        <w:t xml:space="preserve">102</w:t>
      </w:r>
    </w:p>
    <w:p>
      <w:pPr>
        <w:pStyle w:val="BodyText"/>
      </w:pPr>
      <w:r>
        <w:t xml:space="preserve">Therefore, given multi-year expansion lead times, short-term output is effectively capacity-</w:t>
      </w:r>
      <w:r>
        <w:t xml:space="preserve"> </w:t>
      </w:r>
      <w:r>
        <w:t xml:space="preserve">bound. In such conditions, price increases do not rapidly translate into higher quantities,</w:t>
      </w:r>
      <w:r>
        <w:t xml:space="preserve"> </w:t>
      </w:r>
      <w:r>
        <w:t xml:space="preserve">implying a steep short-run supply curve. Demand has also proven resilient: despite elevated</w:t>
      </w:r>
      <w:r>
        <w:t xml:space="preserve"> </w:t>
      </w:r>
      <w:r>
        <w:t xml:space="preserve">prices during the constraint phase, deployment of frontier AI hardware did not materially</w:t>
      </w:r>
      <w:r>
        <w:t xml:space="preserve"> </w:t>
      </w:r>
      <w:r>
        <w:t xml:space="preserve">contract, suggesting limited short-run substitutability and strong willingness to pay among</w:t>
      </w:r>
      <w:r>
        <w:t xml:space="preserve"> </w:t>
      </w:r>
      <w:r>
        <w:t xml:space="preserve">cloud vendors and AI companies.</w:t>
      </w:r>
      <w:r>
        <w:t xml:space="preserve"> </w:t>
      </w:r>
      <w:r>
        <w:t xml:space="preserve">Furthermore, investment in manufacturing capacity via Strategic Projects for more mature</w:t>
      </w:r>
      <w:r>
        <w:t xml:space="preserve"> </w:t>
      </w:r>
      <w:r>
        <w:t xml:space="preserve">technologies that are of critical importance for certain user industries such as automotive and</w:t>
      </w:r>
      <w:r>
        <w:t xml:space="preserve"> </w:t>
      </w:r>
      <w:r>
        <w:t xml:space="preserve">security and defence will be pursued to continue building resilience for European user</w:t>
      </w:r>
      <w:r>
        <w:t xml:space="preserve"> </w:t>
      </w:r>
      <w:r>
        <w:t xml:space="preserve">industries.</w:t>
      </w:r>
      <w:r>
        <w:br/>
      </w:r>
      <w:r>
        <w:t xml:space="preserve">8.2.2 Budget</w:t>
      </w:r>
      <w:r>
        <w:t xml:space="preserve"> </w:t>
      </w:r>
      <w:r>
        <w:t xml:space="preserve">All funding assumptions are without prejudice to ongoing negotiations related to the next</w:t>
      </w:r>
      <w:r>
        <w:t xml:space="preserve"> </w:t>
      </w:r>
      <w:r>
        <w:t xml:space="preserve">Multiannual Financial Framework (MFF) for 2028-2035. The considerations made in the</w:t>
      </w:r>
      <w:r>
        <w:t xml:space="preserve"> </w:t>
      </w:r>
      <w:r>
        <w:t xml:space="preserve">Impact Assessment are in line with the Commission proposal for the next MFF.</w:t>
      </w:r>
      <w:r>
        <w:br/>
      </w:r>
      <w:r>
        <w:t xml:space="preserve">It is assumed that Member States are willing to co-fund. This is a reasonable assumption</w:t>
      </w:r>
      <w:r>
        <w:t xml:space="preserve"> </w:t>
      </w:r>
      <w:r>
        <w:t xml:space="preserve">given the level of attention the topic has received, including the adoption of national strategies</w:t>
      </w:r>
      <w:r>
        <w:t xml:space="preserve"> </w:t>
      </w:r>
      <w:r>
        <w:t xml:space="preserve">in over 10 Member States. (213) This assumption is also based on previous budget allocations</w:t>
      </w:r>
      <w:r>
        <w:t xml:space="preserve"> </w:t>
      </w:r>
      <w:r>
        <w:t xml:space="preserve">by Member States over the course of the current MFF (2021-2027).</w:t>
      </w:r>
      <w:r>
        <w:br/>
      </w:r>
      <w:r>
        <w:t xml:space="preserve">Considering the nature of the initiative, effectiveness is tied to the capacity of public</w:t>
      </w:r>
      <w:r>
        <w:t xml:space="preserve"> </w:t>
      </w:r>
      <w:r>
        <w:t xml:space="preserve">authorities, including the Commission, to invest. The funding from the Union is also subject</w:t>
      </w:r>
      <w:r>
        <w:t xml:space="preserve"> </w:t>
      </w:r>
      <w:r>
        <w:t xml:space="preserve">to the specificities of the upcoming Council regulation establishing the Joint Undertakings.</w:t>
      </w:r>
      <w:r>
        <w:t xml:space="preserve"> </w:t>
      </w:r>
      <w:r>
        <w:t xml:space="preserve">The preferred option (PO2) is based on the assumption that the Union will be able to mobilise</w:t>
      </w:r>
      <w:r>
        <w:t xml:space="preserve"> </w:t>
      </w:r>
      <w:r>
        <w:t xml:space="preserve">sufficient funding for an impactful application of the new policy measures foreseen under the</w:t>
      </w:r>
      <w:r>
        <w:t xml:space="preserve"> </w:t>
      </w:r>
      <w:r>
        <w:t xml:space="preserve">proposed Chips Act. Of course, an important change in this revision will be the role of the</w:t>
      </w:r>
      <w:r>
        <w:t xml:space="preserve"> </w:t>
      </w:r>
      <w:r>
        <w:t xml:space="preserve">Union in supporting strategically important manufacturing facilities. This would require at</w:t>
      </w:r>
      <w:r>
        <w:t xml:space="preserve"> </w:t>
      </w:r>
      <w:r>
        <w:t xml:space="preserve">least an order of magnitude larger EU budget for semiconductors in the next MFF. Should</w:t>
      </w:r>
      <w:r>
        <w:t xml:space="preserve"> </w:t>
      </w:r>
      <w:r>
        <w:t xml:space="preserve">these budgets not be realisable, then the impacts described in Section 6.2 will be more</w:t>
      </w:r>
      <w:r>
        <w:t xml:space="preserve"> </w:t>
      </w:r>
      <w:r>
        <w:t xml:space="preserve">subdued.</w:t>
      </w:r>
      <w:r>
        <w:br/>
      </w:r>
      <w:r>
        <w:t xml:space="preserve">8.2.3 Total cost benefit overview</w:t>
      </w:r>
      <w:r>
        <w:br/>
      </w:r>
      <w:r>
        <w:t xml:space="preserve">The preferred option is expected to generate substantial economic returns across the</w:t>
      </w:r>
      <w:r>
        <w:t xml:space="preserve"> </w:t>
      </w:r>
      <w:r>
        <w:t xml:space="preserve">semiconductor value chain, with EU manufacturers projected to achieve EUR 6.6–11.5</w:t>
      </w:r>
      <w:r>
        <w:t xml:space="preserve"> </w:t>
      </w:r>
      <w:r>
        <w:t xml:space="preserve">billion (for total of EUR 40 billion public private funding)(214) in additional annual</w:t>
      </w:r>
      <w:r>
        <w:t xml:space="preserve"> </w:t>
      </w:r>
      <w:r>
        <w:t xml:space="preserve">manufacturing revenue from Strategic Projects, while demand-side measures stimulate further</w:t>
      </w:r>
      <w:r>
        <w:t xml:space="preserve"> </w:t>
      </w:r>
      <w:r>
        <w:t xml:space="preserve">design-related activity and crowd in private investment (see Annex 4). Public authorities</w:t>
      </w:r>
      <w:r>
        <w:t xml:space="preserve"> </w:t>
      </w:r>
      <w:r>
        <w:t xml:space="preserve">stand to benefit from a significantly strengthened governance architecture, including, for the</w:t>
      </w:r>
      <w:r>
        <w:t xml:space="preserve"> </w:t>
      </w:r>
      <w:r>
        <w:t xml:space="preserve">first time, direct EU co-financing of industrial deployment via the ECF, alongside new</w:t>
      </w:r>
    </w:p>
    <w:p>
      <w:pPr>
        <w:pStyle w:val="Compact"/>
        <w:numPr>
          <w:ilvl w:val="0"/>
          <w:numId w:val="1064"/>
        </w:numPr>
      </w:pPr>
      <w:r>
        <w:t xml:space="preserve">Austria, Czech Republic, Finland, France, Germany, Ireland, Italy, Netherlands, Poland, Portugal, Spain.</w:t>
      </w:r>
    </w:p>
    <w:p>
      <w:pPr>
        <w:pStyle w:val="Compact"/>
        <w:numPr>
          <w:ilvl w:val="0"/>
          <w:numId w:val="1064"/>
        </w:numPr>
      </w:pPr>
      <w:r>
        <w:t xml:space="preserve">The EUR 40 billion figure is provided for illustrative purposes only.</w:t>
      </w:r>
    </w:p>
    <w:p>
      <w:pPr>
        <w:pStyle w:val="FirstParagraph"/>
      </w:pPr>
      <w:r>
        <w:t xml:space="preserve">103</w:t>
      </w:r>
    </w:p>
    <w:p>
      <w:pPr>
        <w:pStyle w:val="BodyText"/>
      </w:pPr>
      <w:r>
        <w:t xml:space="preserve">resilience capabilities that would allow the industry to identify supply chain bottlenecks</w:t>
      </w:r>
      <w:r>
        <w:t xml:space="preserve"> </w:t>
      </w:r>
      <w:r>
        <w:t xml:space="preserve">before the crisis thresholds set out in the Chips Act are reached.</w:t>
      </w:r>
      <w:r>
        <w:br/>
      </w:r>
      <w:r>
        <w:t xml:space="preserve">The total costs associated with the preferred option are proportionate and are substantially</w:t>
      </w:r>
      <w:r>
        <w:t xml:space="preserve"> </w:t>
      </w:r>
      <w:r>
        <w:t xml:space="preserve">outweighed by the projected economic benefits, improved supply chain resilience, with SMEs</w:t>
      </w:r>
      <w:r>
        <w:t xml:space="preserve"> </w:t>
      </w:r>
      <w:r>
        <w:t xml:space="preserve">fully exempt from reporting obligations.</w:t>
      </w:r>
      <w:r>
        <w:br/>
      </w:r>
      <w:r>
        <w:t xml:space="preserve">Society at large would stand to benefit from improved continuity of essential services during</w:t>
      </w:r>
      <w:r>
        <w:t xml:space="preserve"> </w:t>
      </w:r>
      <w:r>
        <w:t xml:space="preserve">supply disruptions, reduced exposure to geopolitical coercion, the creation of at least 7,300</w:t>
      </w:r>
      <w:r>
        <w:t xml:space="preserve"> </w:t>
      </w:r>
      <w:r>
        <w:t xml:space="preserve">direct and 36,500 indirect jobs, and, over time, greater product choice and more competitive</w:t>
      </w:r>
      <w:r>
        <w:t xml:space="preserve"> </w:t>
      </w:r>
      <w:r>
        <w:t xml:space="preserve">pricing for all downstream users of semiconductors. Further information can be found in</w:t>
      </w:r>
      <w:r>
        <w:t xml:space="preserve"> </w:t>
      </w:r>
      <w:r>
        <w:t xml:space="preserve">Annex 3.</w:t>
      </w:r>
      <w:r>
        <w:t xml:space="preserve"> </w:t>
      </w:r>
      <w:r>
        <w:t xml:space="preserve">8.3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preferred option introduces targeted new obligations but also delivers notable</w:t>
      </w:r>
      <w:r>
        <w:t xml:space="preserve"> </w:t>
      </w:r>
      <w:r>
        <w:t xml:space="preserve">simplification and efficiency gains for businesses and public administrations.</w:t>
      </w:r>
      <w:r>
        <w:t xml:space="preserve"> </w:t>
      </w:r>
      <w:r>
        <w:t xml:space="preserve">8.3.1 Simplification benefits</w:t>
      </w:r>
      <w:r>
        <w:t xml:space="preserve"> </w:t>
      </w:r>
      <w:r>
        <w:t xml:space="preserve">The preferred policy option (PO2) delivers simplification by introducing a coordinated EU-</w:t>
      </w:r>
      <w:r>
        <w:t xml:space="preserve"> </w:t>
      </w:r>
      <w:r>
        <w:t xml:space="preserve">level framework in the case of Strategic Projects. With a single project pipeline for large-scale</w:t>
      </w:r>
      <w:r>
        <w:t xml:space="preserve"> </w:t>
      </w:r>
      <w:r>
        <w:t xml:space="preserve">semiconductor investments, duplication of administrative steps and repetitive documentation</w:t>
      </w:r>
      <w:r>
        <w:t xml:space="preserve"> </w:t>
      </w:r>
      <w:r>
        <w:t xml:space="preserve">are prevented. The clarification of the First-of-a-Kind label further simplifies State aid</w:t>
      </w:r>
      <w:r>
        <w:t xml:space="preserve"> </w:t>
      </w:r>
      <w:r>
        <w:t xml:space="preserve">procedures for both Member States and companies. Additionally, the revised Chips Act will</w:t>
      </w:r>
      <w:r>
        <w:t xml:space="preserve"> </w:t>
      </w:r>
      <w:r>
        <w:t xml:space="preserve">delete the concept of a European Chips Infrastructure Consortium (ECIC) for streamlining</w:t>
      </w:r>
      <w:r>
        <w:t xml:space="preserve"> </w:t>
      </w:r>
      <w:r>
        <w:t xml:space="preserve">purposes as it was never used during the implementation of the Chips Act.</w:t>
      </w:r>
      <w:r>
        <w:br/>
      </w:r>
      <w:r>
        <w:t xml:space="preserve">Another efficiency gain stems from faster and more predictable permitting procedures.</w:t>
      </w:r>
      <w:r>
        <w:t xml:space="preserve"> </w:t>
      </w:r>
      <w:r>
        <w:t xml:space="preserve">Permitting and design phases for advanced semiconductor facilities in the EU are on average</w:t>
      </w:r>
      <w:r>
        <w:t xml:space="preserve"> </w:t>
      </w:r>
      <w:r>
        <w:t xml:space="preserve">7.5 months longer than in key competing jurisdictions. Assuming that each year of delay adds</w:t>
      </w:r>
      <w:r>
        <w:t xml:space="preserve"> </w:t>
      </w:r>
      <w:r>
        <w:t xml:space="preserve">around 5% to the total project value, this implies an additional cost of approximately 3.125%</w:t>
      </w:r>
      <w:r>
        <w:t xml:space="preserve"> </w:t>
      </w:r>
      <w:r>
        <w:t xml:space="preserve">of overall investment, corresponding to around EUR 625 million for a representative EUR 20</w:t>
      </w:r>
      <w:r>
        <w:t xml:space="preserve"> </w:t>
      </w:r>
      <w:r>
        <w:t xml:space="preserve">billion advanced fabrication plant. (215) By reducing iterative exchanges with authorities and</w:t>
      </w:r>
      <w:r>
        <w:t xml:space="preserve"> </w:t>
      </w:r>
      <w:r>
        <w:t xml:space="preserve">clarifying permitting pathways, PO2 generates substantial implicit cost savings that outweigh</w:t>
      </w:r>
      <w:r>
        <w:t xml:space="preserve"> </w:t>
      </w:r>
      <w:r>
        <w:t xml:space="preserve">compliance-related costs. Another simplification benefit arises from replacing ad hoc crisis-</w:t>
      </w:r>
      <w:r>
        <w:t xml:space="preserve"> </w:t>
      </w:r>
      <w:r>
        <w:t xml:space="preserve">driven information requests with a structured Business-to-Business Semiconductor Supply</w:t>
      </w:r>
      <w:r>
        <w:t xml:space="preserve"> </w:t>
      </w:r>
      <w:r>
        <w:t xml:space="preserve">Chain Platform reducing duplication and improving coordination across Member States.</w:t>
      </w:r>
      <w:r>
        <w:t xml:space="preserve"> </w:t>
      </w:r>
      <w:r>
        <w:t xml:space="preserve">(216)</w:t>
      </w:r>
      <w:r>
        <w:t xml:space="preserve"> </w:t>
      </w:r>
      <w:r>
        <w:t xml:space="preserve">8.3.2 Administrative impacts (OIOO perspective)</w:t>
      </w:r>
      <w:r>
        <w:t xml:space="preserve"> </w:t>
      </w:r>
      <w:r>
        <w:t xml:space="preserve">From a One-In-One-Out perspective, PO2 introduces limited new administrative burdens,</w:t>
      </w:r>
      <w:r>
        <w:t xml:space="preserve"> </w:t>
      </w:r>
      <w:r>
        <w:t xml:space="preserve">largely offset by structural simplification. New “INs” for businesses consist primarily of</w:t>
      </w:r>
      <w:r>
        <w:t xml:space="preserve"> </w:t>
      </w:r>
      <w:r>
        <w:t xml:space="preserve">disclosures of supply chain vulnerabilities, estimated at up to 10 person-days per request,</w:t>
      </w:r>
    </w:p>
    <w:p>
      <w:pPr>
        <w:pStyle w:val="Compact"/>
        <w:numPr>
          <w:ilvl w:val="0"/>
          <w:numId w:val="1065"/>
        </w:numPr>
      </w:pPr>
      <w:r>
        <w:t xml:space="preserve">Annex 3, Table III (Application of the ‘one in, one out’ approach).</w:t>
      </w:r>
    </w:p>
    <w:p>
      <w:pPr>
        <w:pStyle w:val="Compact"/>
        <w:numPr>
          <w:ilvl w:val="0"/>
          <w:numId w:val="1065"/>
        </w:numPr>
      </w:pPr>
      <w:r>
        <w:t xml:space="preserve">Annex 3, Table I – Improved visibility of supply chain vulnerabilities.</w:t>
      </w:r>
    </w:p>
    <w:p>
      <w:pPr>
        <w:pStyle w:val="FirstParagraph"/>
      </w:pPr>
      <w:r>
        <w:t xml:space="preserve">104</w:t>
      </w:r>
    </w:p>
    <w:p>
      <w:pPr>
        <w:pStyle w:val="BodyText"/>
      </w:pPr>
      <w:r>
        <w:t xml:space="preserve">corresponding to approximately EUR 2,783 per large firm, with total costs of up to EUR 1.34</w:t>
      </w:r>
      <w:r>
        <w:t xml:space="preserve"> </w:t>
      </w:r>
      <w:r>
        <w:t xml:space="preserve">million per request in a full-coverage scenario. (217) These burdens are counterbalanced by</w:t>
      </w:r>
      <w:r>
        <w:t xml:space="preserve"> </w:t>
      </w:r>
      <w:r>
        <w:t xml:space="preserve">“OUTs” in the form of fewer urgent and duplicative crisis-related data calls, streamlined</w:t>
      </w:r>
      <w:r>
        <w:t xml:space="preserve"> </w:t>
      </w:r>
      <w:r>
        <w:t xml:space="preserve">information exchange and reduced internal monitoring effort through partial outsourcing of</w:t>
      </w:r>
      <w:r>
        <w:t xml:space="preserve"> </w:t>
      </w:r>
      <w:r>
        <w:t xml:space="preserve">market-intelligence activities to the Platform. Businesses face a net administrative burden,</w:t>
      </w:r>
      <w:r>
        <w:t xml:space="preserve"> </w:t>
      </w:r>
      <w:r>
        <w:t xml:space="preserve">consisting of onboarding the Platform and disclosures. However, these will be largely offset</w:t>
      </w:r>
      <w:r>
        <w:t xml:space="preserve"> </w:t>
      </w:r>
      <w:r>
        <w:t xml:space="preserve">by the security of supply that this data sharing will enable. Additionally, assessments will</w:t>
      </w:r>
      <w:r>
        <w:t xml:space="preserve"> </w:t>
      </w:r>
      <w:r>
        <w:t xml:space="preserve">only be made on a qualitative basis outside of a formal crisis in the first stage. Overall, PO2</w:t>
      </w:r>
      <w:r>
        <w:t xml:space="preserve"> </w:t>
      </w:r>
      <w:r>
        <w:t xml:space="preserve">results in a small net administrative burden, which is proportionate, REFIT-compliant and</w:t>
      </w:r>
      <w:r>
        <w:t xml:space="preserve"> </w:t>
      </w:r>
      <w:r>
        <w:t xml:space="preserve">clearly outweighed by the simplification and efficiency gains delivered.</w:t>
      </w:r>
      <w:r>
        <w:t xml:space="preserve"> </w:t>
      </w:r>
      <w:r>
        <w:t xml:space="preserve">Better alignment of IPF/OEF procedures for projects that receive public funding and meet the</w:t>
      </w:r>
      <w:r>
        <w:t xml:space="preserve"> </w:t>
      </w:r>
      <w:r>
        <w:t xml:space="preserve">requirements reduces administrative burden, shortens timelines, and enables Member States</w:t>
      </w:r>
      <w:r>
        <w:t xml:space="preserve"> </w:t>
      </w:r>
      <w:r>
        <w:t xml:space="preserve">and the Commission to allocate resources more efficiently.</w:t>
      </w:r>
      <w:r>
        <w:br/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will be responsible for monitoring the implementation of the intervention on</w:t>
      </w:r>
      <w:r>
        <w:t xml:space="preserve"> </w:t>
      </w:r>
      <w:r>
        <w:t xml:space="preserve">a regular basis, possibly with the support of external studies, Member States and market data.</w:t>
      </w:r>
      <w:r>
        <w:t xml:space="preserve"> </w:t>
      </w:r>
      <w:r>
        <w:t xml:space="preserve">Furthermore, the Commission will carry out a comprehensive evaluation of the effectiveness,</w:t>
      </w:r>
      <w:r>
        <w:t xml:space="preserve"> </w:t>
      </w:r>
      <w:r>
        <w:t xml:space="preserve">efficiency, coherence, proportionality, and subsidiarity of Chips Act 2. An evaluation report</w:t>
      </w:r>
      <w:r>
        <w:t xml:space="preserve"> </w:t>
      </w:r>
      <w:r>
        <w:t xml:space="preserve">presenting the main findings will be submitted to the European Parliament, the Council, the</w:t>
      </w:r>
      <w:r>
        <w:t xml:space="preserve"> </w:t>
      </w:r>
      <w:r>
        <w:t xml:space="preserve">European Economic and Social Committee, and the Committee of the Regions within four to</w:t>
      </w:r>
      <w:r>
        <w:t xml:space="preserve"> </w:t>
      </w:r>
      <w:r>
        <w:t xml:space="preserve">five years of the act entering into force. Where appropriate, the Commission may accompany</w:t>
      </w:r>
      <w:r>
        <w:t xml:space="preserve"> </w:t>
      </w:r>
      <w:r>
        <w:t xml:space="preserve">this report with proposals for improving or adapting the Chips Act 2.0.</w:t>
      </w:r>
      <w:r>
        <w:br/>
      </w:r>
      <w:r>
        <w:t xml:space="preserve">This review mechanism follows the approach established under the first Chips Act, ensuring</w:t>
      </w:r>
      <w:r>
        <w:t xml:space="preserve"> </w:t>
      </w:r>
      <w:r>
        <w:t xml:space="preserve">continuity, comparability of results, and a long-term perspective on policy results. The</w:t>
      </w:r>
      <w:r>
        <w:t xml:space="preserve"> </w:t>
      </w:r>
      <w:r>
        <w:t xml:space="preserve">Commission, in close cooperation with the Member States, will regularly monitor the</w:t>
      </w:r>
      <w:r>
        <w:t xml:space="preserve"> </w:t>
      </w:r>
      <w:r>
        <w:t xml:space="preserve">implementation and application of the legal provisions, with particular attention to the</w:t>
      </w:r>
      <w:r>
        <w:t xml:space="preserve"> </w:t>
      </w:r>
      <w:r>
        <w:t xml:space="preserve">effectiveness of the adopted measures. Monitoring activities will rely on quantitative and</w:t>
      </w:r>
      <w:r>
        <w:t xml:space="preserve"> </w:t>
      </w:r>
      <w:r>
        <w:t xml:space="preserve">qualitative indicators, drawing from data provided by stakeholders across the semiconductor</w:t>
      </w:r>
      <w:r>
        <w:t xml:space="preserve"> </w:t>
      </w:r>
      <w:r>
        <w:t xml:space="preserve">value chain, Member States, and relevant EU bodies. The overall success of the initiative will</w:t>
      </w:r>
      <w:r>
        <w:t xml:space="preserve"> </w:t>
      </w:r>
      <w:r>
        <w:t xml:space="preserve">be assessed through evidence of strengthened security of supply, including progress in</w:t>
      </w:r>
      <w:r>
        <w:t xml:space="preserve"> </w:t>
      </w:r>
      <w:r>
        <w:t xml:space="preserve">relevant measurable aspects such as the EU’s share of global semiconductor production and</w:t>
      </w:r>
      <w:r>
        <w:t xml:space="preserve"> </w:t>
      </w:r>
      <w:r>
        <w:t xml:space="preserve">changes in market concentration. The implementation of Chips Act 2.0 itself and its</w:t>
      </w:r>
      <w:r>
        <w:t xml:space="preserve"> </w:t>
      </w:r>
      <w:r>
        <w:t xml:space="preserve">accompanying measures will also allow for systematic tracking of specific objectives,</w:t>
      </w:r>
      <w:r>
        <w:t xml:space="preserve"> </w:t>
      </w:r>
      <w:r>
        <w:t xml:space="preserve">expected benefits, and related impacts.</w:t>
      </w:r>
      <w:r>
        <w:t xml:space="preserve"> </w:t>
      </w:r>
      <w:r>
        <w:t xml:space="preserve">9.1</w:t>
      </w:r>
      <w:r>
        <w:t xml:space="preserve"> </w:t>
      </w:r>
      <w:r>
        <w:t xml:space="preserve">Measurable indicators to monitor the implementation and to report on the</w:t>
      </w:r>
      <w:r>
        <w:t xml:space="preserve"> </w:t>
      </w:r>
      <w:r>
        <w:t xml:space="preserve">progress of the initiative towards the achievement of its objectives</w:t>
      </w:r>
      <w:r>
        <w:br/>
      </w:r>
      <w:r>
        <w:t xml:space="preserve">The proposed indicators build on the two new general and specific objectives of the Chips Act</w:t>
      </w:r>
      <w:r>
        <w:t xml:space="preserve"> </w:t>
      </w:r>
      <w:r>
        <w:t xml:space="preserve">2.0.  </w:t>
      </w:r>
    </w:p>
    <w:p>
      <w:pPr>
        <w:pStyle w:val="Compact"/>
        <w:numPr>
          <w:ilvl w:val="0"/>
          <w:numId w:val="1066"/>
        </w:numPr>
      </w:pPr>
      <w:r>
        <w:t xml:space="preserve">Annex 3, Section II and Table III.</w:t>
      </w:r>
    </w:p>
    <w:p>
      <w:pPr>
        <w:pStyle w:val="FirstParagraph"/>
      </w:pPr>
      <w:r>
        <w:t xml:space="preserve">105</w:t>
      </w:r>
    </w:p>
    <w:p>
      <w:pPr>
        <w:pStyle w:val="BodyText"/>
      </w:pPr>
      <w:r>
        <w:t xml:space="preserve">Monitoring indicator for general objectives:</w:t>
      </w:r>
      <w:r>
        <w:br/>
      </w:r>
      <w:r>
        <w:t xml:space="preserve">• Total semiconductor related FDI inflows into the EU;</w:t>
      </w:r>
      <w:r>
        <w:t xml:space="preserve"> </w:t>
      </w:r>
      <w:r>
        <w:t xml:space="preserve">• Skilled workforce in semiconductor and photonics, including workforce trained or</w:t>
      </w:r>
      <w:r>
        <w:t xml:space="preserve"> </w:t>
      </w:r>
      <w:r>
        <w:t xml:space="preserve">reskilled through the competence centres under Pillar I; </w:t>
      </w:r>
      <w:r>
        <w:br/>
      </w:r>
      <w:r>
        <w:t xml:space="preserve">• Public support for start-ups and scale ups; </w:t>
      </w:r>
      <w:r>
        <w:br/>
      </w:r>
      <w:r>
        <w:t xml:space="preserve">• Scale-up funding via private equity and venture capital.</w:t>
      </w:r>
      <w:r>
        <w:t xml:space="preserve"> </w:t>
      </w:r>
      <w:r>
        <w:t xml:space="preserve">Monitoring indicators for specific objectives  </w:t>
      </w:r>
      <w:r>
        <w:br/>
      </w:r>
      <w:r>
        <w:t xml:space="preserve">SO1: Enhance the capacity, security of supply and competitiveness of the EU semiconductor</w:t>
      </w:r>
      <w:r>
        <w:t xml:space="preserve"> </w:t>
      </w:r>
      <w:r>
        <w:t xml:space="preserve">industry across the value chain, including for leading-edge AI chips </w:t>
      </w:r>
      <w:r>
        <w:br/>
      </w:r>
      <w:r>
        <w:t xml:space="preserve">The first specific objective seeks to enhance the EU’s capacities and security of supply for</w:t>
      </w:r>
      <w:r>
        <w:t xml:space="preserve"> </w:t>
      </w:r>
      <w:r>
        <w:t xml:space="preserve">semiconductors in sectors relevant for the Union’s economic security and competitiveness by</w:t>
      </w:r>
      <w:r>
        <w:t xml:space="preserve"> </w:t>
      </w:r>
      <w:r>
        <w:t xml:space="preserve">steering larger and more targeted public and private investments.</w:t>
      </w:r>
      <w:r>
        <w:br/>
      </w:r>
      <w:r>
        <w:t xml:space="preserve">Monitoring indicator for SO1:</w:t>
      </w:r>
      <w:r>
        <w:br/>
      </w:r>
      <w:r>
        <w:t xml:space="preserve">• EU share of global semiconductor revenues (in EUR) in different segments of the</w:t>
      </w:r>
      <w:r>
        <w:t xml:space="preserve"> </w:t>
      </w:r>
      <w:r>
        <w:t xml:space="preserve">value chain including:</w:t>
      </w:r>
      <w:r>
        <w:t xml:space="preserve"> </w:t>
      </w:r>
      <w:r>
        <w:t xml:space="preserve">o Design, IP, EDA</w:t>
      </w:r>
      <w:r>
        <w:br/>
      </w:r>
      <w:r>
        <w:t xml:space="preserve">o Manufacturing</w:t>
      </w:r>
      <w:r>
        <w:br/>
      </w:r>
      <w:r>
        <w:t xml:space="preserve">o Equipment manufacturing</w:t>
      </w:r>
      <w:r>
        <w:br/>
      </w:r>
      <w:r>
        <w:t xml:space="preserve">o OSAT (packaging)</w:t>
      </w:r>
      <w:r>
        <w:br/>
      </w:r>
      <w:r>
        <w:t xml:space="preserve">o Materials / gases </w:t>
      </w:r>
      <w:r>
        <w:br/>
      </w:r>
      <w:r>
        <w:t xml:space="preserve">• Top European firms in any value chain segment. </w:t>
      </w:r>
      <w:r>
        <w:br/>
      </w:r>
      <w:r>
        <w:t xml:space="preserve">• Operational wafer fabrication capacity in the EU (wspm).   </w:t>
      </w:r>
      <w:r>
        <w:br/>
      </w:r>
      <w:r>
        <w:t xml:space="preserve">SO2: Develop a strong user market across key industry sectors</w:t>
      </w:r>
      <w:r>
        <w:br/>
      </w:r>
      <w:r>
        <w:t xml:space="preserve">The second specific objective is designed to ensure the emergence of a robust and innovative</w:t>
      </w:r>
      <w:r>
        <w:t xml:space="preserve"> </w:t>
      </w:r>
      <w:r>
        <w:t xml:space="preserve">end users’ market in the Union ready to adopt new advanced semiconductor technologies,</w:t>
      </w:r>
      <w:r>
        <w:t xml:space="preserve"> </w:t>
      </w:r>
      <w:r>
        <w:t xml:space="preserve">notably for AI chips.</w:t>
      </w:r>
    </w:p>
    <w:p>
      <w:pPr>
        <w:pStyle w:val="BodyText"/>
      </w:pPr>
      <w:r>
        <w:t xml:space="preserve">Monitoring indicator for SO2: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Consumption of chips by key sectors (automotive, energy, health, defence, telecom,</w:t>
      </w:r>
      <w:r>
        <w:t xml:space="preserve"> </w:t>
      </w:r>
      <w:r>
        <w:t xml:space="preserve">AI/data centres/cloud) in value (EUR). </w:t>
      </w:r>
    </w:p>
    <w:p>
      <w:pPr>
        <w:pStyle w:val="BodyText"/>
      </w:pPr>
      <w:r>
        <w:t xml:space="preserve">SO3: Increase intelligence capabilities for crisis preparedness and response</w:t>
      </w:r>
    </w:p>
    <w:p>
      <w:pPr>
        <w:pStyle w:val="BodyText"/>
      </w:pPr>
      <w:r>
        <w:t xml:space="preserve">Finally, increasing monitoring capabilities should ensure EU’s agile, effective, and proactive</w:t>
      </w:r>
      <w:r>
        <w:t xml:space="preserve"> </w:t>
      </w:r>
      <w:r>
        <w:t xml:space="preserve">response prior to a semiconductor crisis. When the EU’s economic security is at risk, real-</w:t>
      </w:r>
      <w:r>
        <w:t xml:space="preserve"> </w:t>
      </w:r>
      <w:r>
        <w:t xml:space="preserve">time information and data from companies across the semiconductor supply chain and end-</w:t>
      </w:r>
      <w:r>
        <w:t xml:space="preserve"> </w:t>
      </w:r>
      <w:r>
        <w:t xml:space="preserve">user markets can provide critical insights and enable mitigation or emergency measures at</w:t>
      </w:r>
      <w:r>
        <w:t xml:space="preserve"> </w:t>
      </w:r>
      <w:r>
        <w:t xml:space="preserve">Union or national level.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Monitoring indicator for SO3:</w:t>
      </w:r>
      <w:r>
        <w:t xml:space="preserve"> </w:t>
      </w:r>
      <w:r>
        <w:t xml:space="preserve">• Coverage by the Business-to-Business Semiconductor Supply Chain Platform (in %)</w:t>
      </w:r>
      <w:r>
        <w:t xml:space="preserve"> </w:t>
      </w:r>
      <w:r>
        <w:t xml:space="preserve">of the Union semiconductor value chain.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12">
    <w:nsid w:val="0A994312"/>
    <w:multiLevelType w:val="multilevel"/>
    <w:lvl w:ilvl="0">
      <w:start w:val="12"/>
      <w:numFmt w:val="decimal"/>
      <w:lvlText w:val="(%1)"/>
      <w:lvlJc w:val="left"/>
      <w:pPr>
        <w:ind w:left="720" w:hanging="360"/>
      </w:pPr>
    </w:lvl>
    <w:lvl w:ilvl="1">
      <w:start w:val="12"/>
      <w:numFmt w:val="decimal"/>
      <w:lvlText w:val="(%2)"/>
      <w:lvlJc w:val="left"/>
      <w:pPr>
        <w:ind w:left="1440" w:hanging="360"/>
      </w:pPr>
    </w:lvl>
    <w:lvl w:ilvl="2">
      <w:start w:val="12"/>
      <w:numFmt w:val="decimal"/>
      <w:lvlText w:val="(%3)"/>
      <w:lvlJc w:val="left"/>
      <w:pPr>
        <w:ind w:left="2160" w:hanging="360"/>
      </w:pPr>
    </w:lvl>
    <w:lvl w:ilvl="3">
      <w:start w:val="12"/>
      <w:numFmt w:val="decimal"/>
      <w:lvlText w:val="(%4)"/>
      <w:lvlJc w:val="left"/>
      <w:pPr>
        <w:ind w:left="2880" w:hanging="360"/>
      </w:pPr>
    </w:lvl>
    <w:lvl w:ilvl="4">
      <w:start w:val="12"/>
      <w:numFmt w:val="decimal"/>
      <w:lvlText w:val="(%5)"/>
      <w:lvlJc w:val="left"/>
      <w:pPr>
        <w:ind w:left="3600" w:hanging="360"/>
      </w:pPr>
    </w:lvl>
    <w:lvl w:ilvl="5">
      <w:start w:val="12"/>
      <w:numFmt w:val="decimal"/>
      <w:lvlText w:val="(%6)"/>
      <w:lvlJc w:val="left"/>
      <w:pPr>
        <w:ind w:left="4320" w:hanging="360"/>
      </w:pPr>
    </w:lvl>
    <w:lvl w:ilvl="6">
      <w:start w:val="12"/>
      <w:numFmt w:val="decimal"/>
      <w:lvlText w:val="(%7)"/>
      <w:lvlJc w:val="left"/>
      <w:pPr>
        <w:ind w:left="5040" w:hanging="360"/>
      </w:pPr>
    </w:lvl>
    <w:lvl w:ilvl="7">
      <w:start w:val="12"/>
      <w:numFmt w:val="decimal"/>
      <w:lvlText w:val="(%8)"/>
      <w:lvlJc w:val="left"/>
      <w:pPr>
        <w:ind w:left="5760" w:hanging="360"/>
      </w:pPr>
    </w:lvl>
    <w:lvl w:ilvl="8">
      <w:start w:val="12"/>
      <w:numFmt w:val="decimal"/>
      <w:lvlText w:val="(%9)"/>
      <w:lvlJc w:val="left"/>
      <w:pPr>
        <w:ind w:left="6480" w:hanging="360"/>
      </w:pPr>
    </w:lvl>
  </w:abstractNum>
  <w:abstractNum w:abstractNumId="994315">
    <w:nsid w:val="0A994315"/>
    <w:multiLevelType w:val="multilevel"/>
    <w:lvl w:ilvl="0">
      <w:start w:val="15"/>
      <w:numFmt w:val="decimal"/>
      <w:lvlText w:val="(%1)"/>
      <w:lvlJc w:val="left"/>
      <w:pPr>
        <w:ind w:left="720" w:hanging="360"/>
      </w:pPr>
    </w:lvl>
    <w:lvl w:ilvl="1">
      <w:start w:val="15"/>
      <w:numFmt w:val="decimal"/>
      <w:lvlText w:val="(%2)"/>
      <w:lvlJc w:val="left"/>
      <w:pPr>
        <w:ind w:left="1440" w:hanging="360"/>
      </w:pPr>
    </w:lvl>
    <w:lvl w:ilvl="2">
      <w:start w:val="15"/>
      <w:numFmt w:val="decimal"/>
      <w:lvlText w:val="(%3)"/>
      <w:lvlJc w:val="left"/>
      <w:pPr>
        <w:ind w:left="2160" w:hanging="360"/>
      </w:pPr>
    </w:lvl>
    <w:lvl w:ilvl="3">
      <w:start w:val="15"/>
      <w:numFmt w:val="decimal"/>
      <w:lvlText w:val="(%4)"/>
      <w:lvlJc w:val="left"/>
      <w:pPr>
        <w:ind w:left="2880" w:hanging="360"/>
      </w:pPr>
    </w:lvl>
    <w:lvl w:ilvl="4">
      <w:start w:val="15"/>
      <w:numFmt w:val="decimal"/>
      <w:lvlText w:val="(%5)"/>
      <w:lvlJc w:val="left"/>
      <w:pPr>
        <w:ind w:left="3600" w:hanging="360"/>
      </w:pPr>
    </w:lvl>
    <w:lvl w:ilvl="5">
      <w:start w:val="15"/>
      <w:numFmt w:val="decimal"/>
      <w:lvlText w:val="(%6)"/>
      <w:lvlJc w:val="left"/>
      <w:pPr>
        <w:ind w:left="4320" w:hanging="360"/>
      </w:pPr>
    </w:lvl>
    <w:lvl w:ilvl="6">
      <w:start w:val="15"/>
      <w:numFmt w:val="decimal"/>
      <w:lvlText w:val="(%7)"/>
      <w:lvlJc w:val="left"/>
      <w:pPr>
        <w:ind w:left="5040" w:hanging="360"/>
      </w:pPr>
    </w:lvl>
    <w:lvl w:ilvl="7">
      <w:start w:val="15"/>
      <w:numFmt w:val="decimal"/>
      <w:lvlText w:val="(%8)"/>
      <w:lvlJc w:val="left"/>
      <w:pPr>
        <w:ind w:left="5760" w:hanging="360"/>
      </w:pPr>
    </w:lvl>
    <w:lvl w:ilvl="8">
      <w:start w:val="15"/>
      <w:numFmt w:val="decimal"/>
      <w:lvlText w:val="(%9)"/>
      <w:lvlJc w:val="left"/>
      <w:pPr>
        <w:ind w:left="6480" w:hanging="360"/>
      </w:pPr>
    </w:lvl>
  </w:abstractNum>
  <w:abstractNum w:abstractNumId="994320">
    <w:nsid w:val="0A994320"/>
    <w:multiLevelType w:val="multilevel"/>
    <w:lvl w:ilvl="0">
      <w:start w:val="20"/>
      <w:numFmt w:val="decimal"/>
      <w:lvlText w:val="(%1)"/>
      <w:lvlJc w:val="left"/>
      <w:pPr>
        <w:ind w:left="720" w:hanging="360"/>
      </w:pPr>
    </w:lvl>
    <w:lvl w:ilvl="1">
      <w:start w:val="20"/>
      <w:numFmt w:val="decimal"/>
      <w:lvlText w:val="(%2)"/>
      <w:lvlJc w:val="left"/>
      <w:pPr>
        <w:ind w:left="1440" w:hanging="360"/>
      </w:pPr>
    </w:lvl>
    <w:lvl w:ilvl="2">
      <w:start w:val="20"/>
      <w:numFmt w:val="decimal"/>
      <w:lvlText w:val="(%3)"/>
      <w:lvlJc w:val="left"/>
      <w:pPr>
        <w:ind w:left="2160" w:hanging="360"/>
      </w:pPr>
    </w:lvl>
    <w:lvl w:ilvl="3">
      <w:start w:val="20"/>
      <w:numFmt w:val="decimal"/>
      <w:lvlText w:val="(%4)"/>
      <w:lvlJc w:val="left"/>
      <w:pPr>
        <w:ind w:left="2880" w:hanging="360"/>
      </w:pPr>
    </w:lvl>
    <w:lvl w:ilvl="4">
      <w:start w:val="20"/>
      <w:numFmt w:val="decimal"/>
      <w:lvlText w:val="(%5)"/>
      <w:lvlJc w:val="left"/>
      <w:pPr>
        <w:ind w:left="3600" w:hanging="360"/>
      </w:pPr>
    </w:lvl>
    <w:lvl w:ilvl="5">
      <w:start w:val="20"/>
      <w:numFmt w:val="decimal"/>
      <w:lvlText w:val="(%6)"/>
      <w:lvlJc w:val="left"/>
      <w:pPr>
        <w:ind w:left="4320" w:hanging="360"/>
      </w:pPr>
    </w:lvl>
    <w:lvl w:ilvl="6">
      <w:start w:val="20"/>
      <w:numFmt w:val="decimal"/>
      <w:lvlText w:val="(%7)"/>
      <w:lvlJc w:val="left"/>
      <w:pPr>
        <w:ind w:left="5040" w:hanging="360"/>
      </w:pPr>
    </w:lvl>
    <w:lvl w:ilvl="7">
      <w:start w:val="20"/>
      <w:numFmt w:val="decimal"/>
      <w:lvlText w:val="(%8)"/>
      <w:lvlJc w:val="left"/>
      <w:pPr>
        <w:ind w:left="5760" w:hanging="360"/>
      </w:pPr>
    </w:lvl>
    <w:lvl w:ilvl="8">
      <w:start w:val="20"/>
      <w:numFmt w:val="decimal"/>
      <w:lvlText w:val="(%9)"/>
      <w:lvlJc w:val="left"/>
      <w:pPr>
        <w:ind w:left="6480" w:hanging="360"/>
      </w:pPr>
    </w:lvl>
  </w:abstractNum>
  <w:abstractNum w:abstractNumId="994326">
    <w:nsid w:val="0A994326"/>
    <w:multiLevelType w:val="multilevel"/>
    <w:lvl w:ilvl="0">
      <w:start w:val="26"/>
      <w:numFmt w:val="decimal"/>
      <w:lvlText w:val="(%1)"/>
      <w:lvlJc w:val="left"/>
      <w:pPr>
        <w:ind w:left="720" w:hanging="360"/>
      </w:pPr>
    </w:lvl>
    <w:lvl w:ilvl="1">
      <w:start w:val="26"/>
      <w:numFmt w:val="decimal"/>
      <w:lvlText w:val="(%2)"/>
      <w:lvlJc w:val="left"/>
      <w:pPr>
        <w:ind w:left="1440" w:hanging="360"/>
      </w:pPr>
    </w:lvl>
    <w:lvl w:ilvl="2">
      <w:start w:val="26"/>
      <w:numFmt w:val="decimal"/>
      <w:lvlText w:val="(%3)"/>
      <w:lvlJc w:val="left"/>
      <w:pPr>
        <w:ind w:left="2160" w:hanging="360"/>
      </w:pPr>
    </w:lvl>
    <w:lvl w:ilvl="3">
      <w:start w:val="26"/>
      <w:numFmt w:val="decimal"/>
      <w:lvlText w:val="(%4)"/>
      <w:lvlJc w:val="left"/>
      <w:pPr>
        <w:ind w:left="2880" w:hanging="360"/>
      </w:pPr>
    </w:lvl>
    <w:lvl w:ilvl="4">
      <w:start w:val="26"/>
      <w:numFmt w:val="decimal"/>
      <w:lvlText w:val="(%5)"/>
      <w:lvlJc w:val="left"/>
      <w:pPr>
        <w:ind w:left="3600" w:hanging="360"/>
      </w:pPr>
    </w:lvl>
    <w:lvl w:ilvl="5">
      <w:start w:val="26"/>
      <w:numFmt w:val="decimal"/>
      <w:lvlText w:val="(%6)"/>
      <w:lvlJc w:val="left"/>
      <w:pPr>
        <w:ind w:left="4320" w:hanging="360"/>
      </w:pPr>
    </w:lvl>
    <w:lvl w:ilvl="6">
      <w:start w:val="26"/>
      <w:numFmt w:val="decimal"/>
      <w:lvlText w:val="(%7)"/>
      <w:lvlJc w:val="left"/>
      <w:pPr>
        <w:ind w:left="5040" w:hanging="360"/>
      </w:pPr>
    </w:lvl>
    <w:lvl w:ilvl="7">
      <w:start w:val="26"/>
      <w:numFmt w:val="decimal"/>
      <w:lvlText w:val="(%8)"/>
      <w:lvlJc w:val="left"/>
      <w:pPr>
        <w:ind w:left="5760" w:hanging="360"/>
      </w:pPr>
    </w:lvl>
    <w:lvl w:ilvl="8">
      <w:start w:val="26"/>
      <w:numFmt w:val="decimal"/>
      <w:lvlText w:val="(%9)"/>
      <w:lvlJc w:val="left"/>
      <w:pPr>
        <w:ind w:left="6480" w:hanging="360"/>
      </w:pPr>
    </w:lvl>
  </w:abstractNum>
  <w:abstractNum w:abstractNumId="994330">
    <w:nsid w:val="0A994330"/>
    <w:multiLevelType w:val="multilevel"/>
    <w:lvl w:ilvl="0">
      <w:start w:val="30"/>
      <w:numFmt w:val="decimal"/>
      <w:lvlText w:val="(%1)"/>
      <w:lvlJc w:val="left"/>
      <w:pPr>
        <w:ind w:left="720" w:hanging="360"/>
      </w:pPr>
    </w:lvl>
    <w:lvl w:ilvl="1">
      <w:start w:val="30"/>
      <w:numFmt w:val="decimal"/>
      <w:lvlText w:val="(%2)"/>
      <w:lvlJc w:val="left"/>
      <w:pPr>
        <w:ind w:left="1440" w:hanging="360"/>
      </w:pPr>
    </w:lvl>
    <w:lvl w:ilvl="2">
      <w:start w:val="30"/>
      <w:numFmt w:val="decimal"/>
      <w:lvlText w:val="(%3)"/>
      <w:lvlJc w:val="left"/>
      <w:pPr>
        <w:ind w:left="2160" w:hanging="360"/>
      </w:pPr>
    </w:lvl>
    <w:lvl w:ilvl="3">
      <w:start w:val="30"/>
      <w:numFmt w:val="decimal"/>
      <w:lvlText w:val="(%4)"/>
      <w:lvlJc w:val="left"/>
      <w:pPr>
        <w:ind w:left="2880" w:hanging="360"/>
      </w:pPr>
    </w:lvl>
    <w:lvl w:ilvl="4">
      <w:start w:val="30"/>
      <w:numFmt w:val="decimal"/>
      <w:lvlText w:val="(%5)"/>
      <w:lvlJc w:val="left"/>
      <w:pPr>
        <w:ind w:left="3600" w:hanging="360"/>
      </w:pPr>
    </w:lvl>
    <w:lvl w:ilvl="5">
      <w:start w:val="30"/>
      <w:numFmt w:val="decimal"/>
      <w:lvlText w:val="(%6)"/>
      <w:lvlJc w:val="left"/>
      <w:pPr>
        <w:ind w:left="4320" w:hanging="360"/>
      </w:pPr>
    </w:lvl>
    <w:lvl w:ilvl="6">
      <w:start w:val="30"/>
      <w:numFmt w:val="decimal"/>
      <w:lvlText w:val="(%7)"/>
      <w:lvlJc w:val="left"/>
      <w:pPr>
        <w:ind w:left="5040" w:hanging="360"/>
      </w:pPr>
    </w:lvl>
    <w:lvl w:ilvl="7">
      <w:start w:val="30"/>
      <w:numFmt w:val="decimal"/>
      <w:lvlText w:val="(%8)"/>
      <w:lvlJc w:val="left"/>
      <w:pPr>
        <w:ind w:left="5760" w:hanging="360"/>
      </w:pPr>
    </w:lvl>
    <w:lvl w:ilvl="8">
      <w:start w:val="30"/>
      <w:numFmt w:val="decimal"/>
      <w:lvlText w:val="(%9)"/>
      <w:lvlJc w:val="left"/>
      <w:pPr>
        <w:ind w:left="6480" w:hanging="360"/>
      </w:pPr>
    </w:lvl>
  </w:abstractNum>
  <w:abstractNum w:abstractNumId="994332">
    <w:nsid w:val="0A994332"/>
    <w:multiLevelType w:val="multilevel"/>
    <w:lvl w:ilvl="0">
      <w:start w:val="32"/>
      <w:numFmt w:val="decimal"/>
      <w:lvlText w:val="(%1)"/>
      <w:lvlJc w:val="left"/>
      <w:pPr>
        <w:ind w:left="720" w:hanging="360"/>
      </w:pPr>
    </w:lvl>
    <w:lvl w:ilvl="1">
      <w:start w:val="32"/>
      <w:numFmt w:val="decimal"/>
      <w:lvlText w:val="(%2)"/>
      <w:lvlJc w:val="left"/>
      <w:pPr>
        <w:ind w:left="1440" w:hanging="360"/>
      </w:pPr>
    </w:lvl>
    <w:lvl w:ilvl="2">
      <w:start w:val="32"/>
      <w:numFmt w:val="decimal"/>
      <w:lvlText w:val="(%3)"/>
      <w:lvlJc w:val="left"/>
      <w:pPr>
        <w:ind w:left="2160" w:hanging="360"/>
      </w:pPr>
    </w:lvl>
    <w:lvl w:ilvl="3">
      <w:start w:val="32"/>
      <w:numFmt w:val="decimal"/>
      <w:lvlText w:val="(%4)"/>
      <w:lvlJc w:val="left"/>
      <w:pPr>
        <w:ind w:left="2880" w:hanging="360"/>
      </w:pPr>
    </w:lvl>
    <w:lvl w:ilvl="4">
      <w:start w:val="32"/>
      <w:numFmt w:val="decimal"/>
      <w:lvlText w:val="(%5)"/>
      <w:lvlJc w:val="left"/>
      <w:pPr>
        <w:ind w:left="3600" w:hanging="360"/>
      </w:pPr>
    </w:lvl>
    <w:lvl w:ilvl="5">
      <w:start w:val="32"/>
      <w:numFmt w:val="decimal"/>
      <w:lvlText w:val="(%6)"/>
      <w:lvlJc w:val="left"/>
      <w:pPr>
        <w:ind w:left="4320" w:hanging="360"/>
      </w:pPr>
    </w:lvl>
    <w:lvl w:ilvl="6">
      <w:start w:val="32"/>
      <w:numFmt w:val="decimal"/>
      <w:lvlText w:val="(%7)"/>
      <w:lvlJc w:val="left"/>
      <w:pPr>
        <w:ind w:left="5040" w:hanging="360"/>
      </w:pPr>
    </w:lvl>
    <w:lvl w:ilvl="7">
      <w:start w:val="32"/>
      <w:numFmt w:val="decimal"/>
      <w:lvlText w:val="(%8)"/>
      <w:lvlJc w:val="left"/>
      <w:pPr>
        <w:ind w:left="5760" w:hanging="360"/>
      </w:pPr>
    </w:lvl>
    <w:lvl w:ilvl="8">
      <w:start w:val="32"/>
      <w:numFmt w:val="decimal"/>
      <w:lvlText w:val="(%9)"/>
      <w:lvlJc w:val="left"/>
      <w:pPr>
        <w:ind w:left="6480" w:hanging="360"/>
      </w:pPr>
    </w:lvl>
  </w:abstractNum>
  <w:abstractNum w:abstractNumId="994342">
    <w:nsid w:val="0A994342"/>
    <w:multiLevelType w:val="multilevel"/>
    <w:lvl w:ilvl="0">
      <w:start w:val="42"/>
      <w:numFmt w:val="decimal"/>
      <w:lvlText w:val="(%1)"/>
      <w:lvlJc w:val="left"/>
      <w:pPr>
        <w:ind w:left="720" w:hanging="360"/>
      </w:pPr>
    </w:lvl>
    <w:lvl w:ilvl="1">
      <w:start w:val="42"/>
      <w:numFmt w:val="decimal"/>
      <w:lvlText w:val="(%2)"/>
      <w:lvlJc w:val="left"/>
      <w:pPr>
        <w:ind w:left="1440" w:hanging="360"/>
      </w:pPr>
    </w:lvl>
    <w:lvl w:ilvl="2">
      <w:start w:val="42"/>
      <w:numFmt w:val="decimal"/>
      <w:lvlText w:val="(%3)"/>
      <w:lvlJc w:val="left"/>
      <w:pPr>
        <w:ind w:left="2160" w:hanging="360"/>
      </w:pPr>
    </w:lvl>
    <w:lvl w:ilvl="3">
      <w:start w:val="42"/>
      <w:numFmt w:val="decimal"/>
      <w:lvlText w:val="(%4)"/>
      <w:lvlJc w:val="left"/>
      <w:pPr>
        <w:ind w:left="2880" w:hanging="360"/>
      </w:pPr>
    </w:lvl>
    <w:lvl w:ilvl="4">
      <w:start w:val="42"/>
      <w:numFmt w:val="decimal"/>
      <w:lvlText w:val="(%5)"/>
      <w:lvlJc w:val="left"/>
      <w:pPr>
        <w:ind w:left="3600" w:hanging="360"/>
      </w:pPr>
    </w:lvl>
    <w:lvl w:ilvl="5">
      <w:start w:val="42"/>
      <w:numFmt w:val="decimal"/>
      <w:lvlText w:val="(%6)"/>
      <w:lvlJc w:val="left"/>
      <w:pPr>
        <w:ind w:left="4320" w:hanging="360"/>
      </w:pPr>
    </w:lvl>
    <w:lvl w:ilvl="6">
      <w:start w:val="42"/>
      <w:numFmt w:val="decimal"/>
      <w:lvlText w:val="(%7)"/>
      <w:lvlJc w:val="left"/>
      <w:pPr>
        <w:ind w:left="5040" w:hanging="360"/>
      </w:pPr>
    </w:lvl>
    <w:lvl w:ilvl="7">
      <w:start w:val="42"/>
      <w:numFmt w:val="decimal"/>
      <w:lvlText w:val="(%8)"/>
      <w:lvlJc w:val="left"/>
      <w:pPr>
        <w:ind w:left="5760" w:hanging="360"/>
      </w:pPr>
    </w:lvl>
    <w:lvl w:ilvl="8">
      <w:start w:val="42"/>
      <w:numFmt w:val="decimal"/>
      <w:lvlText w:val="(%9)"/>
      <w:lvlJc w:val="left"/>
      <w:pPr>
        <w:ind w:left="6480" w:hanging="360"/>
      </w:pPr>
    </w:lvl>
  </w:abstractNum>
  <w:abstractNum w:abstractNumId="994346">
    <w:nsid w:val="0A994346"/>
    <w:multiLevelType w:val="multilevel"/>
    <w:lvl w:ilvl="0">
      <w:start w:val="46"/>
      <w:numFmt w:val="decimal"/>
      <w:lvlText w:val="(%1)"/>
      <w:lvlJc w:val="left"/>
      <w:pPr>
        <w:ind w:left="720" w:hanging="360"/>
      </w:pPr>
    </w:lvl>
    <w:lvl w:ilvl="1">
      <w:start w:val="46"/>
      <w:numFmt w:val="decimal"/>
      <w:lvlText w:val="(%2)"/>
      <w:lvlJc w:val="left"/>
      <w:pPr>
        <w:ind w:left="1440" w:hanging="360"/>
      </w:pPr>
    </w:lvl>
    <w:lvl w:ilvl="2">
      <w:start w:val="46"/>
      <w:numFmt w:val="decimal"/>
      <w:lvlText w:val="(%3)"/>
      <w:lvlJc w:val="left"/>
      <w:pPr>
        <w:ind w:left="2160" w:hanging="360"/>
      </w:pPr>
    </w:lvl>
    <w:lvl w:ilvl="3">
      <w:start w:val="46"/>
      <w:numFmt w:val="decimal"/>
      <w:lvlText w:val="(%4)"/>
      <w:lvlJc w:val="left"/>
      <w:pPr>
        <w:ind w:left="2880" w:hanging="360"/>
      </w:pPr>
    </w:lvl>
    <w:lvl w:ilvl="4">
      <w:start w:val="46"/>
      <w:numFmt w:val="decimal"/>
      <w:lvlText w:val="(%5)"/>
      <w:lvlJc w:val="left"/>
      <w:pPr>
        <w:ind w:left="3600" w:hanging="360"/>
      </w:pPr>
    </w:lvl>
    <w:lvl w:ilvl="5">
      <w:start w:val="46"/>
      <w:numFmt w:val="decimal"/>
      <w:lvlText w:val="(%6)"/>
      <w:lvlJc w:val="left"/>
      <w:pPr>
        <w:ind w:left="4320" w:hanging="360"/>
      </w:pPr>
    </w:lvl>
    <w:lvl w:ilvl="6">
      <w:start w:val="46"/>
      <w:numFmt w:val="decimal"/>
      <w:lvlText w:val="(%7)"/>
      <w:lvlJc w:val="left"/>
      <w:pPr>
        <w:ind w:left="5040" w:hanging="360"/>
      </w:pPr>
    </w:lvl>
    <w:lvl w:ilvl="7">
      <w:start w:val="46"/>
      <w:numFmt w:val="decimal"/>
      <w:lvlText w:val="(%8)"/>
      <w:lvlJc w:val="left"/>
      <w:pPr>
        <w:ind w:left="5760" w:hanging="360"/>
      </w:pPr>
    </w:lvl>
    <w:lvl w:ilvl="8">
      <w:start w:val="46"/>
      <w:numFmt w:val="decimal"/>
      <w:lvlText w:val="(%9)"/>
      <w:lvlJc w:val="left"/>
      <w:pPr>
        <w:ind w:left="6480" w:hanging="360"/>
      </w:pPr>
    </w:lvl>
  </w:abstractNum>
  <w:abstractNum w:abstractNumId="994352">
    <w:nsid w:val="0A994352"/>
    <w:multiLevelType w:val="multilevel"/>
    <w:lvl w:ilvl="0">
      <w:start w:val="52"/>
      <w:numFmt w:val="decimal"/>
      <w:lvlText w:val="(%1)"/>
      <w:lvlJc w:val="left"/>
      <w:pPr>
        <w:ind w:left="720" w:hanging="360"/>
      </w:pPr>
    </w:lvl>
    <w:lvl w:ilvl="1">
      <w:start w:val="52"/>
      <w:numFmt w:val="decimal"/>
      <w:lvlText w:val="(%2)"/>
      <w:lvlJc w:val="left"/>
      <w:pPr>
        <w:ind w:left="1440" w:hanging="360"/>
      </w:pPr>
    </w:lvl>
    <w:lvl w:ilvl="2">
      <w:start w:val="52"/>
      <w:numFmt w:val="decimal"/>
      <w:lvlText w:val="(%3)"/>
      <w:lvlJc w:val="left"/>
      <w:pPr>
        <w:ind w:left="2160" w:hanging="360"/>
      </w:pPr>
    </w:lvl>
    <w:lvl w:ilvl="3">
      <w:start w:val="52"/>
      <w:numFmt w:val="decimal"/>
      <w:lvlText w:val="(%4)"/>
      <w:lvlJc w:val="left"/>
      <w:pPr>
        <w:ind w:left="2880" w:hanging="360"/>
      </w:pPr>
    </w:lvl>
    <w:lvl w:ilvl="4">
      <w:start w:val="52"/>
      <w:numFmt w:val="decimal"/>
      <w:lvlText w:val="(%5)"/>
      <w:lvlJc w:val="left"/>
      <w:pPr>
        <w:ind w:left="3600" w:hanging="360"/>
      </w:pPr>
    </w:lvl>
    <w:lvl w:ilvl="5">
      <w:start w:val="52"/>
      <w:numFmt w:val="decimal"/>
      <w:lvlText w:val="(%6)"/>
      <w:lvlJc w:val="left"/>
      <w:pPr>
        <w:ind w:left="4320" w:hanging="360"/>
      </w:pPr>
    </w:lvl>
    <w:lvl w:ilvl="6">
      <w:start w:val="52"/>
      <w:numFmt w:val="decimal"/>
      <w:lvlText w:val="(%7)"/>
      <w:lvlJc w:val="left"/>
      <w:pPr>
        <w:ind w:left="5040" w:hanging="360"/>
      </w:pPr>
    </w:lvl>
    <w:lvl w:ilvl="7">
      <w:start w:val="52"/>
      <w:numFmt w:val="decimal"/>
      <w:lvlText w:val="(%8)"/>
      <w:lvlJc w:val="left"/>
      <w:pPr>
        <w:ind w:left="5760" w:hanging="360"/>
      </w:pPr>
    </w:lvl>
    <w:lvl w:ilvl="8">
      <w:start w:val="52"/>
      <w:numFmt w:val="decimal"/>
      <w:lvlText w:val="(%9)"/>
      <w:lvlJc w:val="left"/>
      <w:pPr>
        <w:ind w:left="6480" w:hanging="360"/>
      </w:pPr>
    </w:lvl>
  </w:abstractNum>
  <w:abstractNum w:abstractNumId="994357">
    <w:nsid w:val="0A994357"/>
    <w:multiLevelType w:val="multilevel"/>
    <w:lvl w:ilvl="0">
      <w:start w:val="57"/>
      <w:numFmt w:val="decimal"/>
      <w:lvlText w:val="(%1)"/>
      <w:lvlJc w:val="left"/>
      <w:pPr>
        <w:ind w:left="720" w:hanging="360"/>
      </w:pPr>
    </w:lvl>
    <w:lvl w:ilvl="1">
      <w:start w:val="57"/>
      <w:numFmt w:val="decimal"/>
      <w:lvlText w:val="(%2)"/>
      <w:lvlJc w:val="left"/>
      <w:pPr>
        <w:ind w:left="1440" w:hanging="360"/>
      </w:pPr>
    </w:lvl>
    <w:lvl w:ilvl="2">
      <w:start w:val="57"/>
      <w:numFmt w:val="decimal"/>
      <w:lvlText w:val="(%3)"/>
      <w:lvlJc w:val="left"/>
      <w:pPr>
        <w:ind w:left="2160" w:hanging="360"/>
      </w:pPr>
    </w:lvl>
    <w:lvl w:ilvl="3">
      <w:start w:val="57"/>
      <w:numFmt w:val="decimal"/>
      <w:lvlText w:val="(%4)"/>
      <w:lvlJc w:val="left"/>
      <w:pPr>
        <w:ind w:left="2880" w:hanging="360"/>
      </w:pPr>
    </w:lvl>
    <w:lvl w:ilvl="4">
      <w:start w:val="57"/>
      <w:numFmt w:val="decimal"/>
      <w:lvlText w:val="(%5)"/>
      <w:lvlJc w:val="left"/>
      <w:pPr>
        <w:ind w:left="3600" w:hanging="360"/>
      </w:pPr>
    </w:lvl>
    <w:lvl w:ilvl="5">
      <w:start w:val="57"/>
      <w:numFmt w:val="decimal"/>
      <w:lvlText w:val="(%6)"/>
      <w:lvlJc w:val="left"/>
      <w:pPr>
        <w:ind w:left="4320" w:hanging="360"/>
      </w:pPr>
    </w:lvl>
    <w:lvl w:ilvl="6">
      <w:start w:val="57"/>
      <w:numFmt w:val="decimal"/>
      <w:lvlText w:val="(%7)"/>
      <w:lvlJc w:val="left"/>
      <w:pPr>
        <w:ind w:left="5040" w:hanging="360"/>
      </w:pPr>
    </w:lvl>
    <w:lvl w:ilvl="7">
      <w:start w:val="57"/>
      <w:numFmt w:val="decimal"/>
      <w:lvlText w:val="(%8)"/>
      <w:lvlJc w:val="left"/>
      <w:pPr>
        <w:ind w:left="5760" w:hanging="360"/>
      </w:pPr>
    </w:lvl>
    <w:lvl w:ilvl="8">
      <w:start w:val="57"/>
      <w:numFmt w:val="decimal"/>
      <w:lvlText w:val="(%9)"/>
      <w:lvlJc w:val="left"/>
      <w:pPr>
        <w:ind w:left="6480" w:hanging="360"/>
      </w:pPr>
    </w:lvl>
  </w:abstractNum>
  <w:abstractNum w:abstractNumId="994359">
    <w:nsid w:val="0A994359"/>
    <w:multiLevelType w:val="multilevel"/>
    <w:lvl w:ilvl="0">
      <w:start w:val="59"/>
      <w:numFmt w:val="decimal"/>
      <w:lvlText w:val="(%1)"/>
      <w:lvlJc w:val="left"/>
      <w:pPr>
        <w:ind w:left="720" w:hanging="360"/>
      </w:pPr>
    </w:lvl>
    <w:lvl w:ilvl="1">
      <w:start w:val="59"/>
      <w:numFmt w:val="decimal"/>
      <w:lvlText w:val="(%2)"/>
      <w:lvlJc w:val="left"/>
      <w:pPr>
        <w:ind w:left="1440" w:hanging="360"/>
      </w:pPr>
    </w:lvl>
    <w:lvl w:ilvl="2">
      <w:start w:val="59"/>
      <w:numFmt w:val="decimal"/>
      <w:lvlText w:val="(%3)"/>
      <w:lvlJc w:val="left"/>
      <w:pPr>
        <w:ind w:left="2160" w:hanging="360"/>
      </w:pPr>
    </w:lvl>
    <w:lvl w:ilvl="3">
      <w:start w:val="59"/>
      <w:numFmt w:val="decimal"/>
      <w:lvlText w:val="(%4)"/>
      <w:lvlJc w:val="left"/>
      <w:pPr>
        <w:ind w:left="2880" w:hanging="360"/>
      </w:pPr>
    </w:lvl>
    <w:lvl w:ilvl="4">
      <w:start w:val="59"/>
      <w:numFmt w:val="decimal"/>
      <w:lvlText w:val="(%5)"/>
      <w:lvlJc w:val="left"/>
      <w:pPr>
        <w:ind w:left="3600" w:hanging="360"/>
      </w:pPr>
    </w:lvl>
    <w:lvl w:ilvl="5">
      <w:start w:val="59"/>
      <w:numFmt w:val="decimal"/>
      <w:lvlText w:val="(%6)"/>
      <w:lvlJc w:val="left"/>
      <w:pPr>
        <w:ind w:left="4320" w:hanging="360"/>
      </w:pPr>
    </w:lvl>
    <w:lvl w:ilvl="6">
      <w:start w:val="59"/>
      <w:numFmt w:val="decimal"/>
      <w:lvlText w:val="(%7)"/>
      <w:lvlJc w:val="left"/>
      <w:pPr>
        <w:ind w:left="5040" w:hanging="360"/>
      </w:pPr>
    </w:lvl>
    <w:lvl w:ilvl="7">
      <w:start w:val="59"/>
      <w:numFmt w:val="decimal"/>
      <w:lvlText w:val="(%8)"/>
      <w:lvlJc w:val="left"/>
      <w:pPr>
        <w:ind w:left="5760" w:hanging="360"/>
      </w:pPr>
    </w:lvl>
    <w:lvl w:ilvl="8">
      <w:start w:val="59"/>
      <w:numFmt w:val="decimal"/>
      <w:lvlText w:val="(%9)"/>
      <w:lvlJc w:val="left"/>
      <w:pPr>
        <w:ind w:left="6480" w:hanging="360"/>
      </w:pPr>
    </w:lvl>
  </w:abstractNum>
  <w:abstractNum w:abstractNumId="994362">
    <w:nsid w:val="0A994362"/>
    <w:multiLevelType w:val="multilevel"/>
    <w:lvl w:ilvl="0">
      <w:start w:val="62"/>
      <w:numFmt w:val="decimal"/>
      <w:lvlText w:val="(%1)"/>
      <w:lvlJc w:val="left"/>
      <w:pPr>
        <w:ind w:left="720" w:hanging="360"/>
      </w:pPr>
    </w:lvl>
    <w:lvl w:ilvl="1">
      <w:start w:val="62"/>
      <w:numFmt w:val="decimal"/>
      <w:lvlText w:val="(%2)"/>
      <w:lvlJc w:val="left"/>
      <w:pPr>
        <w:ind w:left="1440" w:hanging="360"/>
      </w:pPr>
    </w:lvl>
    <w:lvl w:ilvl="2">
      <w:start w:val="62"/>
      <w:numFmt w:val="decimal"/>
      <w:lvlText w:val="(%3)"/>
      <w:lvlJc w:val="left"/>
      <w:pPr>
        <w:ind w:left="2160" w:hanging="360"/>
      </w:pPr>
    </w:lvl>
    <w:lvl w:ilvl="3">
      <w:start w:val="62"/>
      <w:numFmt w:val="decimal"/>
      <w:lvlText w:val="(%4)"/>
      <w:lvlJc w:val="left"/>
      <w:pPr>
        <w:ind w:left="2880" w:hanging="360"/>
      </w:pPr>
    </w:lvl>
    <w:lvl w:ilvl="4">
      <w:start w:val="62"/>
      <w:numFmt w:val="decimal"/>
      <w:lvlText w:val="(%5)"/>
      <w:lvlJc w:val="left"/>
      <w:pPr>
        <w:ind w:left="3600" w:hanging="360"/>
      </w:pPr>
    </w:lvl>
    <w:lvl w:ilvl="5">
      <w:start w:val="62"/>
      <w:numFmt w:val="decimal"/>
      <w:lvlText w:val="(%6)"/>
      <w:lvlJc w:val="left"/>
      <w:pPr>
        <w:ind w:left="4320" w:hanging="360"/>
      </w:pPr>
    </w:lvl>
    <w:lvl w:ilvl="6">
      <w:start w:val="62"/>
      <w:numFmt w:val="decimal"/>
      <w:lvlText w:val="(%7)"/>
      <w:lvlJc w:val="left"/>
      <w:pPr>
        <w:ind w:left="5040" w:hanging="360"/>
      </w:pPr>
    </w:lvl>
    <w:lvl w:ilvl="7">
      <w:start w:val="62"/>
      <w:numFmt w:val="decimal"/>
      <w:lvlText w:val="(%8)"/>
      <w:lvlJc w:val="left"/>
      <w:pPr>
        <w:ind w:left="5760" w:hanging="360"/>
      </w:pPr>
    </w:lvl>
    <w:lvl w:ilvl="8">
      <w:start w:val="62"/>
      <w:numFmt w:val="decimal"/>
      <w:lvlText w:val="(%9)"/>
      <w:lvlJc w:val="left"/>
      <w:pPr>
        <w:ind w:left="6480" w:hanging="360"/>
      </w:pPr>
    </w:lvl>
  </w:abstractNum>
  <w:abstractNum w:abstractNumId="994363">
    <w:nsid w:val="0A994363"/>
    <w:multiLevelType w:val="multilevel"/>
    <w:lvl w:ilvl="0">
      <w:start w:val="63"/>
      <w:numFmt w:val="decimal"/>
      <w:lvlText w:val="(%1)"/>
      <w:lvlJc w:val="left"/>
      <w:pPr>
        <w:ind w:left="720" w:hanging="360"/>
      </w:pPr>
    </w:lvl>
    <w:lvl w:ilvl="1">
      <w:start w:val="63"/>
      <w:numFmt w:val="decimal"/>
      <w:lvlText w:val="(%2)"/>
      <w:lvlJc w:val="left"/>
      <w:pPr>
        <w:ind w:left="1440" w:hanging="360"/>
      </w:pPr>
    </w:lvl>
    <w:lvl w:ilvl="2">
      <w:start w:val="63"/>
      <w:numFmt w:val="decimal"/>
      <w:lvlText w:val="(%3)"/>
      <w:lvlJc w:val="left"/>
      <w:pPr>
        <w:ind w:left="2160" w:hanging="360"/>
      </w:pPr>
    </w:lvl>
    <w:lvl w:ilvl="3">
      <w:start w:val="63"/>
      <w:numFmt w:val="decimal"/>
      <w:lvlText w:val="(%4)"/>
      <w:lvlJc w:val="left"/>
      <w:pPr>
        <w:ind w:left="2880" w:hanging="360"/>
      </w:pPr>
    </w:lvl>
    <w:lvl w:ilvl="4">
      <w:start w:val="63"/>
      <w:numFmt w:val="decimal"/>
      <w:lvlText w:val="(%5)"/>
      <w:lvlJc w:val="left"/>
      <w:pPr>
        <w:ind w:left="3600" w:hanging="360"/>
      </w:pPr>
    </w:lvl>
    <w:lvl w:ilvl="5">
      <w:start w:val="63"/>
      <w:numFmt w:val="decimal"/>
      <w:lvlText w:val="(%6)"/>
      <w:lvlJc w:val="left"/>
      <w:pPr>
        <w:ind w:left="4320" w:hanging="360"/>
      </w:pPr>
    </w:lvl>
    <w:lvl w:ilvl="6">
      <w:start w:val="63"/>
      <w:numFmt w:val="decimal"/>
      <w:lvlText w:val="(%7)"/>
      <w:lvlJc w:val="left"/>
      <w:pPr>
        <w:ind w:left="5040" w:hanging="360"/>
      </w:pPr>
    </w:lvl>
    <w:lvl w:ilvl="7">
      <w:start w:val="63"/>
      <w:numFmt w:val="decimal"/>
      <w:lvlText w:val="(%8)"/>
      <w:lvlJc w:val="left"/>
      <w:pPr>
        <w:ind w:left="5760" w:hanging="360"/>
      </w:pPr>
    </w:lvl>
    <w:lvl w:ilvl="8">
      <w:start w:val="63"/>
      <w:numFmt w:val="decimal"/>
      <w:lvlText w:val="(%9)"/>
      <w:lvlJc w:val="left"/>
      <w:pPr>
        <w:ind w:left="6480" w:hanging="360"/>
      </w:pPr>
    </w:lvl>
  </w:abstractNum>
  <w:abstractNum w:abstractNumId="994367">
    <w:nsid w:val="0A994367"/>
    <w:multiLevelType w:val="multilevel"/>
    <w:lvl w:ilvl="0">
      <w:start w:val="67"/>
      <w:numFmt w:val="decimal"/>
      <w:lvlText w:val="(%1)"/>
      <w:lvlJc w:val="left"/>
      <w:pPr>
        <w:ind w:left="720" w:hanging="360"/>
      </w:pPr>
    </w:lvl>
    <w:lvl w:ilvl="1">
      <w:start w:val="67"/>
      <w:numFmt w:val="decimal"/>
      <w:lvlText w:val="(%2)"/>
      <w:lvlJc w:val="left"/>
      <w:pPr>
        <w:ind w:left="1440" w:hanging="360"/>
      </w:pPr>
    </w:lvl>
    <w:lvl w:ilvl="2">
      <w:start w:val="67"/>
      <w:numFmt w:val="decimal"/>
      <w:lvlText w:val="(%3)"/>
      <w:lvlJc w:val="left"/>
      <w:pPr>
        <w:ind w:left="2160" w:hanging="360"/>
      </w:pPr>
    </w:lvl>
    <w:lvl w:ilvl="3">
      <w:start w:val="67"/>
      <w:numFmt w:val="decimal"/>
      <w:lvlText w:val="(%4)"/>
      <w:lvlJc w:val="left"/>
      <w:pPr>
        <w:ind w:left="2880" w:hanging="360"/>
      </w:pPr>
    </w:lvl>
    <w:lvl w:ilvl="4">
      <w:start w:val="67"/>
      <w:numFmt w:val="decimal"/>
      <w:lvlText w:val="(%5)"/>
      <w:lvlJc w:val="left"/>
      <w:pPr>
        <w:ind w:left="3600" w:hanging="360"/>
      </w:pPr>
    </w:lvl>
    <w:lvl w:ilvl="5">
      <w:start w:val="67"/>
      <w:numFmt w:val="decimal"/>
      <w:lvlText w:val="(%6)"/>
      <w:lvlJc w:val="left"/>
      <w:pPr>
        <w:ind w:left="4320" w:hanging="360"/>
      </w:pPr>
    </w:lvl>
    <w:lvl w:ilvl="6">
      <w:start w:val="67"/>
      <w:numFmt w:val="decimal"/>
      <w:lvlText w:val="(%7)"/>
      <w:lvlJc w:val="left"/>
      <w:pPr>
        <w:ind w:left="5040" w:hanging="360"/>
      </w:pPr>
    </w:lvl>
    <w:lvl w:ilvl="7">
      <w:start w:val="67"/>
      <w:numFmt w:val="decimal"/>
      <w:lvlText w:val="(%8)"/>
      <w:lvlJc w:val="left"/>
      <w:pPr>
        <w:ind w:left="5760" w:hanging="360"/>
      </w:pPr>
    </w:lvl>
    <w:lvl w:ilvl="8">
      <w:start w:val="67"/>
      <w:numFmt w:val="decimal"/>
      <w:lvlText w:val="(%9)"/>
      <w:lvlJc w:val="left"/>
      <w:pPr>
        <w:ind w:left="6480" w:hanging="360"/>
      </w:pPr>
    </w:lvl>
  </w:abstractNum>
  <w:abstractNum w:abstractNumId="994372">
    <w:nsid w:val="0A994372"/>
    <w:multiLevelType w:val="multilevel"/>
    <w:lvl w:ilvl="0">
      <w:start w:val="72"/>
      <w:numFmt w:val="decimal"/>
      <w:lvlText w:val="(%1)"/>
      <w:lvlJc w:val="left"/>
      <w:pPr>
        <w:ind w:left="720" w:hanging="360"/>
      </w:pPr>
    </w:lvl>
    <w:lvl w:ilvl="1">
      <w:start w:val="72"/>
      <w:numFmt w:val="decimal"/>
      <w:lvlText w:val="(%2)"/>
      <w:lvlJc w:val="left"/>
      <w:pPr>
        <w:ind w:left="1440" w:hanging="360"/>
      </w:pPr>
    </w:lvl>
    <w:lvl w:ilvl="2">
      <w:start w:val="72"/>
      <w:numFmt w:val="decimal"/>
      <w:lvlText w:val="(%3)"/>
      <w:lvlJc w:val="left"/>
      <w:pPr>
        <w:ind w:left="2160" w:hanging="360"/>
      </w:pPr>
    </w:lvl>
    <w:lvl w:ilvl="3">
      <w:start w:val="72"/>
      <w:numFmt w:val="decimal"/>
      <w:lvlText w:val="(%4)"/>
      <w:lvlJc w:val="left"/>
      <w:pPr>
        <w:ind w:left="2880" w:hanging="360"/>
      </w:pPr>
    </w:lvl>
    <w:lvl w:ilvl="4">
      <w:start w:val="72"/>
      <w:numFmt w:val="decimal"/>
      <w:lvlText w:val="(%5)"/>
      <w:lvlJc w:val="left"/>
      <w:pPr>
        <w:ind w:left="3600" w:hanging="360"/>
      </w:pPr>
    </w:lvl>
    <w:lvl w:ilvl="5">
      <w:start w:val="72"/>
      <w:numFmt w:val="decimal"/>
      <w:lvlText w:val="(%6)"/>
      <w:lvlJc w:val="left"/>
      <w:pPr>
        <w:ind w:left="4320" w:hanging="360"/>
      </w:pPr>
    </w:lvl>
    <w:lvl w:ilvl="6">
      <w:start w:val="72"/>
      <w:numFmt w:val="decimal"/>
      <w:lvlText w:val="(%7)"/>
      <w:lvlJc w:val="left"/>
      <w:pPr>
        <w:ind w:left="5040" w:hanging="360"/>
      </w:pPr>
    </w:lvl>
    <w:lvl w:ilvl="7">
      <w:start w:val="72"/>
      <w:numFmt w:val="decimal"/>
      <w:lvlText w:val="(%8)"/>
      <w:lvlJc w:val="left"/>
      <w:pPr>
        <w:ind w:left="5760" w:hanging="360"/>
      </w:pPr>
    </w:lvl>
    <w:lvl w:ilvl="8">
      <w:start w:val="72"/>
      <w:numFmt w:val="decimal"/>
      <w:lvlText w:val="(%9)"/>
      <w:lvlJc w:val="left"/>
      <w:pPr>
        <w:ind w:left="6480" w:hanging="360"/>
      </w:pPr>
    </w:lvl>
  </w:abstractNum>
  <w:abstractNum w:abstractNumId="994377">
    <w:nsid w:val="0A994377"/>
    <w:multiLevelType w:val="multilevel"/>
    <w:lvl w:ilvl="0">
      <w:start w:val="77"/>
      <w:numFmt w:val="decimal"/>
      <w:lvlText w:val="(%1)"/>
      <w:lvlJc w:val="left"/>
      <w:pPr>
        <w:ind w:left="720" w:hanging="360"/>
      </w:pPr>
    </w:lvl>
    <w:lvl w:ilvl="1">
      <w:start w:val="77"/>
      <w:numFmt w:val="decimal"/>
      <w:lvlText w:val="(%2)"/>
      <w:lvlJc w:val="left"/>
      <w:pPr>
        <w:ind w:left="1440" w:hanging="360"/>
      </w:pPr>
    </w:lvl>
    <w:lvl w:ilvl="2">
      <w:start w:val="77"/>
      <w:numFmt w:val="decimal"/>
      <w:lvlText w:val="(%3)"/>
      <w:lvlJc w:val="left"/>
      <w:pPr>
        <w:ind w:left="2160" w:hanging="360"/>
      </w:pPr>
    </w:lvl>
    <w:lvl w:ilvl="3">
      <w:start w:val="77"/>
      <w:numFmt w:val="decimal"/>
      <w:lvlText w:val="(%4)"/>
      <w:lvlJc w:val="left"/>
      <w:pPr>
        <w:ind w:left="2880" w:hanging="360"/>
      </w:pPr>
    </w:lvl>
    <w:lvl w:ilvl="4">
      <w:start w:val="77"/>
      <w:numFmt w:val="decimal"/>
      <w:lvlText w:val="(%5)"/>
      <w:lvlJc w:val="left"/>
      <w:pPr>
        <w:ind w:left="3600" w:hanging="360"/>
      </w:pPr>
    </w:lvl>
    <w:lvl w:ilvl="5">
      <w:start w:val="77"/>
      <w:numFmt w:val="decimal"/>
      <w:lvlText w:val="(%6)"/>
      <w:lvlJc w:val="left"/>
      <w:pPr>
        <w:ind w:left="4320" w:hanging="360"/>
      </w:pPr>
    </w:lvl>
    <w:lvl w:ilvl="6">
      <w:start w:val="77"/>
      <w:numFmt w:val="decimal"/>
      <w:lvlText w:val="(%7)"/>
      <w:lvlJc w:val="left"/>
      <w:pPr>
        <w:ind w:left="5040" w:hanging="360"/>
      </w:pPr>
    </w:lvl>
    <w:lvl w:ilvl="7">
      <w:start w:val="77"/>
      <w:numFmt w:val="decimal"/>
      <w:lvlText w:val="(%8)"/>
      <w:lvlJc w:val="left"/>
      <w:pPr>
        <w:ind w:left="5760" w:hanging="360"/>
      </w:pPr>
    </w:lvl>
    <w:lvl w:ilvl="8">
      <w:start w:val="77"/>
      <w:numFmt w:val="decimal"/>
      <w:lvlText w:val="(%9)"/>
      <w:lvlJc w:val="left"/>
      <w:pPr>
        <w:ind w:left="6480" w:hanging="360"/>
      </w:pPr>
    </w:lvl>
  </w:abstractNum>
  <w:abstractNum w:abstractNumId="994380">
    <w:nsid w:val="0A994380"/>
    <w:multiLevelType w:val="multilevel"/>
    <w:lvl w:ilvl="0">
      <w:start w:val="80"/>
      <w:numFmt w:val="decimal"/>
      <w:lvlText w:val="(%1)"/>
      <w:lvlJc w:val="left"/>
      <w:pPr>
        <w:ind w:left="720" w:hanging="360"/>
      </w:pPr>
    </w:lvl>
    <w:lvl w:ilvl="1">
      <w:start w:val="80"/>
      <w:numFmt w:val="decimal"/>
      <w:lvlText w:val="(%2)"/>
      <w:lvlJc w:val="left"/>
      <w:pPr>
        <w:ind w:left="1440" w:hanging="360"/>
      </w:pPr>
    </w:lvl>
    <w:lvl w:ilvl="2">
      <w:start w:val="80"/>
      <w:numFmt w:val="decimal"/>
      <w:lvlText w:val="(%3)"/>
      <w:lvlJc w:val="left"/>
      <w:pPr>
        <w:ind w:left="2160" w:hanging="360"/>
      </w:pPr>
    </w:lvl>
    <w:lvl w:ilvl="3">
      <w:start w:val="80"/>
      <w:numFmt w:val="decimal"/>
      <w:lvlText w:val="(%4)"/>
      <w:lvlJc w:val="left"/>
      <w:pPr>
        <w:ind w:left="2880" w:hanging="360"/>
      </w:pPr>
    </w:lvl>
    <w:lvl w:ilvl="4">
      <w:start w:val="80"/>
      <w:numFmt w:val="decimal"/>
      <w:lvlText w:val="(%5)"/>
      <w:lvlJc w:val="left"/>
      <w:pPr>
        <w:ind w:left="3600" w:hanging="360"/>
      </w:pPr>
    </w:lvl>
    <w:lvl w:ilvl="5">
      <w:start w:val="80"/>
      <w:numFmt w:val="decimal"/>
      <w:lvlText w:val="(%6)"/>
      <w:lvlJc w:val="left"/>
      <w:pPr>
        <w:ind w:left="4320" w:hanging="360"/>
      </w:pPr>
    </w:lvl>
    <w:lvl w:ilvl="6">
      <w:start w:val="80"/>
      <w:numFmt w:val="decimal"/>
      <w:lvlText w:val="(%7)"/>
      <w:lvlJc w:val="left"/>
      <w:pPr>
        <w:ind w:left="5040" w:hanging="360"/>
      </w:pPr>
    </w:lvl>
    <w:lvl w:ilvl="7">
      <w:start w:val="80"/>
      <w:numFmt w:val="decimal"/>
      <w:lvlText w:val="(%8)"/>
      <w:lvlJc w:val="left"/>
      <w:pPr>
        <w:ind w:left="5760" w:hanging="360"/>
      </w:pPr>
    </w:lvl>
    <w:lvl w:ilvl="8">
      <w:start w:val="80"/>
      <w:numFmt w:val="decimal"/>
      <w:lvlText w:val="(%9)"/>
      <w:lvlJc w:val="left"/>
      <w:pPr>
        <w:ind w:left="6480" w:hanging="360"/>
      </w:pPr>
    </w:lvl>
  </w:abstractNum>
  <w:abstractNum w:abstractNumId="994388">
    <w:nsid w:val="0A994388"/>
    <w:multiLevelType w:val="multilevel"/>
    <w:lvl w:ilvl="0">
      <w:start w:val="88"/>
      <w:numFmt w:val="decimal"/>
      <w:lvlText w:val="(%1)"/>
      <w:lvlJc w:val="left"/>
      <w:pPr>
        <w:ind w:left="720" w:hanging="360"/>
      </w:pPr>
    </w:lvl>
    <w:lvl w:ilvl="1">
      <w:start w:val="88"/>
      <w:numFmt w:val="decimal"/>
      <w:lvlText w:val="(%2)"/>
      <w:lvlJc w:val="left"/>
      <w:pPr>
        <w:ind w:left="1440" w:hanging="360"/>
      </w:pPr>
    </w:lvl>
    <w:lvl w:ilvl="2">
      <w:start w:val="88"/>
      <w:numFmt w:val="decimal"/>
      <w:lvlText w:val="(%3)"/>
      <w:lvlJc w:val="left"/>
      <w:pPr>
        <w:ind w:left="2160" w:hanging="360"/>
      </w:pPr>
    </w:lvl>
    <w:lvl w:ilvl="3">
      <w:start w:val="88"/>
      <w:numFmt w:val="decimal"/>
      <w:lvlText w:val="(%4)"/>
      <w:lvlJc w:val="left"/>
      <w:pPr>
        <w:ind w:left="2880" w:hanging="360"/>
      </w:pPr>
    </w:lvl>
    <w:lvl w:ilvl="4">
      <w:start w:val="88"/>
      <w:numFmt w:val="decimal"/>
      <w:lvlText w:val="(%5)"/>
      <w:lvlJc w:val="left"/>
      <w:pPr>
        <w:ind w:left="3600" w:hanging="360"/>
      </w:pPr>
    </w:lvl>
    <w:lvl w:ilvl="5">
      <w:start w:val="88"/>
      <w:numFmt w:val="decimal"/>
      <w:lvlText w:val="(%6)"/>
      <w:lvlJc w:val="left"/>
      <w:pPr>
        <w:ind w:left="4320" w:hanging="360"/>
      </w:pPr>
    </w:lvl>
    <w:lvl w:ilvl="6">
      <w:start w:val="88"/>
      <w:numFmt w:val="decimal"/>
      <w:lvlText w:val="(%7)"/>
      <w:lvlJc w:val="left"/>
      <w:pPr>
        <w:ind w:left="5040" w:hanging="360"/>
      </w:pPr>
    </w:lvl>
    <w:lvl w:ilvl="7">
      <w:start w:val="88"/>
      <w:numFmt w:val="decimal"/>
      <w:lvlText w:val="(%8)"/>
      <w:lvlJc w:val="left"/>
      <w:pPr>
        <w:ind w:left="5760" w:hanging="360"/>
      </w:pPr>
    </w:lvl>
    <w:lvl w:ilvl="8">
      <w:start w:val="88"/>
      <w:numFmt w:val="decimal"/>
      <w:lvlText w:val="(%9)"/>
      <w:lvlJc w:val="left"/>
      <w:pPr>
        <w:ind w:left="6480" w:hanging="360"/>
      </w:pPr>
    </w:lvl>
  </w:abstractNum>
  <w:abstractNum w:abstractNumId="994391">
    <w:nsid w:val="0A994391"/>
    <w:multiLevelType w:val="multilevel"/>
    <w:lvl w:ilvl="0">
      <w:start w:val="91"/>
      <w:numFmt w:val="decimal"/>
      <w:lvlText w:val="(%1)"/>
      <w:lvlJc w:val="left"/>
      <w:pPr>
        <w:ind w:left="720" w:hanging="360"/>
      </w:pPr>
    </w:lvl>
    <w:lvl w:ilvl="1">
      <w:start w:val="91"/>
      <w:numFmt w:val="decimal"/>
      <w:lvlText w:val="(%2)"/>
      <w:lvlJc w:val="left"/>
      <w:pPr>
        <w:ind w:left="1440" w:hanging="360"/>
      </w:pPr>
    </w:lvl>
    <w:lvl w:ilvl="2">
      <w:start w:val="91"/>
      <w:numFmt w:val="decimal"/>
      <w:lvlText w:val="(%3)"/>
      <w:lvlJc w:val="left"/>
      <w:pPr>
        <w:ind w:left="2160" w:hanging="360"/>
      </w:pPr>
    </w:lvl>
    <w:lvl w:ilvl="3">
      <w:start w:val="91"/>
      <w:numFmt w:val="decimal"/>
      <w:lvlText w:val="(%4)"/>
      <w:lvlJc w:val="left"/>
      <w:pPr>
        <w:ind w:left="2880" w:hanging="360"/>
      </w:pPr>
    </w:lvl>
    <w:lvl w:ilvl="4">
      <w:start w:val="91"/>
      <w:numFmt w:val="decimal"/>
      <w:lvlText w:val="(%5)"/>
      <w:lvlJc w:val="left"/>
      <w:pPr>
        <w:ind w:left="3600" w:hanging="360"/>
      </w:pPr>
    </w:lvl>
    <w:lvl w:ilvl="5">
      <w:start w:val="91"/>
      <w:numFmt w:val="decimal"/>
      <w:lvlText w:val="(%6)"/>
      <w:lvlJc w:val="left"/>
      <w:pPr>
        <w:ind w:left="4320" w:hanging="360"/>
      </w:pPr>
    </w:lvl>
    <w:lvl w:ilvl="6">
      <w:start w:val="91"/>
      <w:numFmt w:val="decimal"/>
      <w:lvlText w:val="(%7)"/>
      <w:lvlJc w:val="left"/>
      <w:pPr>
        <w:ind w:left="5040" w:hanging="360"/>
      </w:pPr>
    </w:lvl>
    <w:lvl w:ilvl="7">
      <w:start w:val="91"/>
      <w:numFmt w:val="decimal"/>
      <w:lvlText w:val="(%8)"/>
      <w:lvlJc w:val="left"/>
      <w:pPr>
        <w:ind w:left="5760" w:hanging="360"/>
      </w:pPr>
    </w:lvl>
    <w:lvl w:ilvl="8">
      <w:start w:val="91"/>
      <w:numFmt w:val="decimal"/>
      <w:lvlText w:val="(%9)"/>
      <w:lvlJc w:val="left"/>
      <w:pPr>
        <w:ind w:left="6480" w:hanging="360"/>
      </w:pPr>
    </w:lvl>
  </w:abstractNum>
  <w:abstractNum w:abstractNumId="994394">
    <w:nsid w:val="0A994394"/>
    <w:multiLevelType w:val="multilevel"/>
    <w:lvl w:ilvl="0">
      <w:start w:val="94"/>
      <w:numFmt w:val="decimal"/>
      <w:lvlText w:val="(%1)"/>
      <w:lvlJc w:val="left"/>
      <w:pPr>
        <w:ind w:left="720" w:hanging="360"/>
      </w:pPr>
    </w:lvl>
    <w:lvl w:ilvl="1">
      <w:start w:val="94"/>
      <w:numFmt w:val="decimal"/>
      <w:lvlText w:val="(%2)"/>
      <w:lvlJc w:val="left"/>
      <w:pPr>
        <w:ind w:left="1440" w:hanging="360"/>
      </w:pPr>
    </w:lvl>
    <w:lvl w:ilvl="2">
      <w:start w:val="94"/>
      <w:numFmt w:val="decimal"/>
      <w:lvlText w:val="(%3)"/>
      <w:lvlJc w:val="left"/>
      <w:pPr>
        <w:ind w:left="2160" w:hanging="360"/>
      </w:pPr>
    </w:lvl>
    <w:lvl w:ilvl="3">
      <w:start w:val="94"/>
      <w:numFmt w:val="decimal"/>
      <w:lvlText w:val="(%4)"/>
      <w:lvlJc w:val="left"/>
      <w:pPr>
        <w:ind w:left="2880" w:hanging="360"/>
      </w:pPr>
    </w:lvl>
    <w:lvl w:ilvl="4">
      <w:start w:val="94"/>
      <w:numFmt w:val="decimal"/>
      <w:lvlText w:val="(%5)"/>
      <w:lvlJc w:val="left"/>
      <w:pPr>
        <w:ind w:left="3600" w:hanging="360"/>
      </w:pPr>
    </w:lvl>
    <w:lvl w:ilvl="5">
      <w:start w:val="94"/>
      <w:numFmt w:val="decimal"/>
      <w:lvlText w:val="(%6)"/>
      <w:lvlJc w:val="left"/>
      <w:pPr>
        <w:ind w:left="4320" w:hanging="360"/>
      </w:pPr>
    </w:lvl>
    <w:lvl w:ilvl="6">
      <w:start w:val="94"/>
      <w:numFmt w:val="decimal"/>
      <w:lvlText w:val="(%7)"/>
      <w:lvlJc w:val="left"/>
      <w:pPr>
        <w:ind w:left="5040" w:hanging="360"/>
      </w:pPr>
    </w:lvl>
    <w:lvl w:ilvl="7">
      <w:start w:val="94"/>
      <w:numFmt w:val="decimal"/>
      <w:lvlText w:val="(%8)"/>
      <w:lvlJc w:val="left"/>
      <w:pPr>
        <w:ind w:left="5760" w:hanging="360"/>
      </w:pPr>
    </w:lvl>
    <w:lvl w:ilvl="8">
      <w:start w:val="94"/>
      <w:numFmt w:val="decimal"/>
      <w:lvlText w:val="(%9)"/>
      <w:lvlJc w:val="left"/>
      <w:pPr>
        <w:ind w:left="6480" w:hanging="360"/>
      </w:pPr>
    </w:lvl>
  </w:abstractNum>
  <w:abstractNum w:abstractNumId="994395">
    <w:nsid w:val="0A994395"/>
    <w:multiLevelType w:val="multilevel"/>
    <w:lvl w:ilvl="0">
      <w:start w:val="95"/>
      <w:numFmt w:val="decimal"/>
      <w:lvlText w:val="(%1)"/>
      <w:lvlJc w:val="left"/>
      <w:pPr>
        <w:ind w:left="720" w:hanging="360"/>
      </w:pPr>
    </w:lvl>
    <w:lvl w:ilvl="1">
      <w:start w:val="95"/>
      <w:numFmt w:val="decimal"/>
      <w:lvlText w:val="(%2)"/>
      <w:lvlJc w:val="left"/>
      <w:pPr>
        <w:ind w:left="1440" w:hanging="360"/>
      </w:pPr>
    </w:lvl>
    <w:lvl w:ilvl="2">
      <w:start w:val="95"/>
      <w:numFmt w:val="decimal"/>
      <w:lvlText w:val="(%3)"/>
      <w:lvlJc w:val="left"/>
      <w:pPr>
        <w:ind w:left="2160" w:hanging="360"/>
      </w:pPr>
    </w:lvl>
    <w:lvl w:ilvl="3">
      <w:start w:val="95"/>
      <w:numFmt w:val="decimal"/>
      <w:lvlText w:val="(%4)"/>
      <w:lvlJc w:val="left"/>
      <w:pPr>
        <w:ind w:left="2880" w:hanging="360"/>
      </w:pPr>
    </w:lvl>
    <w:lvl w:ilvl="4">
      <w:start w:val="95"/>
      <w:numFmt w:val="decimal"/>
      <w:lvlText w:val="(%5)"/>
      <w:lvlJc w:val="left"/>
      <w:pPr>
        <w:ind w:left="3600" w:hanging="360"/>
      </w:pPr>
    </w:lvl>
    <w:lvl w:ilvl="5">
      <w:start w:val="95"/>
      <w:numFmt w:val="decimal"/>
      <w:lvlText w:val="(%6)"/>
      <w:lvlJc w:val="left"/>
      <w:pPr>
        <w:ind w:left="4320" w:hanging="360"/>
      </w:pPr>
    </w:lvl>
    <w:lvl w:ilvl="6">
      <w:start w:val="95"/>
      <w:numFmt w:val="decimal"/>
      <w:lvlText w:val="(%7)"/>
      <w:lvlJc w:val="left"/>
      <w:pPr>
        <w:ind w:left="5040" w:hanging="360"/>
      </w:pPr>
    </w:lvl>
    <w:lvl w:ilvl="7">
      <w:start w:val="95"/>
      <w:numFmt w:val="decimal"/>
      <w:lvlText w:val="(%8)"/>
      <w:lvlJc w:val="left"/>
      <w:pPr>
        <w:ind w:left="5760" w:hanging="360"/>
      </w:pPr>
    </w:lvl>
    <w:lvl w:ilvl="8">
      <w:start w:val="95"/>
      <w:numFmt w:val="decimal"/>
      <w:lvlText w:val="(%9)"/>
      <w:lvlJc w:val="left"/>
      <w:pPr>
        <w:ind w:left="6480" w:hanging="360"/>
      </w:pPr>
    </w:lvl>
  </w:abstractNum>
  <w:abstractNum w:abstractNumId="994397">
    <w:nsid w:val="0A994397"/>
    <w:multiLevelType w:val="multilevel"/>
    <w:lvl w:ilvl="0">
      <w:start w:val="97"/>
      <w:numFmt w:val="decimal"/>
      <w:lvlText w:val="(%1)"/>
      <w:lvlJc w:val="left"/>
      <w:pPr>
        <w:ind w:left="720" w:hanging="360"/>
      </w:pPr>
    </w:lvl>
    <w:lvl w:ilvl="1">
      <w:start w:val="97"/>
      <w:numFmt w:val="decimal"/>
      <w:lvlText w:val="(%2)"/>
      <w:lvlJc w:val="left"/>
      <w:pPr>
        <w:ind w:left="1440" w:hanging="360"/>
      </w:pPr>
    </w:lvl>
    <w:lvl w:ilvl="2">
      <w:start w:val="97"/>
      <w:numFmt w:val="decimal"/>
      <w:lvlText w:val="(%3)"/>
      <w:lvlJc w:val="left"/>
      <w:pPr>
        <w:ind w:left="2160" w:hanging="360"/>
      </w:pPr>
    </w:lvl>
    <w:lvl w:ilvl="3">
      <w:start w:val="97"/>
      <w:numFmt w:val="decimal"/>
      <w:lvlText w:val="(%4)"/>
      <w:lvlJc w:val="left"/>
      <w:pPr>
        <w:ind w:left="2880" w:hanging="360"/>
      </w:pPr>
    </w:lvl>
    <w:lvl w:ilvl="4">
      <w:start w:val="97"/>
      <w:numFmt w:val="decimal"/>
      <w:lvlText w:val="(%5)"/>
      <w:lvlJc w:val="left"/>
      <w:pPr>
        <w:ind w:left="3600" w:hanging="360"/>
      </w:pPr>
    </w:lvl>
    <w:lvl w:ilvl="5">
      <w:start w:val="97"/>
      <w:numFmt w:val="decimal"/>
      <w:lvlText w:val="(%6)"/>
      <w:lvlJc w:val="left"/>
      <w:pPr>
        <w:ind w:left="4320" w:hanging="360"/>
      </w:pPr>
    </w:lvl>
    <w:lvl w:ilvl="6">
      <w:start w:val="97"/>
      <w:numFmt w:val="decimal"/>
      <w:lvlText w:val="(%7)"/>
      <w:lvlJc w:val="left"/>
      <w:pPr>
        <w:ind w:left="5040" w:hanging="360"/>
      </w:pPr>
    </w:lvl>
    <w:lvl w:ilvl="7">
      <w:start w:val="97"/>
      <w:numFmt w:val="decimal"/>
      <w:lvlText w:val="(%8)"/>
      <w:lvlJc w:val="left"/>
      <w:pPr>
        <w:ind w:left="5760" w:hanging="360"/>
      </w:pPr>
    </w:lvl>
    <w:lvl w:ilvl="8">
      <w:start w:val="97"/>
      <w:numFmt w:val="decimal"/>
      <w:lvlText w:val="(%9)"/>
      <w:lvlJc w:val="left"/>
      <w:pPr>
        <w:ind w:left="6480" w:hanging="360"/>
      </w:pPr>
    </w:lvl>
  </w:abstractNum>
  <w:abstractNum w:abstractNumId="9943100">
    <w:nsid w:val="A9943100"/>
    <w:multiLevelType w:val="multilevel"/>
    <w:lvl w:ilvl="0">
      <w:start w:val="100"/>
      <w:numFmt w:val="decimal"/>
      <w:lvlText w:val="(%1)"/>
      <w:lvlJc w:val="left"/>
      <w:pPr>
        <w:ind w:left="720" w:hanging="360"/>
      </w:pPr>
    </w:lvl>
    <w:lvl w:ilvl="1">
      <w:start w:val="100"/>
      <w:numFmt w:val="decimal"/>
      <w:lvlText w:val="(%2)"/>
      <w:lvlJc w:val="left"/>
      <w:pPr>
        <w:ind w:left="1440" w:hanging="360"/>
      </w:pPr>
    </w:lvl>
    <w:lvl w:ilvl="2">
      <w:start w:val="100"/>
      <w:numFmt w:val="decimal"/>
      <w:lvlText w:val="(%3)"/>
      <w:lvlJc w:val="left"/>
      <w:pPr>
        <w:ind w:left="2160" w:hanging="360"/>
      </w:pPr>
    </w:lvl>
    <w:lvl w:ilvl="3">
      <w:start w:val="100"/>
      <w:numFmt w:val="decimal"/>
      <w:lvlText w:val="(%4)"/>
      <w:lvlJc w:val="left"/>
      <w:pPr>
        <w:ind w:left="2880" w:hanging="360"/>
      </w:pPr>
    </w:lvl>
    <w:lvl w:ilvl="4">
      <w:start w:val="100"/>
      <w:numFmt w:val="decimal"/>
      <w:lvlText w:val="(%5)"/>
      <w:lvlJc w:val="left"/>
      <w:pPr>
        <w:ind w:left="3600" w:hanging="360"/>
      </w:pPr>
    </w:lvl>
    <w:lvl w:ilvl="5">
      <w:start w:val="100"/>
      <w:numFmt w:val="decimal"/>
      <w:lvlText w:val="(%6)"/>
      <w:lvlJc w:val="left"/>
      <w:pPr>
        <w:ind w:left="4320" w:hanging="360"/>
      </w:pPr>
    </w:lvl>
    <w:lvl w:ilvl="6">
      <w:start w:val="100"/>
      <w:numFmt w:val="decimal"/>
      <w:lvlText w:val="(%7)"/>
      <w:lvlJc w:val="left"/>
      <w:pPr>
        <w:ind w:left="5040" w:hanging="360"/>
      </w:pPr>
    </w:lvl>
    <w:lvl w:ilvl="7">
      <w:start w:val="100"/>
      <w:numFmt w:val="decimal"/>
      <w:lvlText w:val="(%8)"/>
      <w:lvlJc w:val="left"/>
      <w:pPr>
        <w:ind w:left="5760" w:hanging="360"/>
      </w:pPr>
    </w:lvl>
    <w:lvl w:ilvl="8">
      <w:start w:val="100"/>
      <w:numFmt w:val="decimal"/>
      <w:lvlText w:val="(%9)"/>
      <w:lvlJc w:val="left"/>
      <w:pPr>
        <w:ind w:left="6480" w:hanging="360"/>
      </w:pPr>
    </w:lvl>
  </w:abstractNum>
  <w:abstractNum w:abstractNumId="9943104">
    <w:nsid w:val="A9943104"/>
    <w:multiLevelType w:val="multilevel"/>
    <w:lvl w:ilvl="0">
      <w:start w:val="104"/>
      <w:numFmt w:val="decimal"/>
      <w:lvlText w:val="(%1)"/>
      <w:lvlJc w:val="left"/>
      <w:pPr>
        <w:ind w:left="720" w:hanging="360"/>
      </w:pPr>
    </w:lvl>
    <w:lvl w:ilvl="1">
      <w:start w:val="104"/>
      <w:numFmt w:val="decimal"/>
      <w:lvlText w:val="(%2)"/>
      <w:lvlJc w:val="left"/>
      <w:pPr>
        <w:ind w:left="1440" w:hanging="360"/>
      </w:pPr>
    </w:lvl>
    <w:lvl w:ilvl="2">
      <w:start w:val="104"/>
      <w:numFmt w:val="decimal"/>
      <w:lvlText w:val="(%3)"/>
      <w:lvlJc w:val="left"/>
      <w:pPr>
        <w:ind w:left="2160" w:hanging="360"/>
      </w:pPr>
    </w:lvl>
    <w:lvl w:ilvl="3">
      <w:start w:val="104"/>
      <w:numFmt w:val="decimal"/>
      <w:lvlText w:val="(%4)"/>
      <w:lvlJc w:val="left"/>
      <w:pPr>
        <w:ind w:left="2880" w:hanging="360"/>
      </w:pPr>
    </w:lvl>
    <w:lvl w:ilvl="4">
      <w:start w:val="104"/>
      <w:numFmt w:val="decimal"/>
      <w:lvlText w:val="(%5)"/>
      <w:lvlJc w:val="left"/>
      <w:pPr>
        <w:ind w:left="3600" w:hanging="360"/>
      </w:pPr>
    </w:lvl>
    <w:lvl w:ilvl="5">
      <w:start w:val="104"/>
      <w:numFmt w:val="decimal"/>
      <w:lvlText w:val="(%6)"/>
      <w:lvlJc w:val="left"/>
      <w:pPr>
        <w:ind w:left="4320" w:hanging="360"/>
      </w:pPr>
    </w:lvl>
    <w:lvl w:ilvl="6">
      <w:start w:val="104"/>
      <w:numFmt w:val="decimal"/>
      <w:lvlText w:val="(%7)"/>
      <w:lvlJc w:val="left"/>
      <w:pPr>
        <w:ind w:left="5040" w:hanging="360"/>
      </w:pPr>
    </w:lvl>
    <w:lvl w:ilvl="7">
      <w:start w:val="104"/>
      <w:numFmt w:val="decimal"/>
      <w:lvlText w:val="(%8)"/>
      <w:lvlJc w:val="left"/>
      <w:pPr>
        <w:ind w:left="5760" w:hanging="360"/>
      </w:pPr>
    </w:lvl>
    <w:lvl w:ilvl="8">
      <w:start w:val="104"/>
      <w:numFmt w:val="decimal"/>
      <w:lvlText w:val="(%9)"/>
      <w:lvlJc w:val="left"/>
      <w:pPr>
        <w:ind w:left="6480" w:hanging="360"/>
      </w:pPr>
    </w:lvl>
  </w:abstractNum>
  <w:abstractNum w:abstractNumId="9943106">
    <w:nsid w:val="A9943106"/>
    <w:multiLevelType w:val="multilevel"/>
    <w:lvl w:ilvl="0">
      <w:start w:val="106"/>
      <w:numFmt w:val="decimal"/>
      <w:lvlText w:val="(%1)"/>
      <w:lvlJc w:val="left"/>
      <w:pPr>
        <w:ind w:left="720" w:hanging="360"/>
      </w:pPr>
    </w:lvl>
    <w:lvl w:ilvl="1">
      <w:start w:val="106"/>
      <w:numFmt w:val="decimal"/>
      <w:lvlText w:val="(%2)"/>
      <w:lvlJc w:val="left"/>
      <w:pPr>
        <w:ind w:left="1440" w:hanging="360"/>
      </w:pPr>
    </w:lvl>
    <w:lvl w:ilvl="2">
      <w:start w:val="106"/>
      <w:numFmt w:val="decimal"/>
      <w:lvlText w:val="(%3)"/>
      <w:lvlJc w:val="left"/>
      <w:pPr>
        <w:ind w:left="2160" w:hanging="360"/>
      </w:pPr>
    </w:lvl>
    <w:lvl w:ilvl="3">
      <w:start w:val="106"/>
      <w:numFmt w:val="decimal"/>
      <w:lvlText w:val="(%4)"/>
      <w:lvlJc w:val="left"/>
      <w:pPr>
        <w:ind w:left="2880" w:hanging="360"/>
      </w:pPr>
    </w:lvl>
    <w:lvl w:ilvl="4">
      <w:start w:val="106"/>
      <w:numFmt w:val="decimal"/>
      <w:lvlText w:val="(%5)"/>
      <w:lvlJc w:val="left"/>
      <w:pPr>
        <w:ind w:left="3600" w:hanging="360"/>
      </w:pPr>
    </w:lvl>
    <w:lvl w:ilvl="5">
      <w:start w:val="106"/>
      <w:numFmt w:val="decimal"/>
      <w:lvlText w:val="(%6)"/>
      <w:lvlJc w:val="left"/>
      <w:pPr>
        <w:ind w:left="4320" w:hanging="360"/>
      </w:pPr>
    </w:lvl>
    <w:lvl w:ilvl="6">
      <w:start w:val="106"/>
      <w:numFmt w:val="decimal"/>
      <w:lvlText w:val="(%7)"/>
      <w:lvlJc w:val="left"/>
      <w:pPr>
        <w:ind w:left="5040" w:hanging="360"/>
      </w:pPr>
    </w:lvl>
    <w:lvl w:ilvl="7">
      <w:start w:val="106"/>
      <w:numFmt w:val="decimal"/>
      <w:lvlText w:val="(%8)"/>
      <w:lvlJc w:val="left"/>
      <w:pPr>
        <w:ind w:left="5760" w:hanging="360"/>
      </w:pPr>
    </w:lvl>
    <w:lvl w:ilvl="8">
      <w:start w:val="106"/>
      <w:numFmt w:val="decimal"/>
      <w:lvlText w:val="(%9)"/>
      <w:lvlJc w:val="left"/>
      <w:pPr>
        <w:ind w:left="6480" w:hanging="360"/>
      </w:pPr>
    </w:lvl>
  </w:abstractNum>
  <w:abstractNum w:abstractNumId="9943110">
    <w:nsid w:val="A9943110"/>
    <w:multiLevelType w:val="multilevel"/>
    <w:lvl w:ilvl="0">
      <w:start w:val="110"/>
      <w:numFmt w:val="decimal"/>
      <w:lvlText w:val="(%1)"/>
      <w:lvlJc w:val="left"/>
      <w:pPr>
        <w:ind w:left="720" w:hanging="360"/>
      </w:pPr>
    </w:lvl>
    <w:lvl w:ilvl="1">
      <w:start w:val="110"/>
      <w:numFmt w:val="decimal"/>
      <w:lvlText w:val="(%2)"/>
      <w:lvlJc w:val="left"/>
      <w:pPr>
        <w:ind w:left="1440" w:hanging="360"/>
      </w:pPr>
    </w:lvl>
    <w:lvl w:ilvl="2">
      <w:start w:val="110"/>
      <w:numFmt w:val="decimal"/>
      <w:lvlText w:val="(%3)"/>
      <w:lvlJc w:val="left"/>
      <w:pPr>
        <w:ind w:left="2160" w:hanging="360"/>
      </w:pPr>
    </w:lvl>
    <w:lvl w:ilvl="3">
      <w:start w:val="110"/>
      <w:numFmt w:val="decimal"/>
      <w:lvlText w:val="(%4)"/>
      <w:lvlJc w:val="left"/>
      <w:pPr>
        <w:ind w:left="2880" w:hanging="360"/>
      </w:pPr>
    </w:lvl>
    <w:lvl w:ilvl="4">
      <w:start w:val="110"/>
      <w:numFmt w:val="decimal"/>
      <w:lvlText w:val="(%5)"/>
      <w:lvlJc w:val="left"/>
      <w:pPr>
        <w:ind w:left="3600" w:hanging="360"/>
      </w:pPr>
    </w:lvl>
    <w:lvl w:ilvl="5">
      <w:start w:val="110"/>
      <w:numFmt w:val="decimal"/>
      <w:lvlText w:val="(%6)"/>
      <w:lvlJc w:val="left"/>
      <w:pPr>
        <w:ind w:left="4320" w:hanging="360"/>
      </w:pPr>
    </w:lvl>
    <w:lvl w:ilvl="6">
      <w:start w:val="110"/>
      <w:numFmt w:val="decimal"/>
      <w:lvlText w:val="(%7)"/>
      <w:lvlJc w:val="left"/>
      <w:pPr>
        <w:ind w:left="5040" w:hanging="360"/>
      </w:pPr>
    </w:lvl>
    <w:lvl w:ilvl="7">
      <w:start w:val="110"/>
      <w:numFmt w:val="decimal"/>
      <w:lvlText w:val="(%8)"/>
      <w:lvlJc w:val="left"/>
      <w:pPr>
        <w:ind w:left="5760" w:hanging="360"/>
      </w:pPr>
    </w:lvl>
    <w:lvl w:ilvl="8">
      <w:start w:val="110"/>
      <w:numFmt w:val="decimal"/>
      <w:lvlText w:val="(%9)"/>
      <w:lvlJc w:val="left"/>
      <w:pPr>
        <w:ind w:left="6480" w:hanging="360"/>
      </w:pPr>
    </w:lvl>
  </w:abstractNum>
  <w:abstractNum w:abstractNumId="9943114">
    <w:nsid w:val="A9943114"/>
    <w:multiLevelType w:val="multilevel"/>
    <w:lvl w:ilvl="0">
      <w:start w:val="114"/>
      <w:numFmt w:val="decimal"/>
      <w:lvlText w:val="(%1)"/>
      <w:lvlJc w:val="left"/>
      <w:pPr>
        <w:ind w:left="720" w:hanging="360"/>
      </w:pPr>
    </w:lvl>
    <w:lvl w:ilvl="1">
      <w:start w:val="114"/>
      <w:numFmt w:val="decimal"/>
      <w:lvlText w:val="(%2)"/>
      <w:lvlJc w:val="left"/>
      <w:pPr>
        <w:ind w:left="1440" w:hanging="360"/>
      </w:pPr>
    </w:lvl>
    <w:lvl w:ilvl="2">
      <w:start w:val="114"/>
      <w:numFmt w:val="decimal"/>
      <w:lvlText w:val="(%3)"/>
      <w:lvlJc w:val="left"/>
      <w:pPr>
        <w:ind w:left="2160" w:hanging="360"/>
      </w:pPr>
    </w:lvl>
    <w:lvl w:ilvl="3">
      <w:start w:val="114"/>
      <w:numFmt w:val="decimal"/>
      <w:lvlText w:val="(%4)"/>
      <w:lvlJc w:val="left"/>
      <w:pPr>
        <w:ind w:left="2880" w:hanging="360"/>
      </w:pPr>
    </w:lvl>
    <w:lvl w:ilvl="4">
      <w:start w:val="114"/>
      <w:numFmt w:val="decimal"/>
      <w:lvlText w:val="(%5)"/>
      <w:lvlJc w:val="left"/>
      <w:pPr>
        <w:ind w:left="3600" w:hanging="360"/>
      </w:pPr>
    </w:lvl>
    <w:lvl w:ilvl="5">
      <w:start w:val="114"/>
      <w:numFmt w:val="decimal"/>
      <w:lvlText w:val="(%6)"/>
      <w:lvlJc w:val="left"/>
      <w:pPr>
        <w:ind w:left="4320" w:hanging="360"/>
      </w:pPr>
    </w:lvl>
    <w:lvl w:ilvl="6">
      <w:start w:val="114"/>
      <w:numFmt w:val="decimal"/>
      <w:lvlText w:val="(%7)"/>
      <w:lvlJc w:val="left"/>
      <w:pPr>
        <w:ind w:left="5040" w:hanging="360"/>
      </w:pPr>
    </w:lvl>
    <w:lvl w:ilvl="7">
      <w:start w:val="114"/>
      <w:numFmt w:val="decimal"/>
      <w:lvlText w:val="(%8)"/>
      <w:lvlJc w:val="left"/>
      <w:pPr>
        <w:ind w:left="5760" w:hanging="360"/>
      </w:pPr>
    </w:lvl>
    <w:lvl w:ilvl="8">
      <w:start w:val="114"/>
      <w:numFmt w:val="decimal"/>
      <w:lvlText w:val="(%9)"/>
      <w:lvlJc w:val="left"/>
      <w:pPr>
        <w:ind w:left="6480" w:hanging="360"/>
      </w:pPr>
    </w:lvl>
  </w:abstractNum>
  <w:abstractNum w:abstractNumId="9943118">
    <w:nsid w:val="A9943118"/>
    <w:multiLevelType w:val="multilevel"/>
    <w:lvl w:ilvl="0">
      <w:start w:val="118"/>
      <w:numFmt w:val="decimal"/>
      <w:lvlText w:val="(%1)"/>
      <w:lvlJc w:val="left"/>
      <w:pPr>
        <w:ind w:left="720" w:hanging="360"/>
      </w:pPr>
    </w:lvl>
    <w:lvl w:ilvl="1">
      <w:start w:val="118"/>
      <w:numFmt w:val="decimal"/>
      <w:lvlText w:val="(%2)"/>
      <w:lvlJc w:val="left"/>
      <w:pPr>
        <w:ind w:left="1440" w:hanging="360"/>
      </w:pPr>
    </w:lvl>
    <w:lvl w:ilvl="2">
      <w:start w:val="118"/>
      <w:numFmt w:val="decimal"/>
      <w:lvlText w:val="(%3)"/>
      <w:lvlJc w:val="left"/>
      <w:pPr>
        <w:ind w:left="2160" w:hanging="360"/>
      </w:pPr>
    </w:lvl>
    <w:lvl w:ilvl="3">
      <w:start w:val="118"/>
      <w:numFmt w:val="decimal"/>
      <w:lvlText w:val="(%4)"/>
      <w:lvlJc w:val="left"/>
      <w:pPr>
        <w:ind w:left="2880" w:hanging="360"/>
      </w:pPr>
    </w:lvl>
    <w:lvl w:ilvl="4">
      <w:start w:val="118"/>
      <w:numFmt w:val="decimal"/>
      <w:lvlText w:val="(%5)"/>
      <w:lvlJc w:val="left"/>
      <w:pPr>
        <w:ind w:left="3600" w:hanging="360"/>
      </w:pPr>
    </w:lvl>
    <w:lvl w:ilvl="5">
      <w:start w:val="118"/>
      <w:numFmt w:val="decimal"/>
      <w:lvlText w:val="(%6)"/>
      <w:lvlJc w:val="left"/>
      <w:pPr>
        <w:ind w:left="4320" w:hanging="360"/>
      </w:pPr>
    </w:lvl>
    <w:lvl w:ilvl="6">
      <w:start w:val="118"/>
      <w:numFmt w:val="decimal"/>
      <w:lvlText w:val="(%7)"/>
      <w:lvlJc w:val="left"/>
      <w:pPr>
        <w:ind w:left="5040" w:hanging="360"/>
      </w:pPr>
    </w:lvl>
    <w:lvl w:ilvl="7">
      <w:start w:val="118"/>
      <w:numFmt w:val="decimal"/>
      <w:lvlText w:val="(%8)"/>
      <w:lvlJc w:val="left"/>
      <w:pPr>
        <w:ind w:left="5760" w:hanging="360"/>
      </w:pPr>
    </w:lvl>
    <w:lvl w:ilvl="8">
      <w:start w:val="118"/>
      <w:numFmt w:val="decimal"/>
      <w:lvlText w:val="(%9)"/>
      <w:lvlJc w:val="left"/>
      <w:pPr>
        <w:ind w:left="6480" w:hanging="360"/>
      </w:pPr>
    </w:lvl>
  </w:abstractNum>
  <w:abstractNum w:abstractNumId="9943120">
    <w:nsid w:val="A9943120"/>
    <w:multiLevelType w:val="multilevel"/>
    <w:lvl w:ilvl="0">
      <w:start w:val="120"/>
      <w:numFmt w:val="decimal"/>
      <w:lvlText w:val="(%1)"/>
      <w:lvlJc w:val="left"/>
      <w:pPr>
        <w:ind w:left="720" w:hanging="360"/>
      </w:pPr>
    </w:lvl>
    <w:lvl w:ilvl="1">
      <w:start w:val="120"/>
      <w:numFmt w:val="decimal"/>
      <w:lvlText w:val="(%2)"/>
      <w:lvlJc w:val="left"/>
      <w:pPr>
        <w:ind w:left="1440" w:hanging="360"/>
      </w:pPr>
    </w:lvl>
    <w:lvl w:ilvl="2">
      <w:start w:val="120"/>
      <w:numFmt w:val="decimal"/>
      <w:lvlText w:val="(%3)"/>
      <w:lvlJc w:val="left"/>
      <w:pPr>
        <w:ind w:left="2160" w:hanging="360"/>
      </w:pPr>
    </w:lvl>
    <w:lvl w:ilvl="3">
      <w:start w:val="120"/>
      <w:numFmt w:val="decimal"/>
      <w:lvlText w:val="(%4)"/>
      <w:lvlJc w:val="left"/>
      <w:pPr>
        <w:ind w:left="2880" w:hanging="360"/>
      </w:pPr>
    </w:lvl>
    <w:lvl w:ilvl="4">
      <w:start w:val="120"/>
      <w:numFmt w:val="decimal"/>
      <w:lvlText w:val="(%5)"/>
      <w:lvlJc w:val="left"/>
      <w:pPr>
        <w:ind w:left="3600" w:hanging="360"/>
      </w:pPr>
    </w:lvl>
    <w:lvl w:ilvl="5">
      <w:start w:val="120"/>
      <w:numFmt w:val="decimal"/>
      <w:lvlText w:val="(%6)"/>
      <w:lvlJc w:val="left"/>
      <w:pPr>
        <w:ind w:left="4320" w:hanging="360"/>
      </w:pPr>
    </w:lvl>
    <w:lvl w:ilvl="6">
      <w:start w:val="120"/>
      <w:numFmt w:val="decimal"/>
      <w:lvlText w:val="(%7)"/>
      <w:lvlJc w:val="left"/>
      <w:pPr>
        <w:ind w:left="5040" w:hanging="360"/>
      </w:pPr>
    </w:lvl>
    <w:lvl w:ilvl="7">
      <w:start w:val="120"/>
      <w:numFmt w:val="decimal"/>
      <w:lvlText w:val="(%8)"/>
      <w:lvlJc w:val="left"/>
      <w:pPr>
        <w:ind w:left="5760" w:hanging="360"/>
      </w:pPr>
    </w:lvl>
    <w:lvl w:ilvl="8">
      <w:start w:val="120"/>
      <w:numFmt w:val="decimal"/>
      <w:lvlText w:val="(%9)"/>
      <w:lvlJc w:val="left"/>
      <w:pPr>
        <w:ind w:left="6480" w:hanging="360"/>
      </w:pPr>
    </w:lvl>
  </w:abstractNum>
  <w:abstractNum w:abstractNumId="9943125">
    <w:nsid w:val="A9943125"/>
    <w:multiLevelType w:val="multilevel"/>
    <w:lvl w:ilvl="0">
      <w:start w:val="125"/>
      <w:numFmt w:val="decimal"/>
      <w:lvlText w:val="(%1)"/>
      <w:lvlJc w:val="left"/>
      <w:pPr>
        <w:ind w:left="720" w:hanging="360"/>
      </w:pPr>
    </w:lvl>
    <w:lvl w:ilvl="1">
      <w:start w:val="125"/>
      <w:numFmt w:val="decimal"/>
      <w:lvlText w:val="(%2)"/>
      <w:lvlJc w:val="left"/>
      <w:pPr>
        <w:ind w:left="1440" w:hanging="360"/>
      </w:pPr>
    </w:lvl>
    <w:lvl w:ilvl="2">
      <w:start w:val="125"/>
      <w:numFmt w:val="decimal"/>
      <w:lvlText w:val="(%3)"/>
      <w:lvlJc w:val="left"/>
      <w:pPr>
        <w:ind w:left="2160" w:hanging="360"/>
      </w:pPr>
    </w:lvl>
    <w:lvl w:ilvl="3">
      <w:start w:val="125"/>
      <w:numFmt w:val="decimal"/>
      <w:lvlText w:val="(%4)"/>
      <w:lvlJc w:val="left"/>
      <w:pPr>
        <w:ind w:left="2880" w:hanging="360"/>
      </w:pPr>
    </w:lvl>
    <w:lvl w:ilvl="4">
      <w:start w:val="125"/>
      <w:numFmt w:val="decimal"/>
      <w:lvlText w:val="(%5)"/>
      <w:lvlJc w:val="left"/>
      <w:pPr>
        <w:ind w:left="3600" w:hanging="360"/>
      </w:pPr>
    </w:lvl>
    <w:lvl w:ilvl="5">
      <w:start w:val="125"/>
      <w:numFmt w:val="decimal"/>
      <w:lvlText w:val="(%6)"/>
      <w:lvlJc w:val="left"/>
      <w:pPr>
        <w:ind w:left="4320" w:hanging="360"/>
      </w:pPr>
    </w:lvl>
    <w:lvl w:ilvl="6">
      <w:start w:val="125"/>
      <w:numFmt w:val="decimal"/>
      <w:lvlText w:val="(%7)"/>
      <w:lvlJc w:val="left"/>
      <w:pPr>
        <w:ind w:left="5040" w:hanging="360"/>
      </w:pPr>
    </w:lvl>
    <w:lvl w:ilvl="7">
      <w:start w:val="125"/>
      <w:numFmt w:val="decimal"/>
      <w:lvlText w:val="(%8)"/>
      <w:lvlJc w:val="left"/>
      <w:pPr>
        <w:ind w:left="5760" w:hanging="360"/>
      </w:pPr>
    </w:lvl>
    <w:lvl w:ilvl="8">
      <w:start w:val="125"/>
      <w:numFmt w:val="decimal"/>
      <w:lvlText w:val="(%9)"/>
      <w:lvlJc w:val="left"/>
      <w:pPr>
        <w:ind w:left="6480" w:hanging="360"/>
      </w:pPr>
    </w:lvl>
  </w:abstractNum>
  <w:abstractNum w:abstractNumId="9943126">
    <w:nsid w:val="A9943126"/>
    <w:multiLevelType w:val="multilevel"/>
    <w:lvl w:ilvl="0">
      <w:start w:val="126"/>
      <w:numFmt w:val="decimal"/>
      <w:lvlText w:val="(%1)"/>
      <w:lvlJc w:val="left"/>
      <w:pPr>
        <w:ind w:left="720" w:hanging="360"/>
      </w:pPr>
    </w:lvl>
    <w:lvl w:ilvl="1">
      <w:start w:val="126"/>
      <w:numFmt w:val="decimal"/>
      <w:lvlText w:val="(%2)"/>
      <w:lvlJc w:val="left"/>
      <w:pPr>
        <w:ind w:left="1440" w:hanging="360"/>
      </w:pPr>
    </w:lvl>
    <w:lvl w:ilvl="2">
      <w:start w:val="126"/>
      <w:numFmt w:val="decimal"/>
      <w:lvlText w:val="(%3)"/>
      <w:lvlJc w:val="left"/>
      <w:pPr>
        <w:ind w:left="2160" w:hanging="360"/>
      </w:pPr>
    </w:lvl>
    <w:lvl w:ilvl="3">
      <w:start w:val="126"/>
      <w:numFmt w:val="decimal"/>
      <w:lvlText w:val="(%4)"/>
      <w:lvlJc w:val="left"/>
      <w:pPr>
        <w:ind w:left="2880" w:hanging="360"/>
      </w:pPr>
    </w:lvl>
    <w:lvl w:ilvl="4">
      <w:start w:val="126"/>
      <w:numFmt w:val="decimal"/>
      <w:lvlText w:val="(%5)"/>
      <w:lvlJc w:val="left"/>
      <w:pPr>
        <w:ind w:left="3600" w:hanging="360"/>
      </w:pPr>
    </w:lvl>
    <w:lvl w:ilvl="5">
      <w:start w:val="126"/>
      <w:numFmt w:val="decimal"/>
      <w:lvlText w:val="(%6)"/>
      <w:lvlJc w:val="left"/>
      <w:pPr>
        <w:ind w:left="4320" w:hanging="360"/>
      </w:pPr>
    </w:lvl>
    <w:lvl w:ilvl="6">
      <w:start w:val="126"/>
      <w:numFmt w:val="decimal"/>
      <w:lvlText w:val="(%7)"/>
      <w:lvlJc w:val="left"/>
      <w:pPr>
        <w:ind w:left="5040" w:hanging="360"/>
      </w:pPr>
    </w:lvl>
    <w:lvl w:ilvl="7">
      <w:start w:val="126"/>
      <w:numFmt w:val="decimal"/>
      <w:lvlText w:val="(%8)"/>
      <w:lvlJc w:val="left"/>
      <w:pPr>
        <w:ind w:left="5760" w:hanging="360"/>
      </w:pPr>
    </w:lvl>
    <w:lvl w:ilvl="8">
      <w:start w:val="126"/>
      <w:numFmt w:val="decimal"/>
      <w:lvlText w:val="(%9)"/>
      <w:lvlJc w:val="left"/>
      <w:pPr>
        <w:ind w:left="6480" w:hanging="360"/>
      </w:pPr>
    </w:lvl>
  </w:abstractNum>
  <w:abstractNum w:abstractNumId="9943127">
    <w:nsid w:val="A9943127"/>
    <w:multiLevelType w:val="multilevel"/>
    <w:lvl w:ilvl="0">
      <w:start w:val="127"/>
      <w:numFmt w:val="decimal"/>
      <w:lvlText w:val="(%1)"/>
      <w:lvlJc w:val="left"/>
      <w:pPr>
        <w:ind w:left="720" w:hanging="360"/>
      </w:pPr>
    </w:lvl>
    <w:lvl w:ilvl="1">
      <w:start w:val="127"/>
      <w:numFmt w:val="decimal"/>
      <w:lvlText w:val="(%2)"/>
      <w:lvlJc w:val="left"/>
      <w:pPr>
        <w:ind w:left="1440" w:hanging="360"/>
      </w:pPr>
    </w:lvl>
    <w:lvl w:ilvl="2">
      <w:start w:val="127"/>
      <w:numFmt w:val="decimal"/>
      <w:lvlText w:val="(%3)"/>
      <w:lvlJc w:val="left"/>
      <w:pPr>
        <w:ind w:left="2160" w:hanging="360"/>
      </w:pPr>
    </w:lvl>
    <w:lvl w:ilvl="3">
      <w:start w:val="127"/>
      <w:numFmt w:val="decimal"/>
      <w:lvlText w:val="(%4)"/>
      <w:lvlJc w:val="left"/>
      <w:pPr>
        <w:ind w:left="2880" w:hanging="360"/>
      </w:pPr>
    </w:lvl>
    <w:lvl w:ilvl="4">
      <w:start w:val="127"/>
      <w:numFmt w:val="decimal"/>
      <w:lvlText w:val="(%5)"/>
      <w:lvlJc w:val="left"/>
      <w:pPr>
        <w:ind w:left="3600" w:hanging="360"/>
      </w:pPr>
    </w:lvl>
    <w:lvl w:ilvl="5">
      <w:start w:val="127"/>
      <w:numFmt w:val="decimal"/>
      <w:lvlText w:val="(%6)"/>
      <w:lvlJc w:val="left"/>
      <w:pPr>
        <w:ind w:left="4320" w:hanging="360"/>
      </w:pPr>
    </w:lvl>
    <w:lvl w:ilvl="6">
      <w:start w:val="127"/>
      <w:numFmt w:val="decimal"/>
      <w:lvlText w:val="(%7)"/>
      <w:lvlJc w:val="left"/>
      <w:pPr>
        <w:ind w:left="5040" w:hanging="360"/>
      </w:pPr>
    </w:lvl>
    <w:lvl w:ilvl="7">
      <w:start w:val="127"/>
      <w:numFmt w:val="decimal"/>
      <w:lvlText w:val="(%8)"/>
      <w:lvlJc w:val="left"/>
      <w:pPr>
        <w:ind w:left="5760" w:hanging="360"/>
      </w:pPr>
    </w:lvl>
    <w:lvl w:ilvl="8">
      <w:start w:val="127"/>
      <w:numFmt w:val="decimal"/>
      <w:lvlText w:val="(%9)"/>
      <w:lvlJc w:val="left"/>
      <w:pPr>
        <w:ind w:left="6480" w:hanging="360"/>
      </w:pPr>
    </w:lvl>
  </w:abstractNum>
  <w:abstractNum w:abstractNumId="9943128">
    <w:nsid w:val="A9943128"/>
    <w:multiLevelType w:val="multilevel"/>
    <w:lvl w:ilvl="0">
      <w:start w:val="128"/>
      <w:numFmt w:val="decimal"/>
      <w:lvlText w:val="(%1)"/>
      <w:lvlJc w:val="left"/>
      <w:pPr>
        <w:ind w:left="720" w:hanging="360"/>
      </w:pPr>
    </w:lvl>
    <w:lvl w:ilvl="1">
      <w:start w:val="128"/>
      <w:numFmt w:val="decimal"/>
      <w:lvlText w:val="(%2)"/>
      <w:lvlJc w:val="left"/>
      <w:pPr>
        <w:ind w:left="1440" w:hanging="360"/>
      </w:pPr>
    </w:lvl>
    <w:lvl w:ilvl="2">
      <w:start w:val="128"/>
      <w:numFmt w:val="decimal"/>
      <w:lvlText w:val="(%3)"/>
      <w:lvlJc w:val="left"/>
      <w:pPr>
        <w:ind w:left="2160" w:hanging="360"/>
      </w:pPr>
    </w:lvl>
    <w:lvl w:ilvl="3">
      <w:start w:val="128"/>
      <w:numFmt w:val="decimal"/>
      <w:lvlText w:val="(%4)"/>
      <w:lvlJc w:val="left"/>
      <w:pPr>
        <w:ind w:left="2880" w:hanging="360"/>
      </w:pPr>
    </w:lvl>
    <w:lvl w:ilvl="4">
      <w:start w:val="128"/>
      <w:numFmt w:val="decimal"/>
      <w:lvlText w:val="(%5)"/>
      <w:lvlJc w:val="left"/>
      <w:pPr>
        <w:ind w:left="3600" w:hanging="360"/>
      </w:pPr>
    </w:lvl>
    <w:lvl w:ilvl="5">
      <w:start w:val="128"/>
      <w:numFmt w:val="decimal"/>
      <w:lvlText w:val="(%6)"/>
      <w:lvlJc w:val="left"/>
      <w:pPr>
        <w:ind w:left="4320" w:hanging="360"/>
      </w:pPr>
    </w:lvl>
    <w:lvl w:ilvl="6">
      <w:start w:val="128"/>
      <w:numFmt w:val="decimal"/>
      <w:lvlText w:val="(%7)"/>
      <w:lvlJc w:val="left"/>
      <w:pPr>
        <w:ind w:left="5040" w:hanging="360"/>
      </w:pPr>
    </w:lvl>
    <w:lvl w:ilvl="7">
      <w:start w:val="128"/>
      <w:numFmt w:val="decimal"/>
      <w:lvlText w:val="(%8)"/>
      <w:lvlJc w:val="left"/>
      <w:pPr>
        <w:ind w:left="5760" w:hanging="360"/>
      </w:pPr>
    </w:lvl>
    <w:lvl w:ilvl="8">
      <w:start w:val="128"/>
      <w:numFmt w:val="decimal"/>
      <w:lvlText w:val="(%9)"/>
      <w:lvlJc w:val="left"/>
      <w:pPr>
        <w:ind w:left="6480" w:hanging="360"/>
      </w:pPr>
    </w:lvl>
  </w:abstractNum>
  <w:abstractNum w:abstractNumId="9943133">
    <w:nsid w:val="A9943133"/>
    <w:multiLevelType w:val="multilevel"/>
    <w:lvl w:ilvl="0">
      <w:start w:val="133"/>
      <w:numFmt w:val="decimal"/>
      <w:lvlText w:val="(%1)"/>
      <w:lvlJc w:val="left"/>
      <w:pPr>
        <w:ind w:left="720" w:hanging="360"/>
      </w:pPr>
    </w:lvl>
    <w:lvl w:ilvl="1">
      <w:start w:val="133"/>
      <w:numFmt w:val="decimal"/>
      <w:lvlText w:val="(%2)"/>
      <w:lvlJc w:val="left"/>
      <w:pPr>
        <w:ind w:left="1440" w:hanging="360"/>
      </w:pPr>
    </w:lvl>
    <w:lvl w:ilvl="2">
      <w:start w:val="133"/>
      <w:numFmt w:val="decimal"/>
      <w:lvlText w:val="(%3)"/>
      <w:lvlJc w:val="left"/>
      <w:pPr>
        <w:ind w:left="2160" w:hanging="360"/>
      </w:pPr>
    </w:lvl>
    <w:lvl w:ilvl="3">
      <w:start w:val="133"/>
      <w:numFmt w:val="decimal"/>
      <w:lvlText w:val="(%4)"/>
      <w:lvlJc w:val="left"/>
      <w:pPr>
        <w:ind w:left="2880" w:hanging="360"/>
      </w:pPr>
    </w:lvl>
    <w:lvl w:ilvl="4">
      <w:start w:val="133"/>
      <w:numFmt w:val="decimal"/>
      <w:lvlText w:val="(%5)"/>
      <w:lvlJc w:val="left"/>
      <w:pPr>
        <w:ind w:left="3600" w:hanging="360"/>
      </w:pPr>
    </w:lvl>
    <w:lvl w:ilvl="5">
      <w:start w:val="133"/>
      <w:numFmt w:val="decimal"/>
      <w:lvlText w:val="(%6)"/>
      <w:lvlJc w:val="left"/>
      <w:pPr>
        <w:ind w:left="4320" w:hanging="360"/>
      </w:pPr>
    </w:lvl>
    <w:lvl w:ilvl="6">
      <w:start w:val="133"/>
      <w:numFmt w:val="decimal"/>
      <w:lvlText w:val="(%7)"/>
      <w:lvlJc w:val="left"/>
      <w:pPr>
        <w:ind w:left="5040" w:hanging="360"/>
      </w:pPr>
    </w:lvl>
    <w:lvl w:ilvl="7">
      <w:start w:val="133"/>
      <w:numFmt w:val="decimal"/>
      <w:lvlText w:val="(%8)"/>
      <w:lvlJc w:val="left"/>
      <w:pPr>
        <w:ind w:left="5760" w:hanging="360"/>
      </w:pPr>
    </w:lvl>
    <w:lvl w:ilvl="8">
      <w:start w:val="133"/>
      <w:numFmt w:val="decimal"/>
      <w:lvlText w:val="(%9)"/>
      <w:lvlJc w:val="left"/>
      <w:pPr>
        <w:ind w:left="6480" w:hanging="360"/>
      </w:pPr>
    </w:lvl>
  </w:abstractNum>
  <w:abstractNum w:abstractNumId="9943135">
    <w:nsid w:val="A9943135"/>
    <w:multiLevelType w:val="multilevel"/>
    <w:lvl w:ilvl="0">
      <w:start w:val="135"/>
      <w:numFmt w:val="decimal"/>
      <w:lvlText w:val="(%1)"/>
      <w:lvlJc w:val="left"/>
      <w:pPr>
        <w:ind w:left="720" w:hanging="360"/>
      </w:pPr>
    </w:lvl>
    <w:lvl w:ilvl="1">
      <w:start w:val="135"/>
      <w:numFmt w:val="decimal"/>
      <w:lvlText w:val="(%2)"/>
      <w:lvlJc w:val="left"/>
      <w:pPr>
        <w:ind w:left="1440" w:hanging="360"/>
      </w:pPr>
    </w:lvl>
    <w:lvl w:ilvl="2">
      <w:start w:val="135"/>
      <w:numFmt w:val="decimal"/>
      <w:lvlText w:val="(%3)"/>
      <w:lvlJc w:val="left"/>
      <w:pPr>
        <w:ind w:left="2160" w:hanging="360"/>
      </w:pPr>
    </w:lvl>
    <w:lvl w:ilvl="3">
      <w:start w:val="135"/>
      <w:numFmt w:val="decimal"/>
      <w:lvlText w:val="(%4)"/>
      <w:lvlJc w:val="left"/>
      <w:pPr>
        <w:ind w:left="2880" w:hanging="360"/>
      </w:pPr>
    </w:lvl>
    <w:lvl w:ilvl="4">
      <w:start w:val="135"/>
      <w:numFmt w:val="decimal"/>
      <w:lvlText w:val="(%5)"/>
      <w:lvlJc w:val="left"/>
      <w:pPr>
        <w:ind w:left="3600" w:hanging="360"/>
      </w:pPr>
    </w:lvl>
    <w:lvl w:ilvl="5">
      <w:start w:val="135"/>
      <w:numFmt w:val="decimal"/>
      <w:lvlText w:val="(%6)"/>
      <w:lvlJc w:val="left"/>
      <w:pPr>
        <w:ind w:left="4320" w:hanging="360"/>
      </w:pPr>
    </w:lvl>
    <w:lvl w:ilvl="6">
      <w:start w:val="135"/>
      <w:numFmt w:val="decimal"/>
      <w:lvlText w:val="(%7)"/>
      <w:lvlJc w:val="left"/>
      <w:pPr>
        <w:ind w:left="5040" w:hanging="360"/>
      </w:pPr>
    </w:lvl>
    <w:lvl w:ilvl="7">
      <w:start w:val="135"/>
      <w:numFmt w:val="decimal"/>
      <w:lvlText w:val="(%8)"/>
      <w:lvlJc w:val="left"/>
      <w:pPr>
        <w:ind w:left="5760" w:hanging="360"/>
      </w:pPr>
    </w:lvl>
    <w:lvl w:ilvl="8">
      <w:start w:val="135"/>
      <w:numFmt w:val="decimal"/>
      <w:lvlText w:val="(%9)"/>
      <w:lvlJc w:val="left"/>
      <w:pPr>
        <w:ind w:left="6480" w:hanging="360"/>
      </w:pPr>
    </w:lvl>
  </w:abstractNum>
  <w:abstractNum w:abstractNumId="9943140">
    <w:nsid w:val="A9943140"/>
    <w:multiLevelType w:val="multilevel"/>
    <w:lvl w:ilvl="0">
      <w:start w:val="140"/>
      <w:numFmt w:val="decimal"/>
      <w:lvlText w:val="(%1)"/>
      <w:lvlJc w:val="left"/>
      <w:pPr>
        <w:ind w:left="720" w:hanging="360"/>
      </w:pPr>
    </w:lvl>
    <w:lvl w:ilvl="1">
      <w:start w:val="140"/>
      <w:numFmt w:val="decimal"/>
      <w:lvlText w:val="(%2)"/>
      <w:lvlJc w:val="left"/>
      <w:pPr>
        <w:ind w:left="1440" w:hanging="360"/>
      </w:pPr>
    </w:lvl>
    <w:lvl w:ilvl="2">
      <w:start w:val="140"/>
      <w:numFmt w:val="decimal"/>
      <w:lvlText w:val="(%3)"/>
      <w:lvlJc w:val="left"/>
      <w:pPr>
        <w:ind w:left="2160" w:hanging="360"/>
      </w:pPr>
    </w:lvl>
    <w:lvl w:ilvl="3">
      <w:start w:val="140"/>
      <w:numFmt w:val="decimal"/>
      <w:lvlText w:val="(%4)"/>
      <w:lvlJc w:val="left"/>
      <w:pPr>
        <w:ind w:left="2880" w:hanging="360"/>
      </w:pPr>
    </w:lvl>
    <w:lvl w:ilvl="4">
      <w:start w:val="140"/>
      <w:numFmt w:val="decimal"/>
      <w:lvlText w:val="(%5)"/>
      <w:lvlJc w:val="left"/>
      <w:pPr>
        <w:ind w:left="3600" w:hanging="360"/>
      </w:pPr>
    </w:lvl>
    <w:lvl w:ilvl="5">
      <w:start w:val="140"/>
      <w:numFmt w:val="decimal"/>
      <w:lvlText w:val="(%6)"/>
      <w:lvlJc w:val="left"/>
      <w:pPr>
        <w:ind w:left="4320" w:hanging="360"/>
      </w:pPr>
    </w:lvl>
    <w:lvl w:ilvl="6">
      <w:start w:val="140"/>
      <w:numFmt w:val="decimal"/>
      <w:lvlText w:val="(%7)"/>
      <w:lvlJc w:val="left"/>
      <w:pPr>
        <w:ind w:left="5040" w:hanging="360"/>
      </w:pPr>
    </w:lvl>
    <w:lvl w:ilvl="7">
      <w:start w:val="140"/>
      <w:numFmt w:val="decimal"/>
      <w:lvlText w:val="(%8)"/>
      <w:lvlJc w:val="left"/>
      <w:pPr>
        <w:ind w:left="5760" w:hanging="360"/>
      </w:pPr>
    </w:lvl>
    <w:lvl w:ilvl="8">
      <w:start w:val="140"/>
      <w:numFmt w:val="decimal"/>
      <w:lvlText w:val="(%9)"/>
      <w:lvlJc w:val="left"/>
      <w:pPr>
        <w:ind w:left="6480" w:hanging="360"/>
      </w:pPr>
    </w:lvl>
  </w:abstractNum>
  <w:abstractNum w:abstractNumId="9943143">
    <w:nsid w:val="A9943143"/>
    <w:multiLevelType w:val="multilevel"/>
    <w:lvl w:ilvl="0">
      <w:start w:val="143"/>
      <w:numFmt w:val="decimal"/>
      <w:lvlText w:val="(%1)"/>
      <w:lvlJc w:val="left"/>
      <w:pPr>
        <w:ind w:left="720" w:hanging="360"/>
      </w:pPr>
    </w:lvl>
    <w:lvl w:ilvl="1">
      <w:start w:val="143"/>
      <w:numFmt w:val="decimal"/>
      <w:lvlText w:val="(%2)"/>
      <w:lvlJc w:val="left"/>
      <w:pPr>
        <w:ind w:left="1440" w:hanging="360"/>
      </w:pPr>
    </w:lvl>
    <w:lvl w:ilvl="2">
      <w:start w:val="143"/>
      <w:numFmt w:val="decimal"/>
      <w:lvlText w:val="(%3)"/>
      <w:lvlJc w:val="left"/>
      <w:pPr>
        <w:ind w:left="2160" w:hanging="360"/>
      </w:pPr>
    </w:lvl>
    <w:lvl w:ilvl="3">
      <w:start w:val="143"/>
      <w:numFmt w:val="decimal"/>
      <w:lvlText w:val="(%4)"/>
      <w:lvlJc w:val="left"/>
      <w:pPr>
        <w:ind w:left="2880" w:hanging="360"/>
      </w:pPr>
    </w:lvl>
    <w:lvl w:ilvl="4">
      <w:start w:val="143"/>
      <w:numFmt w:val="decimal"/>
      <w:lvlText w:val="(%5)"/>
      <w:lvlJc w:val="left"/>
      <w:pPr>
        <w:ind w:left="3600" w:hanging="360"/>
      </w:pPr>
    </w:lvl>
    <w:lvl w:ilvl="5">
      <w:start w:val="143"/>
      <w:numFmt w:val="decimal"/>
      <w:lvlText w:val="(%6)"/>
      <w:lvlJc w:val="left"/>
      <w:pPr>
        <w:ind w:left="4320" w:hanging="360"/>
      </w:pPr>
    </w:lvl>
    <w:lvl w:ilvl="6">
      <w:start w:val="143"/>
      <w:numFmt w:val="decimal"/>
      <w:lvlText w:val="(%7)"/>
      <w:lvlJc w:val="left"/>
      <w:pPr>
        <w:ind w:left="5040" w:hanging="360"/>
      </w:pPr>
    </w:lvl>
    <w:lvl w:ilvl="7">
      <w:start w:val="143"/>
      <w:numFmt w:val="decimal"/>
      <w:lvlText w:val="(%8)"/>
      <w:lvlJc w:val="left"/>
      <w:pPr>
        <w:ind w:left="5760" w:hanging="360"/>
      </w:pPr>
    </w:lvl>
    <w:lvl w:ilvl="8">
      <w:start w:val="143"/>
      <w:numFmt w:val="decimal"/>
      <w:lvlText w:val="(%9)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3145">
    <w:nsid w:val="A9943145"/>
    <w:multiLevelType w:val="multilevel"/>
    <w:lvl w:ilvl="0">
      <w:start w:val="145"/>
      <w:numFmt w:val="decimal"/>
      <w:lvlText w:val="(%1)"/>
      <w:lvlJc w:val="left"/>
      <w:pPr>
        <w:ind w:left="720" w:hanging="360"/>
      </w:pPr>
    </w:lvl>
    <w:lvl w:ilvl="1">
      <w:start w:val="145"/>
      <w:numFmt w:val="decimal"/>
      <w:lvlText w:val="(%2)"/>
      <w:lvlJc w:val="left"/>
      <w:pPr>
        <w:ind w:left="1440" w:hanging="360"/>
      </w:pPr>
    </w:lvl>
    <w:lvl w:ilvl="2">
      <w:start w:val="145"/>
      <w:numFmt w:val="decimal"/>
      <w:lvlText w:val="(%3)"/>
      <w:lvlJc w:val="left"/>
      <w:pPr>
        <w:ind w:left="2160" w:hanging="360"/>
      </w:pPr>
    </w:lvl>
    <w:lvl w:ilvl="3">
      <w:start w:val="145"/>
      <w:numFmt w:val="decimal"/>
      <w:lvlText w:val="(%4)"/>
      <w:lvlJc w:val="left"/>
      <w:pPr>
        <w:ind w:left="2880" w:hanging="360"/>
      </w:pPr>
    </w:lvl>
    <w:lvl w:ilvl="4">
      <w:start w:val="145"/>
      <w:numFmt w:val="decimal"/>
      <w:lvlText w:val="(%5)"/>
      <w:lvlJc w:val="left"/>
      <w:pPr>
        <w:ind w:left="3600" w:hanging="360"/>
      </w:pPr>
    </w:lvl>
    <w:lvl w:ilvl="5">
      <w:start w:val="145"/>
      <w:numFmt w:val="decimal"/>
      <w:lvlText w:val="(%6)"/>
      <w:lvlJc w:val="left"/>
      <w:pPr>
        <w:ind w:left="4320" w:hanging="360"/>
      </w:pPr>
    </w:lvl>
    <w:lvl w:ilvl="6">
      <w:start w:val="145"/>
      <w:numFmt w:val="decimal"/>
      <w:lvlText w:val="(%7)"/>
      <w:lvlJc w:val="left"/>
      <w:pPr>
        <w:ind w:left="5040" w:hanging="360"/>
      </w:pPr>
    </w:lvl>
    <w:lvl w:ilvl="7">
      <w:start w:val="145"/>
      <w:numFmt w:val="decimal"/>
      <w:lvlText w:val="(%8)"/>
      <w:lvlJc w:val="left"/>
      <w:pPr>
        <w:ind w:left="5760" w:hanging="360"/>
      </w:pPr>
    </w:lvl>
    <w:lvl w:ilvl="8">
      <w:start w:val="145"/>
      <w:numFmt w:val="decimal"/>
      <w:lvlText w:val="(%9)"/>
      <w:lvlJc w:val="left"/>
      <w:pPr>
        <w:ind w:left="6480" w:hanging="360"/>
      </w:pPr>
    </w:lvl>
  </w:abstractNum>
  <w:abstractNum w:abstractNumId="9943150">
    <w:nsid w:val="A9943150"/>
    <w:multiLevelType w:val="multilevel"/>
    <w:lvl w:ilvl="0">
      <w:start w:val="150"/>
      <w:numFmt w:val="decimal"/>
      <w:lvlText w:val="(%1)"/>
      <w:lvlJc w:val="left"/>
      <w:pPr>
        <w:ind w:left="720" w:hanging="360"/>
      </w:pPr>
    </w:lvl>
    <w:lvl w:ilvl="1">
      <w:start w:val="150"/>
      <w:numFmt w:val="decimal"/>
      <w:lvlText w:val="(%2)"/>
      <w:lvlJc w:val="left"/>
      <w:pPr>
        <w:ind w:left="1440" w:hanging="360"/>
      </w:pPr>
    </w:lvl>
    <w:lvl w:ilvl="2">
      <w:start w:val="150"/>
      <w:numFmt w:val="decimal"/>
      <w:lvlText w:val="(%3)"/>
      <w:lvlJc w:val="left"/>
      <w:pPr>
        <w:ind w:left="2160" w:hanging="360"/>
      </w:pPr>
    </w:lvl>
    <w:lvl w:ilvl="3">
      <w:start w:val="150"/>
      <w:numFmt w:val="decimal"/>
      <w:lvlText w:val="(%4)"/>
      <w:lvlJc w:val="left"/>
      <w:pPr>
        <w:ind w:left="2880" w:hanging="360"/>
      </w:pPr>
    </w:lvl>
    <w:lvl w:ilvl="4">
      <w:start w:val="150"/>
      <w:numFmt w:val="decimal"/>
      <w:lvlText w:val="(%5)"/>
      <w:lvlJc w:val="left"/>
      <w:pPr>
        <w:ind w:left="3600" w:hanging="360"/>
      </w:pPr>
    </w:lvl>
    <w:lvl w:ilvl="5">
      <w:start w:val="150"/>
      <w:numFmt w:val="decimal"/>
      <w:lvlText w:val="(%6)"/>
      <w:lvlJc w:val="left"/>
      <w:pPr>
        <w:ind w:left="4320" w:hanging="360"/>
      </w:pPr>
    </w:lvl>
    <w:lvl w:ilvl="6">
      <w:start w:val="150"/>
      <w:numFmt w:val="decimal"/>
      <w:lvlText w:val="(%7)"/>
      <w:lvlJc w:val="left"/>
      <w:pPr>
        <w:ind w:left="5040" w:hanging="360"/>
      </w:pPr>
    </w:lvl>
    <w:lvl w:ilvl="7">
      <w:start w:val="150"/>
      <w:numFmt w:val="decimal"/>
      <w:lvlText w:val="(%8)"/>
      <w:lvlJc w:val="left"/>
      <w:pPr>
        <w:ind w:left="5760" w:hanging="360"/>
      </w:pPr>
    </w:lvl>
    <w:lvl w:ilvl="8">
      <w:start w:val="150"/>
      <w:numFmt w:val="decimal"/>
      <w:lvlText w:val="(%9)"/>
      <w:lvlJc w:val="left"/>
      <w:pPr>
        <w:ind w:left="6480" w:hanging="360"/>
      </w:pPr>
    </w:lvl>
  </w:abstractNum>
  <w:abstractNum w:abstractNumId="9943156">
    <w:nsid w:val="A9943156"/>
    <w:multiLevelType w:val="multilevel"/>
    <w:lvl w:ilvl="0">
      <w:start w:val="156"/>
      <w:numFmt w:val="decimal"/>
      <w:lvlText w:val="(%1)"/>
      <w:lvlJc w:val="left"/>
      <w:pPr>
        <w:ind w:left="720" w:hanging="360"/>
      </w:pPr>
    </w:lvl>
    <w:lvl w:ilvl="1">
      <w:start w:val="156"/>
      <w:numFmt w:val="decimal"/>
      <w:lvlText w:val="(%2)"/>
      <w:lvlJc w:val="left"/>
      <w:pPr>
        <w:ind w:left="1440" w:hanging="360"/>
      </w:pPr>
    </w:lvl>
    <w:lvl w:ilvl="2">
      <w:start w:val="156"/>
      <w:numFmt w:val="decimal"/>
      <w:lvlText w:val="(%3)"/>
      <w:lvlJc w:val="left"/>
      <w:pPr>
        <w:ind w:left="2160" w:hanging="360"/>
      </w:pPr>
    </w:lvl>
    <w:lvl w:ilvl="3">
      <w:start w:val="156"/>
      <w:numFmt w:val="decimal"/>
      <w:lvlText w:val="(%4)"/>
      <w:lvlJc w:val="left"/>
      <w:pPr>
        <w:ind w:left="2880" w:hanging="360"/>
      </w:pPr>
    </w:lvl>
    <w:lvl w:ilvl="4">
      <w:start w:val="156"/>
      <w:numFmt w:val="decimal"/>
      <w:lvlText w:val="(%5)"/>
      <w:lvlJc w:val="left"/>
      <w:pPr>
        <w:ind w:left="3600" w:hanging="360"/>
      </w:pPr>
    </w:lvl>
    <w:lvl w:ilvl="5">
      <w:start w:val="156"/>
      <w:numFmt w:val="decimal"/>
      <w:lvlText w:val="(%6)"/>
      <w:lvlJc w:val="left"/>
      <w:pPr>
        <w:ind w:left="4320" w:hanging="360"/>
      </w:pPr>
    </w:lvl>
    <w:lvl w:ilvl="6">
      <w:start w:val="156"/>
      <w:numFmt w:val="decimal"/>
      <w:lvlText w:val="(%7)"/>
      <w:lvlJc w:val="left"/>
      <w:pPr>
        <w:ind w:left="5040" w:hanging="360"/>
      </w:pPr>
    </w:lvl>
    <w:lvl w:ilvl="7">
      <w:start w:val="156"/>
      <w:numFmt w:val="decimal"/>
      <w:lvlText w:val="(%8)"/>
      <w:lvlJc w:val="left"/>
      <w:pPr>
        <w:ind w:left="5760" w:hanging="360"/>
      </w:pPr>
    </w:lvl>
    <w:lvl w:ilvl="8">
      <w:start w:val="156"/>
      <w:numFmt w:val="decimal"/>
      <w:lvlText w:val="(%9)"/>
      <w:lvlJc w:val="left"/>
      <w:pPr>
        <w:ind w:left="6480" w:hanging="360"/>
      </w:pPr>
    </w:lvl>
  </w:abstractNum>
  <w:abstractNum w:abstractNumId="9943161">
    <w:nsid w:val="A9943161"/>
    <w:multiLevelType w:val="multilevel"/>
    <w:lvl w:ilvl="0">
      <w:start w:val="161"/>
      <w:numFmt w:val="decimal"/>
      <w:lvlText w:val="(%1)"/>
      <w:lvlJc w:val="left"/>
      <w:pPr>
        <w:ind w:left="720" w:hanging="360"/>
      </w:pPr>
    </w:lvl>
    <w:lvl w:ilvl="1">
      <w:start w:val="161"/>
      <w:numFmt w:val="decimal"/>
      <w:lvlText w:val="(%2)"/>
      <w:lvlJc w:val="left"/>
      <w:pPr>
        <w:ind w:left="1440" w:hanging="360"/>
      </w:pPr>
    </w:lvl>
    <w:lvl w:ilvl="2">
      <w:start w:val="161"/>
      <w:numFmt w:val="decimal"/>
      <w:lvlText w:val="(%3)"/>
      <w:lvlJc w:val="left"/>
      <w:pPr>
        <w:ind w:left="2160" w:hanging="360"/>
      </w:pPr>
    </w:lvl>
    <w:lvl w:ilvl="3">
      <w:start w:val="161"/>
      <w:numFmt w:val="decimal"/>
      <w:lvlText w:val="(%4)"/>
      <w:lvlJc w:val="left"/>
      <w:pPr>
        <w:ind w:left="2880" w:hanging="360"/>
      </w:pPr>
    </w:lvl>
    <w:lvl w:ilvl="4">
      <w:start w:val="161"/>
      <w:numFmt w:val="decimal"/>
      <w:lvlText w:val="(%5)"/>
      <w:lvlJc w:val="left"/>
      <w:pPr>
        <w:ind w:left="3600" w:hanging="360"/>
      </w:pPr>
    </w:lvl>
    <w:lvl w:ilvl="5">
      <w:start w:val="161"/>
      <w:numFmt w:val="decimal"/>
      <w:lvlText w:val="(%6)"/>
      <w:lvlJc w:val="left"/>
      <w:pPr>
        <w:ind w:left="4320" w:hanging="360"/>
      </w:pPr>
    </w:lvl>
    <w:lvl w:ilvl="6">
      <w:start w:val="161"/>
      <w:numFmt w:val="decimal"/>
      <w:lvlText w:val="(%7)"/>
      <w:lvlJc w:val="left"/>
      <w:pPr>
        <w:ind w:left="5040" w:hanging="360"/>
      </w:pPr>
    </w:lvl>
    <w:lvl w:ilvl="7">
      <w:start w:val="161"/>
      <w:numFmt w:val="decimal"/>
      <w:lvlText w:val="(%8)"/>
      <w:lvlJc w:val="left"/>
      <w:pPr>
        <w:ind w:left="5760" w:hanging="360"/>
      </w:pPr>
    </w:lvl>
    <w:lvl w:ilvl="8">
      <w:start w:val="161"/>
      <w:numFmt w:val="decimal"/>
      <w:lvlText w:val="(%9)"/>
      <w:lvlJc w:val="left"/>
      <w:pPr>
        <w:ind w:left="6480" w:hanging="360"/>
      </w:pPr>
    </w:lvl>
  </w:abstractNum>
  <w:abstractNum w:abstractNumId="9943162">
    <w:nsid w:val="A9943162"/>
    <w:multiLevelType w:val="multilevel"/>
    <w:lvl w:ilvl="0">
      <w:start w:val="162"/>
      <w:numFmt w:val="decimal"/>
      <w:lvlText w:val="(%1)"/>
      <w:lvlJc w:val="left"/>
      <w:pPr>
        <w:ind w:left="720" w:hanging="360"/>
      </w:pPr>
    </w:lvl>
    <w:lvl w:ilvl="1">
      <w:start w:val="162"/>
      <w:numFmt w:val="decimal"/>
      <w:lvlText w:val="(%2)"/>
      <w:lvlJc w:val="left"/>
      <w:pPr>
        <w:ind w:left="1440" w:hanging="360"/>
      </w:pPr>
    </w:lvl>
    <w:lvl w:ilvl="2">
      <w:start w:val="162"/>
      <w:numFmt w:val="decimal"/>
      <w:lvlText w:val="(%3)"/>
      <w:lvlJc w:val="left"/>
      <w:pPr>
        <w:ind w:left="2160" w:hanging="360"/>
      </w:pPr>
    </w:lvl>
    <w:lvl w:ilvl="3">
      <w:start w:val="162"/>
      <w:numFmt w:val="decimal"/>
      <w:lvlText w:val="(%4)"/>
      <w:lvlJc w:val="left"/>
      <w:pPr>
        <w:ind w:left="2880" w:hanging="360"/>
      </w:pPr>
    </w:lvl>
    <w:lvl w:ilvl="4">
      <w:start w:val="162"/>
      <w:numFmt w:val="decimal"/>
      <w:lvlText w:val="(%5)"/>
      <w:lvlJc w:val="left"/>
      <w:pPr>
        <w:ind w:left="3600" w:hanging="360"/>
      </w:pPr>
    </w:lvl>
    <w:lvl w:ilvl="5">
      <w:start w:val="162"/>
      <w:numFmt w:val="decimal"/>
      <w:lvlText w:val="(%6)"/>
      <w:lvlJc w:val="left"/>
      <w:pPr>
        <w:ind w:left="4320" w:hanging="360"/>
      </w:pPr>
    </w:lvl>
    <w:lvl w:ilvl="6">
      <w:start w:val="162"/>
      <w:numFmt w:val="decimal"/>
      <w:lvlText w:val="(%7)"/>
      <w:lvlJc w:val="left"/>
      <w:pPr>
        <w:ind w:left="5040" w:hanging="360"/>
      </w:pPr>
    </w:lvl>
    <w:lvl w:ilvl="7">
      <w:start w:val="162"/>
      <w:numFmt w:val="decimal"/>
      <w:lvlText w:val="(%8)"/>
      <w:lvlJc w:val="left"/>
      <w:pPr>
        <w:ind w:left="5760" w:hanging="360"/>
      </w:pPr>
    </w:lvl>
    <w:lvl w:ilvl="8">
      <w:start w:val="162"/>
      <w:numFmt w:val="decimal"/>
      <w:lvlText w:val="(%9)"/>
      <w:lvlJc w:val="left"/>
      <w:pPr>
        <w:ind w:left="6480" w:hanging="360"/>
      </w:pPr>
    </w:lvl>
  </w:abstractNum>
  <w:abstractNum w:abstractNumId="9943167">
    <w:nsid w:val="A9943167"/>
    <w:multiLevelType w:val="multilevel"/>
    <w:lvl w:ilvl="0">
      <w:start w:val="167"/>
      <w:numFmt w:val="decimal"/>
      <w:lvlText w:val="(%1)"/>
      <w:lvlJc w:val="left"/>
      <w:pPr>
        <w:ind w:left="720" w:hanging="360"/>
      </w:pPr>
    </w:lvl>
    <w:lvl w:ilvl="1">
      <w:start w:val="167"/>
      <w:numFmt w:val="decimal"/>
      <w:lvlText w:val="(%2)"/>
      <w:lvlJc w:val="left"/>
      <w:pPr>
        <w:ind w:left="1440" w:hanging="360"/>
      </w:pPr>
    </w:lvl>
    <w:lvl w:ilvl="2">
      <w:start w:val="167"/>
      <w:numFmt w:val="decimal"/>
      <w:lvlText w:val="(%3)"/>
      <w:lvlJc w:val="left"/>
      <w:pPr>
        <w:ind w:left="2160" w:hanging="360"/>
      </w:pPr>
    </w:lvl>
    <w:lvl w:ilvl="3">
      <w:start w:val="167"/>
      <w:numFmt w:val="decimal"/>
      <w:lvlText w:val="(%4)"/>
      <w:lvlJc w:val="left"/>
      <w:pPr>
        <w:ind w:left="2880" w:hanging="360"/>
      </w:pPr>
    </w:lvl>
    <w:lvl w:ilvl="4">
      <w:start w:val="167"/>
      <w:numFmt w:val="decimal"/>
      <w:lvlText w:val="(%5)"/>
      <w:lvlJc w:val="left"/>
      <w:pPr>
        <w:ind w:left="3600" w:hanging="360"/>
      </w:pPr>
    </w:lvl>
    <w:lvl w:ilvl="5">
      <w:start w:val="167"/>
      <w:numFmt w:val="decimal"/>
      <w:lvlText w:val="(%6)"/>
      <w:lvlJc w:val="left"/>
      <w:pPr>
        <w:ind w:left="4320" w:hanging="360"/>
      </w:pPr>
    </w:lvl>
    <w:lvl w:ilvl="6">
      <w:start w:val="167"/>
      <w:numFmt w:val="decimal"/>
      <w:lvlText w:val="(%7)"/>
      <w:lvlJc w:val="left"/>
      <w:pPr>
        <w:ind w:left="5040" w:hanging="360"/>
      </w:pPr>
    </w:lvl>
    <w:lvl w:ilvl="7">
      <w:start w:val="167"/>
      <w:numFmt w:val="decimal"/>
      <w:lvlText w:val="(%8)"/>
      <w:lvlJc w:val="left"/>
      <w:pPr>
        <w:ind w:left="5760" w:hanging="360"/>
      </w:pPr>
    </w:lvl>
    <w:lvl w:ilvl="8">
      <w:start w:val="167"/>
      <w:numFmt w:val="decimal"/>
      <w:lvlText w:val="(%9)"/>
      <w:lvlJc w:val="left"/>
      <w:pPr>
        <w:ind w:left="6480" w:hanging="360"/>
      </w:pPr>
    </w:lvl>
  </w:abstractNum>
  <w:abstractNum w:abstractNumId="9943168">
    <w:nsid w:val="A9943168"/>
    <w:multiLevelType w:val="multilevel"/>
    <w:lvl w:ilvl="0">
      <w:start w:val="168"/>
      <w:numFmt w:val="decimal"/>
      <w:lvlText w:val="(%1)"/>
      <w:lvlJc w:val="left"/>
      <w:pPr>
        <w:ind w:left="720" w:hanging="360"/>
      </w:pPr>
    </w:lvl>
    <w:lvl w:ilvl="1">
      <w:start w:val="168"/>
      <w:numFmt w:val="decimal"/>
      <w:lvlText w:val="(%2)"/>
      <w:lvlJc w:val="left"/>
      <w:pPr>
        <w:ind w:left="1440" w:hanging="360"/>
      </w:pPr>
    </w:lvl>
    <w:lvl w:ilvl="2">
      <w:start w:val="168"/>
      <w:numFmt w:val="decimal"/>
      <w:lvlText w:val="(%3)"/>
      <w:lvlJc w:val="left"/>
      <w:pPr>
        <w:ind w:left="2160" w:hanging="360"/>
      </w:pPr>
    </w:lvl>
    <w:lvl w:ilvl="3">
      <w:start w:val="168"/>
      <w:numFmt w:val="decimal"/>
      <w:lvlText w:val="(%4)"/>
      <w:lvlJc w:val="left"/>
      <w:pPr>
        <w:ind w:left="2880" w:hanging="360"/>
      </w:pPr>
    </w:lvl>
    <w:lvl w:ilvl="4">
      <w:start w:val="168"/>
      <w:numFmt w:val="decimal"/>
      <w:lvlText w:val="(%5)"/>
      <w:lvlJc w:val="left"/>
      <w:pPr>
        <w:ind w:left="3600" w:hanging="360"/>
      </w:pPr>
    </w:lvl>
    <w:lvl w:ilvl="5">
      <w:start w:val="168"/>
      <w:numFmt w:val="decimal"/>
      <w:lvlText w:val="(%6)"/>
      <w:lvlJc w:val="left"/>
      <w:pPr>
        <w:ind w:left="4320" w:hanging="360"/>
      </w:pPr>
    </w:lvl>
    <w:lvl w:ilvl="6">
      <w:start w:val="168"/>
      <w:numFmt w:val="decimal"/>
      <w:lvlText w:val="(%7)"/>
      <w:lvlJc w:val="left"/>
      <w:pPr>
        <w:ind w:left="5040" w:hanging="360"/>
      </w:pPr>
    </w:lvl>
    <w:lvl w:ilvl="7">
      <w:start w:val="168"/>
      <w:numFmt w:val="decimal"/>
      <w:lvlText w:val="(%8)"/>
      <w:lvlJc w:val="left"/>
      <w:pPr>
        <w:ind w:left="5760" w:hanging="360"/>
      </w:pPr>
    </w:lvl>
    <w:lvl w:ilvl="8">
      <w:start w:val="168"/>
      <w:numFmt w:val="decimal"/>
      <w:lvlText w:val="(%9)"/>
      <w:lvlJc w:val="left"/>
      <w:pPr>
        <w:ind w:left="6480" w:hanging="360"/>
      </w:pPr>
    </w:lvl>
  </w:abstractNum>
  <w:abstractNum w:abstractNumId="9943169">
    <w:nsid w:val="A9943169"/>
    <w:multiLevelType w:val="multilevel"/>
    <w:lvl w:ilvl="0">
      <w:start w:val="169"/>
      <w:numFmt w:val="decimal"/>
      <w:lvlText w:val="(%1)"/>
      <w:lvlJc w:val="left"/>
      <w:pPr>
        <w:ind w:left="720" w:hanging="360"/>
      </w:pPr>
    </w:lvl>
    <w:lvl w:ilvl="1">
      <w:start w:val="169"/>
      <w:numFmt w:val="decimal"/>
      <w:lvlText w:val="(%2)"/>
      <w:lvlJc w:val="left"/>
      <w:pPr>
        <w:ind w:left="1440" w:hanging="360"/>
      </w:pPr>
    </w:lvl>
    <w:lvl w:ilvl="2">
      <w:start w:val="169"/>
      <w:numFmt w:val="decimal"/>
      <w:lvlText w:val="(%3)"/>
      <w:lvlJc w:val="left"/>
      <w:pPr>
        <w:ind w:left="2160" w:hanging="360"/>
      </w:pPr>
    </w:lvl>
    <w:lvl w:ilvl="3">
      <w:start w:val="169"/>
      <w:numFmt w:val="decimal"/>
      <w:lvlText w:val="(%4)"/>
      <w:lvlJc w:val="left"/>
      <w:pPr>
        <w:ind w:left="2880" w:hanging="360"/>
      </w:pPr>
    </w:lvl>
    <w:lvl w:ilvl="4">
      <w:start w:val="169"/>
      <w:numFmt w:val="decimal"/>
      <w:lvlText w:val="(%5)"/>
      <w:lvlJc w:val="left"/>
      <w:pPr>
        <w:ind w:left="3600" w:hanging="360"/>
      </w:pPr>
    </w:lvl>
    <w:lvl w:ilvl="5">
      <w:start w:val="169"/>
      <w:numFmt w:val="decimal"/>
      <w:lvlText w:val="(%6)"/>
      <w:lvlJc w:val="left"/>
      <w:pPr>
        <w:ind w:left="4320" w:hanging="360"/>
      </w:pPr>
    </w:lvl>
    <w:lvl w:ilvl="6">
      <w:start w:val="169"/>
      <w:numFmt w:val="decimal"/>
      <w:lvlText w:val="(%7)"/>
      <w:lvlJc w:val="left"/>
      <w:pPr>
        <w:ind w:left="5040" w:hanging="360"/>
      </w:pPr>
    </w:lvl>
    <w:lvl w:ilvl="7">
      <w:start w:val="169"/>
      <w:numFmt w:val="decimal"/>
      <w:lvlText w:val="(%8)"/>
      <w:lvlJc w:val="left"/>
      <w:pPr>
        <w:ind w:left="5760" w:hanging="360"/>
      </w:pPr>
    </w:lvl>
    <w:lvl w:ilvl="8">
      <w:start w:val="169"/>
      <w:numFmt w:val="decimal"/>
      <w:lvlText w:val="(%9)"/>
      <w:lvlJc w:val="left"/>
      <w:pPr>
        <w:ind w:left="6480" w:hanging="360"/>
      </w:pPr>
    </w:lvl>
  </w:abstractNum>
  <w:abstractNum w:abstractNumId="9943172">
    <w:nsid w:val="A9943172"/>
    <w:multiLevelType w:val="multilevel"/>
    <w:lvl w:ilvl="0">
      <w:start w:val="172"/>
      <w:numFmt w:val="decimal"/>
      <w:lvlText w:val="(%1)"/>
      <w:lvlJc w:val="left"/>
      <w:pPr>
        <w:ind w:left="720" w:hanging="360"/>
      </w:pPr>
    </w:lvl>
    <w:lvl w:ilvl="1">
      <w:start w:val="172"/>
      <w:numFmt w:val="decimal"/>
      <w:lvlText w:val="(%2)"/>
      <w:lvlJc w:val="left"/>
      <w:pPr>
        <w:ind w:left="1440" w:hanging="360"/>
      </w:pPr>
    </w:lvl>
    <w:lvl w:ilvl="2">
      <w:start w:val="172"/>
      <w:numFmt w:val="decimal"/>
      <w:lvlText w:val="(%3)"/>
      <w:lvlJc w:val="left"/>
      <w:pPr>
        <w:ind w:left="2160" w:hanging="360"/>
      </w:pPr>
    </w:lvl>
    <w:lvl w:ilvl="3">
      <w:start w:val="172"/>
      <w:numFmt w:val="decimal"/>
      <w:lvlText w:val="(%4)"/>
      <w:lvlJc w:val="left"/>
      <w:pPr>
        <w:ind w:left="2880" w:hanging="360"/>
      </w:pPr>
    </w:lvl>
    <w:lvl w:ilvl="4">
      <w:start w:val="172"/>
      <w:numFmt w:val="decimal"/>
      <w:lvlText w:val="(%5)"/>
      <w:lvlJc w:val="left"/>
      <w:pPr>
        <w:ind w:left="3600" w:hanging="360"/>
      </w:pPr>
    </w:lvl>
    <w:lvl w:ilvl="5">
      <w:start w:val="172"/>
      <w:numFmt w:val="decimal"/>
      <w:lvlText w:val="(%6)"/>
      <w:lvlJc w:val="left"/>
      <w:pPr>
        <w:ind w:left="4320" w:hanging="360"/>
      </w:pPr>
    </w:lvl>
    <w:lvl w:ilvl="6">
      <w:start w:val="172"/>
      <w:numFmt w:val="decimal"/>
      <w:lvlText w:val="(%7)"/>
      <w:lvlJc w:val="left"/>
      <w:pPr>
        <w:ind w:left="5040" w:hanging="360"/>
      </w:pPr>
    </w:lvl>
    <w:lvl w:ilvl="7">
      <w:start w:val="172"/>
      <w:numFmt w:val="decimal"/>
      <w:lvlText w:val="(%8)"/>
      <w:lvlJc w:val="left"/>
      <w:pPr>
        <w:ind w:left="5760" w:hanging="360"/>
      </w:pPr>
    </w:lvl>
    <w:lvl w:ilvl="8">
      <w:start w:val="172"/>
      <w:numFmt w:val="decimal"/>
      <w:lvlText w:val="(%9)"/>
      <w:lvlJc w:val="left"/>
      <w:pPr>
        <w:ind w:left="6480" w:hanging="360"/>
      </w:pPr>
    </w:lvl>
  </w:abstractNum>
  <w:abstractNum w:abstractNumId="9943174">
    <w:nsid w:val="A9943174"/>
    <w:multiLevelType w:val="multilevel"/>
    <w:lvl w:ilvl="0">
      <w:start w:val="174"/>
      <w:numFmt w:val="decimal"/>
      <w:lvlText w:val="(%1)"/>
      <w:lvlJc w:val="left"/>
      <w:pPr>
        <w:ind w:left="720" w:hanging="360"/>
      </w:pPr>
    </w:lvl>
    <w:lvl w:ilvl="1">
      <w:start w:val="174"/>
      <w:numFmt w:val="decimal"/>
      <w:lvlText w:val="(%2)"/>
      <w:lvlJc w:val="left"/>
      <w:pPr>
        <w:ind w:left="1440" w:hanging="360"/>
      </w:pPr>
    </w:lvl>
    <w:lvl w:ilvl="2">
      <w:start w:val="174"/>
      <w:numFmt w:val="decimal"/>
      <w:lvlText w:val="(%3)"/>
      <w:lvlJc w:val="left"/>
      <w:pPr>
        <w:ind w:left="2160" w:hanging="360"/>
      </w:pPr>
    </w:lvl>
    <w:lvl w:ilvl="3">
      <w:start w:val="174"/>
      <w:numFmt w:val="decimal"/>
      <w:lvlText w:val="(%4)"/>
      <w:lvlJc w:val="left"/>
      <w:pPr>
        <w:ind w:left="2880" w:hanging="360"/>
      </w:pPr>
    </w:lvl>
    <w:lvl w:ilvl="4">
      <w:start w:val="174"/>
      <w:numFmt w:val="decimal"/>
      <w:lvlText w:val="(%5)"/>
      <w:lvlJc w:val="left"/>
      <w:pPr>
        <w:ind w:left="3600" w:hanging="360"/>
      </w:pPr>
    </w:lvl>
    <w:lvl w:ilvl="5">
      <w:start w:val="174"/>
      <w:numFmt w:val="decimal"/>
      <w:lvlText w:val="(%6)"/>
      <w:lvlJc w:val="left"/>
      <w:pPr>
        <w:ind w:left="4320" w:hanging="360"/>
      </w:pPr>
    </w:lvl>
    <w:lvl w:ilvl="6">
      <w:start w:val="174"/>
      <w:numFmt w:val="decimal"/>
      <w:lvlText w:val="(%7)"/>
      <w:lvlJc w:val="left"/>
      <w:pPr>
        <w:ind w:left="5040" w:hanging="360"/>
      </w:pPr>
    </w:lvl>
    <w:lvl w:ilvl="7">
      <w:start w:val="174"/>
      <w:numFmt w:val="decimal"/>
      <w:lvlText w:val="(%8)"/>
      <w:lvlJc w:val="left"/>
      <w:pPr>
        <w:ind w:left="5760" w:hanging="360"/>
      </w:pPr>
    </w:lvl>
    <w:lvl w:ilvl="8">
      <w:start w:val="174"/>
      <w:numFmt w:val="decimal"/>
      <w:lvlText w:val="(%9)"/>
      <w:lvlJc w:val="left"/>
      <w:pPr>
        <w:ind w:left="6480" w:hanging="360"/>
      </w:pPr>
    </w:lvl>
  </w:abstractNum>
  <w:abstractNum w:abstractNumId="9943176">
    <w:nsid w:val="A9943176"/>
    <w:multiLevelType w:val="multilevel"/>
    <w:lvl w:ilvl="0">
      <w:start w:val="176"/>
      <w:numFmt w:val="decimal"/>
      <w:lvlText w:val="(%1)"/>
      <w:lvlJc w:val="left"/>
      <w:pPr>
        <w:ind w:left="720" w:hanging="360"/>
      </w:pPr>
    </w:lvl>
    <w:lvl w:ilvl="1">
      <w:start w:val="176"/>
      <w:numFmt w:val="decimal"/>
      <w:lvlText w:val="(%2)"/>
      <w:lvlJc w:val="left"/>
      <w:pPr>
        <w:ind w:left="1440" w:hanging="360"/>
      </w:pPr>
    </w:lvl>
    <w:lvl w:ilvl="2">
      <w:start w:val="176"/>
      <w:numFmt w:val="decimal"/>
      <w:lvlText w:val="(%3)"/>
      <w:lvlJc w:val="left"/>
      <w:pPr>
        <w:ind w:left="2160" w:hanging="360"/>
      </w:pPr>
    </w:lvl>
    <w:lvl w:ilvl="3">
      <w:start w:val="176"/>
      <w:numFmt w:val="decimal"/>
      <w:lvlText w:val="(%4)"/>
      <w:lvlJc w:val="left"/>
      <w:pPr>
        <w:ind w:left="2880" w:hanging="360"/>
      </w:pPr>
    </w:lvl>
    <w:lvl w:ilvl="4">
      <w:start w:val="176"/>
      <w:numFmt w:val="decimal"/>
      <w:lvlText w:val="(%5)"/>
      <w:lvlJc w:val="left"/>
      <w:pPr>
        <w:ind w:left="3600" w:hanging="360"/>
      </w:pPr>
    </w:lvl>
    <w:lvl w:ilvl="5">
      <w:start w:val="176"/>
      <w:numFmt w:val="decimal"/>
      <w:lvlText w:val="(%6)"/>
      <w:lvlJc w:val="left"/>
      <w:pPr>
        <w:ind w:left="4320" w:hanging="360"/>
      </w:pPr>
    </w:lvl>
    <w:lvl w:ilvl="6">
      <w:start w:val="176"/>
      <w:numFmt w:val="decimal"/>
      <w:lvlText w:val="(%7)"/>
      <w:lvlJc w:val="left"/>
      <w:pPr>
        <w:ind w:left="5040" w:hanging="360"/>
      </w:pPr>
    </w:lvl>
    <w:lvl w:ilvl="7">
      <w:start w:val="176"/>
      <w:numFmt w:val="decimal"/>
      <w:lvlText w:val="(%8)"/>
      <w:lvlJc w:val="left"/>
      <w:pPr>
        <w:ind w:left="5760" w:hanging="360"/>
      </w:pPr>
    </w:lvl>
    <w:lvl w:ilvl="8">
      <w:start w:val="176"/>
      <w:numFmt w:val="decimal"/>
      <w:lvlText w:val="(%9)"/>
      <w:lvlJc w:val="left"/>
      <w:pPr>
        <w:ind w:left="6480" w:hanging="360"/>
      </w:pPr>
    </w:lvl>
  </w:abstractNum>
  <w:abstractNum w:abstractNumId="9943179">
    <w:nsid w:val="A9943179"/>
    <w:multiLevelType w:val="multilevel"/>
    <w:lvl w:ilvl="0">
      <w:start w:val="179"/>
      <w:numFmt w:val="decimal"/>
      <w:lvlText w:val="(%1)"/>
      <w:lvlJc w:val="left"/>
      <w:pPr>
        <w:ind w:left="720" w:hanging="360"/>
      </w:pPr>
    </w:lvl>
    <w:lvl w:ilvl="1">
      <w:start w:val="179"/>
      <w:numFmt w:val="decimal"/>
      <w:lvlText w:val="(%2)"/>
      <w:lvlJc w:val="left"/>
      <w:pPr>
        <w:ind w:left="1440" w:hanging="360"/>
      </w:pPr>
    </w:lvl>
    <w:lvl w:ilvl="2">
      <w:start w:val="179"/>
      <w:numFmt w:val="decimal"/>
      <w:lvlText w:val="(%3)"/>
      <w:lvlJc w:val="left"/>
      <w:pPr>
        <w:ind w:left="2160" w:hanging="360"/>
      </w:pPr>
    </w:lvl>
    <w:lvl w:ilvl="3">
      <w:start w:val="179"/>
      <w:numFmt w:val="decimal"/>
      <w:lvlText w:val="(%4)"/>
      <w:lvlJc w:val="left"/>
      <w:pPr>
        <w:ind w:left="2880" w:hanging="360"/>
      </w:pPr>
    </w:lvl>
    <w:lvl w:ilvl="4">
      <w:start w:val="179"/>
      <w:numFmt w:val="decimal"/>
      <w:lvlText w:val="(%5)"/>
      <w:lvlJc w:val="left"/>
      <w:pPr>
        <w:ind w:left="3600" w:hanging="360"/>
      </w:pPr>
    </w:lvl>
    <w:lvl w:ilvl="5">
      <w:start w:val="179"/>
      <w:numFmt w:val="decimal"/>
      <w:lvlText w:val="(%6)"/>
      <w:lvlJc w:val="left"/>
      <w:pPr>
        <w:ind w:left="4320" w:hanging="360"/>
      </w:pPr>
    </w:lvl>
    <w:lvl w:ilvl="6">
      <w:start w:val="179"/>
      <w:numFmt w:val="decimal"/>
      <w:lvlText w:val="(%7)"/>
      <w:lvlJc w:val="left"/>
      <w:pPr>
        <w:ind w:left="5040" w:hanging="360"/>
      </w:pPr>
    </w:lvl>
    <w:lvl w:ilvl="7">
      <w:start w:val="179"/>
      <w:numFmt w:val="decimal"/>
      <w:lvlText w:val="(%8)"/>
      <w:lvlJc w:val="left"/>
      <w:pPr>
        <w:ind w:left="5760" w:hanging="360"/>
      </w:pPr>
    </w:lvl>
    <w:lvl w:ilvl="8">
      <w:start w:val="179"/>
      <w:numFmt w:val="decimal"/>
      <w:lvlText w:val="(%9)"/>
      <w:lvlJc w:val="left"/>
      <w:pPr>
        <w:ind w:left="6480" w:hanging="360"/>
      </w:pPr>
    </w:lvl>
  </w:abstractNum>
  <w:abstractNum w:abstractNumId="9943181">
    <w:nsid w:val="A9943181"/>
    <w:multiLevelType w:val="multilevel"/>
    <w:lvl w:ilvl="0">
      <w:start w:val="181"/>
      <w:numFmt w:val="decimal"/>
      <w:lvlText w:val="(%1)"/>
      <w:lvlJc w:val="left"/>
      <w:pPr>
        <w:ind w:left="720" w:hanging="360"/>
      </w:pPr>
    </w:lvl>
    <w:lvl w:ilvl="1">
      <w:start w:val="181"/>
      <w:numFmt w:val="decimal"/>
      <w:lvlText w:val="(%2)"/>
      <w:lvlJc w:val="left"/>
      <w:pPr>
        <w:ind w:left="1440" w:hanging="360"/>
      </w:pPr>
    </w:lvl>
    <w:lvl w:ilvl="2">
      <w:start w:val="181"/>
      <w:numFmt w:val="decimal"/>
      <w:lvlText w:val="(%3)"/>
      <w:lvlJc w:val="left"/>
      <w:pPr>
        <w:ind w:left="2160" w:hanging="360"/>
      </w:pPr>
    </w:lvl>
    <w:lvl w:ilvl="3">
      <w:start w:val="181"/>
      <w:numFmt w:val="decimal"/>
      <w:lvlText w:val="(%4)"/>
      <w:lvlJc w:val="left"/>
      <w:pPr>
        <w:ind w:left="2880" w:hanging="360"/>
      </w:pPr>
    </w:lvl>
    <w:lvl w:ilvl="4">
      <w:start w:val="181"/>
      <w:numFmt w:val="decimal"/>
      <w:lvlText w:val="(%5)"/>
      <w:lvlJc w:val="left"/>
      <w:pPr>
        <w:ind w:left="3600" w:hanging="360"/>
      </w:pPr>
    </w:lvl>
    <w:lvl w:ilvl="5">
      <w:start w:val="181"/>
      <w:numFmt w:val="decimal"/>
      <w:lvlText w:val="(%6)"/>
      <w:lvlJc w:val="left"/>
      <w:pPr>
        <w:ind w:left="4320" w:hanging="360"/>
      </w:pPr>
    </w:lvl>
    <w:lvl w:ilvl="6">
      <w:start w:val="181"/>
      <w:numFmt w:val="decimal"/>
      <w:lvlText w:val="(%7)"/>
      <w:lvlJc w:val="left"/>
      <w:pPr>
        <w:ind w:left="5040" w:hanging="360"/>
      </w:pPr>
    </w:lvl>
    <w:lvl w:ilvl="7">
      <w:start w:val="181"/>
      <w:numFmt w:val="decimal"/>
      <w:lvlText w:val="(%8)"/>
      <w:lvlJc w:val="left"/>
      <w:pPr>
        <w:ind w:left="5760" w:hanging="360"/>
      </w:pPr>
    </w:lvl>
    <w:lvl w:ilvl="8">
      <w:start w:val="181"/>
      <w:numFmt w:val="decimal"/>
      <w:lvlText w:val="(%9)"/>
      <w:lvlJc w:val="left"/>
      <w:pPr>
        <w:ind w:left="6480" w:hanging="360"/>
      </w:pPr>
    </w:lvl>
  </w:abstractNum>
  <w:abstractNum w:abstractNumId="9943185">
    <w:nsid w:val="A9943185"/>
    <w:multiLevelType w:val="multilevel"/>
    <w:lvl w:ilvl="0">
      <w:start w:val="185"/>
      <w:numFmt w:val="decimal"/>
      <w:lvlText w:val="(%1)"/>
      <w:lvlJc w:val="left"/>
      <w:pPr>
        <w:ind w:left="720" w:hanging="360"/>
      </w:pPr>
    </w:lvl>
    <w:lvl w:ilvl="1">
      <w:start w:val="185"/>
      <w:numFmt w:val="decimal"/>
      <w:lvlText w:val="(%2)"/>
      <w:lvlJc w:val="left"/>
      <w:pPr>
        <w:ind w:left="1440" w:hanging="360"/>
      </w:pPr>
    </w:lvl>
    <w:lvl w:ilvl="2">
      <w:start w:val="185"/>
      <w:numFmt w:val="decimal"/>
      <w:lvlText w:val="(%3)"/>
      <w:lvlJc w:val="left"/>
      <w:pPr>
        <w:ind w:left="2160" w:hanging="360"/>
      </w:pPr>
    </w:lvl>
    <w:lvl w:ilvl="3">
      <w:start w:val="185"/>
      <w:numFmt w:val="decimal"/>
      <w:lvlText w:val="(%4)"/>
      <w:lvlJc w:val="left"/>
      <w:pPr>
        <w:ind w:left="2880" w:hanging="360"/>
      </w:pPr>
    </w:lvl>
    <w:lvl w:ilvl="4">
      <w:start w:val="185"/>
      <w:numFmt w:val="decimal"/>
      <w:lvlText w:val="(%5)"/>
      <w:lvlJc w:val="left"/>
      <w:pPr>
        <w:ind w:left="3600" w:hanging="360"/>
      </w:pPr>
    </w:lvl>
    <w:lvl w:ilvl="5">
      <w:start w:val="185"/>
      <w:numFmt w:val="decimal"/>
      <w:lvlText w:val="(%6)"/>
      <w:lvlJc w:val="left"/>
      <w:pPr>
        <w:ind w:left="4320" w:hanging="360"/>
      </w:pPr>
    </w:lvl>
    <w:lvl w:ilvl="6">
      <w:start w:val="185"/>
      <w:numFmt w:val="decimal"/>
      <w:lvlText w:val="(%7)"/>
      <w:lvlJc w:val="left"/>
      <w:pPr>
        <w:ind w:left="5040" w:hanging="360"/>
      </w:pPr>
    </w:lvl>
    <w:lvl w:ilvl="7">
      <w:start w:val="185"/>
      <w:numFmt w:val="decimal"/>
      <w:lvlText w:val="(%8)"/>
      <w:lvlJc w:val="left"/>
      <w:pPr>
        <w:ind w:left="5760" w:hanging="360"/>
      </w:pPr>
    </w:lvl>
    <w:lvl w:ilvl="8">
      <w:start w:val="185"/>
      <w:numFmt w:val="decimal"/>
      <w:lvlText w:val="(%9)"/>
      <w:lvlJc w:val="left"/>
      <w:pPr>
        <w:ind w:left="6480" w:hanging="360"/>
      </w:pPr>
    </w:lvl>
  </w:abstractNum>
  <w:abstractNum w:abstractNumId="9943189">
    <w:nsid w:val="A9943189"/>
    <w:multiLevelType w:val="multilevel"/>
    <w:lvl w:ilvl="0">
      <w:start w:val="189"/>
      <w:numFmt w:val="decimal"/>
      <w:lvlText w:val="(%1)"/>
      <w:lvlJc w:val="left"/>
      <w:pPr>
        <w:ind w:left="720" w:hanging="360"/>
      </w:pPr>
    </w:lvl>
    <w:lvl w:ilvl="1">
      <w:start w:val="189"/>
      <w:numFmt w:val="decimal"/>
      <w:lvlText w:val="(%2)"/>
      <w:lvlJc w:val="left"/>
      <w:pPr>
        <w:ind w:left="1440" w:hanging="360"/>
      </w:pPr>
    </w:lvl>
    <w:lvl w:ilvl="2">
      <w:start w:val="189"/>
      <w:numFmt w:val="decimal"/>
      <w:lvlText w:val="(%3)"/>
      <w:lvlJc w:val="left"/>
      <w:pPr>
        <w:ind w:left="2160" w:hanging="360"/>
      </w:pPr>
    </w:lvl>
    <w:lvl w:ilvl="3">
      <w:start w:val="189"/>
      <w:numFmt w:val="decimal"/>
      <w:lvlText w:val="(%4)"/>
      <w:lvlJc w:val="left"/>
      <w:pPr>
        <w:ind w:left="2880" w:hanging="360"/>
      </w:pPr>
    </w:lvl>
    <w:lvl w:ilvl="4">
      <w:start w:val="189"/>
      <w:numFmt w:val="decimal"/>
      <w:lvlText w:val="(%5)"/>
      <w:lvlJc w:val="left"/>
      <w:pPr>
        <w:ind w:left="3600" w:hanging="360"/>
      </w:pPr>
    </w:lvl>
    <w:lvl w:ilvl="5">
      <w:start w:val="189"/>
      <w:numFmt w:val="decimal"/>
      <w:lvlText w:val="(%6)"/>
      <w:lvlJc w:val="left"/>
      <w:pPr>
        <w:ind w:left="4320" w:hanging="360"/>
      </w:pPr>
    </w:lvl>
    <w:lvl w:ilvl="6">
      <w:start w:val="189"/>
      <w:numFmt w:val="decimal"/>
      <w:lvlText w:val="(%7)"/>
      <w:lvlJc w:val="left"/>
      <w:pPr>
        <w:ind w:left="5040" w:hanging="360"/>
      </w:pPr>
    </w:lvl>
    <w:lvl w:ilvl="7">
      <w:start w:val="189"/>
      <w:numFmt w:val="decimal"/>
      <w:lvlText w:val="(%8)"/>
      <w:lvlJc w:val="left"/>
      <w:pPr>
        <w:ind w:left="5760" w:hanging="360"/>
      </w:pPr>
    </w:lvl>
    <w:lvl w:ilvl="8">
      <w:start w:val="189"/>
      <w:numFmt w:val="decimal"/>
      <w:lvlText w:val="(%9)"/>
      <w:lvlJc w:val="left"/>
      <w:pPr>
        <w:ind w:left="6480" w:hanging="360"/>
      </w:pPr>
    </w:lvl>
  </w:abstractNum>
  <w:abstractNum w:abstractNumId="9943197">
    <w:nsid w:val="A9943197"/>
    <w:multiLevelType w:val="multilevel"/>
    <w:lvl w:ilvl="0">
      <w:start w:val="197"/>
      <w:numFmt w:val="decimal"/>
      <w:lvlText w:val="(%1)"/>
      <w:lvlJc w:val="left"/>
      <w:pPr>
        <w:ind w:left="720" w:hanging="360"/>
      </w:pPr>
    </w:lvl>
    <w:lvl w:ilvl="1">
      <w:start w:val="197"/>
      <w:numFmt w:val="decimal"/>
      <w:lvlText w:val="(%2)"/>
      <w:lvlJc w:val="left"/>
      <w:pPr>
        <w:ind w:left="1440" w:hanging="360"/>
      </w:pPr>
    </w:lvl>
    <w:lvl w:ilvl="2">
      <w:start w:val="197"/>
      <w:numFmt w:val="decimal"/>
      <w:lvlText w:val="(%3)"/>
      <w:lvlJc w:val="left"/>
      <w:pPr>
        <w:ind w:left="2160" w:hanging="360"/>
      </w:pPr>
    </w:lvl>
    <w:lvl w:ilvl="3">
      <w:start w:val="197"/>
      <w:numFmt w:val="decimal"/>
      <w:lvlText w:val="(%4)"/>
      <w:lvlJc w:val="left"/>
      <w:pPr>
        <w:ind w:left="2880" w:hanging="360"/>
      </w:pPr>
    </w:lvl>
    <w:lvl w:ilvl="4">
      <w:start w:val="197"/>
      <w:numFmt w:val="decimal"/>
      <w:lvlText w:val="(%5)"/>
      <w:lvlJc w:val="left"/>
      <w:pPr>
        <w:ind w:left="3600" w:hanging="360"/>
      </w:pPr>
    </w:lvl>
    <w:lvl w:ilvl="5">
      <w:start w:val="197"/>
      <w:numFmt w:val="decimal"/>
      <w:lvlText w:val="(%6)"/>
      <w:lvlJc w:val="left"/>
      <w:pPr>
        <w:ind w:left="4320" w:hanging="360"/>
      </w:pPr>
    </w:lvl>
    <w:lvl w:ilvl="6">
      <w:start w:val="197"/>
      <w:numFmt w:val="decimal"/>
      <w:lvlText w:val="(%7)"/>
      <w:lvlJc w:val="left"/>
      <w:pPr>
        <w:ind w:left="5040" w:hanging="360"/>
      </w:pPr>
    </w:lvl>
    <w:lvl w:ilvl="7">
      <w:start w:val="197"/>
      <w:numFmt w:val="decimal"/>
      <w:lvlText w:val="(%8)"/>
      <w:lvlJc w:val="left"/>
      <w:pPr>
        <w:ind w:left="5760" w:hanging="360"/>
      </w:pPr>
    </w:lvl>
    <w:lvl w:ilvl="8">
      <w:start w:val="197"/>
      <w:numFmt w:val="decimal"/>
      <w:lvlText w:val="(%9)"/>
      <w:lvlJc w:val="left"/>
      <w:pPr>
        <w:ind w:left="6480" w:hanging="360"/>
      </w:pPr>
    </w:lvl>
  </w:abstractNum>
  <w:abstractNum w:abstractNumId="9943200">
    <w:nsid w:val="A9943200"/>
    <w:multiLevelType w:val="multilevel"/>
    <w:lvl w:ilvl="0">
      <w:start w:val="200"/>
      <w:numFmt w:val="decimal"/>
      <w:lvlText w:val="(%1)"/>
      <w:lvlJc w:val="left"/>
      <w:pPr>
        <w:ind w:left="720" w:hanging="360"/>
      </w:pPr>
    </w:lvl>
    <w:lvl w:ilvl="1">
      <w:start w:val="200"/>
      <w:numFmt w:val="decimal"/>
      <w:lvlText w:val="(%2)"/>
      <w:lvlJc w:val="left"/>
      <w:pPr>
        <w:ind w:left="1440" w:hanging="360"/>
      </w:pPr>
    </w:lvl>
    <w:lvl w:ilvl="2">
      <w:start w:val="200"/>
      <w:numFmt w:val="decimal"/>
      <w:lvlText w:val="(%3)"/>
      <w:lvlJc w:val="left"/>
      <w:pPr>
        <w:ind w:left="2160" w:hanging="360"/>
      </w:pPr>
    </w:lvl>
    <w:lvl w:ilvl="3">
      <w:start w:val="200"/>
      <w:numFmt w:val="decimal"/>
      <w:lvlText w:val="(%4)"/>
      <w:lvlJc w:val="left"/>
      <w:pPr>
        <w:ind w:left="2880" w:hanging="360"/>
      </w:pPr>
    </w:lvl>
    <w:lvl w:ilvl="4">
      <w:start w:val="200"/>
      <w:numFmt w:val="decimal"/>
      <w:lvlText w:val="(%5)"/>
      <w:lvlJc w:val="left"/>
      <w:pPr>
        <w:ind w:left="3600" w:hanging="360"/>
      </w:pPr>
    </w:lvl>
    <w:lvl w:ilvl="5">
      <w:start w:val="200"/>
      <w:numFmt w:val="decimal"/>
      <w:lvlText w:val="(%6)"/>
      <w:lvlJc w:val="left"/>
      <w:pPr>
        <w:ind w:left="4320" w:hanging="360"/>
      </w:pPr>
    </w:lvl>
    <w:lvl w:ilvl="6">
      <w:start w:val="200"/>
      <w:numFmt w:val="decimal"/>
      <w:lvlText w:val="(%7)"/>
      <w:lvlJc w:val="left"/>
      <w:pPr>
        <w:ind w:left="5040" w:hanging="360"/>
      </w:pPr>
    </w:lvl>
    <w:lvl w:ilvl="7">
      <w:start w:val="200"/>
      <w:numFmt w:val="decimal"/>
      <w:lvlText w:val="(%8)"/>
      <w:lvlJc w:val="left"/>
      <w:pPr>
        <w:ind w:left="5760" w:hanging="360"/>
      </w:pPr>
    </w:lvl>
    <w:lvl w:ilvl="8">
      <w:start w:val="200"/>
      <w:numFmt w:val="decimal"/>
      <w:lvlText w:val="(%9)"/>
      <w:lvlJc w:val="left"/>
      <w:pPr>
        <w:ind w:left="6480" w:hanging="360"/>
      </w:pPr>
    </w:lvl>
  </w:abstractNum>
  <w:abstractNum w:abstractNumId="9943202">
    <w:nsid w:val="A9943202"/>
    <w:multiLevelType w:val="multilevel"/>
    <w:lvl w:ilvl="0">
      <w:start w:val="202"/>
      <w:numFmt w:val="decimal"/>
      <w:lvlText w:val="(%1)"/>
      <w:lvlJc w:val="left"/>
      <w:pPr>
        <w:ind w:left="720" w:hanging="360"/>
      </w:pPr>
    </w:lvl>
    <w:lvl w:ilvl="1">
      <w:start w:val="202"/>
      <w:numFmt w:val="decimal"/>
      <w:lvlText w:val="(%2)"/>
      <w:lvlJc w:val="left"/>
      <w:pPr>
        <w:ind w:left="1440" w:hanging="360"/>
      </w:pPr>
    </w:lvl>
    <w:lvl w:ilvl="2">
      <w:start w:val="202"/>
      <w:numFmt w:val="decimal"/>
      <w:lvlText w:val="(%3)"/>
      <w:lvlJc w:val="left"/>
      <w:pPr>
        <w:ind w:left="2160" w:hanging="360"/>
      </w:pPr>
    </w:lvl>
    <w:lvl w:ilvl="3">
      <w:start w:val="202"/>
      <w:numFmt w:val="decimal"/>
      <w:lvlText w:val="(%4)"/>
      <w:lvlJc w:val="left"/>
      <w:pPr>
        <w:ind w:left="2880" w:hanging="360"/>
      </w:pPr>
    </w:lvl>
    <w:lvl w:ilvl="4">
      <w:start w:val="202"/>
      <w:numFmt w:val="decimal"/>
      <w:lvlText w:val="(%5)"/>
      <w:lvlJc w:val="left"/>
      <w:pPr>
        <w:ind w:left="3600" w:hanging="360"/>
      </w:pPr>
    </w:lvl>
    <w:lvl w:ilvl="5">
      <w:start w:val="202"/>
      <w:numFmt w:val="decimal"/>
      <w:lvlText w:val="(%6)"/>
      <w:lvlJc w:val="left"/>
      <w:pPr>
        <w:ind w:left="4320" w:hanging="360"/>
      </w:pPr>
    </w:lvl>
    <w:lvl w:ilvl="6">
      <w:start w:val="202"/>
      <w:numFmt w:val="decimal"/>
      <w:lvlText w:val="(%7)"/>
      <w:lvlJc w:val="left"/>
      <w:pPr>
        <w:ind w:left="5040" w:hanging="360"/>
      </w:pPr>
    </w:lvl>
    <w:lvl w:ilvl="7">
      <w:start w:val="202"/>
      <w:numFmt w:val="decimal"/>
      <w:lvlText w:val="(%8)"/>
      <w:lvlJc w:val="left"/>
      <w:pPr>
        <w:ind w:left="5760" w:hanging="360"/>
      </w:pPr>
    </w:lvl>
    <w:lvl w:ilvl="8">
      <w:start w:val="202"/>
      <w:numFmt w:val="decimal"/>
      <w:lvlText w:val="(%9)"/>
      <w:lvlJc w:val="left"/>
      <w:pPr>
        <w:ind w:left="6480" w:hanging="360"/>
      </w:pPr>
    </w:lvl>
  </w:abstractNum>
  <w:abstractNum w:abstractNumId="9943205">
    <w:nsid w:val="A9943205"/>
    <w:multiLevelType w:val="multilevel"/>
    <w:lvl w:ilvl="0">
      <w:start w:val="205"/>
      <w:numFmt w:val="decimal"/>
      <w:lvlText w:val="(%1)"/>
      <w:lvlJc w:val="left"/>
      <w:pPr>
        <w:ind w:left="720" w:hanging="360"/>
      </w:pPr>
    </w:lvl>
    <w:lvl w:ilvl="1">
      <w:start w:val="205"/>
      <w:numFmt w:val="decimal"/>
      <w:lvlText w:val="(%2)"/>
      <w:lvlJc w:val="left"/>
      <w:pPr>
        <w:ind w:left="1440" w:hanging="360"/>
      </w:pPr>
    </w:lvl>
    <w:lvl w:ilvl="2">
      <w:start w:val="205"/>
      <w:numFmt w:val="decimal"/>
      <w:lvlText w:val="(%3)"/>
      <w:lvlJc w:val="left"/>
      <w:pPr>
        <w:ind w:left="2160" w:hanging="360"/>
      </w:pPr>
    </w:lvl>
    <w:lvl w:ilvl="3">
      <w:start w:val="205"/>
      <w:numFmt w:val="decimal"/>
      <w:lvlText w:val="(%4)"/>
      <w:lvlJc w:val="left"/>
      <w:pPr>
        <w:ind w:left="2880" w:hanging="360"/>
      </w:pPr>
    </w:lvl>
    <w:lvl w:ilvl="4">
      <w:start w:val="205"/>
      <w:numFmt w:val="decimal"/>
      <w:lvlText w:val="(%5)"/>
      <w:lvlJc w:val="left"/>
      <w:pPr>
        <w:ind w:left="3600" w:hanging="360"/>
      </w:pPr>
    </w:lvl>
    <w:lvl w:ilvl="5">
      <w:start w:val="205"/>
      <w:numFmt w:val="decimal"/>
      <w:lvlText w:val="(%6)"/>
      <w:lvlJc w:val="left"/>
      <w:pPr>
        <w:ind w:left="4320" w:hanging="360"/>
      </w:pPr>
    </w:lvl>
    <w:lvl w:ilvl="6">
      <w:start w:val="205"/>
      <w:numFmt w:val="decimal"/>
      <w:lvlText w:val="(%7)"/>
      <w:lvlJc w:val="left"/>
      <w:pPr>
        <w:ind w:left="5040" w:hanging="360"/>
      </w:pPr>
    </w:lvl>
    <w:lvl w:ilvl="7">
      <w:start w:val="205"/>
      <w:numFmt w:val="decimal"/>
      <w:lvlText w:val="(%8)"/>
      <w:lvlJc w:val="left"/>
      <w:pPr>
        <w:ind w:left="5760" w:hanging="360"/>
      </w:pPr>
    </w:lvl>
    <w:lvl w:ilvl="8">
      <w:start w:val="205"/>
      <w:numFmt w:val="decimal"/>
      <w:lvlText w:val="(%9)"/>
      <w:lvlJc w:val="left"/>
      <w:pPr>
        <w:ind w:left="6480" w:hanging="360"/>
      </w:pPr>
    </w:lvl>
  </w:abstractNum>
  <w:abstractNum w:abstractNumId="9943208">
    <w:nsid w:val="A9943208"/>
    <w:multiLevelType w:val="multilevel"/>
    <w:lvl w:ilvl="0">
      <w:start w:val="208"/>
      <w:numFmt w:val="decimal"/>
      <w:lvlText w:val="(%1)"/>
      <w:lvlJc w:val="left"/>
      <w:pPr>
        <w:ind w:left="720" w:hanging="360"/>
      </w:pPr>
    </w:lvl>
    <w:lvl w:ilvl="1">
      <w:start w:val="208"/>
      <w:numFmt w:val="decimal"/>
      <w:lvlText w:val="(%2)"/>
      <w:lvlJc w:val="left"/>
      <w:pPr>
        <w:ind w:left="1440" w:hanging="360"/>
      </w:pPr>
    </w:lvl>
    <w:lvl w:ilvl="2">
      <w:start w:val="208"/>
      <w:numFmt w:val="decimal"/>
      <w:lvlText w:val="(%3)"/>
      <w:lvlJc w:val="left"/>
      <w:pPr>
        <w:ind w:left="2160" w:hanging="360"/>
      </w:pPr>
    </w:lvl>
    <w:lvl w:ilvl="3">
      <w:start w:val="208"/>
      <w:numFmt w:val="decimal"/>
      <w:lvlText w:val="(%4)"/>
      <w:lvlJc w:val="left"/>
      <w:pPr>
        <w:ind w:left="2880" w:hanging="360"/>
      </w:pPr>
    </w:lvl>
    <w:lvl w:ilvl="4">
      <w:start w:val="208"/>
      <w:numFmt w:val="decimal"/>
      <w:lvlText w:val="(%5)"/>
      <w:lvlJc w:val="left"/>
      <w:pPr>
        <w:ind w:left="3600" w:hanging="360"/>
      </w:pPr>
    </w:lvl>
    <w:lvl w:ilvl="5">
      <w:start w:val="208"/>
      <w:numFmt w:val="decimal"/>
      <w:lvlText w:val="(%6)"/>
      <w:lvlJc w:val="left"/>
      <w:pPr>
        <w:ind w:left="4320" w:hanging="360"/>
      </w:pPr>
    </w:lvl>
    <w:lvl w:ilvl="6">
      <w:start w:val="208"/>
      <w:numFmt w:val="decimal"/>
      <w:lvlText w:val="(%7)"/>
      <w:lvlJc w:val="left"/>
      <w:pPr>
        <w:ind w:left="5040" w:hanging="360"/>
      </w:pPr>
    </w:lvl>
    <w:lvl w:ilvl="7">
      <w:start w:val="208"/>
      <w:numFmt w:val="decimal"/>
      <w:lvlText w:val="(%8)"/>
      <w:lvlJc w:val="left"/>
      <w:pPr>
        <w:ind w:left="5760" w:hanging="360"/>
      </w:pPr>
    </w:lvl>
    <w:lvl w:ilvl="8">
      <w:start w:val="208"/>
      <w:numFmt w:val="decimal"/>
      <w:lvlText w:val="(%9)"/>
      <w:lvlJc w:val="left"/>
      <w:pPr>
        <w:ind w:left="6480" w:hanging="360"/>
      </w:pPr>
    </w:lvl>
  </w:abstractNum>
  <w:abstractNum w:abstractNumId="9943211">
    <w:nsid w:val="A9943211"/>
    <w:multiLevelType w:val="multilevel"/>
    <w:lvl w:ilvl="0">
      <w:start w:val="211"/>
      <w:numFmt w:val="decimal"/>
      <w:lvlText w:val="(%1)"/>
      <w:lvlJc w:val="left"/>
      <w:pPr>
        <w:ind w:left="720" w:hanging="360"/>
      </w:pPr>
    </w:lvl>
    <w:lvl w:ilvl="1">
      <w:start w:val="211"/>
      <w:numFmt w:val="decimal"/>
      <w:lvlText w:val="(%2)"/>
      <w:lvlJc w:val="left"/>
      <w:pPr>
        <w:ind w:left="1440" w:hanging="360"/>
      </w:pPr>
    </w:lvl>
    <w:lvl w:ilvl="2">
      <w:start w:val="211"/>
      <w:numFmt w:val="decimal"/>
      <w:lvlText w:val="(%3)"/>
      <w:lvlJc w:val="left"/>
      <w:pPr>
        <w:ind w:left="2160" w:hanging="360"/>
      </w:pPr>
    </w:lvl>
    <w:lvl w:ilvl="3">
      <w:start w:val="211"/>
      <w:numFmt w:val="decimal"/>
      <w:lvlText w:val="(%4)"/>
      <w:lvlJc w:val="left"/>
      <w:pPr>
        <w:ind w:left="2880" w:hanging="360"/>
      </w:pPr>
    </w:lvl>
    <w:lvl w:ilvl="4">
      <w:start w:val="211"/>
      <w:numFmt w:val="decimal"/>
      <w:lvlText w:val="(%5)"/>
      <w:lvlJc w:val="left"/>
      <w:pPr>
        <w:ind w:left="3600" w:hanging="360"/>
      </w:pPr>
    </w:lvl>
    <w:lvl w:ilvl="5">
      <w:start w:val="211"/>
      <w:numFmt w:val="decimal"/>
      <w:lvlText w:val="(%6)"/>
      <w:lvlJc w:val="left"/>
      <w:pPr>
        <w:ind w:left="4320" w:hanging="360"/>
      </w:pPr>
    </w:lvl>
    <w:lvl w:ilvl="6">
      <w:start w:val="211"/>
      <w:numFmt w:val="decimal"/>
      <w:lvlText w:val="(%7)"/>
      <w:lvlJc w:val="left"/>
      <w:pPr>
        <w:ind w:left="5040" w:hanging="360"/>
      </w:pPr>
    </w:lvl>
    <w:lvl w:ilvl="7">
      <w:start w:val="211"/>
      <w:numFmt w:val="decimal"/>
      <w:lvlText w:val="(%8)"/>
      <w:lvlJc w:val="left"/>
      <w:pPr>
        <w:ind w:left="5760" w:hanging="360"/>
      </w:pPr>
    </w:lvl>
    <w:lvl w:ilvl="8">
      <w:start w:val="211"/>
      <w:numFmt w:val="decimal"/>
      <w:lvlText w:val="(%9)"/>
      <w:lvlJc w:val="left"/>
      <w:pPr>
        <w:ind w:left="6480" w:hanging="360"/>
      </w:pPr>
    </w:lvl>
  </w:abstractNum>
  <w:abstractNum w:abstractNumId="99412027">
    <w:nsid w:val="A99412027"/>
    <w:multiLevelType w:val="multilevel"/>
    <w:lvl w:ilvl="0">
      <w:start w:val="2027"/>
      <w:numFmt w:val="decimal"/>
      <w:lvlText w:val="%1."/>
      <w:lvlJc w:val="left"/>
      <w:pPr>
        <w:ind w:left="720" w:hanging="360"/>
      </w:pPr>
    </w:lvl>
    <w:lvl w:ilvl="1">
      <w:start w:val="2027"/>
      <w:numFmt w:val="decimal"/>
      <w:lvlText w:val="%2."/>
      <w:lvlJc w:val="left"/>
      <w:pPr>
        <w:ind w:left="1440" w:hanging="360"/>
      </w:pPr>
    </w:lvl>
    <w:lvl w:ilvl="2">
      <w:start w:val="2027"/>
      <w:numFmt w:val="decimal"/>
      <w:lvlText w:val="%3."/>
      <w:lvlJc w:val="left"/>
      <w:pPr>
        <w:ind w:left="2160" w:hanging="360"/>
      </w:pPr>
    </w:lvl>
    <w:lvl w:ilvl="3">
      <w:start w:val="2027"/>
      <w:numFmt w:val="decimal"/>
      <w:lvlText w:val="%4."/>
      <w:lvlJc w:val="left"/>
      <w:pPr>
        <w:ind w:left="2880" w:hanging="360"/>
      </w:pPr>
    </w:lvl>
    <w:lvl w:ilvl="4">
      <w:start w:val="2027"/>
      <w:numFmt w:val="decimal"/>
      <w:lvlText w:val="%5."/>
      <w:lvlJc w:val="left"/>
      <w:pPr>
        <w:ind w:left="3600" w:hanging="360"/>
      </w:pPr>
    </w:lvl>
    <w:lvl w:ilvl="5">
      <w:start w:val="2027"/>
      <w:numFmt w:val="decimal"/>
      <w:lvlText w:val="%6."/>
      <w:lvlJc w:val="left"/>
      <w:pPr>
        <w:ind w:left="4320" w:hanging="360"/>
      </w:pPr>
    </w:lvl>
    <w:lvl w:ilvl="6">
      <w:start w:val="2027"/>
      <w:numFmt w:val="decimal"/>
      <w:lvlText w:val="%7."/>
      <w:lvlJc w:val="left"/>
      <w:pPr>
        <w:ind w:left="5040" w:hanging="360"/>
      </w:pPr>
    </w:lvl>
    <w:lvl w:ilvl="7">
      <w:start w:val="2027"/>
      <w:numFmt w:val="decimal"/>
      <w:lvlText w:val="%8."/>
      <w:lvlJc w:val="left"/>
      <w:pPr>
        <w:ind w:left="5760" w:hanging="360"/>
      </w:pPr>
    </w:lvl>
    <w:lvl w:ilvl="8">
      <w:start w:val="2027"/>
      <w:numFmt w:val="decimal"/>
      <w:lvlText w:val="%9."/>
      <w:lvlJc w:val="left"/>
      <w:pPr>
        <w:ind w:left="6480" w:hanging="360"/>
      </w:pPr>
    </w:lvl>
  </w:abstractNum>
  <w:abstractNum w:abstractNumId="9943212">
    <w:nsid w:val="A9943212"/>
    <w:multiLevelType w:val="multilevel"/>
    <w:lvl w:ilvl="0">
      <w:start w:val="212"/>
      <w:numFmt w:val="decimal"/>
      <w:lvlText w:val="(%1)"/>
      <w:lvlJc w:val="left"/>
      <w:pPr>
        <w:ind w:left="720" w:hanging="360"/>
      </w:pPr>
    </w:lvl>
    <w:lvl w:ilvl="1">
      <w:start w:val="212"/>
      <w:numFmt w:val="decimal"/>
      <w:lvlText w:val="(%2)"/>
      <w:lvlJc w:val="left"/>
      <w:pPr>
        <w:ind w:left="1440" w:hanging="360"/>
      </w:pPr>
    </w:lvl>
    <w:lvl w:ilvl="2">
      <w:start w:val="212"/>
      <w:numFmt w:val="decimal"/>
      <w:lvlText w:val="(%3)"/>
      <w:lvlJc w:val="left"/>
      <w:pPr>
        <w:ind w:left="2160" w:hanging="360"/>
      </w:pPr>
    </w:lvl>
    <w:lvl w:ilvl="3">
      <w:start w:val="212"/>
      <w:numFmt w:val="decimal"/>
      <w:lvlText w:val="(%4)"/>
      <w:lvlJc w:val="left"/>
      <w:pPr>
        <w:ind w:left="2880" w:hanging="360"/>
      </w:pPr>
    </w:lvl>
    <w:lvl w:ilvl="4">
      <w:start w:val="212"/>
      <w:numFmt w:val="decimal"/>
      <w:lvlText w:val="(%5)"/>
      <w:lvlJc w:val="left"/>
      <w:pPr>
        <w:ind w:left="3600" w:hanging="360"/>
      </w:pPr>
    </w:lvl>
    <w:lvl w:ilvl="5">
      <w:start w:val="212"/>
      <w:numFmt w:val="decimal"/>
      <w:lvlText w:val="(%6)"/>
      <w:lvlJc w:val="left"/>
      <w:pPr>
        <w:ind w:left="4320" w:hanging="360"/>
      </w:pPr>
    </w:lvl>
    <w:lvl w:ilvl="6">
      <w:start w:val="212"/>
      <w:numFmt w:val="decimal"/>
      <w:lvlText w:val="(%7)"/>
      <w:lvlJc w:val="left"/>
      <w:pPr>
        <w:ind w:left="5040" w:hanging="360"/>
      </w:pPr>
    </w:lvl>
    <w:lvl w:ilvl="7">
      <w:start w:val="212"/>
      <w:numFmt w:val="decimal"/>
      <w:lvlText w:val="(%8)"/>
      <w:lvlJc w:val="left"/>
      <w:pPr>
        <w:ind w:left="5760" w:hanging="360"/>
      </w:pPr>
    </w:lvl>
    <w:lvl w:ilvl="8">
      <w:start w:val="212"/>
      <w:numFmt w:val="decimal"/>
      <w:lvlText w:val="(%9)"/>
      <w:lvlJc w:val="left"/>
      <w:pPr>
        <w:ind w:left="6480" w:hanging="360"/>
      </w:pPr>
    </w:lvl>
  </w:abstractNum>
  <w:abstractNum w:abstractNumId="9943213">
    <w:nsid w:val="A9943213"/>
    <w:multiLevelType w:val="multilevel"/>
    <w:lvl w:ilvl="0">
      <w:start w:val="213"/>
      <w:numFmt w:val="decimal"/>
      <w:lvlText w:val="(%1)"/>
      <w:lvlJc w:val="left"/>
      <w:pPr>
        <w:ind w:left="720" w:hanging="360"/>
      </w:pPr>
    </w:lvl>
    <w:lvl w:ilvl="1">
      <w:start w:val="213"/>
      <w:numFmt w:val="decimal"/>
      <w:lvlText w:val="(%2)"/>
      <w:lvlJc w:val="left"/>
      <w:pPr>
        <w:ind w:left="1440" w:hanging="360"/>
      </w:pPr>
    </w:lvl>
    <w:lvl w:ilvl="2">
      <w:start w:val="213"/>
      <w:numFmt w:val="decimal"/>
      <w:lvlText w:val="(%3)"/>
      <w:lvlJc w:val="left"/>
      <w:pPr>
        <w:ind w:left="2160" w:hanging="360"/>
      </w:pPr>
    </w:lvl>
    <w:lvl w:ilvl="3">
      <w:start w:val="213"/>
      <w:numFmt w:val="decimal"/>
      <w:lvlText w:val="(%4)"/>
      <w:lvlJc w:val="left"/>
      <w:pPr>
        <w:ind w:left="2880" w:hanging="360"/>
      </w:pPr>
    </w:lvl>
    <w:lvl w:ilvl="4">
      <w:start w:val="213"/>
      <w:numFmt w:val="decimal"/>
      <w:lvlText w:val="(%5)"/>
      <w:lvlJc w:val="left"/>
      <w:pPr>
        <w:ind w:left="3600" w:hanging="360"/>
      </w:pPr>
    </w:lvl>
    <w:lvl w:ilvl="5">
      <w:start w:val="213"/>
      <w:numFmt w:val="decimal"/>
      <w:lvlText w:val="(%6)"/>
      <w:lvlJc w:val="left"/>
      <w:pPr>
        <w:ind w:left="4320" w:hanging="360"/>
      </w:pPr>
    </w:lvl>
    <w:lvl w:ilvl="6">
      <w:start w:val="213"/>
      <w:numFmt w:val="decimal"/>
      <w:lvlText w:val="(%7)"/>
      <w:lvlJc w:val="left"/>
      <w:pPr>
        <w:ind w:left="5040" w:hanging="360"/>
      </w:pPr>
    </w:lvl>
    <w:lvl w:ilvl="7">
      <w:start w:val="213"/>
      <w:numFmt w:val="decimal"/>
      <w:lvlText w:val="(%8)"/>
      <w:lvlJc w:val="left"/>
      <w:pPr>
        <w:ind w:left="5760" w:hanging="360"/>
      </w:pPr>
    </w:lvl>
    <w:lvl w:ilvl="8">
      <w:start w:val="213"/>
      <w:numFmt w:val="decimal"/>
      <w:lvlText w:val="(%9)"/>
      <w:lvlJc w:val="left"/>
      <w:pPr>
        <w:ind w:left="6480" w:hanging="360"/>
      </w:pPr>
    </w:lvl>
  </w:abstractNum>
  <w:abstractNum w:abstractNumId="9943215">
    <w:nsid w:val="A9943215"/>
    <w:multiLevelType w:val="multilevel"/>
    <w:lvl w:ilvl="0">
      <w:start w:val="215"/>
      <w:numFmt w:val="decimal"/>
      <w:lvlText w:val="(%1)"/>
      <w:lvlJc w:val="left"/>
      <w:pPr>
        <w:ind w:left="720" w:hanging="360"/>
      </w:pPr>
    </w:lvl>
    <w:lvl w:ilvl="1">
      <w:start w:val="215"/>
      <w:numFmt w:val="decimal"/>
      <w:lvlText w:val="(%2)"/>
      <w:lvlJc w:val="left"/>
      <w:pPr>
        <w:ind w:left="1440" w:hanging="360"/>
      </w:pPr>
    </w:lvl>
    <w:lvl w:ilvl="2">
      <w:start w:val="215"/>
      <w:numFmt w:val="decimal"/>
      <w:lvlText w:val="(%3)"/>
      <w:lvlJc w:val="left"/>
      <w:pPr>
        <w:ind w:left="2160" w:hanging="360"/>
      </w:pPr>
    </w:lvl>
    <w:lvl w:ilvl="3">
      <w:start w:val="215"/>
      <w:numFmt w:val="decimal"/>
      <w:lvlText w:val="(%4)"/>
      <w:lvlJc w:val="left"/>
      <w:pPr>
        <w:ind w:left="2880" w:hanging="360"/>
      </w:pPr>
    </w:lvl>
    <w:lvl w:ilvl="4">
      <w:start w:val="215"/>
      <w:numFmt w:val="decimal"/>
      <w:lvlText w:val="(%5)"/>
      <w:lvlJc w:val="left"/>
      <w:pPr>
        <w:ind w:left="3600" w:hanging="360"/>
      </w:pPr>
    </w:lvl>
    <w:lvl w:ilvl="5">
      <w:start w:val="215"/>
      <w:numFmt w:val="decimal"/>
      <w:lvlText w:val="(%6)"/>
      <w:lvlJc w:val="left"/>
      <w:pPr>
        <w:ind w:left="4320" w:hanging="360"/>
      </w:pPr>
    </w:lvl>
    <w:lvl w:ilvl="6">
      <w:start w:val="215"/>
      <w:numFmt w:val="decimal"/>
      <w:lvlText w:val="(%7)"/>
      <w:lvlJc w:val="left"/>
      <w:pPr>
        <w:ind w:left="5040" w:hanging="360"/>
      </w:pPr>
    </w:lvl>
    <w:lvl w:ilvl="7">
      <w:start w:val="215"/>
      <w:numFmt w:val="decimal"/>
      <w:lvlText w:val="(%8)"/>
      <w:lvlJc w:val="left"/>
      <w:pPr>
        <w:ind w:left="5760" w:hanging="360"/>
      </w:pPr>
    </w:lvl>
    <w:lvl w:ilvl="8">
      <w:start w:val="215"/>
      <w:numFmt w:val="decimal"/>
      <w:lvlText w:val="(%9)"/>
      <w:lvlJc w:val="left"/>
      <w:pPr>
        <w:ind w:left="6480" w:hanging="360"/>
      </w:pPr>
    </w:lvl>
  </w:abstractNum>
  <w:abstractNum w:abstractNumId="9943217">
    <w:nsid w:val="A9943217"/>
    <w:multiLevelType w:val="multilevel"/>
    <w:lvl w:ilvl="0">
      <w:start w:val="217"/>
      <w:numFmt w:val="decimal"/>
      <w:lvlText w:val="(%1)"/>
      <w:lvlJc w:val="left"/>
      <w:pPr>
        <w:ind w:left="720" w:hanging="360"/>
      </w:pPr>
    </w:lvl>
    <w:lvl w:ilvl="1">
      <w:start w:val="217"/>
      <w:numFmt w:val="decimal"/>
      <w:lvlText w:val="(%2)"/>
      <w:lvlJc w:val="left"/>
      <w:pPr>
        <w:ind w:left="1440" w:hanging="360"/>
      </w:pPr>
    </w:lvl>
    <w:lvl w:ilvl="2">
      <w:start w:val="217"/>
      <w:numFmt w:val="decimal"/>
      <w:lvlText w:val="(%3)"/>
      <w:lvlJc w:val="left"/>
      <w:pPr>
        <w:ind w:left="2160" w:hanging="360"/>
      </w:pPr>
    </w:lvl>
    <w:lvl w:ilvl="3">
      <w:start w:val="217"/>
      <w:numFmt w:val="decimal"/>
      <w:lvlText w:val="(%4)"/>
      <w:lvlJc w:val="left"/>
      <w:pPr>
        <w:ind w:left="2880" w:hanging="360"/>
      </w:pPr>
    </w:lvl>
    <w:lvl w:ilvl="4">
      <w:start w:val="217"/>
      <w:numFmt w:val="decimal"/>
      <w:lvlText w:val="(%5)"/>
      <w:lvlJc w:val="left"/>
      <w:pPr>
        <w:ind w:left="3600" w:hanging="360"/>
      </w:pPr>
    </w:lvl>
    <w:lvl w:ilvl="5">
      <w:start w:val="217"/>
      <w:numFmt w:val="decimal"/>
      <w:lvlText w:val="(%6)"/>
      <w:lvlJc w:val="left"/>
      <w:pPr>
        <w:ind w:left="4320" w:hanging="360"/>
      </w:pPr>
    </w:lvl>
    <w:lvl w:ilvl="6">
      <w:start w:val="217"/>
      <w:numFmt w:val="decimal"/>
      <w:lvlText w:val="(%7)"/>
      <w:lvlJc w:val="left"/>
      <w:pPr>
        <w:ind w:left="5040" w:hanging="360"/>
      </w:pPr>
    </w:lvl>
    <w:lvl w:ilvl="7">
      <w:start w:val="217"/>
      <w:numFmt w:val="decimal"/>
      <w:lvlText w:val="(%8)"/>
      <w:lvlJc w:val="left"/>
      <w:pPr>
        <w:ind w:left="5760" w:hanging="360"/>
      </w:pPr>
    </w:lvl>
    <w:lvl w:ilvl="8">
      <w:start w:val="217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3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5">
    <w:abstractNumId w:val="9943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6">
    <w:abstractNumId w:val="9943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3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08">
    <w:abstractNumId w:val="9943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09">
    <w:abstractNumId w:val="9943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0">
    <w:abstractNumId w:val="9943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1">
    <w:abstractNumId w:val="9943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2">
    <w:abstractNumId w:val="9943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13">
    <w:abstractNumId w:val="9943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14">
    <w:abstractNumId w:val="994362"/>
    <w:lvlOverride w:ilvl="0">
      <w:startOverride w:val="62"/>
    </w:lvlOverride>
    <w:lvlOverride w:ilvl="1">
      <w:startOverride w:val="62"/>
    </w:lvlOverride>
    <w:lvlOverride w:ilvl="2">
      <w:startOverride w:val="62"/>
    </w:lvlOverride>
    <w:lvlOverride w:ilvl="3">
      <w:startOverride w:val="62"/>
    </w:lvlOverride>
    <w:lvlOverride w:ilvl="4">
      <w:startOverride w:val="62"/>
    </w:lvlOverride>
    <w:lvlOverride w:ilvl="5">
      <w:startOverride w:val="62"/>
    </w:lvlOverride>
    <w:lvlOverride w:ilvl="6">
      <w:startOverride w:val="62"/>
    </w:lvlOverride>
    <w:lvlOverride w:ilvl="7">
      <w:startOverride w:val="62"/>
    </w:lvlOverride>
    <w:lvlOverride w:ilvl="8">
      <w:startOverride w:val="62"/>
    </w:lvlOverride>
  </w:num>
  <w:num w:numId="1015">
    <w:abstractNumId w:val="9943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16">
    <w:abstractNumId w:val="9943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017">
    <w:abstractNumId w:val="9943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18">
    <w:abstractNumId w:val="994377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019">
    <w:abstractNumId w:val="9943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1020">
    <w:abstractNumId w:val="9943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21">
    <w:abstractNumId w:val="9943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22">
    <w:abstractNumId w:val="994394"/>
    <w:lvlOverride w:ilvl="0">
      <w:startOverride w:val="94"/>
    </w:lvlOverride>
    <w:lvlOverride w:ilvl="1">
      <w:startOverride w:val="94"/>
    </w:lvlOverride>
    <w:lvlOverride w:ilvl="2">
      <w:startOverride w:val="94"/>
    </w:lvlOverride>
    <w:lvlOverride w:ilvl="3">
      <w:startOverride w:val="94"/>
    </w:lvlOverride>
    <w:lvlOverride w:ilvl="4">
      <w:startOverride w:val="94"/>
    </w:lvlOverride>
    <w:lvlOverride w:ilvl="5">
      <w:startOverride w:val="94"/>
    </w:lvlOverride>
    <w:lvlOverride w:ilvl="6">
      <w:startOverride w:val="94"/>
    </w:lvlOverride>
    <w:lvlOverride w:ilvl="7">
      <w:startOverride w:val="94"/>
    </w:lvlOverride>
    <w:lvlOverride w:ilvl="8">
      <w:startOverride w:val="94"/>
    </w:lvlOverride>
  </w:num>
  <w:num w:numId="1023">
    <w:abstractNumId w:val="994395"/>
    <w:lvlOverride w:ilvl="0">
      <w:startOverride w:val="95"/>
    </w:lvlOverride>
    <w:lvlOverride w:ilvl="1">
      <w:startOverride w:val="95"/>
    </w:lvlOverride>
    <w:lvlOverride w:ilvl="2">
      <w:startOverride w:val="95"/>
    </w:lvlOverride>
    <w:lvlOverride w:ilvl="3">
      <w:startOverride w:val="95"/>
    </w:lvlOverride>
    <w:lvlOverride w:ilvl="4">
      <w:startOverride w:val="95"/>
    </w:lvlOverride>
    <w:lvlOverride w:ilvl="5">
      <w:startOverride w:val="95"/>
    </w:lvlOverride>
    <w:lvlOverride w:ilvl="6">
      <w:startOverride w:val="95"/>
    </w:lvlOverride>
    <w:lvlOverride w:ilvl="7">
      <w:startOverride w:val="95"/>
    </w:lvlOverride>
    <w:lvlOverride w:ilvl="8">
      <w:startOverride w:val="95"/>
    </w:lvlOverride>
  </w:num>
  <w:num w:numId="1024">
    <w:abstractNumId w:val="9943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025">
    <w:abstractNumId w:val="9943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26">
    <w:abstractNumId w:val="9943104"/>
    <w:lvlOverride w:ilvl="0">
      <w:startOverride w:val="104"/>
    </w:lvlOverride>
    <w:lvlOverride w:ilvl="1">
      <w:startOverride w:val="104"/>
    </w:lvlOverride>
    <w:lvlOverride w:ilvl="2">
      <w:startOverride w:val="104"/>
    </w:lvlOverride>
    <w:lvlOverride w:ilvl="3">
      <w:startOverride w:val="104"/>
    </w:lvlOverride>
    <w:lvlOverride w:ilvl="4">
      <w:startOverride w:val="104"/>
    </w:lvlOverride>
    <w:lvlOverride w:ilvl="5">
      <w:startOverride w:val="104"/>
    </w:lvlOverride>
    <w:lvlOverride w:ilvl="6">
      <w:startOverride w:val="104"/>
    </w:lvlOverride>
    <w:lvlOverride w:ilvl="7">
      <w:startOverride w:val="104"/>
    </w:lvlOverride>
    <w:lvlOverride w:ilvl="8">
      <w:startOverride w:val="104"/>
    </w:lvlOverride>
  </w:num>
  <w:num w:numId="1027">
    <w:abstractNumId w:val="9943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8">
    <w:abstractNumId w:val="9943110"/>
    <w:lvlOverride w:ilvl="0">
      <w:startOverride w:val="110"/>
    </w:lvlOverride>
    <w:lvlOverride w:ilvl="1">
      <w:startOverride w:val="110"/>
    </w:lvlOverride>
    <w:lvlOverride w:ilvl="2">
      <w:startOverride w:val="110"/>
    </w:lvlOverride>
    <w:lvlOverride w:ilvl="3">
      <w:startOverride w:val="110"/>
    </w:lvlOverride>
    <w:lvlOverride w:ilvl="4">
      <w:startOverride w:val="110"/>
    </w:lvlOverride>
    <w:lvlOverride w:ilvl="5">
      <w:startOverride w:val="110"/>
    </w:lvlOverride>
    <w:lvlOverride w:ilvl="6">
      <w:startOverride w:val="110"/>
    </w:lvlOverride>
    <w:lvlOverride w:ilvl="7">
      <w:startOverride w:val="110"/>
    </w:lvlOverride>
    <w:lvlOverride w:ilvl="8">
      <w:startOverride w:val="110"/>
    </w:lvlOverride>
  </w:num>
  <w:num w:numId="1029">
    <w:abstractNumId w:val="9943114"/>
    <w:lvlOverride w:ilvl="0">
      <w:startOverride w:val="114"/>
    </w:lvlOverride>
    <w:lvlOverride w:ilvl="1">
      <w:startOverride w:val="114"/>
    </w:lvlOverride>
    <w:lvlOverride w:ilvl="2">
      <w:startOverride w:val="114"/>
    </w:lvlOverride>
    <w:lvlOverride w:ilvl="3">
      <w:startOverride w:val="114"/>
    </w:lvlOverride>
    <w:lvlOverride w:ilvl="4">
      <w:startOverride w:val="114"/>
    </w:lvlOverride>
    <w:lvlOverride w:ilvl="5">
      <w:startOverride w:val="114"/>
    </w:lvlOverride>
    <w:lvlOverride w:ilvl="6">
      <w:startOverride w:val="114"/>
    </w:lvlOverride>
    <w:lvlOverride w:ilvl="7">
      <w:startOverride w:val="114"/>
    </w:lvlOverride>
    <w:lvlOverride w:ilvl="8">
      <w:startOverride w:val="114"/>
    </w:lvlOverride>
  </w:num>
  <w:num w:numId="1030">
    <w:abstractNumId w:val="9943118"/>
    <w:lvlOverride w:ilvl="0">
      <w:startOverride w:val="118"/>
    </w:lvlOverride>
    <w:lvlOverride w:ilvl="1">
      <w:startOverride w:val="118"/>
    </w:lvlOverride>
    <w:lvlOverride w:ilvl="2">
      <w:startOverride w:val="118"/>
    </w:lvlOverride>
    <w:lvlOverride w:ilvl="3">
      <w:startOverride w:val="118"/>
    </w:lvlOverride>
    <w:lvlOverride w:ilvl="4">
      <w:startOverride w:val="118"/>
    </w:lvlOverride>
    <w:lvlOverride w:ilvl="5">
      <w:startOverride w:val="118"/>
    </w:lvlOverride>
    <w:lvlOverride w:ilvl="6">
      <w:startOverride w:val="118"/>
    </w:lvlOverride>
    <w:lvlOverride w:ilvl="7">
      <w:startOverride w:val="118"/>
    </w:lvlOverride>
    <w:lvlOverride w:ilvl="8">
      <w:startOverride w:val="118"/>
    </w:lvlOverride>
  </w:num>
  <w:num w:numId="1031">
    <w:abstractNumId w:val="9943120"/>
    <w:lvlOverride w:ilvl="0">
      <w:startOverride w:val="120"/>
    </w:lvlOverride>
    <w:lvlOverride w:ilvl="1">
      <w:startOverride w:val="120"/>
    </w:lvlOverride>
    <w:lvlOverride w:ilvl="2">
      <w:startOverride w:val="120"/>
    </w:lvlOverride>
    <w:lvlOverride w:ilvl="3">
      <w:startOverride w:val="120"/>
    </w:lvlOverride>
    <w:lvlOverride w:ilvl="4">
      <w:startOverride w:val="120"/>
    </w:lvlOverride>
    <w:lvlOverride w:ilvl="5">
      <w:startOverride w:val="120"/>
    </w:lvlOverride>
    <w:lvlOverride w:ilvl="6">
      <w:startOverride w:val="120"/>
    </w:lvlOverride>
    <w:lvlOverride w:ilvl="7">
      <w:startOverride w:val="120"/>
    </w:lvlOverride>
    <w:lvlOverride w:ilvl="8">
      <w:startOverride w:val="120"/>
    </w:lvlOverride>
  </w:num>
  <w:num w:numId="1032">
    <w:abstractNumId w:val="9943125"/>
    <w:lvlOverride w:ilvl="0">
      <w:startOverride w:val="125"/>
    </w:lvlOverride>
    <w:lvlOverride w:ilvl="1">
      <w:startOverride w:val="125"/>
    </w:lvlOverride>
    <w:lvlOverride w:ilvl="2">
      <w:startOverride w:val="125"/>
    </w:lvlOverride>
    <w:lvlOverride w:ilvl="3">
      <w:startOverride w:val="125"/>
    </w:lvlOverride>
    <w:lvlOverride w:ilvl="4">
      <w:startOverride w:val="125"/>
    </w:lvlOverride>
    <w:lvlOverride w:ilvl="5">
      <w:startOverride w:val="125"/>
    </w:lvlOverride>
    <w:lvlOverride w:ilvl="6">
      <w:startOverride w:val="125"/>
    </w:lvlOverride>
    <w:lvlOverride w:ilvl="7">
      <w:startOverride w:val="125"/>
    </w:lvlOverride>
    <w:lvlOverride w:ilvl="8">
      <w:startOverride w:val="125"/>
    </w:lvlOverride>
  </w:num>
  <w:num w:numId="1033">
    <w:abstractNumId w:val="9943126"/>
    <w:lvlOverride w:ilvl="0">
      <w:startOverride w:val="126"/>
    </w:lvlOverride>
    <w:lvlOverride w:ilvl="1">
      <w:startOverride w:val="126"/>
    </w:lvlOverride>
    <w:lvlOverride w:ilvl="2">
      <w:startOverride w:val="126"/>
    </w:lvlOverride>
    <w:lvlOverride w:ilvl="3">
      <w:startOverride w:val="126"/>
    </w:lvlOverride>
    <w:lvlOverride w:ilvl="4">
      <w:startOverride w:val="126"/>
    </w:lvlOverride>
    <w:lvlOverride w:ilvl="5">
      <w:startOverride w:val="126"/>
    </w:lvlOverride>
    <w:lvlOverride w:ilvl="6">
      <w:startOverride w:val="126"/>
    </w:lvlOverride>
    <w:lvlOverride w:ilvl="7">
      <w:startOverride w:val="126"/>
    </w:lvlOverride>
    <w:lvlOverride w:ilvl="8">
      <w:startOverride w:val="126"/>
    </w:lvlOverride>
  </w:num>
  <w:num w:numId="1034">
    <w:abstractNumId w:val="9943127"/>
    <w:lvlOverride w:ilvl="0">
      <w:startOverride w:val="127"/>
    </w:lvlOverride>
    <w:lvlOverride w:ilvl="1">
      <w:startOverride w:val="127"/>
    </w:lvlOverride>
    <w:lvlOverride w:ilvl="2">
      <w:startOverride w:val="127"/>
    </w:lvlOverride>
    <w:lvlOverride w:ilvl="3">
      <w:startOverride w:val="127"/>
    </w:lvlOverride>
    <w:lvlOverride w:ilvl="4">
      <w:startOverride w:val="127"/>
    </w:lvlOverride>
    <w:lvlOverride w:ilvl="5">
      <w:startOverride w:val="127"/>
    </w:lvlOverride>
    <w:lvlOverride w:ilvl="6">
      <w:startOverride w:val="127"/>
    </w:lvlOverride>
    <w:lvlOverride w:ilvl="7">
      <w:startOverride w:val="127"/>
    </w:lvlOverride>
    <w:lvlOverride w:ilvl="8">
      <w:startOverride w:val="127"/>
    </w:lvlOverride>
  </w:num>
  <w:num w:numId="1035">
    <w:abstractNumId w:val="9943128"/>
    <w:lvlOverride w:ilvl="0">
      <w:startOverride w:val="128"/>
    </w:lvlOverride>
    <w:lvlOverride w:ilvl="1">
      <w:startOverride w:val="128"/>
    </w:lvlOverride>
    <w:lvlOverride w:ilvl="2">
      <w:startOverride w:val="128"/>
    </w:lvlOverride>
    <w:lvlOverride w:ilvl="3">
      <w:startOverride w:val="128"/>
    </w:lvlOverride>
    <w:lvlOverride w:ilvl="4">
      <w:startOverride w:val="128"/>
    </w:lvlOverride>
    <w:lvlOverride w:ilvl="5">
      <w:startOverride w:val="128"/>
    </w:lvlOverride>
    <w:lvlOverride w:ilvl="6">
      <w:startOverride w:val="128"/>
    </w:lvlOverride>
    <w:lvlOverride w:ilvl="7">
      <w:startOverride w:val="128"/>
    </w:lvlOverride>
    <w:lvlOverride w:ilvl="8">
      <w:startOverride w:val="128"/>
    </w:lvlOverride>
  </w:num>
  <w:num w:numId="1036">
    <w:abstractNumId w:val="9943133"/>
    <w:lvlOverride w:ilvl="0">
      <w:startOverride w:val="133"/>
    </w:lvlOverride>
    <w:lvlOverride w:ilvl="1">
      <w:startOverride w:val="133"/>
    </w:lvlOverride>
    <w:lvlOverride w:ilvl="2">
      <w:startOverride w:val="133"/>
    </w:lvlOverride>
    <w:lvlOverride w:ilvl="3">
      <w:startOverride w:val="133"/>
    </w:lvlOverride>
    <w:lvlOverride w:ilvl="4">
      <w:startOverride w:val="133"/>
    </w:lvlOverride>
    <w:lvlOverride w:ilvl="5">
      <w:startOverride w:val="133"/>
    </w:lvlOverride>
    <w:lvlOverride w:ilvl="6">
      <w:startOverride w:val="133"/>
    </w:lvlOverride>
    <w:lvlOverride w:ilvl="7">
      <w:startOverride w:val="133"/>
    </w:lvlOverride>
    <w:lvlOverride w:ilvl="8">
      <w:startOverride w:val="133"/>
    </w:lvlOverride>
  </w:num>
  <w:num w:numId="1037">
    <w:abstractNumId w:val="9943135"/>
    <w:lvlOverride w:ilvl="0">
      <w:startOverride w:val="135"/>
    </w:lvlOverride>
    <w:lvlOverride w:ilvl="1">
      <w:startOverride w:val="135"/>
    </w:lvlOverride>
    <w:lvlOverride w:ilvl="2">
      <w:startOverride w:val="135"/>
    </w:lvlOverride>
    <w:lvlOverride w:ilvl="3">
      <w:startOverride w:val="135"/>
    </w:lvlOverride>
    <w:lvlOverride w:ilvl="4">
      <w:startOverride w:val="135"/>
    </w:lvlOverride>
    <w:lvlOverride w:ilvl="5">
      <w:startOverride w:val="135"/>
    </w:lvlOverride>
    <w:lvlOverride w:ilvl="6">
      <w:startOverride w:val="135"/>
    </w:lvlOverride>
    <w:lvlOverride w:ilvl="7">
      <w:startOverride w:val="135"/>
    </w:lvlOverride>
    <w:lvlOverride w:ilvl="8">
      <w:startOverride w:val="135"/>
    </w:lvlOverride>
  </w:num>
  <w:num w:numId="1038">
    <w:abstractNumId w:val="9943140"/>
    <w:lvlOverride w:ilvl="0">
      <w:startOverride w:val="140"/>
    </w:lvlOverride>
    <w:lvlOverride w:ilvl="1">
      <w:startOverride w:val="140"/>
    </w:lvlOverride>
    <w:lvlOverride w:ilvl="2">
      <w:startOverride w:val="140"/>
    </w:lvlOverride>
    <w:lvlOverride w:ilvl="3">
      <w:startOverride w:val="140"/>
    </w:lvlOverride>
    <w:lvlOverride w:ilvl="4">
      <w:startOverride w:val="140"/>
    </w:lvlOverride>
    <w:lvlOverride w:ilvl="5">
      <w:startOverride w:val="140"/>
    </w:lvlOverride>
    <w:lvlOverride w:ilvl="6">
      <w:startOverride w:val="140"/>
    </w:lvlOverride>
    <w:lvlOverride w:ilvl="7">
      <w:startOverride w:val="140"/>
    </w:lvlOverride>
    <w:lvlOverride w:ilvl="8">
      <w:startOverride w:val="140"/>
    </w:lvlOverride>
  </w:num>
  <w:num w:numId="1039">
    <w:abstractNumId w:val="9943143"/>
    <w:lvlOverride w:ilvl="0">
      <w:startOverride w:val="143"/>
    </w:lvlOverride>
    <w:lvlOverride w:ilvl="1">
      <w:startOverride w:val="143"/>
    </w:lvlOverride>
    <w:lvlOverride w:ilvl="2">
      <w:startOverride w:val="143"/>
    </w:lvlOverride>
    <w:lvlOverride w:ilvl="3">
      <w:startOverride w:val="143"/>
    </w:lvlOverride>
    <w:lvlOverride w:ilvl="4">
      <w:startOverride w:val="143"/>
    </w:lvlOverride>
    <w:lvlOverride w:ilvl="5">
      <w:startOverride w:val="143"/>
    </w:lvlOverride>
    <w:lvlOverride w:ilvl="6">
      <w:startOverride w:val="143"/>
    </w:lvlOverride>
    <w:lvlOverride w:ilvl="7">
      <w:startOverride w:val="143"/>
    </w:lvlOverride>
    <w:lvlOverride w:ilvl="8">
      <w:startOverride w:val="143"/>
    </w:lvlOverride>
  </w:num>
  <w:num w:numId="104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41">
    <w:abstractNumId w:val="9943145"/>
    <w:lvlOverride w:ilvl="0">
      <w:startOverride w:val="145"/>
    </w:lvlOverride>
    <w:lvlOverride w:ilvl="1">
      <w:startOverride w:val="145"/>
    </w:lvlOverride>
    <w:lvlOverride w:ilvl="2">
      <w:startOverride w:val="145"/>
    </w:lvlOverride>
    <w:lvlOverride w:ilvl="3">
      <w:startOverride w:val="145"/>
    </w:lvlOverride>
    <w:lvlOverride w:ilvl="4">
      <w:startOverride w:val="145"/>
    </w:lvlOverride>
    <w:lvlOverride w:ilvl="5">
      <w:startOverride w:val="145"/>
    </w:lvlOverride>
    <w:lvlOverride w:ilvl="6">
      <w:startOverride w:val="145"/>
    </w:lvlOverride>
    <w:lvlOverride w:ilvl="7">
      <w:startOverride w:val="145"/>
    </w:lvlOverride>
    <w:lvlOverride w:ilvl="8">
      <w:startOverride w:val="145"/>
    </w:lvlOverride>
  </w:num>
  <w:num w:numId="1042">
    <w:abstractNumId w:val="9943150"/>
    <w:lvlOverride w:ilvl="0">
      <w:startOverride w:val="150"/>
    </w:lvlOverride>
    <w:lvlOverride w:ilvl="1">
      <w:startOverride w:val="150"/>
    </w:lvlOverride>
    <w:lvlOverride w:ilvl="2">
      <w:startOverride w:val="150"/>
    </w:lvlOverride>
    <w:lvlOverride w:ilvl="3">
      <w:startOverride w:val="150"/>
    </w:lvlOverride>
    <w:lvlOverride w:ilvl="4">
      <w:startOverride w:val="150"/>
    </w:lvlOverride>
    <w:lvlOverride w:ilvl="5">
      <w:startOverride w:val="150"/>
    </w:lvlOverride>
    <w:lvlOverride w:ilvl="6">
      <w:startOverride w:val="150"/>
    </w:lvlOverride>
    <w:lvlOverride w:ilvl="7">
      <w:startOverride w:val="150"/>
    </w:lvlOverride>
    <w:lvlOverride w:ilvl="8">
      <w:startOverride w:val="150"/>
    </w:lvlOverride>
  </w:num>
  <w:num w:numId="1043">
    <w:abstractNumId w:val="9943156"/>
    <w:lvlOverride w:ilvl="0">
      <w:startOverride w:val="156"/>
    </w:lvlOverride>
    <w:lvlOverride w:ilvl="1">
      <w:startOverride w:val="156"/>
    </w:lvlOverride>
    <w:lvlOverride w:ilvl="2">
      <w:startOverride w:val="156"/>
    </w:lvlOverride>
    <w:lvlOverride w:ilvl="3">
      <w:startOverride w:val="156"/>
    </w:lvlOverride>
    <w:lvlOverride w:ilvl="4">
      <w:startOverride w:val="156"/>
    </w:lvlOverride>
    <w:lvlOverride w:ilvl="5">
      <w:startOverride w:val="156"/>
    </w:lvlOverride>
    <w:lvlOverride w:ilvl="6">
      <w:startOverride w:val="156"/>
    </w:lvlOverride>
    <w:lvlOverride w:ilvl="7">
      <w:startOverride w:val="156"/>
    </w:lvlOverride>
    <w:lvlOverride w:ilvl="8">
      <w:startOverride w:val="156"/>
    </w:lvlOverride>
  </w:num>
  <w:num w:numId="1044">
    <w:abstractNumId w:val="9943161"/>
    <w:lvlOverride w:ilvl="0">
      <w:startOverride w:val="161"/>
    </w:lvlOverride>
    <w:lvlOverride w:ilvl="1">
      <w:startOverride w:val="161"/>
    </w:lvlOverride>
    <w:lvlOverride w:ilvl="2">
      <w:startOverride w:val="161"/>
    </w:lvlOverride>
    <w:lvlOverride w:ilvl="3">
      <w:startOverride w:val="161"/>
    </w:lvlOverride>
    <w:lvlOverride w:ilvl="4">
      <w:startOverride w:val="161"/>
    </w:lvlOverride>
    <w:lvlOverride w:ilvl="5">
      <w:startOverride w:val="161"/>
    </w:lvlOverride>
    <w:lvlOverride w:ilvl="6">
      <w:startOverride w:val="161"/>
    </w:lvlOverride>
    <w:lvlOverride w:ilvl="7">
      <w:startOverride w:val="161"/>
    </w:lvlOverride>
    <w:lvlOverride w:ilvl="8">
      <w:startOverride w:val="161"/>
    </w:lvlOverride>
  </w:num>
  <w:num w:numId="1045">
    <w:abstractNumId w:val="9943162"/>
    <w:lvlOverride w:ilvl="0">
      <w:startOverride w:val="162"/>
    </w:lvlOverride>
    <w:lvlOverride w:ilvl="1">
      <w:startOverride w:val="162"/>
    </w:lvlOverride>
    <w:lvlOverride w:ilvl="2">
      <w:startOverride w:val="162"/>
    </w:lvlOverride>
    <w:lvlOverride w:ilvl="3">
      <w:startOverride w:val="162"/>
    </w:lvlOverride>
    <w:lvlOverride w:ilvl="4">
      <w:startOverride w:val="162"/>
    </w:lvlOverride>
    <w:lvlOverride w:ilvl="5">
      <w:startOverride w:val="162"/>
    </w:lvlOverride>
    <w:lvlOverride w:ilvl="6">
      <w:startOverride w:val="162"/>
    </w:lvlOverride>
    <w:lvlOverride w:ilvl="7">
      <w:startOverride w:val="162"/>
    </w:lvlOverride>
    <w:lvlOverride w:ilvl="8">
      <w:startOverride w:val="162"/>
    </w:lvlOverride>
  </w:num>
  <w:num w:numId="1046">
    <w:abstractNumId w:val="9943167"/>
    <w:lvlOverride w:ilvl="0">
      <w:startOverride w:val="167"/>
    </w:lvlOverride>
    <w:lvlOverride w:ilvl="1">
      <w:startOverride w:val="167"/>
    </w:lvlOverride>
    <w:lvlOverride w:ilvl="2">
      <w:startOverride w:val="167"/>
    </w:lvlOverride>
    <w:lvlOverride w:ilvl="3">
      <w:startOverride w:val="167"/>
    </w:lvlOverride>
    <w:lvlOverride w:ilvl="4">
      <w:startOverride w:val="167"/>
    </w:lvlOverride>
    <w:lvlOverride w:ilvl="5">
      <w:startOverride w:val="167"/>
    </w:lvlOverride>
    <w:lvlOverride w:ilvl="6">
      <w:startOverride w:val="167"/>
    </w:lvlOverride>
    <w:lvlOverride w:ilvl="7">
      <w:startOverride w:val="167"/>
    </w:lvlOverride>
    <w:lvlOverride w:ilvl="8">
      <w:startOverride w:val="167"/>
    </w:lvlOverride>
  </w:num>
  <w:num w:numId="1047">
    <w:abstractNumId w:val="9943168"/>
    <w:lvlOverride w:ilvl="0">
      <w:startOverride w:val="168"/>
    </w:lvlOverride>
    <w:lvlOverride w:ilvl="1">
      <w:startOverride w:val="168"/>
    </w:lvlOverride>
    <w:lvlOverride w:ilvl="2">
      <w:startOverride w:val="168"/>
    </w:lvlOverride>
    <w:lvlOverride w:ilvl="3">
      <w:startOverride w:val="168"/>
    </w:lvlOverride>
    <w:lvlOverride w:ilvl="4">
      <w:startOverride w:val="168"/>
    </w:lvlOverride>
    <w:lvlOverride w:ilvl="5">
      <w:startOverride w:val="168"/>
    </w:lvlOverride>
    <w:lvlOverride w:ilvl="6">
      <w:startOverride w:val="168"/>
    </w:lvlOverride>
    <w:lvlOverride w:ilvl="7">
      <w:startOverride w:val="168"/>
    </w:lvlOverride>
    <w:lvlOverride w:ilvl="8">
      <w:startOverride w:val="168"/>
    </w:lvlOverride>
  </w:num>
  <w:num w:numId="1048">
    <w:abstractNumId w:val="9943169"/>
    <w:lvlOverride w:ilvl="0">
      <w:startOverride w:val="169"/>
    </w:lvlOverride>
    <w:lvlOverride w:ilvl="1">
      <w:startOverride w:val="169"/>
    </w:lvlOverride>
    <w:lvlOverride w:ilvl="2">
      <w:startOverride w:val="169"/>
    </w:lvlOverride>
    <w:lvlOverride w:ilvl="3">
      <w:startOverride w:val="169"/>
    </w:lvlOverride>
    <w:lvlOverride w:ilvl="4">
      <w:startOverride w:val="169"/>
    </w:lvlOverride>
    <w:lvlOverride w:ilvl="5">
      <w:startOverride w:val="169"/>
    </w:lvlOverride>
    <w:lvlOverride w:ilvl="6">
      <w:startOverride w:val="169"/>
    </w:lvlOverride>
    <w:lvlOverride w:ilvl="7">
      <w:startOverride w:val="169"/>
    </w:lvlOverride>
    <w:lvlOverride w:ilvl="8">
      <w:startOverride w:val="169"/>
    </w:lvlOverride>
  </w:num>
  <w:num w:numId="1049">
    <w:abstractNumId w:val="9943172"/>
    <w:lvlOverride w:ilvl="0">
      <w:startOverride w:val="172"/>
    </w:lvlOverride>
    <w:lvlOverride w:ilvl="1">
      <w:startOverride w:val="172"/>
    </w:lvlOverride>
    <w:lvlOverride w:ilvl="2">
      <w:startOverride w:val="172"/>
    </w:lvlOverride>
    <w:lvlOverride w:ilvl="3">
      <w:startOverride w:val="172"/>
    </w:lvlOverride>
    <w:lvlOverride w:ilvl="4">
      <w:startOverride w:val="172"/>
    </w:lvlOverride>
    <w:lvlOverride w:ilvl="5">
      <w:startOverride w:val="172"/>
    </w:lvlOverride>
    <w:lvlOverride w:ilvl="6">
      <w:startOverride w:val="172"/>
    </w:lvlOverride>
    <w:lvlOverride w:ilvl="7">
      <w:startOverride w:val="172"/>
    </w:lvlOverride>
    <w:lvlOverride w:ilvl="8">
      <w:startOverride w:val="172"/>
    </w:lvlOverride>
  </w:num>
  <w:num w:numId="1050">
    <w:abstractNumId w:val="9943174"/>
    <w:lvlOverride w:ilvl="0">
      <w:startOverride w:val="174"/>
    </w:lvlOverride>
    <w:lvlOverride w:ilvl="1">
      <w:startOverride w:val="174"/>
    </w:lvlOverride>
    <w:lvlOverride w:ilvl="2">
      <w:startOverride w:val="174"/>
    </w:lvlOverride>
    <w:lvlOverride w:ilvl="3">
      <w:startOverride w:val="174"/>
    </w:lvlOverride>
    <w:lvlOverride w:ilvl="4">
      <w:startOverride w:val="174"/>
    </w:lvlOverride>
    <w:lvlOverride w:ilvl="5">
      <w:startOverride w:val="174"/>
    </w:lvlOverride>
    <w:lvlOverride w:ilvl="6">
      <w:startOverride w:val="174"/>
    </w:lvlOverride>
    <w:lvlOverride w:ilvl="7">
      <w:startOverride w:val="174"/>
    </w:lvlOverride>
    <w:lvlOverride w:ilvl="8">
      <w:startOverride w:val="174"/>
    </w:lvlOverride>
  </w:num>
  <w:num w:numId="1051">
    <w:abstractNumId w:val="9943176"/>
    <w:lvlOverride w:ilvl="0">
      <w:startOverride w:val="176"/>
    </w:lvlOverride>
    <w:lvlOverride w:ilvl="1">
      <w:startOverride w:val="176"/>
    </w:lvlOverride>
    <w:lvlOverride w:ilvl="2">
      <w:startOverride w:val="176"/>
    </w:lvlOverride>
    <w:lvlOverride w:ilvl="3">
      <w:startOverride w:val="176"/>
    </w:lvlOverride>
    <w:lvlOverride w:ilvl="4">
      <w:startOverride w:val="176"/>
    </w:lvlOverride>
    <w:lvlOverride w:ilvl="5">
      <w:startOverride w:val="176"/>
    </w:lvlOverride>
    <w:lvlOverride w:ilvl="6">
      <w:startOverride w:val="176"/>
    </w:lvlOverride>
    <w:lvlOverride w:ilvl="7">
      <w:startOverride w:val="176"/>
    </w:lvlOverride>
    <w:lvlOverride w:ilvl="8">
      <w:startOverride w:val="176"/>
    </w:lvlOverride>
  </w:num>
  <w:num w:numId="1052">
    <w:abstractNumId w:val="9943179"/>
    <w:lvlOverride w:ilvl="0">
      <w:startOverride w:val="179"/>
    </w:lvlOverride>
    <w:lvlOverride w:ilvl="1">
      <w:startOverride w:val="179"/>
    </w:lvlOverride>
    <w:lvlOverride w:ilvl="2">
      <w:startOverride w:val="179"/>
    </w:lvlOverride>
    <w:lvlOverride w:ilvl="3">
      <w:startOverride w:val="179"/>
    </w:lvlOverride>
    <w:lvlOverride w:ilvl="4">
      <w:startOverride w:val="179"/>
    </w:lvlOverride>
    <w:lvlOverride w:ilvl="5">
      <w:startOverride w:val="179"/>
    </w:lvlOverride>
    <w:lvlOverride w:ilvl="6">
      <w:startOverride w:val="179"/>
    </w:lvlOverride>
    <w:lvlOverride w:ilvl="7">
      <w:startOverride w:val="179"/>
    </w:lvlOverride>
    <w:lvlOverride w:ilvl="8">
      <w:startOverride w:val="179"/>
    </w:lvlOverride>
  </w:num>
  <w:num w:numId="1053">
    <w:abstractNumId w:val="9943181"/>
    <w:lvlOverride w:ilvl="0">
      <w:startOverride w:val="181"/>
    </w:lvlOverride>
    <w:lvlOverride w:ilvl="1">
      <w:startOverride w:val="181"/>
    </w:lvlOverride>
    <w:lvlOverride w:ilvl="2">
      <w:startOverride w:val="181"/>
    </w:lvlOverride>
    <w:lvlOverride w:ilvl="3">
      <w:startOverride w:val="181"/>
    </w:lvlOverride>
    <w:lvlOverride w:ilvl="4">
      <w:startOverride w:val="181"/>
    </w:lvlOverride>
    <w:lvlOverride w:ilvl="5">
      <w:startOverride w:val="181"/>
    </w:lvlOverride>
    <w:lvlOverride w:ilvl="6">
      <w:startOverride w:val="181"/>
    </w:lvlOverride>
    <w:lvlOverride w:ilvl="7">
      <w:startOverride w:val="181"/>
    </w:lvlOverride>
    <w:lvlOverride w:ilvl="8">
      <w:startOverride w:val="181"/>
    </w:lvlOverride>
  </w:num>
  <w:num w:numId="1054">
    <w:abstractNumId w:val="9943185"/>
    <w:lvlOverride w:ilvl="0">
      <w:startOverride w:val="185"/>
    </w:lvlOverride>
    <w:lvlOverride w:ilvl="1">
      <w:startOverride w:val="185"/>
    </w:lvlOverride>
    <w:lvlOverride w:ilvl="2">
      <w:startOverride w:val="185"/>
    </w:lvlOverride>
    <w:lvlOverride w:ilvl="3">
      <w:startOverride w:val="185"/>
    </w:lvlOverride>
    <w:lvlOverride w:ilvl="4">
      <w:startOverride w:val="185"/>
    </w:lvlOverride>
    <w:lvlOverride w:ilvl="5">
      <w:startOverride w:val="185"/>
    </w:lvlOverride>
    <w:lvlOverride w:ilvl="6">
      <w:startOverride w:val="185"/>
    </w:lvlOverride>
    <w:lvlOverride w:ilvl="7">
      <w:startOverride w:val="185"/>
    </w:lvlOverride>
    <w:lvlOverride w:ilvl="8">
      <w:startOverride w:val="185"/>
    </w:lvlOverride>
  </w:num>
  <w:num w:numId="1055">
    <w:abstractNumId w:val="9943189"/>
    <w:lvlOverride w:ilvl="0">
      <w:startOverride w:val="189"/>
    </w:lvlOverride>
    <w:lvlOverride w:ilvl="1">
      <w:startOverride w:val="189"/>
    </w:lvlOverride>
    <w:lvlOverride w:ilvl="2">
      <w:startOverride w:val="189"/>
    </w:lvlOverride>
    <w:lvlOverride w:ilvl="3">
      <w:startOverride w:val="189"/>
    </w:lvlOverride>
    <w:lvlOverride w:ilvl="4">
      <w:startOverride w:val="189"/>
    </w:lvlOverride>
    <w:lvlOverride w:ilvl="5">
      <w:startOverride w:val="189"/>
    </w:lvlOverride>
    <w:lvlOverride w:ilvl="6">
      <w:startOverride w:val="189"/>
    </w:lvlOverride>
    <w:lvlOverride w:ilvl="7">
      <w:startOverride w:val="189"/>
    </w:lvlOverride>
    <w:lvlOverride w:ilvl="8">
      <w:startOverride w:val="189"/>
    </w:lvlOverride>
  </w:num>
  <w:num w:numId="1056">
    <w:abstractNumId w:val="9943197"/>
    <w:lvlOverride w:ilvl="0">
      <w:startOverride w:val="197"/>
    </w:lvlOverride>
    <w:lvlOverride w:ilvl="1">
      <w:startOverride w:val="197"/>
    </w:lvlOverride>
    <w:lvlOverride w:ilvl="2">
      <w:startOverride w:val="197"/>
    </w:lvlOverride>
    <w:lvlOverride w:ilvl="3">
      <w:startOverride w:val="197"/>
    </w:lvlOverride>
    <w:lvlOverride w:ilvl="4">
      <w:startOverride w:val="197"/>
    </w:lvlOverride>
    <w:lvlOverride w:ilvl="5">
      <w:startOverride w:val="197"/>
    </w:lvlOverride>
    <w:lvlOverride w:ilvl="6">
      <w:startOverride w:val="197"/>
    </w:lvlOverride>
    <w:lvlOverride w:ilvl="7">
      <w:startOverride w:val="197"/>
    </w:lvlOverride>
    <w:lvlOverride w:ilvl="8">
      <w:startOverride w:val="197"/>
    </w:lvlOverride>
  </w:num>
  <w:num w:numId="1057">
    <w:abstractNumId w:val="9943200"/>
    <w:lvlOverride w:ilvl="0">
      <w:startOverride w:val="200"/>
    </w:lvlOverride>
    <w:lvlOverride w:ilvl="1">
      <w:startOverride w:val="200"/>
    </w:lvlOverride>
    <w:lvlOverride w:ilvl="2">
      <w:startOverride w:val="200"/>
    </w:lvlOverride>
    <w:lvlOverride w:ilvl="3">
      <w:startOverride w:val="200"/>
    </w:lvlOverride>
    <w:lvlOverride w:ilvl="4">
      <w:startOverride w:val="200"/>
    </w:lvlOverride>
    <w:lvlOverride w:ilvl="5">
      <w:startOverride w:val="200"/>
    </w:lvlOverride>
    <w:lvlOverride w:ilvl="6">
      <w:startOverride w:val="200"/>
    </w:lvlOverride>
    <w:lvlOverride w:ilvl="7">
      <w:startOverride w:val="200"/>
    </w:lvlOverride>
    <w:lvlOverride w:ilvl="8">
      <w:startOverride w:val="200"/>
    </w:lvlOverride>
  </w:num>
  <w:num w:numId="1058">
    <w:abstractNumId w:val="9943202"/>
    <w:lvlOverride w:ilvl="0">
      <w:startOverride w:val="202"/>
    </w:lvlOverride>
    <w:lvlOverride w:ilvl="1">
      <w:startOverride w:val="202"/>
    </w:lvlOverride>
    <w:lvlOverride w:ilvl="2">
      <w:startOverride w:val="202"/>
    </w:lvlOverride>
    <w:lvlOverride w:ilvl="3">
      <w:startOverride w:val="202"/>
    </w:lvlOverride>
    <w:lvlOverride w:ilvl="4">
      <w:startOverride w:val="202"/>
    </w:lvlOverride>
    <w:lvlOverride w:ilvl="5">
      <w:startOverride w:val="202"/>
    </w:lvlOverride>
    <w:lvlOverride w:ilvl="6">
      <w:startOverride w:val="202"/>
    </w:lvlOverride>
    <w:lvlOverride w:ilvl="7">
      <w:startOverride w:val="202"/>
    </w:lvlOverride>
    <w:lvlOverride w:ilvl="8">
      <w:startOverride w:val="202"/>
    </w:lvlOverride>
  </w:num>
  <w:num w:numId="1059">
    <w:abstractNumId w:val="9943205"/>
    <w:lvlOverride w:ilvl="0">
      <w:startOverride w:val="205"/>
    </w:lvlOverride>
    <w:lvlOverride w:ilvl="1">
      <w:startOverride w:val="205"/>
    </w:lvlOverride>
    <w:lvlOverride w:ilvl="2">
      <w:startOverride w:val="205"/>
    </w:lvlOverride>
    <w:lvlOverride w:ilvl="3">
      <w:startOverride w:val="205"/>
    </w:lvlOverride>
    <w:lvlOverride w:ilvl="4">
      <w:startOverride w:val="205"/>
    </w:lvlOverride>
    <w:lvlOverride w:ilvl="5">
      <w:startOverride w:val="205"/>
    </w:lvlOverride>
    <w:lvlOverride w:ilvl="6">
      <w:startOverride w:val="205"/>
    </w:lvlOverride>
    <w:lvlOverride w:ilvl="7">
      <w:startOverride w:val="205"/>
    </w:lvlOverride>
    <w:lvlOverride w:ilvl="8">
      <w:startOverride w:val="205"/>
    </w:lvlOverride>
  </w:num>
  <w:num w:numId="1060">
    <w:abstractNumId w:val="9943208"/>
    <w:lvlOverride w:ilvl="0">
      <w:startOverride w:val="208"/>
    </w:lvlOverride>
    <w:lvlOverride w:ilvl="1">
      <w:startOverride w:val="208"/>
    </w:lvlOverride>
    <w:lvlOverride w:ilvl="2">
      <w:startOverride w:val="208"/>
    </w:lvlOverride>
    <w:lvlOverride w:ilvl="3">
      <w:startOverride w:val="208"/>
    </w:lvlOverride>
    <w:lvlOverride w:ilvl="4">
      <w:startOverride w:val="208"/>
    </w:lvlOverride>
    <w:lvlOverride w:ilvl="5">
      <w:startOverride w:val="208"/>
    </w:lvlOverride>
    <w:lvlOverride w:ilvl="6">
      <w:startOverride w:val="208"/>
    </w:lvlOverride>
    <w:lvlOverride w:ilvl="7">
      <w:startOverride w:val="208"/>
    </w:lvlOverride>
    <w:lvlOverride w:ilvl="8">
      <w:startOverride w:val="208"/>
    </w:lvlOverride>
  </w:num>
  <w:num w:numId="1061">
    <w:abstractNumId w:val="9943211"/>
    <w:lvlOverride w:ilvl="0">
      <w:startOverride w:val="211"/>
    </w:lvlOverride>
    <w:lvlOverride w:ilvl="1">
      <w:startOverride w:val="211"/>
    </w:lvlOverride>
    <w:lvlOverride w:ilvl="2">
      <w:startOverride w:val="211"/>
    </w:lvlOverride>
    <w:lvlOverride w:ilvl="3">
      <w:startOverride w:val="211"/>
    </w:lvlOverride>
    <w:lvlOverride w:ilvl="4">
      <w:startOverride w:val="211"/>
    </w:lvlOverride>
    <w:lvlOverride w:ilvl="5">
      <w:startOverride w:val="211"/>
    </w:lvlOverride>
    <w:lvlOverride w:ilvl="6">
      <w:startOverride w:val="211"/>
    </w:lvlOverride>
    <w:lvlOverride w:ilvl="7">
      <w:startOverride w:val="211"/>
    </w:lvlOverride>
    <w:lvlOverride w:ilvl="8">
      <w:startOverride w:val="211"/>
    </w:lvlOverride>
  </w:num>
  <w:num w:numId="1062">
    <w:abstractNumId w:val="99412027"/>
    <w:lvlOverride w:ilvl="0">
      <w:startOverride w:val="2027"/>
    </w:lvlOverride>
    <w:lvlOverride w:ilvl="1">
      <w:startOverride w:val="2027"/>
    </w:lvlOverride>
    <w:lvlOverride w:ilvl="2">
      <w:startOverride w:val="2027"/>
    </w:lvlOverride>
    <w:lvlOverride w:ilvl="3">
      <w:startOverride w:val="2027"/>
    </w:lvlOverride>
    <w:lvlOverride w:ilvl="4">
      <w:startOverride w:val="2027"/>
    </w:lvlOverride>
    <w:lvlOverride w:ilvl="5">
      <w:startOverride w:val="2027"/>
    </w:lvlOverride>
    <w:lvlOverride w:ilvl="6">
      <w:startOverride w:val="2027"/>
    </w:lvlOverride>
    <w:lvlOverride w:ilvl="7">
      <w:startOverride w:val="2027"/>
    </w:lvlOverride>
    <w:lvlOverride w:ilvl="8">
      <w:startOverride w:val="2027"/>
    </w:lvlOverride>
  </w:num>
  <w:num w:numId="1063">
    <w:abstractNumId w:val="9943212"/>
    <w:lvlOverride w:ilvl="0">
      <w:startOverride w:val="212"/>
    </w:lvlOverride>
    <w:lvlOverride w:ilvl="1">
      <w:startOverride w:val="212"/>
    </w:lvlOverride>
    <w:lvlOverride w:ilvl="2">
      <w:startOverride w:val="212"/>
    </w:lvlOverride>
    <w:lvlOverride w:ilvl="3">
      <w:startOverride w:val="212"/>
    </w:lvlOverride>
    <w:lvlOverride w:ilvl="4">
      <w:startOverride w:val="212"/>
    </w:lvlOverride>
    <w:lvlOverride w:ilvl="5">
      <w:startOverride w:val="212"/>
    </w:lvlOverride>
    <w:lvlOverride w:ilvl="6">
      <w:startOverride w:val="212"/>
    </w:lvlOverride>
    <w:lvlOverride w:ilvl="7">
      <w:startOverride w:val="212"/>
    </w:lvlOverride>
    <w:lvlOverride w:ilvl="8">
      <w:startOverride w:val="212"/>
    </w:lvlOverride>
  </w:num>
  <w:num w:numId="1064">
    <w:abstractNumId w:val="9943213"/>
    <w:lvlOverride w:ilvl="0">
      <w:startOverride w:val="213"/>
    </w:lvlOverride>
    <w:lvlOverride w:ilvl="1">
      <w:startOverride w:val="213"/>
    </w:lvlOverride>
    <w:lvlOverride w:ilvl="2">
      <w:startOverride w:val="213"/>
    </w:lvlOverride>
    <w:lvlOverride w:ilvl="3">
      <w:startOverride w:val="213"/>
    </w:lvlOverride>
    <w:lvlOverride w:ilvl="4">
      <w:startOverride w:val="213"/>
    </w:lvlOverride>
    <w:lvlOverride w:ilvl="5">
      <w:startOverride w:val="213"/>
    </w:lvlOverride>
    <w:lvlOverride w:ilvl="6">
      <w:startOverride w:val="213"/>
    </w:lvlOverride>
    <w:lvlOverride w:ilvl="7">
      <w:startOverride w:val="213"/>
    </w:lvlOverride>
    <w:lvlOverride w:ilvl="8">
      <w:startOverride w:val="213"/>
    </w:lvlOverride>
  </w:num>
  <w:num w:numId="1065">
    <w:abstractNumId w:val="9943215"/>
    <w:lvlOverride w:ilvl="0">
      <w:startOverride w:val="215"/>
    </w:lvlOverride>
    <w:lvlOverride w:ilvl="1">
      <w:startOverride w:val="215"/>
    </w:lvlOverride>
    <w:lvlOverride w:ilvl="2">
      <w:startOverride w:val="215"/>
    </w:lvlOverride>
    <w:lvlOverride w:ilvl="3">
      <w:startOverride w:val="215"/>
    </w:lvlOverride>
    <w:lvlOverride w:ilvl="4">
      <w:startOverride w:val="215"/>
    </w:lvlOverride>
    <w:lvlOverride w:ilvl="5">
      <w:startOverride w:val="215"/>
    </w:lvlOverride>
    <w:lvlOverride w:ilvl="6">
      <w:startOverride w:val="215"/>
    </w:lvlOverride>
    <w:lvlOverride w:ilvl="7">
      <w:startOverride w:val="215"/>
    </w:lvlOverride>
    <w:lvlOverride w:ilvl="8">
      <w:startOverride w:val="215"/>
    </w:lvlOverride>
  </w:num>
  <w:num w:numId="1066">
    <w:abstractNumId w:val="9943217"/>
    <w:lvlOverride w:ilvl="0">
      <w:startOverride w:val="217"/>
    </w:lvlOverride>
    <w:lvlOverride w:ilvl="1">
      <w:startOverride w:val="217"/>
    </w:lvlOverride>
    <w:lvlOverride w:ilvl="2">
      <w:startOverride w:val="217"/>
    </w:lvlOverride>
    <w:lvlOverride w:ilvl="3">
      <w:startOverride w:val="217"/>
    </w:lvlOverride>
    <w:lvlOverride w:ilvl="4">
      <w:startOverride w:val="217"/>
    </w:lvlOverride>
    <w:lvlOverride w:ilvl="5">
      <w:startOverride w:val="217"/>
    </w:lvlOverride>
    <w:lvlOverride w:ilvl="6">
      <w:startOverride w:val="217"/>
    </w:lvlOverride>
    <w:lvlOverride w:ilvl="7">
      <w:startOverride w:val="217"/>
    </w:lvlOverride>
    <w:lvlOverride w:ilvl="8">
      <w:startOverride w:val="2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2026-07-31T16:48:46Z</dcterms:created>
  <dcterms:modified xsi:type="dcterms:W3CDTF">2026-07-31T16:48:46Z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