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EN</w:t>
      </w:r>
    </w:p>
    <w:p>
      <w:pPr>
        <w:pStyle w:val="BodyText"/>
      </w:pPr>
      <w:r>
        <w:t xml:space="preserve">EN</w:t>
      </w:r>
    </w:p>
    <w:p>
      <w:pPr>
        <w:pStyle w:val="BodyText"/>
      </w:pPr>
      <w:r>
        <w:t xml:space="preserve">EUROPEAN</w:t>
      </w:r>
      <w:r>
        <w:t xml:space="preserve"> </w:t>
      </w:r>
      <w:r>
        <w:t xml:space="preserve">COMMISSION</w:t>
      </w:r>
      <w:r>
        <w:t xml:space="preserve"> </w:t>
      </w:r>
      <w:r>
        <w:t xml:space="preserve">Brussels, 3.6.2026</w:t>
      </w:r>
      <w:r>
        <w:br/>
      </w:r>
      <w:r>
        <w:t xml:space="preserve">SWD(2026) 504 final</w:t>
      </w:r>
      <w:r>
        <w:t xml:space="preserve"> </w:t>
      </w:r>
      <w:r>
        <w:t xml:space="preserve">PART 2/3</w:t>
      </w:r>
    </w:p>
    <w:p>
      <w:pPr>
        <w:pStyle w:val="BodyText"/>
      </w:pPr>
      <w:r>
        <w:t xml:space="preserve">COMMISSION STAFF WORKING DOCUMENT</w:t>
      </w:r>
    </w:p>
    <w:p>
      <w:pPr>
        <w:pStyle w:val="BodyText"/>
      </w:pPr>
      <w:r>
        <w:t xml:space="preserve">IMPACT ASSESSMENT REPORT</w:t>
      </w:r>
    </w:p>
    <w:p>
      <w:pPr>
        <w:pStyle w:val="BodyText"/>
      </w:pPr>
      <w:r>
        <w:t xml:space="preserve">Accompanying the document</w:t>
      </w:r>
    </w:p>
    <w:p>
      <w:pPr>
        <w:pStyle w:val="BodyText"/>
      </w:pPr>
      <w:r>
        <w:t xml:space="preserve">Proposal for a Regulation of the European Parliament and of the Council</w:t>
      </w:r>
      <w:r>
        <w:br/>
      </w:r>
      <w:r>
        <w:t xml:space="preserve">on a framework of measures for strengthening Europe’s semiconductor ecosystem</w:t>
      </w:r>
      <w:r>
        <w:t xml:space="preserve"> </w:t>
      </w:r>
      <w:r>
        <w:t xml:space="preserve">repealing Regulation (EU) 2023/1782 (Chips Act 2.0)</w:t>
      </w:r>
    </w:p>
    <w:p>
      <w:pPr>
        <w:pStyle w:val="BodyText"/>
      </w:pPr>
      <w:r>
        <w:t xml:space="preserve">{COM(2026) 504 final} - {SEC(2026) 504 final} - {SWD(2026) 505 final}</w:t>
      </w:r>
    </w:p>
    <w:p>
      <w:pPr>
        <w:pStyle w:val="BodyText"/>
      </w:pPr>
      <w:r>
        <w:t xml:space="preserve">1</w:t>
      </w:r>
      <w:r>
        <w:t xml:space="preserve"> </w:t>
      </w:r>
      <w:r>
        <w:t xml:space="preserve">Contents</w:t>
      </w:r>
      <w:r>
        <w:t xml:space="preserve"> </w:t>
      </w:r>
      <w:r>
        <w:t xml:space="preserve">ANNEX 1: PROCEDURAL INFORMATION ………………………………………………………… 5</w:t>
      </w:r>
      <w:r>
        <w:t xml:space="preserve"> </w:t>
      </w:r>
      <w:r>
        <w:t xml:space="preserve">1.</w:t>
      </w:r>
      <w:r>
        <w:t xml:space="preserve"> </w:t>
      </w:r>
      <w:r>
        <w:t xml:space="preserve">LEAD DG, DECIDE PLANNING/CWP REFERENCES ………………………………….. 5</w:t>
      </w:r>
      <w:r>
        <w:t xml:space="preserve"> </w:t>
      </w:r>
      <w:r>
        <w:t xml:space="preserve">2.</w:t>
      </w:r>
      <w:r>
        <w:t xml:space="preserve"> </w:t>
      </w:r>
      <w:r>
        <w:t xml:space="preserve">ORGANISATION AND TIMING ………………………………………………………………….. 5</w:t>
      </w:r>
      <w:r>
        <w:t xml:space="preserve"> </w:t>
      </w:r>
      <w:r>
        <w:t xml:space="preserve">3.</w:t>
      </w:r>
      <w:r>
        <w:t xml:space="preserve"> </w:t>
      </w:r>
      <w:r>
        <w:t xml:space="preserve">CONSULTATION OF THE RSB …………………………………………………………………… 5</w:t>
      </w:r>
      <w:r>
        <w:t xml:space="preserve"> </w:t>
      </w:r>
      <w:r>
        <w:t xml:space="preserve">ANNEX 2: STAKEHOLDER CONSULTATION (SYNOPSIS REPORT) …………………. 6</w:t>
      </w:r>
      <w:r>
        <w:t xml:space="preserve"> </w:t>
      </w:r>
      <w:r>
        <w:t xml:space="preserve">1.</w:t>
      </w:r>
      <w:r>
        <w:t xml:space="preserve"> </w:t>
      </w:r>
      <w:r>
        <w:t xml:space="preserve">INTRODUCTION ………………………………………………………………………………………… 6</w:t>
      </w:r>
      <w:r>
        <w:t xml:space="preserve"> </w:t>
      </w:r>
      <w:r>
        <w:t xml:space="preserve">2.</w:t>
      </w:r>
      <w:r>
        <w:t xml:space="preserve"> </w:t>
      </w:r>
      <w:r>
        <w:t xml:space="preserve">OUTLINE OF THE CONSULTATION STRATEGY AND METHODOLOGY ….. 6</w:t>
      </w:r>
      <w:r>
        <w:t xml:space="preserve"> </w:t>
      </w:r>
      <w:r>
        <w:t xml:space="preserve">3.</w:t>
      </w:r>
      <w:r>
        <w:t xml:space="preserve"> </w:t>
      </w:r>
      <w:r>
        <w:t xml:space="preserve">METHODOLOGICAL ADAPTATIONS AND LIMITATIONS ………………………… 7</w:t>
      </w:r>
      <w:r>
        <w:t xml:space="preserve"> </w:t>
      </w:r>
      <w:r>
        <w:t xml:space="preserve">4.</w:t>
      </w:r>
      <w:r>
        <w:t xml:space="preserve"> </w:t>
      </w:r>
      <w:r>
        <w:t xml:space="preserve">SUMMARISED RESULTS OF THE OPEN PUBLIC CONSULTATION (OPC) … 7</w:t>
      </w:r>
      <w:r>
        <w:t xml:space="preserve"> </w:t>
      </w:r>
      <w:r>
        <w:t xml:space="preserve">4.1. Effectiveness ……………………………………………………………………………………….. 8</w:t>
      </w:r>
      <w:r>
        <w:t xml:space="preserve"> </w:t>
      </w:r>
      <w:r>
        <w:t xml:space="preserve">4.2. Efficiency ………………………………………………………………………………………….. 11</w:t>
      </w:r>
      <w:r>
        <w:t xml:space="preserve"> </w:t>
      </w:r>
      <w:r>
        <w:t xml:space="preserve">4.3. Coherence ………………………………………………………………………………………….. 11</w:t>
      </w:r>
      <w:r>
        <w:t xml:space="preserve"> </w:t>
      </w:r>
      <w:r>
        <w:t xml:space="preserve">4.4. EU added value ………………………………………………………………………………….. 12</w:t>
      </w:r>
      <w:r>
        <w:t xml:space="preserve"> </w:t>
      </w:r>
      <w:r>
        <w:t xml:space="preserve">4.5. Relevance ………………………………………………………………………………………….. 13</w:t>
      </w:r>
      <w:r>
        <w:t xml:space="preserve"> </w:t>
      </w:r>
      <w:r>
        <w:t xml:space="preserve">4.6. Prospective ………………………………………………………………………………………… 15</w:t>
      </w:r>
      <w:r>
        <w:t xml:space="preserve"> </w:t>
      </w:r>
      <w:r>
        <w:t xml:space="preserve">5.</w:t>
      </w:r>
      <w:r>
        <w:t xml:space="preserve"> </w:t>
      </w:r>
      <w:r>
        <w:t xml:space="preserve">SUMMARISED RESULTS OF THE CALL FOR EVIDENCE ……………………….. 16</w:t>
      </w:r>
      <w:r>
        <w:t xml:space="preserve"> </w:t>
      </w:r>
      <w:r>
        <w:t xml:space="preserve">5.1. Effectiveness ……………………………………………………………………………………… 16</w:t>
      </w:r>
      <w:r>
        <w:t xml:space="preserve"> </w:t>
      </w:r>
      <w:r>
        <w:t xml:space="preserve">5.2. Efficiency ………………………………………………………………………………………….. 17</w:t>
      </w:r>
      <w:r>
        <w:t xml:space="preserve"> </w:t>
      </w:r>
      <w:r>
        <w:t xml:space="preserve">5.3. Coherence ………………………………………………………………………………………….. 17</w:t>
      </w:r>
      <w:r>
        <w:t xml:space="preserve"> </w:t>
      </w:r>
      <w:r>
        <w:t xml:space="preserve">5.4. EU added value ………………………………………………………………………………….. 18</w:t>
      </w:r>
      <w:r>
        <w:t xml:space="preserve"> </w:t>
      </w:r>
      <w:r>
        <w:t xml:space="preserve">5.5. Relevance ………………………………………………………………………………………….. 18</w:t>
      </w:r>
      <w:r>
        <w:t xml:space="preserve"> </w:t>
      </w:r>
      <w:r>
        <w:t xml:space="preserve">5.6. Prospective ………………………………………………………………………………………… 18</w:t>
      </w:r>
      <w:r>
        <w:t xml:space="preserve"> </w:t>
      </w:r>
      <w:r>
        <w:t xml:space="preserve">6.</w:t>
      </w:r>
      <w:r>
        <w:t xml:space="preserve"> </w:t>
      </w:r>
      <w:r>
        <w:t xml:space="preserve">SUMMARISED RESULTS OF THE SURVEY ……………………………………………… 19</w:t>
      </w:r>
      <w:r>
        <w:t xml:space="preserve"> </w:t>
      </w:r>
      <w:r>
        <w:t xml:space="preserve">6.1. Effectiveness ……………………………………………………………………………………… 20</w:t>
      </w:r>
      <w:r>
        <w:t xml:space="preserve"> </w:t>
      </w:r>
      <w:r>
        <w:t xml:space="preserve">6.2. Efficiency ………………………………………………………………………………………….. 20</w:t>
      </w:r>
      <w:r>
        <w:t xml:space="preserve"> </w:t>
      </w:r>
      <w:r>
        <w:t xml:space="preserve">6.3. Coherence ………………………………………………………………………………………….. 21</w:t>
      </w:r>
      <w:r>
        <w:t xml:space="preserve"> </w:t>
      </w:r>
      <w:r>
        <w:t xml:space="preserve">6.4. EU added value ………………………………………………………………………………….. 21</w:t>
      </w:r>
      <w:r>
        <w:t xml:space="preserve"> </w:t>
      </w:r>
      <w:r>
        <w:t xml:space="preserve">6.5. Relevance ………………………………………………………………………………………….. 22</w:t>
      </w:r>
      <w:r>
        <w:t xml:space="preserve"> </w:t>
      </w:r>
      <w:r>
        <w:t xml:space="preserve">6.6. Prospective ………………………………………………………………………………………… 23</w:t>
      </w:r>
      <w:r>
        <w:t xml:space="preserve"> </w:t>
      </w:r>
      <w:r>
        <w:t xml:space="preserve">7.</w:t>
      </w:r>
      <w:r>
        <w:t xml:space="preserve"> </w:t>
      </w:r>
      <w:r>
        <w:t xml:space="preserve">SUMMARISED RESULTS OF THE EXPERT INTERVIEWS ……………………….. 23</w:t>
      </w:r>
      <w:r>
        <w:t xml:space="preserve"> </w:t>
      </w:r>
      <w:r>
        <w:t xml:space="preserve">7.1. Effectiveness ……………………………………………………………………………………… 24</w:t>
      </w:r>
      <w:r>
        <w:t xml:space="preserve"> </w:t>
      </w:r>
      <w:r>
        <w:t xml:space="preserve">7.2. Efficiency ………………………………………………………………………………………….. 25</w:t>
      </w:r>
      <w:r>
        <w:t xml:space="preserve"> </w:t>
      </w:r>
      <w:r>
        <w:t xml:space="preserve">7.3. Coherence ………………………………………………………………………………………….. 26</w:t>
      </w:r>
      <w:r>
        <w:t xml:space="preserve"> </w:t>
      </w:r>
      <w:r>
        <w:t xml:space="preserve">7.4. EU added value ………………………………………………………………………………….. 27</w:t>
      </w:r>
      <w:r>
        <w:t xml:space="preserve"> </w:t>
      </w:r>
      <w:r>
        <w:t xml:space="preserve">7.5. Relevance ………………………………………………………………………………………….. 27</w:t>
      </w:r>
      <w:r>
        <w:t xml:space="preserve"> </w:t>
      </w:r>
      <w:r>
        <w:t xml:space="preserve">7.6. Prospective ………………………………………………………………………………………… 28</w:t>
      </w:r>
      <w:r>
        <w:t xml:space="preserve"> </w:t>
      </w:r>
      <w:r>
        <w:t xml:space="preserve">8.</w:t>
      </w:r>
      <w:r>
        <w:t xml:space="preserve"> </w:t>
      </w:r>
      <w:r>
        <w:t xml:space="preserve">SUMMARISED RESULTS OF THE WORKSHOPS ……………………………………… 29</w:t>
      </w:r>
    </w:p>
    <w:p>
      <w:pPr>
        <w:pStyle w:val="BodyText"/>
      </w:pPr>
      <w:r>
        <w:t xml:space="preserve">2</w:t>
      </w:r>
      <w:r>
        <w:t xml:space="preserve"> </w:t>
      </w:r>
      <w:r>
        <w:t xml:space="preserve">8.1. Effectiveness ……………………………………………………………………………………… 29</w:t>
      </w:r>
      <w:r>
        <w:t xml:space="preserve"> </w:t>
      </w:r>
      <w:r>
        <w:t xml:space="preserve">8.2. Efficiency ………………………………………………………………………………………….. 30</w:t>
      </w:r>
      <w:r>
        <w:t xml:space="preserve"> </w:t>
      </w:r>
      <w:r>
        <w:t xml:space="preserve">8.3. Coherence ………………………………………………………………………………………….. 31</w:t>
      </w:r>
      <w:r>
        <w:t xml:space="preserve"> </w:t>
      </w:r>
      <w:r>
        <w:t xml:space="preserve">8.4. EU added value ………………………………………………………………………………….. 32</w:t>
      </w:r>
      <w:r>
        <w:t xml:space="preserve"> </w:t>
      </w:r>
      <w:r>
        <w:t xml:space="preserve">8.5. Relevance ………………………………………………………………………………………….. 33</w:t>
      </w:r>
      <w:r>
        <w:t xml:space="preserve"> </w:t>
      </w:r>
      <w:r>
        <w:t xml:space="preserve">8.6. Prospective ………………………………………………………………………………………… 34</w:t>
      </w:r>
      <w:r>
        <w:t xml:space="preserve"> </w:t>
      </w:r>
      <w:r>
        <w:t xml:space="preserve">9.</w:t>
      </w:r>
      <w:r>
        <w:t xml:space="preserve"> </w:t>
      </w:r>
      <w:r>
        <w:t xml:space="preserve">COMPARISON OF THE RESULTS OF CONSULTATION ACTIVITIES ………. 35</w:t>
      </w:r>
      <w:r>
        <w:t xml:space="preserve"> </w:t>
      </w:r>
      <w:r>
        <w:t xml:space="preserve">ANNEX 3: WHO IS AFFECTED AND HOW? …………………………………………………….. 42</w:t>
      </w:r>
      <w:r>
        <w:t xml:space="preserve"> </w:t>
      </w:r>
      <w:r>
        <w:t xml:space="preserve">1.</w:t>
      </w:r>
      <w:r>
        <w:t xml:space="preserve"> </w:t>
      </w:r>
      <w:r>
        <w:t xml:space="preserve">PRACTICAL IMPLICATIONS OF THE INITIATIVE …………………………………… 42</w:t>
      </w:r>
      <w:r>
        <w:t xml:space="preserve"> </w:t>
      </w:r>
      <w:r>
        <w:t xml:space="preserve">2.</w:t>
      </w:r>
      <w:r>
        <w:t xml:space="preserve"> </w:t>
      </w:r>
      <w:r>
        <w:t xml:space="preserve">SUMMARY OF COSTS AND BENEFITS ……………………………………………………. 44</w:t>
      </w:r>
      <w:r>
        <w:t xml:space="preserve"> </w:t>
      </w:r>
      <w:r>
        <w:t xml:space="preserve">3.</w:t>
      </w:r>
      <w:r>
        <w:t xml:space="preserve"> </w:t>
      </w:r>
      <w:r>
        <w:t xml:space="preserve">RELEVANT SUSTAINABLE DEVELOPMENT GOALS ……………………………… 59</w:t>
      </w:r>
      <w:r>
        <w:t xml:space="preserve"> </w:t>
      </w:r>
      <w:r>
        <w:t xml:space="preserve">ANNEX 4: ANALYTICAL METHODS ………………………………………………………………. 60</w:t>
      </w:r>
      <w:r>
        <w:t xml:space="preserve"> </w:t>
      </w:r>
      <w:r>
        <w:t xml:space="preserve">1.</w:t>
      </w:r>
      <w:r>
        <w:t xml:space="preserve"> </w:t>
      </w:r>
      <w:r>
        <w:t xml:space="preserve">MODELLING ECONOMIC IMPACTS ………………………………………………………… 60</w:t>
      </w:r>
      <w:r>
        <w:t xml:space="preserve"> </w:t>
      </w:r>
      <w:r>
        <w:t xml:space="preserve">1.1. EU semiconductor market size estimation ……………………………………………… 60</w:t>
      </w:r>
      <w:r>
        <w:t xml:space="preserve"> </w:t>
      </w:r>
      <w:r>
        <w:t xml:space="preserve">1.1.1.</w:t>
      </w:r>
      <w:r>
        <w:t xml:space="preserve"> </w:t>
      </w:r>
      <w:r>
        <w:t xml:space="preserve">Establishing a starting point for BAU scenario …………………………………. 60</w:t>
      </w:r>
      <w:r>
        <w:t xml:space="preserve"> </w:t>
      </w:r>
      <w:r>
        <w:t xml:space="preserve">1.1.2.</w:t>
      </w:r>
      <w:r>
        <w:t xml:space="preserve"> </w:t>
      </w:r>
      <w:r>
        <w:t xml:space="preserve">Modelling the BAU scenario ………………………………………………………….. 61</w:t>
      </w:r>
      <w:r>
        <w:t xml:space="preserve"> </w:t>
      </w:r>
      <w:r>
        <w:t xml:space="preserve">1.2. EU Semiconductor manufacturing capacity estimation ……………………………. 63</w:t>
      </w:r>
      <w:r>
        <w:t xml:space="preserve"> </w:t>
      </w:r>
      <w:r>
        <w:t xml:space="preserve">1.2.1.</w:t>
      </w:r>
      <w:r>
        <w:t xml:space="preserve"> </w:t>
      </w:r>
      <w:r>
        <w:t xml:space="preserve">Establishing a starting point for BAU scenario …………………………………. 63</w:t>
      </w:r>
      <w:r>
        <w:t xml:space="preserve"> </w:t>
      </w:r>
      <w:r>
        <w:t xml:space="preserve">1.2.2.</w:t>
      </w:r>
      <w:r>
        <w:t xml:space="preserve"> </w:t>
      </w:r>
      <w:r>
        <w:t xml:space="preserve">Modelling the BAU scenario ………………………………………………………….. 64</w:t>
      </w:r>
      <w:r>
        <w:t xml:space="preserve"> </w:t>
      </w:r>
      <w:r>
        <w:t xml:space="preserve">1.3. EU positioning in the global value chain and EU value chain strength and</w:t>
      </w:r>
      <w:r>
        <w:t xml:space="preserve"> </w:t>
      </w:r>
      <w:r>
        <w:t xml:space="preserve">resilience …………………………………………………………………………………………… 65</w:t>
      </w:r>
      <w:r>
        <w:t xml:space="preserve"> </w:t>
      </w:r>
      <w:r>
        <w:t xml:space="preserve">1.3.1.</w:t>
      </w:r>
      <w:r>
        <w:t xml:space="preserve"> </w:t>
      </w:r>
      <w:r>
        <w:t xml:space="preserve">Detailed analysis of semiconductor value chain ………………………………… 69</w:t>
      </w:r>
      <w:r>
        <w:t xml:space="preserve"> </w:t>
      </w:r>
      <w:r>
        <w:t xml:space="preserve">1.3.1.1 Electronic Design Automation ………………………………………………………… 69</w:t>
      </w:r>
      <w:r>
        <w:t xml:space="preserve"> </w:t>
      </w:r>
      <w:r>
        <w:t xml:space="preserve">1.3.1.2 Materials ……………………………………………………………………………………… 70</w:t>
      </w:r>
      <w:r>
        <w:t xml:space="preserve"> </w:t>
      </w:r>
      <w:r>
        <w:t xml:space="preserve">1.3.1.2.1 Critical raw materials …………………………………………………………………….. 70</w:t>
      </w:r>
      <w:r>
        <w:t xml:space="preserve"> </w:t>
      </w:r>
      <w:r>
        <w:t xml:space="preserve">1.3.1.2.2 Compound semiconductor Substrates/Epiwafers ………………………………. 72</w:t>
      </w:r>
      <w:r>
        <w:t xml:space="preserve"> </w:t>
      </w:r>
      <w:r>
        <w:t xml:space="preserve">1.3.1.3 Ultra-high-purity process gases and chemicals ………………………………….. 73</w:t>
      </w:r>
      <w:r>
        <w:t xml:space="preserve"> </w:t>
      </w:r>
      <w:r>
        <w:t xml:space="preserve">1.3.1.3.1 Gases …………………………………………………………………………………………… 73</w:t>
      </w:r>
      <w:r>
        <w:t xml:space="preserve"> </w:t>
      </w:r>
      <w:r>
        <w:t xml:space="preserve">1.3.1.3.1.1 Gases manufactured within Europe and principal functions………….. 73</w:t>
      </w:r>
      <w:r>
        <w:t xml:space="preserve"> </w:t>
      </w:r>
      <w:r>
        <w:t xml:space="preserve">1.3.1.3.1.2 Gases predominantly sourced from outside Europe and principal</w:t>
      </w:r>
      <w:r>
        <w:t xml:space="preserve"> </w:t>
      </w:r>
      <w:r>
        <w:t xml:space="preserve">functions ………………………………………………………………………………………. 74</w:t>
      </w:r>
      <w:r>
        <w:t xml:space="preserve"> </w:t>
      </w:r>
      <w:r>
        <w:t xml:space="preserve">1.3.1.3.1.3 Structural characteristics of the dependency ……………………………….. 74</w:t>
      </w:r>
      <w:r>
        <w:t xml:space="preserve"> </w:t>
      </w:r>
      <w:r>
        <w:t xml:space="preserve">1.3.1.3.2 Chemicals …………………………………………………………………………………….. 75</w:t>
      </w:r>
      <w:r>
        <w:t xml:space="preserve"> </w:t>
      </w:r>
      <w:r>
        <w:t xml:space="preserve">1.3.1.3.2.1 Photoresist ……………………………………………………………………………… 75</w:t>
      </w:r>
      <w:r>
        <w:t xml:space="preserve"> </w:t>
      </w:r>
      <w:r>
        <w:t xml:space="preserve">1.3.1.3.2.2 Polysilicon ……………………………………………………………………………… 76</w:t>
      </w:r>
      <w:r>
        <w:t xml:space="preserve"> </w:t>
      </w:r>
      <w:r>
        <w:t xml:space="preserve">1.3.1.3.2.3 Precursors ………………………………………………………………………………. 76</w:t>
      </w:r>
      <w:r>
        <w:t xml:space="preserve"> </w:t>
      </w:r>
      <w:r>
        <w:t xml:space="preserve">1.3.1.4 Manufactured inputs ……………………………………………………………………… 77</w:t>
      </w:r>
      <w:r>
        <w:t xml:space="preserve"> </w:t>
      </w:r>
      <w:r>
        <w:t xml:space="preserve">1.3.1.4.1 Front-end manufacturing ……………………………………………………………….. 77</w:t>
      </w:r>
      <w:r>
        <w:t xml:space="preserve"> </w:t>
      </w:r>
      <w:r>
        <w:t xml:space="preserve">1.3.1.4.1.1 Masks ……………………………………………………………………………………. 77</w:t>
      </w:r>
      <w:r>
        <w:t xml:space="preserve"> </w:t>
      </w:r>
      <w:r>
        <w:t xml:space="preserve">1.3.1.4.2 Advanced packaging ……………………………………………………………………… 77</w:t>
      </w:r>
    </w:p>
    <w:p>
      <w:pPr>
        <w:pStyle w:val="BodyText"/>
      </w:pPr>
      <w:r>
        <w:t xml:space="preserve">3</w:t>
      </w:r>
      <w:r>
        <w:t xml:space="preserve"> </w:t>
      </w:r>
      <w:r>
        <w:t xml:space="preserve">1.3.1.4.2.1 T-Glass ………………………………………………………………………………….. 77</w:t>
      </w:r>
      <w:r>
        <w:t xml:space="preserve"> </w:t>
      </w:r>
      <w:r>
        <w:t xml:space="preserve">1.3.1.4.2.2 Dielectric polymer film ……………………………………………………………. 78</w:t>
      </w:r>
      <w:r>
        <w:t xml:space="preserve"> </w:t>
      </w:r>
      <w:r>
        <w:t xml:space="preserve">1.3.1.5 Manufacturing equipment () …………………………………………………………… 78</w:t>
      </w:r>
      <w:r>
        <w:t xml:space="preserve"> </w:t>
      </w:r>
      <w:r>
        <w:t xml:space="preserve">1.3.1.5.1 Front end equipment ……………………………………………………………………… 78</w:t>
      </w:r>
      <w:r>
        <w:t xml:space="preserve"> </w:t>
      </w:r>
      <w:r>
        <w:t xml:space="preserve">1.3.1.5.1.1 Deposition ……………………………………………………………………………… 78</w:t>
      </w:r>
      <w:r>
        <w:t xml:space="preserve"> </w:t>
      </w:r>
      <w:r>
        <w:t xml:space="preserve">1.3.1.5.1.2 Lithography ……………………………………………………………………………. 79</w:t>
      </w:r>
      <w:r>
        <w:t xml:space="preserve"> </w:t>
      </w:r>
      <w:r>
        <w:t xml:space="preserve">1.3.1.5.1.3 Etch ………………………………………………………………………………………. 79</w:t>
      </w:r>
      <w:r>
        <w:t xml:space="preserve"> </w:t>
      </w:r>
      <w:r>
        <w:t xml:space="preserve">1.3.1.5.1.4 Clean …………………………………………………………………………………….. 80</w:t>
      </w:r>
      <w:r>
        <w:t xml:space="preserve"> </w:t>
      </w:r>
      <w:r>
        <w:t xml:space="preserve">1.3.1.5.1.5 Metrology and inspection …………………………………………………………. 80</w:t>
      </w:r>
      <w:r>
        <w:t xml:space="preserve"> </w:t>
      </w:r>
      <w:r>
        <w:t xml:space="preserve">1.3.1.5.1.6 Planarisation …………………………………………………………………………… 80</w:t>
      </w:r>
      <w:r>
        <w:t xml:space="preserve"> </w:t>
      </w:r>
      <w:r>
        <w:t xml:space="preserve">1.3.1.5.2 Back-end ……………………………………………………………………………………… 81</w:t>
      </w:r>
      <w:r>
        <w:t xml:space="preserve"> </w:t>
      </w:r>
      <w:r>
        <w:t xml:space="preserve">1.3.1.5.2.1 Wafer dicing and thinning ………………………………………………………… 81</w:t>
      </w:r>
      <w:r>
        <w:t xml:space="preserve"> </w:t>
      </w:r>
      <w:r>
        <w:t xml:space="preserve">1.3.1.5.2.2 Bonding and interconnect ………………………………………………………… 82</w:t>
      </w:r>
      <w:r>
        <w:t xml:space="preserve"> </w:t>
      </w:r>
      <w:r>
        <w:t xml:space="preserve">1.3.1.5.2.3 Moulding, sealing and finishing ………………………………………………… 82</w:t>
      </w:r>
      <w:r>
        <w:t xml:space="preserve"> </w:t>
      </w:r>
      <w:r>
        <w:t xml:space="preserve">1.3.1.5.2.4 Inspection and handling …………………………………………………………… 82</w:t>
      </w:r>
      <w:r>
        <w:t xml:space="preserve"> </w:t>
      </w:r>
      <w:r>
        <w:t xml:space="preserve">1.3.1.5.2.5 Test equipment ……………………………………………………………………….. 82</w:t>
      </w:r>
      <w:r>
        <w:t xml:space="preserve"> </w:t>
      </w:r>
      <w:r>
        <w:t xml:space="preserve">1.3.2.</w:t>
      </w:r>
      <w:r>
        <w:t xml:space="preserve"> </w:t>
      </w:r>
      <w:r>
        <w:t xml:space="preserve">Establishing a starting point for BAU scenario …………………………………. 84</w:t>
      </w:r>
      <w:r>
        <w:t xml:space="preserve"> </w:t>
      </w:r>
      <w:r>
        <w:t xml:space="preserve">1.3.3.</w:t>
      </w:r>
      <w:r>
        <w:t xml:space="preserve"> </w:t>
      </w:r>
      <w:r>
        <w:t xml:space="preserve">Semiconductor design, production and packaging …………………………….. 89</w:t>
      </w:r>
      <w:r>
        <w:t xml:space="preserve"> </w:t>
      </w:r>
      <w:r>
        <w:t xml:space="preserve">1.3.4.</w:t>
      </w:r>
      <w:r>
        <w:t xml:space="preserve"> </w:t>
      </w:r>
      <w:r>
        <w:t xml:space="preserve">Downstream integration and end-use applications …………………………….. 94</w:t>
      </w:r>
      <w:r>
        <w:t xml:space="preserve"> </w:t>
      </w:r>
      <w:r>
        <w:t xml:space="preserve">1.3.5.</w:t>
      </w:r>
      <w:r>
        <w:t xml:space="preserve"> </w:t>
      </w:r>
      <w:r>
        <w:t xml:space="preserve">Modelling the BAU scenario ………………………………………………………… 104</w:t>
      </w:r>
      <w:r>
        <w:t xml:space="preserve"> </w:t>
      </w:r>
      <w:r>
        <w:t xml:space="preserve">1.4. The cost (price) competitiveness of the EU industry ……………………………… 112</w:t>
      </w:r>
      <w:r>
        <w:t xml:space="preserve"> </w:t>
      </w:r>
      <w:r>
        <w:t xml:space="preserve">1.4.1.</w:t>
      </w:r>
      <w:r>
        <w:t xml:space="preserve"> </w:t>
      </w:r>
      <w:r>
        <w:t xml:space="preserve">Establishing a starting point for BAU scenario ……………………………….. 112</w:t>
      </w:r>
      <w:r>
        <w:t xml:space="preserve"> </w:t>
      </w:r>
      <w:r>
        <w:t xml:space="preserve">1.4.2.</w:t>
      </w:r>
      <w:r>
        <w:t xml:space="preserve"> </w:t>
      </w:r>
      <w:r>
        <w:t xml:space="preserve">Modelling the BAU scenario ………………………………………………………… 117</w:t>
      </w:r>
      <w:r>
        <w:t xml:space="preserve"> </w:t>
      </w:r>
      <w:r>
        <w:t xml:space="preserve">1.5. Public budget effects …………………………………………………………………………. 120</w:t>
      </w:r>
      <w:r>
        <w:t xml:space="preserve"> </w:t>
      </w:r>
      <w:r>
        <w:t xml:space="preserve">1.5.1.</w:t>
      </w:r>
      <w:r>
        <w:t xml:space="preserve"> </w:t>
      </w:r>
      <w:r>
        <w:t xml:space="preserve">Establishing a starting point for BAU scenario ……………………………….. 120</w:t>
      </w:r>
      <w:r>
        <w:t xml:space="preserve"> </w:t>
      </w:r>
      <w:r>
        <w:t xml:space="preserve">1.5.2.</w:t>
      </w:r>
      <w:r>
        <w:t xml:space="preserve"> </w:t>
      </w:r>
      <w:r>
        <w:t xml:space="preserve">Modelling the BAU scenario ………………………………………………………… 121</w:t>
      </w:r>
      <w:r>
        <w:t xml:space="preserve"> </w:t>
      </w:r>
      <w:r>
        <w:t xml:space="preserve">2.</w:t>
      </w:r>
      <w:r>
        <w:t xml:space="preserve"> </w:t>
      </w:r>
      <w:r>
        <w:t xml:space="preserve">MODELLING SOCIAL IMPACTS …………………………………………………………….. 123</w:t>
      </w:r>
      <w:r>
        <w:t xml:space="preserve"> </w:t>
      </w:r>
      <w:r>
        <w:t xml:space="preserve">2.1. Jobs in the EU semiconductor industry ………………………………………………… 123</w:t>
      </w:r>
      <w:r>
        <w:t xml:space="preserve"> </w:t>
      </w:r>
      <w:r>
        <w:t xml:space="preserve">2.1.1.</w:t>
      </w:r>
      <w:r>
        <w:t xml:space="preserve"> </w:t>
      </w:r>
      <w:r>
        <w:t xml:space="preserve">Establishing a starting point for BAU scenario ……………………………….. 123</w:t>
      </w:r>
      <w:r>
        <w:t xml:space="preserve"> </w:t>
      </w:r>
      <w:r>
        <w:t xml:space="preserve">2.1.2.</w:t>
      </w:r>
      <w:r>
        <w:t xml:space="preserve"> </w:t>
      </w:r>
      <w:r>
        <w:t xml:space="preserve">Modelling the BAU scenario ………………………………………………………… 124</w:t>
      </w:r>
      <w:r>
        <w:t xml:space="preserve"> </w:t>
      </w:r>
      <w:r>
        <w:t xml:space="preserve">2.2. SME/start-up ecosystem in the EU semiconductor industry …………………… 126</w:t>
      </w:r>
      <w:r>
        <w:t xml:space="preserve"> </w:t>
      </w:r>
      <w:r>
        <w:t xml:space="preserve">2.2.1.</w:t>
      </w:r>
      <w:r>
        <w:t xml:space="preserve"> </w:t>
      </w:r>
      <w:r>
        <w:t xml:space="preserve">Establishing a starting point for BAU scenario ……………………………….. 126</w:t>
      </w:r>
      <w:r>
        <w:t xml:space="preserve"> </w:t>
      </w:r>
      <w:r>
        <w:t xml:space="preserve">2.2.2.</w:t>
      </w:r>
      <w:r>
        <w:t xml:space="preserve"> </w:t>
      </w:r>
      <w:r>
        <w:t xml:space="preserve">Modelling the BAU scenario ………………………………………………………… 128</w:t>
      </w:r>
      <w:r>
        <w:t xml:space="preserve"> </w:t>
      </w:r>
      <w:r>
        <w:t xml:space="preserve">2.2.2.1 Access to finance and scale-up ……………………………………………………… 128</w:t>
      </w:r>
      <w:r>
        <w:t xml:space="preserve"> </w:t>
      </w:r>
      <w:r>
        <w:t xml:space="preserve">2.2.2.2 Access to infrastructure and tools (DP, competence centres, pilot lines) 128</w:t>
      </w:r>
      <w:r>
        <w:t xml:space="preserve"> </w:t>
      </w:r>
      <w:r>
        <w:t xml:space="preserve">2.3. R&amp;D&amp;I leadership in the EU semiconductor industry …………………………… 129</w:t>
      </w:r>
      <w:r>
        <w:t xml:space="preserve"> </w:t>
      </w:r>
      <w:r>
        <w:t xml:space="preserve">2.3.1.</w:t>
      </w:r>
      <w:r>
        <w:t xml:space="preserve"> </w:t>
      </w:r>
      <w:r>
        <w:t xml:space="preserve">Establishing a starting point for BAU scenario ……………………………….. 131</w:t>
      </w:r>
      <w:r>
        <w:t xml:space="preserve"> </w:t>
      </w:r>
      <w:r>
        <w:t xml:space="preserve">2.3.2.</w:t>
      </w:r>
      <w:r>
        <w:t xml:space="preserve"> </w:t>
      </w:r>
      <w:r>
        <w:t xml:space="preserve">Modelling the BAU scenario ………………………………………………………… 133</w:t>
      </w:r>
      <w:r>
        <w:t xml:space="preserve"> </w:t>
      </w:r>
      <w:r>
        <w:t xml:space="preserve">3.</w:t>
      </w:r>
      <w:r>
        <w:t xml:space="preserve"> </w:t>
      </w:r>
      <w:r>
        <w:t xml:space="preserve">REGIONAL AND TERRITORIAL EFFECTS ……………………………………………… 136</w:t>
      </w:r>
      <w:r>
        <w:t xml:space="preserve"> </w:t>
      </w:r>
      <w:r>
        <w:t xml:space="preserve">3.1. Establishing a starting point for BAU scenario …………………………………….. 136</w:t>
      </w:r>
    </w:p>
    <w:p>
      <w:pPr>
        <w:pStyle w:val="BodyText"/>
      </w:pPr>
      <w:r>
        <w:t xml:space="preserve">4</w:t>
      </w:r>
      <w:r>
        <w:t xml:space="preserve"> </w:t>
      </w:r>
      <w:r>
        <w:t xml:space="preserve">3.2. Modelling the BAU scenario ……………………………………………………………… 138</w:t>
      </w:r>
      <w:r>
        <w:t xml:space="preserve"> </w:t>
      </w:r>
      <w:r>
        <w:t xml:space="preserve">4.</w:t>
      </w:r>
      <w:r>
        <w:t xml:space="preserve"> </w:t>
      </w:r>
      <w:r>
        <w:t xml:space="preserve">MODELLING ENVIRONMENTAL IMPACTS …………………………………………… 141</w:t>
      </w:r>
      <w:r>
        <w:t xml:space="preserve"> </w:t>
      </w:r>
      <w:r>
        <w:t xml:space="preserve">4.1. Environmental impacts ……………………………………………………………………… 141</w:t>
      </w:r>
      <w:r>
        <w:t xml:space="preserve"> </w:t>
      </w:r>
      <w:r>
        <w:t xml:space="preserve">4.1.1.</w:t>
      </w:r>
      <w:r>
        <w:t xml:space="preserve"> </w:t>
      </w:r>
      <w:r>
        <w:t xml:space="preserve">Establishing a starting point for BAU scenario ……………………………….. 141</w:t>
      </w:r>
      <w:r>
        <w:t xml:space="preserve"> </w:t>
      </w:r>
      <w:r>
        <w:t xml:space="preserve">4.1.2.</w:t>
      </w:r>
      <w:r>
        <w:t xml:space="preserve"> </w:t>
      </w:r>
      <w:r>
        <w:t xml:space="preserve">Environmental impact assessment for BAU scenario ……………………….. 143</w:t>
      </w:r>
      <w:r>
        <w:t xml:space="preserve"> </w:t>
      </w:r>
      <w:r>
        <w:t xml:space="preserve">4.1.3.</w:t>
      </w:r>
      <w:r>
        <w:t xml:space="preserve"> </w:t>
      </w:r>
      <w:r>
        <w:t xml:space="preserve">Modelling for different scenarios …………………………………………………… 147</w:t>
      </w:r>
      <w:r>
        <w:t xml:space="preserve"> </w:t>
      </w:r>
      <w:r>
        <w:t xml:space="preserve">4.1.4.</w:t>
      </w:r>
      <w:r>
        <w:t xml:space="preserve"> </w:t>
      </w:r>
      <w:r>
        <w:t xml:space="preserve">Developments expected under Policy Option 1 ……………………………….. 149</w:t>
      </w:r>
      <w:r>
        <w:t xml:space="preserve"> </w:t>
      </w:r>
      <w:r>
        <w:t xml:space="preserve">4.1.5.</w:t>
      </w:r>
      <w:r>
        <w:t xml:space="preserve"> </w:t>
      </w:r>
      <w:r>
        <w:t xml:space="preserve">Developments expected under Policy Option 2 ……………………………….. 149</w:t>
      </w:r>
      <w:r>
        <w:t xml:space="preserve"> </w:t>
      </w:r>
      <w:r>
        <w:t xml:space="preserve">4.1.6.</w:t>
      </w:r>
      <w:r>
        <w:t xml:space="preserve"> </w:t>
      </w:r>
      <w:r>
        <w:t xml:space="preserve">Costs of environmental impacts …………………………………………………….. 155</w:t>
      </w:r>
      <w:r>
        <w:t xml:space="preserve"> </w:t>
      </w:r>
      <w:r>
        <w:t xml:space="preserve">5.</w:t>
      </w:r>
      <w:r>
        <w:t xml:space="preserve"> </w:t>
      </w:r>
      <w:r>
        <w:t xml:space="preserve">COMPARATIVE</w:t>
      </w:r>
      <w:r>
        <w:t xml:space="preserve"> </w:t>
      </w:r>
      <w:r>
        <w:t xml:space="preserve">ANALYSIS</w:t>
      </w:r>
      <w:r>
        <w:t xml:space="preserve"> </w:t>
      </w:r>
      <w:r>
        <w:t xml:space="preserve">OF</w:t>
      </w:r>
      <w:r>
        <w:t xml:space="preserve"> </w:t>
      </w:r>
      <w:r>
        <w:t xml:space="preserve">INVESTMENT,</w:t>
      </w:r>
      <w:r>
        <w:t xml:space="preserve"> </w:t>
      </w:r>
      <w:r>
        <w:t xml:space="preserve">CAPACITY</w:t>
      </w:r>
      <w:r>
        <w:t xml:space="preserve"> </w:t>
      </w:r>
      <w:r>
        <w:t xml:space="preserve">AND</w:t>
      </w:r>
      <w:r>
        <w:t xml:space="preserve"> </w:t>
      </w:r>
      <w:r>
        <w:t xml:space="preserve">EMPLOYMENT OUTCOMES RELATED TO STRATEGIC PROJECTS ……… 157</w:t>
      </w:r>
      <w:r>
        <w:t xml:space="preserve"> </w:t>
      </w:r>
      <w:r>
        <w:t xml:space="preserve">6.</w:t>
      </w:r>
      <w:r>
        <w:t xml:space="preserve"> </w:t>
      </w:r>
      <w:r>
        <w:t xml:space="preserve">INNOVATION-ORIENTED</w:t>
      </w:r>
      <w:r>
        <w:t xml:space="preserve"> </w:t>
      </w:r>
      <w:r>
        <w:t xml:space="preserve">PUBLIC</w:t>
      </w:r>
      <w:r>
        <w:t xml:space="preserve"> </w:t>
      </w:r>
      <w:r>
        <w:t xml:space="preserve">PROCUREMENT</w:t>
      </w:r>
      <w:r>
        <w:t xml:space="preserve"> </w:t>
      </w:r>
      <w:r>
        <w:t xml:space="preserve">AND</w:t>
      </w:r>
      <w:r>
        <w:t xml:space="preserve"> </w:t>
      </w:r>
      <w:r>
        <w:t xml:space="preserve">FIRM</w:t>
      </w:r>
      <w:r>
        <w:t xml:space="preserve"> </w:t>
      </w:r>
      <w:r>
        <w:t xml:space="preserve">INNOVATION OUTCOMES: EVIDENCE FROM THE LITERATURE ……….. 162</w:t>
      </w:r>
      <w:r>
        <w:t xml:space="preserve"> </w:t>
      </w:r>
      <w:r>
        <w:t xml:space="preserve">ANNEX 5: COMPETITIVENESS CHECK…………………………………………………………. 164</w:t>
      </w:r>
      <w:r>
        <w:t xml:space="preserve"> </w:t>
      </w:r>
      <w:r>
        <w:t xml:space="preserve">1.</w:t>
      </w:r>
      <w:r>
        <w:t xml:space="preserve"> </w:t>
      </w:r>
      <w:r>
        <w:t xml:space="preserve">OVERVIEW OF IMPACTS ON COMPETITIVENESS ………………………………… 164</w:t>
      </w:r>
      <w:r>
        <w:t xml:space="preserve"> </w:t>
      </w:r>
      <w:r>
        <w:t xml:space="preserve">2.</w:t>
      </w:r>
      <w:r>
        <w:t xml:space="preserve"> </w:t>
      </w:r>
      <w:r>
        <w:t xml:space="preserve">SYNTHETIC ASSESSMENT …………………………………………………………………….. 164</w:t>
      </w:r>
      <w:r>
        <w:t xml:space="preserve"> </w:t>
      </w:r>
      <w:r>
        <w:t xml:space="preserve">3.</w:t>
      </w:r>
      <w:r>
        <w:t xml:space="preserve"> </w:t>
      </w:r>
      <w:r>
        <w:t xml:space="preserve">COMPETITIVE POSITION OF THE MOST AFFECTED SECTORS ……………. 165</w:t>
      </w:r>
      <w:r>
        <w:t xml:space="preserve"> </w:t>
      </w:r>
      <w:r>
        <w:t xml:space="preserve">ANNEX 6: OVERVIEW OF IMPACTS ON SMES……………………………………………… 166</w:t>
      </w:r>
    </w:p>
    <w:p>
      <w:pPr>
        <w:pStyle w:val="BodyText"/>
      </w:pPr>
      <w:r>
        <w:t xml:space="preserve">5</w:t>
      </w:r>
    </w:p>
    <w:p>
      <w:pPr>
        <w:pStyle w:val="BodyText"/>
      </w:pPr>
      <w:r>
        <w:t xml:space="preserve">ANNEX 1: PROCEDURAL INFORMATION</w:t>
      </w:r>
      <w:r>
        <w:t xml:space="preserve"> </w:t>
      </w:r>
      <w:r>
        <w:t xml:space="preserve">1.</w:t>
      </w:r>
      <w:r>
        <w:t xml:space="preserve"> </w:t>
      </w:r>
      <w:r>
        <w:t xml:space="preserve">LEAD DG, DECIDE PLANNING/CWP REFERENCES</w:t>
      </w:r>
      <w:r>
        <w:t xml:space="preserve"> </w:t>
      </w:r>
      <w:r>
        <w:t xml:space="preserve">This Staff Working Paper was prepared by the Directorate-General for Communications</w:t>
      </w:r>
      <w:r>
        <w:t xml:space="preserve"> </w:t>
      </w:r>
      <w:r>
        <w:t xml:space="preserve">Networks, Content and Technology.</w:t>
      </w:r>
      <w:r>
        <w:t xml:space="preserve"> </w:t>
      </w:r>
      <w:r>
        <w:t xml:space="preserve">The Decide reference of this initiative is PLAN/2025/2008.</w:t>
      </w:r>
      <w:r>
        <w:t xml:space="preserve"> </w:t>
      </w:r>
      <w:r>
        <w:t xml:space="preserve">This includes the Impact Assessment report as well as, annexed to the report, the Evaluation of</w:t>
      </w:r>
      <w:r>
        <w:t xml:space="preserve"> </w:t>
      </w:r>
      <w:r>
        <w:t xml:space="preserve">the Chips Act.</w:t>
      </w:r>
      <w:r>
        <w:t xml:space="preserve"> </w:t>
      </w:r>
      <w:r>
        <w:t xml:space="preserve">2.</w:t>
      </w:r>
      <w:r>
        <w:t xml:space="preserve"> </w:t>
      </w:r>
      <w:r>
        <w:t xml:space="preserve">ORGANISATION AND TIMING</w:t>
      </w:r>
      <w:r>
        <w:t xml:space="preserve"> </w:t>
      </w:r>
      <w:r>
        <w:t xml:space="preserve">The Impact Assessment was prepared by DG CONNECT as the lead Directorate-General.</w:t>
      </w:r>
      <w:r>
        <w:br/>
      </w:r>
      <w:r>
        <w:t xml:space="preserve">The Inter-Service Steering Group established for the work streams on online platforms was</w:t>
      </w:r>
      <w:r>
        <w:t xml:space="preserve"> </w:t>
      </w:r>
      <w:r>
        <w:t xml:space="preserve">associated and consulted in the process, under the coordination of the Secretariat-General,</w:t>
      </w:r>
      <w:r>
        <w:t xml:space="preserve"> </w:t>
      </w:r>
      <w:r>
        <w:t xml:space="preserve">including the following services: DG BUDG (DG Budget), DG CLIMA (DG Climate Action),</w:t>
      </w:r>
      <w:r>
        <w:t xml:space="preserve"> </w:t>
      </w:r>
      <w:r>
        <w:t xml:space="preserve">DG COMP (DG Competition), DG DEFIS (DG Defence Industry and Space), DG ECFIN (DG</w:t>
      </w:r>
      <w:r>
        <w:t xml:space="preserve"> </w:t>
      </w:r>
      <w:r>
        <w:t xml:space="preserve">Economic and Financial Affairs), DG EMPL (DG Employment, Social Affairs and Inclusion),</w:t>
      </w:r>
      <w:r>
        <w:t xml:space="preserve"> </w:t>
      </w:r>
      <w:r>
        <w:t xml:space="preserve">DG ENV (DG Environment), DG FISMA (DG for Financial Stability, Financial Services and the</w:t>
      </w:r>
      <w:r>
        <w:t xml:space="preserve"> </w:t>
      </w:r>
      <w:r>
        <w:t xml:space="preserve">Capital Markets Union), DG GROW (DG Internal Market, Industry, Entrepreneurship and</w:t>
      </w:r>
      <w:r>
        <w:t xml:space="preserve"> </w:t>
      </w:r>
      <w:r>
        <w:t xml:space="preserve">SME), DG HERA (DG Health Emergency Preparedness and Response Authority), DG INTPA</w:t>
      </w:r>
      <w:r>
        <w:t xml:space="preserve"> </w:t>
      </w:r>
      <w:r>
        <w:t xml:space="preserve">(DG International Partnerships), JRC (Joint Research Centre), DG MOVE (DG Mobility and</w:t>
      </w:r>
      <w:r>
        <w:t xml:space="preserve"> </w:t>
      </w:r>
      <w:r>
        <w:t xml:space="preserve">Transport), DG RTD (DG Research and Innovation), DG Regio (DG Regional and Urban</w:t>
      </w:r>
      <w:r>
        <w:t xml:space="preserve"> </w:t>
      </w:r>
      <w:r>
        <w:t xml:space="preserve">Policy), DG TAXUD (DG Taxation and Customs Union), EEAS (European External Action</w:t>
      </w:r>
      <w:r>
        <w:t xml:space="preserve"> </w:t>
      </w:r>
      <w:r>
        <w:t xml:space="preserve">Service).</w:t>
      </w:r>
      <w:r>
        <w:t xml:space="preserve"> </w:t>
      </w:r>
      <w:r>
        <w:t xml:space="preserve">The Secretariat-General and DG CNECT of the European Commission relaunched the</w:t>
      </w:r>
      <w:r>
        <w:t xml:space="preserve"> </w:t>
      </w:r>
      <w:r>
        <w:t xml:space="preserve">Interservice Group for the revision of the Chips Act on the 15th of July 2025. The Group was</w:t>
      </w:r>
      <w:r>
        <w:t xml:space="preserve"> </w:t>
      </w:r>
      <w:r>
        <w:t xml:space="preserve">iteratively consulted on the Impact Assessment of the draft proposal, the Evaluation of the Chips</w:t>
      </w:r>
      <w:r>
        <w:t xml:space="preserve"> </w:t>
      </w:r>
      <w:r>
        <w:t xml:space="preserve">Act and on the key policy measures in the proposed regulation.</w:t>
      </w:r>
      <w:r>
        <w:br/>
      </w:r>
      <w:r>
        <w:t xml:space="preserve">3.</w:t>
      </w:r>
      <w:r>
        <w:t xml:space="preserve"> </w:t>
      </w:r>
      <w:r>
        <w:t xml:space="preserve">CONSULTATION OF THE RSB</w:t>
      </w:r>
      <w:r>
        <w:t xml:space="preserve"> </w:t>
      </w:r>
      <w:r>
        <w:t xml:space="preserve">The Regulatory Scrutiny Board (RSB) hearing took place on 28 January 2026. Following a first</w:t>
      </w:r>
      <w:r>
        <w:t xml:space="preserve"> </w:t>
      </w:r>
      <w:r>
        <w:t xml:space="preserve">negative opinion, the RSB Board gave a positive opinion with reservations on the 30th of March.</w:t>
      </w:r>
      <w:r>
        <w:t xml:space="preserve"> </w:t>
      </w:r>
      <w:r>
        <w:t xml:space="preserve">To address the feedback given by the Regulatory Scrutiny Board, the following changes were</w:t>
      </w:r>
      <w:r>
        <w:t xml:space="preserve"> </w:t>
      </w:r>
      <w:r>
        <w:t xml:space="preserve">made in the Impact Assessment report and its annexes:</w:t>
      </w:r>
      <w:r>
        <w:t xml:space="preserve"> </w:t>
      </w:r>
      <w:r>
        <w:t xml:space="preserve">Findings of the Board</w:t>
      </w:r>
      <w:r>
        <w:t xml:space="preserve"> </w:t>
      </w:r>
      <w:r>
        <w:t xml:space="preserve">Main modifications made in the report to</w:t>
      </w:r>
      <w:r>
        <w:t xml:space="preserve"> </w:t>
      </w:r>
      <w:r>
        <w:t xml:space="preserve">address them</w:t>
      </w:r>
      <w:r>
        <w:t xml:space="preserve"> </w:t>
      </w:r>
      <w:r>
        <w:t xml:space="preserve">(1) The measure to incentivise trusted chips is</w:t>
      </w:r>
      <w:r>
        <w:t xml:space="preserve"> </w:t>
      </w:r>
      <w:r>
        <w:t xml:space="preserve">not sufficiently described to allow for the</w:t>
      </w:r>
      <w:r>
        <w:t xml:space="preserve"> </w:t>
      </w:r>
      <w:r>
        <w:t xml:space="preserve">assessment of impacts.</w:t>
      </w:r>
      <w:r>
        <w:t xml:space="preserve"> </w:t>
      </w:r>
      <w:r>
        <w:t xml:space="preserve">The measure to incentivise chips in public</w:t>
      </w:r>
      <w:r>
        <w:t xml:space="preserve"> </w:t>
      </w:r>
      <w:r>
        <w:t xml:space="preserve">procurement (policy measure 10) was revised</w:t>
      </w:r>
      <w:r>
        <w:t xml:space="preserve"> </w:t>
      </w:r>
      <w:r>
        <w:t xml:space="preserve">into “Recommend a security of supply</w:t>
      </w:r>
      <w:r>
        <w:t xml:space="preserve"> </w:t>
      </w:r>
      <w:r>
        <w:t xml:space="preserve">declaration for semiconductors in public</w:t>
      </w:r>
    </w:p>
    <w:p>
      <w:pPr>
        <w:pStyle w:val="BodyText"/>
      </w:pPr>
      <w:r>
        <w:t xml:space="preserve">6</w:t>
      </w:r>
      <w:r>
        <w:t xml:space="preserve"> </w:t>
      </w:r>
      <w:r>
        <w:t xml:space="preserve">procurement”.</w:t>
      </w:r>
      <w:r>
        <w:br/>
      </w:r>
      <w:r>
        <w:t xml:space="preserve">Concretely, the revised PM10 would allow</w:t>
      </w:r>
      <w:r>
        <w:t xml:space="preserve"> </w:t>
      </w:r>
      <w:r>
        <w:t xml:space="preserve">public procurement authorities in critical</w:t>
      </w:r>
      <w:r>
        <w:t xml:space="preserve"> </w:t>
      </w:r>
      <w:r>
        <w:t xml:space="preserve">sectors to request from tenderers a supply</w:t>
      </w:r>
      <w:r>
        <w:t xml:space="preserve"> </w:t>
      </w:r>
      <w:r>
        <w:t xml:space="preserve">chain declaration analysing the provenance of</w:t>
      </w:r>
      <w:r>
        <w:t xml:space="preserve"> </w:t>
      </w:r>
      <w:r>
        <w:t xml:space="preserve">semiconductors in the tendered products,</w:t>
      </w:r>
      <w:r>
        <w:t xml:space="preserve"> </w:t>
      </w:r>
      <w:r>
        <w:t xml:space="preserve">outlining their supply chain resilience strategy,</w:t>
      </w:r>
      <w:r>
        <w:t xml:space="preserve"> </w:t>
      </w:r>
      <w:r>
        <w:t xml:space="preserve">in particular with regards to dual sourcing. The</w:t>
      </w:r>
      <w:r>
        <w:t xml:space="preserve"> </w:t>
      </w:r>
      <w:r>
        <w:t xml:space="preserve">declaration would also need to assess the quota</w:t>
      </w:r>
      <w:r>
        <w:t xml:space="preserve"> </w:t>
      </w:r>
      <w:r>
        <w:t xml:space="preserve">of semiconductors supplied from domestic</w:t>
      </w:r>
      <w:r>
        <w:t xml:space="preserve"> </w:t>
      </w:r>
      <w:r>
        <w:t xml:space="preserve">undertakings</w:t>
      </w:r>
      <w:r>
        <w:t xml:space="preserve"> </w:t>
      </w:r>
      <w:r>
        <w:t xml:space="preserve">or</w:t>
      </w:r>
      <w:r>
        <w:t xml:space="preserve"> </w:t>
      </w:r>
      <w:r>
        <w:t xml:space="preserve">equivalent1.</w:t>
      </w:r>
      <w:r>
        <w:t xml:space="preserve"> </w:t>
      </w:r>
      <w:r>
        <w:t xml:space="preserve">The</w:t>
      </w:r>
      <w:r>
        <w:t xml:space="preserve"> </w:t>
      </w:r>
      <w:r>
        <w:t xml:space="preserve">public</w:t>
      </w:r>
      <w:r>
        <w:t xml:space="preserve"> </w:t>
      </w:r>
      <w:r>
        <w:t xml:space="preserve">procurement authorities may use the supply</w:t>
      </w:r>
      <w:r>
        <w:t xml:space="preserve"> </w:t>
      </w:r>
      <w:r>
        <w:t xml:space="preserve">chain resilience strategy as outlined in the</w:t>
      </w:r>
      <w:r>
        <w:t xml:space="preserve"> </w:t>
      </w:r>
      <w:r>
        <w:t xml:space="preserve">declaration, and the quota of domestic or</w:t>
      </w:r>
      <w:r>
        <w:t xml:space="preserve"> </w:t>
      </w:r>
      <w:r>
        <w:t xml:space="preserve">equivalent semiconductor suppliers, as award</w:t>
      </w:r>
      <w:r>
        <w:t xml:space="preserve"> </w:t>
      </w:r>
      <w:r>
        <w:t xml:space="preserve">criteria along with price.</w:t>
      </w:r>
      <w:r>
        <w:t xml:space="preserve"> </w:t>
      </w:r>
      <w:r>
        <w:t xml:space="preserve">(See further Section 5.2.3.3 and Section 6.2.1.3</w:t>
      </w:r>
      <w:r>
        <w:t xml:space="preserve"> </w:t>
      </w:r>
      <w:r>
        <w:t xml:space="preserve">of the main document)</w:t>
      </w:r>
      <w:r>
        <w:t xml:space="preserve"> </w:t>
      </w:r>
      <w:r>
        <w:t xml:space="preserve">(2) The report does not adequately analyse</w:t>
      </w:r>
      <w:r>
        <w:t xml:space="preserve"> </w:t>
      </w:r>
      <w:r>
        <w:t xml:space="preserve">coherence with the existing and forthcoming</w:t>
      </w:r>
      <w:r>
        <w:t xml:space="preserve"> </w:t>
      </w:r>
      <w:r>
        <w:t xml:space="preserve">policy initiatives and instruments. It is not</w:t>
      </w:r>
      <w:r>
        <w:t xml:space="preserve"> </w:t>
      </w:r>
      <w:r>
        <w:t xml:space="preserve">sufficiently clear how interplay will be ensured</w:t>
      </w:r>
      <w:r>
        <w:t xml:space="preserve"> </w:t>
      </w:r>
      <w:r>
        <w:t xml:space="preserve">to achieve synergies between the supply- and</w:t>
      </w:r>
      <w:r>
        <w:t xml:space="preserve"> </w:t>
      </w:r>
      <w:r>
        <w:t xml:space="preserve">demand-side measures.</w:t>
      </w:r>
      <w:r>
        <w:t xml:space="preserve"> </w:t>
      </w:r>
      <w:r>
        <w:t xml:space="preserve">The interplay between the various measures, in</w:t>
      </w:r>
      <w:r>
        <w:t xml:space="preserve"> </w:t>
      </w:r>
      <w:r>
        <w:t xml:space="preserve">particular the supply side and demand side</w:t>
      </w:r>
      <w:r>
        <w:t xml:space="preserve"> </w:t>
      </w:r>
      <w:r>
        <w:t xml:space="preserve">measures, covering the whole value chain is</w:t>
      </w:r>
      <w:r>
        <w:t xml:space="preserve"> </w:t>
      </w:r>
      <w:r>
        <w:t xml:space="preserve">explained in Sections 5.2, 6.2 and 8.2.</w:t>
      </w:r>
      <w:r>
        <w:t xml:space="preserve"> </w:t>
      </w:r>
      <w:r>
        <w:t xml:space="preserve">Additional elements on coherence with other</w:t>
      </w:r>
      <w:r>
        <w:t xml:space="preserve"> </w:t>
      </w:r>
      <w:r>
        <w:t xml:space="preserve">existing or upcoming policy measures (incl. to</w:t>
      </w:r>
      <w:r>
        <w:t xml:space="preserve"> </w:t>
      </w:r>
      <w:r>
        <w:t xml:space="preserve">the CSA 2 proposal) and instruments were</w:t>
      </w:r>
      <w:r>
        <w:t xml:space="preserve"> </w:t>
      </w:r>
      <w:r>
        <w:t xml:space="preserve">integrated in the report (Section 1.2).</w:t>
      </w:r>
      <w:r>
        <w:t xml:space="preserve"> </w:t>
      </w:r>
      <w:r>
        <w:t xml:space="preserve">(3) The analysis of the risk of inefficient</w:t>
      </w:r>
      <w:r>
        <w:t xml:space="preserve"> </w:t>
      </w:r>
      <w:r>
        <w:t xml:space="preserve">allocation of resources is not sufficient.</w:t>
      </w:r>
      <w:r>
        <w:t xml:space="preserve"> </w:t>
      </w:r>
      <w:r>
        <w:t xml:space="preserve">The revised report assesses the costs of</w:t>
      </w:r>
      <w:r>
        <w:t xml:space="preserve"> </w:t>
      </w:r>
      <w:r>
        <w:t xml:space="preserve">individual measures without prejudice to</w:t>
      </w:r>
      <w:r>
        <w:t xml:space="preserve"> </w:t>
      </w:r>
      <w:r>
        <w:t xml:space="preserve">ongoing MFF negotiations. (Section 6 and</w:t>
      </w:r>
      <w:r>
        <w:t xml:space="preserve"> </w:t>
      </w:r>
      <w:r>
        <w:t xml:space="preserve">Section 8; Annex 3 and Annex 4).</w:t>
      </w:r>
    </w:p>
    <w:p>
      <w:pPr>
        <w:pStyle w:val="BodyText"/>
      </w:pPr>
      <w:r>
        <w:t xml:space="preserve">1 See Article 2 of Chips Act 2.0.</w:t>
      </w:r>
    </w:p>
    <w:p>
      <w:pPr>
        <w:pStyle w:val="BodyText"/>
      </w:pPr>
      <w:r>
        <w:t xml:space="preserve">7</w:t>
      </w:r>
      <w:r>
        <w:t xml:space="preserve"> </w:t>
      </w:r>
      <w:r>
        <w:t xml:space="preserve">ANNEX 2: STAKEHOLDER CONSULTATION (SYNOPSIS REPORT)</w:t>
      </w:r>
      <w:r>
        <w:t xml:space="preserve"> </w:t>
      </w:r>
      <w:r>
        <w:t xml:space="preserve">1.</w:t>
      </w:r>
      <w:r>
        <w:t xml:space="preserve"> </w:t>
      </w:r>
      <w:r>
        <w:t xml:space="preserve">INTRODUCTION</w:t>
      </w:r>
      <w:r>
        <w:br/>
      </w:r>
      <w:r>
        <w:t xml:space="preserve">This annex presents an overview of the five consultation activities: the open public consultation</w:t>
      </w:r>
      <w:r>
        <w:t xml:space="preserve"> </w:t>
      </w:r>
      <w:r>
        <w:t xml:space="preserve">(OPC), call for evidence, surveys, expert interviews, and workshops. In line with the Terms of</w:t>
      </w:r>
      <w:r>
        <w:t xml:space="preserve"> </w:t>
      </w:r>
      <w:r>
        <w:t xml:space="preserve">Reference and the Commission’s Better Regulation Guidelines, it summarises findings across the</w:t>
      </w:r>
      <w:r>
        <w:t xml:space="preserve"> </w:t>
      </w:r>
      <w:r>
        <w:t xml:space="preserve">evaluation criteria (effectiveness, efficiency, coherence, EU added value, and relevance), as well</w:t>
      </w:r>
      <w:r>
        <w:t xml:space="preserve"> </w:t>
      </w:r>
      <w:r>
        <w:t xml:space="preserve">as prospective outcomes. This annex presents the stakeholder consultation findings and clarifies</w:t>
      </w:r>
      <w:r>
        <w:t xml:space="preserve"> </w:t>
      </w:r>
      <w:r>
        <w:t xml:space="preserve">how they have been incorporated into the evaluation and policy-making process.</w:t>
      </w:r>
      <w:r>
        <w:t xml:space="preserve"> </w:t>
      </w:r>
      <w:r>
        <w:t xml:space="preserve">2.</w:t>
      </w:r>
      <w:r>
        <w:t xml:space="preserve"> </w:t>
      </w:r>
      <w:r>
        <w:t xml:space="preserve">OUTLINE OF THE CONSULTATION STRATEGY AND METHODOLOGY</w:t>
      </w:r>
      <w:r>
        <w:br/>
      </w:r>
      <w:r>
        <w:t xml:space="preserve">Stakeholder consultation is the structured process through which the Commission and its</w:t>
      </w:r>
      <w:r>
        <w:t xml:space="preserve"> </w:t>
      </w:r>
      <w:r>
        <w:t xml:space="preserve">contractors gather information and perspectives from stakeholders regarding the Chips Act. The</w:t>
      </w:r>
      <w:r>
        <w:t xml:space="preserve"> </w:t>
      </w:r>
      <w:r>
        <w:t xml:space="preserve">consultation strategy defines the scope, identifies the stakeholder groups to be reached, and</w:t>
      </w:r>
      <w:r>
        <w:t xml:space="preserve"> </w:t>
      </w:r>
      <w:r>
        <w:t xml:space="preserve">clarifies the purpose of each activity.</w:t>
      </w:r>
      <w:r>
        <w:t xml:space="preserve"> </w:t>
      </w:r>
      <w:r>
        <w:t xml:space="preserve">The approach followed the Commission’s Better Regulation Guidelines and comprised three</w:t>
      </w:r>
      <w:r>
        <w:t xml:space="preserve"> </w:t>
      </w:r>
      <w:r>
        <w:t xml:space="preserve">main steps:</w:t>
      </w:r>
      <w:r>
        <w:t xml:space="preserve"> </w:t>
      </w:r>
      <w:r>
        <w:t xml:space="preserve">• Designing the consultation strategy;</w:t>
      </w:r>
      <w:r>
        <w:t xml:space="preserve"> </w:t>
      </w:r>
      <w:r>
        <w:t xml:space="preserve">• Conducting the consultation activities;</w:t>
      </w:r>
      <w:r>
        <w:t xml:space="preserve"> </w:t>
      </w:r>
      <w:r>
        <w:t xml:space="preserve">• Informing policymaking through the preparation of our reports.</w:t>
      </w:r>
    </w:p>
    <w:p>
      <w:pPr>
        <w:pStyle w:val="BodyText"/>
      </w:pPr>
      <w:r>
        <w:t xml:space="preserve">The consultations aimed to gather stakeholder views and collect data to address the evaluation</w:t>
      </w:r>
      <w:r>
        <w:t xml:space="preserve"> </w:t>
      </w:r>
      <w:r>
        <w:t xml:space="preserve">questions. Findings are presented by consultation method and stakeholder group, and were</w:t>
      </w:r>
      <w:r>
        <w:t xml:space="preserve"> </w:t>
      </w:r>
      <w:r>
        <w:t xml:space="preserve">triangulated with evidence from other data collection and analysis activities.</w:t>
      </w:r>
      <w:r>
        <w:t xml:space="preserve"> </w:t>
      </w:r>
      <w:r>
        <w:t xml:space="preserve">The consultation tools were designed to be complementary. Surveys and the call for evidence</w:t>
      </w:r>
      <w:r>
        <w:t xml:space="preserve"> </w:t>
      </w:r>
      <w:r>
        <w:t xml:space="preserve">provided broad input, particularly on effectiveness and efficiency, while interviews and</w:t>
      </w:r>
      <w:r>
        <w:t xml:space="preserve"> </w:t>
      </w:r>
      <w:r>
        <w:t xml:space="preserve">workshops with stakeholders (including industry, research organisations, and external experts)</w:t>
      </w:r>
      <w:r>
        <w:t xml:space="preserve"> </w:t>
      </w:r>
      <w:r>
        <w:t xml:space="preserve">supported more in-depth assessment of relevance, coherence, and EU added value. The OPC</w:t>
      </w:r>
      <w:r>
        <w:t xml:space="preserve"> </w:t>
      </w:r>
      <w:r>
        <w:t xml:space="preserve">covered all evaluation criteria and enabled stakeholders and the wider public to share views on</w:t>
      </w:r>
      <w:r>
        <w:t xml:space="preserve"> </w:t>
      </w:r>
      <w:r>
        <w:t xml:space="preserve">the Chips Act’s implementation.</w:t>
      </w:r>
      <w:r>
        <w:t xml:space="preserve"> </w:t>
      </w:r>
      <w:r>
        <w:t xml:space="preserve">Although the study provides an overall evaluation of the Chips Act, the consultation findings are</w:t>
      </w:r>
      <w:r>
        <w:t xml:space="preserve"> </w:t>
      </w:r>
      <w:r>
        <w:t xml:space="preserve">presented with a forward-looking focus, reflecting stakeholder suggestions for improvement.</w:t>
      </w:r>
      <w:r>
        <w:t xml:space="preserve"> </w:t>
      </w:r>
      <w:r>
        <w:t xml:space="preserve">These insights are integrated in the final evaluation report alongside evidence from other</w:t>
      </w:r>
      <w:r>
        <w:t xml:space="preserve"> </w:t>
      </w:r>
      <w:r>
        <w:t xml:space="preserve">methods.</w:t>
      </w:r>
    </w:p>
    <w:p>
      <w:pPr>
        <w:pStyle w:val="BodyText"/>
      </w:pPr>
      <w:r>
        <w:t xml:space="preserve">8</w:t>
      </w:r>
      <w:r>
        <w:t xml:space="preserve"> </w:t>
      </w:r>
      <w:r>
        <w:t xml:space="preserve">Table 1. Main information on stakeholder consultation activities</w:t>
      </w:r>
      <w:r>
        <w:t xml:space="preserve"> </w:t>
      </w:r>
      <w:r>
        <w:t xml:space="preserve">Consultation</w:t>
      </w:r>
      <w:r>
        <w:t xml:space="preserve"> </w:t>
      </w:r>
      <w:r>
        <w:t xml:space="preserve">activity</w:t>
      </w:r>
      <w:r>
        <w:t xml:space="preserve"> </w:t>
      </w:r>
      <w:r>
        <w:t xml:space="preserve">Target groups</w:t>
      </w:r>
      <w:r>
        <w:t xml:space="preserve"> </w:t>
      </w:r>
      <w:r>
        <w:t xml:space="preserve">Dates</w:t>
      </w:r>
      <w:r>
        <w:t xml:space="preserve"> </w:t>
      </w:r>
      <w:r>
        <w:t xml:space="preserve">• Open public</w:t>
      </w:r>
      <w:r>
        <w:t xml:space="preserve"> </w:t>
      </w:r>
      <w:r>
        <w:t xml:space="preserve">consultation</w:t>
      </w:r>
      <w:r>
        <w:t xml:space="preserve"> </w:t>
      </w:r>
      <w:r>
        <w:t xml:space="preserve">• Organisations</w:t>
      </w:r>
      <w:r>
        <w:t xml:space="preserve"> </w:t>
      </w:r>
      <w:r>
        <w:t xml:space="preserve">▪</w:t>
      </w:r>
      <w:r>
        <w:t xml:space="preserve"> </w:t>
      </w:r>
      <w:r>
        <w:t xml:space="preserve">Individual respondents</w:t>
      </w:r>
      <w:r>
        <w:t xml:space="preserve"> </w:t>
      </w:r>
      <w:r>
        <w:t xml:space="preserve">5 September 2025 -</w:t>
      </w:r>
      <w:r>
        <w:t xml:space="preserve"> </w:t>
      </w:r>
      <w:r>
        <w:t xml:space="preserve">28 November 2025</w:t>
      </w:r>
      <w:r>
        <w:t xml:space="preserve"> </w:t>
      </w:r>
      <w:r>
        <w:t xml:space="preserve">• Call for</w:t>
      </w:r>
      <w:r>
        <w:t xml:space="preserve"> </w:t>
      </w:r>
      <w:r>
        <w:t xml:space="preserve">evidence</w:t>
      </w:r>
      <w:r>
        <w:t xml:space="preserve"> </w:t>
      </w:r>
      <w:r>
        <w:t xml:space="preserve">• Organisations</w:t>
      </w:r>
      <w:r>
        <w:t xml:space="preserve"> </w:t>
      </w:r>
      <w:r>
        <w:t xml:space="preserve">• Industry stakeholders</w:t>
      </w:r>
      <w:r>
        <w:t xml:space="preserve"> </w:t>
      </w:r>
      <w:r>
        <w:t xml:space="preserve">• Research institutions</w:t>
      </w:r>
      <w:r>
        <w:t xml:space="preserve"> </w:t>
      </w:r>
      <w:r>
        <w:t xml:space="preserve">• Public authorities</w:t>
      </w:r>
      <w:r>
        <w:t xml:space="preserve"> </w:t>
      </w:r>
      <w:r>
        <w:t xml:space="preserve">• NGOs</w:t>
      </w:r>
      <w:r>
        <w:t xml:space="preserve"> </w:t>
      </w:r>
      <w:r>
        <w:t xml:space="preserve">5 September 2025 -</w:t>
      </w:r>
      <w:r>
        <w:t xml:space="preserve"> </w:t>
      </w:r>
      <w:r>
        <w:t xml:space="preserve">28 November 2025</w:t>
      </w:r>
      <w:r>
        <w:t xml:space="preserve"> </w:t>
      </w:r>
      <w:r>
        <w:t xml:space="preserve">• Survey</w:t>
      </w:r>
      <w:r>
        <w:t xml:space="preserve"> </w:t>
      </w:r>
      <w:r>
        <w:t xml:space="preserve">• National and regional authorities</w:t>
      </w:r>
      <w:r>
        <w:t xml:space="preserve"> </w:t>
      </w:r>
      <w:r>
        <w:t xml:space="preserve">• Industry users</w:t>
      </w:r>
      <w:r>
        <w:t xml:space="preserve"> </w:t>
      </w:r>
      <w:r>
        <w:t xml:space="preserve">• Supply chain actors</w:t>
      </w:r>
      <w:r>
        <w:t xml:space="preserve"> </w:t>
      </w:r>
      <w:r>
        <w:t xml:space="preserve">• Research and design</w:t>
      </w:r>
      <w:r>
        <w:t xml:space="preserve"> </w:t>
      </w:r>
      <w:r>
        <w:t xml:space="preserve">(R&amp;D) organisations</w:t>
      </w:r>
      <w:r>
        <w:t xml:space="preserve"> </w:t>
      </w:r>
      <w:r>
        <w:t xml:space="preserve">24 October 2025 -</w:t>
      </w:r>
      <w:r>
        <w:t xml:space="preserve"> </w:t>
      </w:r>
      <w:r>
        <w:t xml:space="preserve">24 November 2025</w:t>
      </w:r>
      <w:r>
        <w:t xml:space="preserve"> </w:t>
      </w:r>
      <w:r>
        <w:t xml:space="preserve">• Interviews</w:t>
      </w:r>
      <w:r>
        <w:t xml:space="preserve"> </w:t>
      </w:r>
      <w:r>
        <w:t xml:space="preserve">• EU industries</w:t>
      </w:r>
      <w:r>
        <w:t xml:space="preserve"> </w:t>
      </w:r>
      <w:r>
        <w:t xml:space="preserve">• Policymakers</w:t>
      </w:r>
      <w:r>
        <w:t xml:space="preserve"> </w:t>
      </w:r>
      <w:r>
        <w:t xml:space="preserve">• Industry representatives</w:t>
      </w:r>
      <w:r>
        <w:t xml:space="preserve"> </w:t>
      </w:r>
      <w:r>
        <w:t xml:space="preserve">• Key investors</w:t>
      </w:r>
      <w:r>
        <w:t xml:space="preserve"> </w:t>
      </w:r>
      <w:r>
        <w:t xml:space="preserve">• Interest groups/alliances</w:t>
      </w:r>
      <w:r>
        <w:t xml:space="preserve"> </w:t>
      </w:r>
      <w:r>
        <w:t xml:space="preserve">• Worker unions</w:t>
      </w:r>
      <w:r>
        <w:t xml:space="preserve"> </w:t>
      </w:r>
      <w:r>
        <w:t xml:space="preserve">4 November 2025 -</w:t>
      </w:r>
      <w:r>
        <w:t xml:space="preserve"> </w:t>
      </w:r>
      <w:r>
        <w:t xml:space="preserve">19 November 2025</w:t>
      </w:r>
      <w:r>
        <w:t xml:space="preserve"> </w:t>
      </w:r>
      <w:r>
        <w:t xml:space="preserve">• Workshops • Industry representatives</w:t>
      </w:r>
      <w:r>
        <w:t xml:space="preserve"> </w:t>
      </w:r>
      <w:r>
        <w:t xml:space="preserve">• Regional and institutional actors</w:t>
      </w:r>
      <w:r>
        <w:t xml:space="preserve"> </w:t>
      </w:r>
      <w:r>
        <w:t xml:space="preserve">• Research and academic organisations</w:t>
      </w:r>
      <w:r>
        <w:t xml:space="preserve"> </w:t>
      </w:r>
      <w:r>
        <w:t xml:space="preserve">• Supporting ecosystem</w:t>
      </w:r>
      <w:r>
        <w:t xml:space="preserve"> </w:t>
      </w:r>
      <w:r>
        <w:t xml:space="preserve">• European Commission</w:t>
      </w:r>
      <w:r>
        <w:t xml:space="preserve"> </w:t>
      </w:r>
      <w:r>
        <w:t xml:space="preserve">representatives</w:t>
      </w:r>
      <w:r>
        <w:t xml:space="preserve"> </w:t>
      </w:r>
      <w:r>
        <w:t xml:space="preserve">12 September 2025 -</w:t>
      </w:r>
      <w:r>
        <w:br/>
      </w:r>
      <w:r>
        <w:t xml:space="preserve">17 December 2025</w:t>
      </w:r>
      <w:r>
        <w:t xml:space="preserve"> </w:t>
      </w:r>
      <w:r>
        <w:t xml:space="preserve">3.</w:t>
      </w:r>
      <w:r>
        <w:t xml:space="preserve"> </w:t>
      </w:r>
      <w:r>
        <w:t xml:space="preserve">METHODOLOGICAL ADAPTATIONS AND LIMITATIONS</w:t>
      </w:r>
      <w:r>
        <w:t xml:space="preserve"> </w:t>
      </w:r>
      <w:r>
        <w:t xml:space="preserve">The consultation strategy was adapted during implementation. Initial stakeholder participation in</w:t>
      </w:r>
      <w:r>
        <w:t xml:space="preserve"> </w:t>
      </w:r>
      <w:r>
        <w:t xml:space="preserve">the OPC and survey was relatively low, so additional targeted consultations were integrated into</w:t>
      </w:r>
      <w:r>
        <w:t xml:space="preserve"> </w:t>
      </w:r>
      <w:r>
        <w:t xml:space="preserve">the consultation plan. Focus groups were replaced by several thematic workshops to allow</w:t>
      </w:r>
      <w:r>
        <w:t xml:space="preserve"> </w:t>
      </w:r>
      <w:r>
        <w:t xml:space="preserve">broader participation. These included workshops with different stakeholder groups. With</w:t>
      </w:r>
      <w:r>
        <w:t xml:space="preserve"> </w:t>
      </w:r>
      <w:r>
        <w:t xml:space="preserve">increased participation in the OPC and survey, the final consultation results reflect a well-</w:t>
      </w:r>
      <w:r>
        <w:t xml:space="preserve"> </w:t>
      </w:r>
      <w:r>
        <w:t xml:space="preserve">balanced mix of quantitative and qualitative inputs. Besides, findings were triangulated</w:t>
      </w:r>
      <w:r>
        <w:t xml:space="preserve"> </w:t>
      </w:r>
      <w:r>
        <w:t xml:space="preserve">across multiple sources, with each conclusion based on at least two independent data sources.</w:t>
      </w:r>
      <w:r>
        <w:t xml:space="preserve"> </w:t>
      </w:r>
      <w:r>
        <w:t xml:space="preserve">Section 4 provides a comparison table showing consistency across consultation activities.</w:t>
      </w:r>
      <w:r>
        <w:t xml:space="preserve"> </w:t>
      </w:r>
      <w:r>
        <w:t xml:space="preserve">Finally, the analysis focuses on outputs and early outcomes, reflecting the Act’s recent entry into</w:t>
      </w:r>
      <w:r>
        <w:t xml:space="preserve"> </w:t>
      </w:r>
      <w:r>
        <w:t xml:space="preserve">force (September 2023). Self-selection bias was mitigated through diverse methods and outreach</w:t>
      </w:r>
      <w:r>
        <w:t xml:space="preserve"> </w:t>
      </w:r>
      <w:r>
        <w:t xml:space="preserve">to underrepresented groups. Limited financial data for Pillar II facilities (due to ongoing</w:t>
      </w:r>
      <w:r>
        <w:t xml:space="preserve"> </w:t>
      </w:r>
      <w:r>
        <w:t xml:space="preserve">construction and confidentiality) were addressed through cost modelling and qualitative</w:t>
      </w:r>
      <w:r>
        <w:t xml:space="preserve"> </w:t>
      </w:r>
      <w:r>
        <w:t xml:space="preserve">validation.</w:t>
      </w:r>
      <w:r>
        <w:t xml:space="preserve"> </w:t>
      </w:r>
      <w:r>
        <w:t xml:space="preserve">4.</w:t>
      </w:r>
      <w:r>
        <w:t xml:space="preserve"> </w:t>
      </w:r>
      <w:r>
        <w:t xml:space="preserve">SUMMARISED RESULTS OF THE OPEN PUBLIC CONSULTATION (OPC)</w:t>
      </w:r>
      <w:r>
        <w:br/>
      </w:r>
      <w:r>
        <w:t xml:space="preserve">The OPC was conducted over a 12-week period, from 5 September 2025 to 28 November</w:t>
      </w:r>
      <w:r>
        <w:t xml:space="preserve"> </w:t>
      </w:r>
      <w:r>
        <w:t xml:space="preserve">2025. The questionnaire consisted of five sections covering respondent identification, views on</w:t>
      </w:r>
      <w:r>
        <w:t xml:space="preserve"> </w:t>
      </w:r>
      <w:r>
        <w:t xml:space="preserve">the functioning of the current Chips Act, perspectives on possible future steps under a potential</w:t>
      </w:r>
      <w:r>
        <w:t xml:space="preserve"> </w:t>
      </w:r>
      <w:r>
        <w:t xml:space="preserve">“Chips Act 2.0”, stakeholder-specific questions, and an option to upload supporting documents.</w:t>
      </w:r>
      <w:r>
        <w:t xml:space="preserve"> </w:t>
      </w:r>
      <w:r>
        <w:t xml:space="preserve">The open public consultation was available in all 24 EU official languages. It included both</w:t>
      </w:r>
      <w:r>
        <w:t xml:space="preserve"> </w:t>
      </w:r>
      <w:r>
        <w:t xml:space="preserve">closed-ended and open-ended questions, allowing respondents to elaborate on their views. In</w:t>
      </w:r>
      <w:r>
        <w:t xml:space="preserve"> </w:t>
      </w:r>
      <w:r>
        <w:t xml:space="preserve">total, 105 survey responses and 39 position papers were received. One response was identified</w:t>
      </w:r>
      <w:r>
        <w:t xml:space="preserve"> </w:t>
      </w:r>
      <w:r>
        <w:t xml:space="preserve">as a duplicate and another as a test submission; both were excluded, resulting in 103 responses</w:t>
      </w:r>
      <w:r>
        <w:t xml:space="preserve"> </w:t>
      </w:r>
      <w:r>
        <w:t xml:space="preserve">included in the analysis.</w:t>
      </w:r>
      <w:r>
        <w:br/>
      </w:r>
      <w:r>
        <w:t xml:space="preserve">The statistical analysis of closed consultation questions combined high-level aggregation with</w:t>
      </w:r>
      <w:r>
        <w:t xml:space="preserve"> </w:t>
      </w:r>
      <w:r>
        <w:t xml:space="preserve">disaggregated insights by stakeholder group, enabling the identification of emerging trends</w:t>
      </w:r>
      <w:r>
        <w:t xml:space="preserve"> </w:t>
      </w:r>
      <w:r>
        <w:t xml:space="preserve">within specific groups and helping to contextualise broader patterns across responses. To</w:t>
      </w:r>
    </w:p>
    <w:p>
      <w:pPr>
        <w:pStyle w:val="BodyText"/>
      </w:pPr>
      <w:r>
        <w:t xml:space="preserve">9</w:t>
      </w:r>
      <w:r>
        <w:t xml:space="preserve"> </w:t>
      </w:r>
      <w:r>
        <w:t xml:space="preserve">facilitate the analysis, more granular stakeholder categories were clustered into higher-level</w:t>
      </w:r>
      <w:r>
        <w:t xml:space="preserve"> </w:t>
      </w:r>
      <w:r>
        <w:t xml:space="preserve">groups.</w:t>
      </w:r>
      <w:r>
        <w:br/>
      </w:r>
      <w:r>
        <w:t xml:space="preserve">The qualitative analysis of open-ended responses and position papers used a hybrid</w:t>
      </w:r>
      <w:r>
        <w:t xml:space="preserve"> </w:t>
      </w:r>
      <w:r>
        <w:t xml:space="preserve">approach, combining Large Language Model (LLM)-driven topic modelling with expert human</w:t>
      </w:r>
      <w:r>
        <w:t xml:space="preserve"> </w:t>
      </w:r>
      <w:r>
        <w:t xml:space="preserve">validation to ensure a structured, consistent, and robust synthesis of stakeholder input across all</w:t>
      </w:r>
      <w:r>
        <w:t xml:space="preserve"> </w:t>
      </w:r>
      <w:r>
        <w:t xml:space="preserve">evaluation criteria.</w:t>
      </w:r>
      <w:r>
        <w:br/>
      </w:r>
      <w:r>
        <w:t xml:space="preserve">Two organised campaigns with 21 contributions were identified, primarily representing</w:t>
      </w:r>
      <w:r>
        <w:t xml:space="preserve"> </w:t>
      </w:r>
      <w:r>
        <w:t xml:space="preserve">stakeholders from the European semiconductor and electronics ecosystem, including the</w:t>
      </w:r>
      <w:r>
        <w:t xml:space="preserve"> </w:t>
      </w:r>
      <w:r>
        <w:t xml:space="preserve">EuroPractice consortium. Although campaign respondents did not submit identical answers to</w:t>
      </w:r>
      <w:r>
        <w:t xml:space="preserve"> </w:t>
      </w:r>
      <w:r>
        <w:t xml:space="preserve">the closed questions, they repeated key messages across multiple open-ended questions; their</w:t>
      </w:r>
      <w:r>
        <w:t xml:space="preserve"> </w:t>
      </w:r>
      <w:r>
        <w:t xml:space="preserve">inputs are therefore included in the closed-question analysis. The campaigns emphasised that</w:t>
      </w:r>
      <w:r>
        <w:t xml:space="preserve"> </w:t>
      </w:r>
      <w:r>
        <w:t xml:space="preserve">revising the EU Chips Act must sharpen Europe’s strategic focus on semiconductor innovation,</w:t>
      </w:r>
      <w:r>
        <w:t xml:space="preserve"> </w:t>
      </w:r>
      <w:r>
        <w:t xml:space="preserve">industrial deployment, and competitiveness by improving funding tools, reducing bureaucracy,</w:t>
      </w:r>
      <w:r>
        <w:t xml:space="preserve"> </w:t>
      </w:r>
      <w:r>
        <w:t xml:space="preserve">and strengthening collaboration across the value chain.</w:t>
      </w:r>
      <w:r>
        <w:br/>
      </w:r>
      <w:r>
        <w:t xml:space="preserve">The OPC was answered predominantly by organisations (84%, 87/103), with individual</w:t>
      </w:r>
      <w:r>
        <w:t xml:space="preserve"> </w:t>
      </w:r>
      <w:r>
        <w:t xml:space="preserve">respondents comprising 16% (16/103). Most responding organisations were international in</w:t>
      </w:r>
      <w:r>
        <w:t xml:space="preserve"> </w:t>
      </w:r>
      <w:r>
        <w:t xml:space="preserve">scope (74%, 64/87) and primarily large enterprises with ≥250 employees (51%, 44/87), although</w:t>
      </w:r>
      <w:r>
        <w:t xml:space="preserve"> </w:t>
      </w:r>
      <w:r>
        <w:t xml:space="preserve">medium (22%, 19/87) and small enterprises (21%, 18/87) were also represented.</w:t>
      </w:r>
      <w:r>
        <w:br/>
      </w:r>
      <w:r>
        <w:t xml:space="preserve">Geographically, responses came mainly from EU Member States (91%, 94/103), with</w:t>
      </w:r>
      <w:r>
        <w:t xml:space="preserve"> </w:t>
      </w:r>
      <w:r>
        <w:t xml:space="preserve">Germany contributing the most (26), followed by France (16) and Italy (10). Non-EU</w:t>
      </w:r>
      <w:r>
        <w:t xml:space="preserve"> </w:t>
      </w:r>
      <w:r>
        <w:t xml:space="preserve">participation was limited to 9 responses, primarily from the United States (3) and Switzerland</w:t>
      </w:r>
      <w:r>
        <w:t xml:space="preserve"> </w:t>
      </w:r>
      <w:r>
        <w:t xml:space="preserve">(2). Among individual respondents, a clear majority held EU nationality (88%, 14/16).</w:t>
      </w:r>
    </w:p>
    <w:p>
      <w:pPr>
        <w:pStyle w:val="BodyText"/>
      </w:pPr>
      <w:r>
        <w:t xml:space="preserve">Figure 1. Stakeholder types</w:t>
      </w:r>
      <w:r>
        <w:t xml:space="preserve"> </w:t>
      </w:r>
      <w:r>
        <w:t xml:space="preserve">Source: Consolidated public consultation of the review of the Chips Act, September-November 2025, Question 2.</w:t>
      </w:r>
      <w:r>
        <w:br/>
      </w:r>
      <w:r>
        <w:t xml:space="preserve">4.1.</w:t>
      </w:r>
      <w:r>
        <w:t xml:space="preserve"> </w:t>
      </w:r>
      <w:r>
        <w:t xml:space="preserve">Effectiveness</w:t>
      </w:r>
      <w:r>
        <w:br/>
      </w:r>
      <w:r>
        <w:t xml:space="preserve">The consultation results indicate strong positive assessments of Pillar I (Chips for Europe</w:t>
      </w:r>
      <w:r>
        <w:t xml:space="preserve"> </w:t>
      </w:r>
      <w:r>
        <w:t xml:space="preserve">Initiative) across all stakeholder groups. Supporting research and innovation activities was the</w:t>
      </w:r>
      <w:r>
        <w:t xml:space="preserve"> </w:t>
      </w:r>
      <w:r>
        <w:t xml:space="preserve">highest-rated objective, while progress on security-by-design principles for cybersecurity</w:t>
      </w:r>
      <w:r>
        <w:t xml:space="preserve"> </w:t>
      </w:r>
      <w:r>
        <w:t xml:space="preserve">protection ranked somewhat lower in comparison. Position papers broadly align with these</w:t>
      </w:r>
      <w:r>
        <w:t xml:space="preserve"> </w:t>
      </w:r>
      <w:r>
        <w:t xml:space="preserve">trends, with stakeholders consistently identifying Pillar I activities, such as pilot lines,</w:t>
      </w:r>
      <w:r>
        <w:t xml:space="preserve"> </w:t>
      </w:r>
      <w:r>
        <w:t xml:space="preserve">competence centres, and start-up support, as having strengthened Europe’s innovation</w:t>
      </w:r>
    </w:p>
    <w:p>
      <w:pPr>
        <w:pStyle w:val="BodyText"/>
      </w:pPr>
      <w:r>
        <w:t xml:space="preserve">10</w:t>
      </w:r>
      <w:r>
        <w:t xml:space="preserve"> </w:t>
      </w:r>
      <w:r>
        <w:t xml:space="preserve">infrastructure and supported technological capacity building. Concrete examples cited include</w:t>
      </w:r>
      <w:r>
        <w:t xml:space="preserve"> </w:t>
      </w:r>
      <w:r>
        <w:t xml:space="preserve">support for start-ups and local benefits such as job creation.</w:t>
      </w:r>
      <w:r>
        <w:br/>
      </w:r>
      <w:r>
        <w:t xml:space="preserve">Regarding pilot lines specifically, more than half of respondents (59%, 56/96) considered that</w:t>
      </w:r>
      <w:r>
        <w:t xml:space="preserve"> </w:t>
      </w:r>
      <w:r>
        <w:t xml:space="preserve">they meet their objectives of supporting the transition from ‘lab to fab’, with RTOs/designers</w:t>
      </w:r>
      <w:r>
        <w:t xml:space="preserve"> </w:t>
      </w:r>
      <w:r>
        <w:t xml:space="preserve">(76%, 13/17) and authorities (78%, 7/9 respectively) expressing the strongest positive views,</w:t>
      </w:r>
      <w:r>
        <w:t xml:space="preserve"> </w:t>
      </w:r>
      <w:r>
        <w:t xml:space="preserve">while civil society and supply-chain respondents were more cautious. Answers to open-ended</w:t>
      </w:r>
      <w:r>
        <w:t xml:space="preserve"> </w:t>
      </w:r>
      <w:r>
        <w:t xml:space="preserve">questions suggest that further industrialisation of pilot lines could be supported through state-aid</w:t>
      </w:r>
      <w:r>
        <w:t xml:space="preserve"> </w:t>
      </w:r>
      <w:r>
        <w:t xml:space="preserve">framework reform (GBER revision) and sustained funding support, while end users highlighted</w:t>
      </w:r>
      <w:r>
        <w:t xml:space="preserve"> </w:t>
      </w:r>
      <w:r>
        <w:t xml:space="preserve">the importance of market-driven orientation from the outset. Across sources, stakeholders note</w:t>
      </w:r>
      <w:r>
        <w:t xml:space="preserve"> </w:t>
      </w:r>
      <w:r>
        <w:t xml:space="preserve">that closing the gap between innovation and industrial-scale production remains crucial to</w:t>
      </w:r>
      <w:r>
        <w:t xml:space="preserve"> </w:t>
      </w:r>
      <w:r>
        <w:t xml:space="preserve">achieve high-volume production capabilities.</w:t>
      </w:r>
      <w:r>
        <w:br/>
      </w:r>
      <w:r>
        <w:t xml:space="preserve">Competence Centres are broadly viewed as too early to assess fully, though some respondents</w:t>
      </w:r>
      <w:r>
        <w:t xml:space="preserve"> </w:t>
      </w:r>
      <w:r>
        <w:t xml:space="preserve">representing RTOs/designers raised questions about inclusiveness for regional actors and noted</w:t>
      </w:r>
      <w:r>
        <w:t xml:space="preserve"> </w:t>
      </w:r>
      <w:r>
        <w:t xml:space="preserve">operational considerations including budget constraints (civil society and economic stakeholders)</w:t>
      </w:r>
      <w:r>
        <w:t xml:space="preserve"> </w:t>
      </w:r>
      <w:r>
        <w:t xml:space="preserve">and non-unified service costs (public authorities). When asked about other activities that could</w:t>
      </w:r>
      <w:r>
        <w:t xml:space="preserve"> </w:t>
      </w:r>
      <w:r>
        <w:t xml:space="preserve">be covered, most stakeholders suggested waiting until centres become fully operational before</w:t>
      </w:r>
      <w:r>
        <w:t xml:space="preserve"> </w:t>
      </w:r>
      <w:r>
        <w:t xml:space="preserve">expanding their remit.</w:t>
      </w:r>
      <w:r>
        <w:br/>
      </w:r>
      <w:r>
        <w:t xml:space="preserve">At the same time, stakeholders express doubt that the 20% market share target is realistic under</w:t>
      </w:r>
      <w:r>
        <w:t xml:space="preserve"> </w:t>
      </w:r>
      <w:r>
        <w:t xml:space="preserve">current conditions. Overall, position papers characterise the Chips Act as a timely crisis</w:t>
      </w:r>
      <w:r>
        <w:t xml:space="preserve"> </w:t>
      </w:r>
      <w:r>
        <w:t xml:space="preserve">response that created important momentum, while emphasising that Europe now requires</w:t>
      </w:r>
      <w:r>
        <w:t xml:space="preserve"> </w:t>
      </w:r>
      <w:r>
        <w:t xml:space="preserve">substantially scaled and more comprehensive intervention to achieve meaningful strategic</w:t>
      </w:r>
      <w:r>
        <w:t xml:space="preserve"> </w:t>
      </w:r>
      <w:r>
        <w:t xml:space="preserve">outcomes.</w:t>
      </w:r>
    </w:p>
    <w:p>
      <w:pPr>
        <w:pStyle w:val="BodyText"/>
      </w:pPr>
      <w:r>
        <w:t xml:space="preserve">Figure 2. Achievement of Pillar I objectives</w:t>
      </w:r>
      <w:r>
        <w:br/>
      </w:r>
      <w:r>
        <w:t xml:space="preserve">Source: Consolidated public consultation of the review of the Chips Act, September-November 2025, Question 6.</w:t>
      </w:r>
      <w:r>
        <w:t xml:space="preserve"> </w:t>
      </w:r>
      <w:r>
        <w:t xml:space="preserve">Pillar II (Security of supply and resilience) also received broadly positive assessments.</w:t>
      </w:r>
      <w:r>
        <w:t xml:space="preserve"> </w:t>
      </w:r>
      <w:r>
        <w:t xml:space="preserve">Three quarters of respondents (75%, 60/97) considered that this Pillar fully or partially meets its</w:t>
      </w:r>
      <w:r>
        <w:t xml:space="preserve"> </w:t>
      </w:r>
      <w:r>
        <w:t xml:space="preserve">objectives, with supply-chain respondents (70%, 19/27) and end users (67%, 8/12) expressing</w:t>
      </w:r>
      <w:r>
        <w:t xml:space="preserve"> </w:t>
      </w:r>
      <w:r>
        <w:t xml:space="preserve">the strongest positive views, while authorities were more cautious 44% (4/9). A similarly large</w:t>
      </w:r>
      <w:r>
        <w:t xml:space="preserve"> </w:t>
      </w:r>
      <w:r>
        <w:t xml:space="preserve">majority (71%, 69/96) indicated that Pillar II has made the EU a more attractive location for</w:t>
      </w:r>
      <w:r>
        <w:t xml:space="preserve"> </w:t>
      </w:r>
      <w:r>
        <w:t xml:space="preserve">semiconductor manufacturing. Position papers note that while the Chips Act has mobilised</w:t>
      </w:r>
      <w:r>
        <w:t xml:space="preserve"> </w:t>
      </w:r>
      <w:r>
        <w:t xml:space="preserve">substantial investment, questions remain about whether current funding levels are sufficient to</w:t>
      </w:r>
      <w:r>
        <w:t xml:space="preserve"> </w:t>
      </w:r>
      <w:r>
        <w:t xml:space="preserve">keep pace with global competitive dynamics. Stakeholders also identify gaps in the value chain,</w:t>
      </w:r>
      <w:r>
        <w:t xml:space="preserve"> </w:t>
      </w:r>
      <w:r>
        <w:t xml:space="preserve">including Europe’s PCB manufacturing capacity and back-end manufacturing, which are</w:t>
      </w:r>
    </w:p>
    <w:p>
      <w:pPr>
        <w:pStyle w:val="BodyText"/>
      </w:pPr>
      <w:r>
        <w:t xml:space="preserve">11</w:t>
      </w:r>
      <w:r>
        <w:t xml:space="preserve"> </w:t>
      </w:r>
      <w:r>
        <w:t xml:space="preserve">perceived as undermining front-end investments and contributing to dependencies on non-</w:t>
      </w:r>
      <w:r>
        <w:t xml:space="preserve"> </w:t>
      </w:r>
      <w:r>
        <w:t xml:space="preserve">European suppliers.</w:t>
      </w:r>
      <w:r>
        <w:t xml:space="preserve"> </w:t>
      </w:r>
      <w:r>
        <w:t xml:space="preserve">Pillar III (Monitoring and crisis response) received comparatively lower assessments. Almost</w:t>
      </w:r>
      <w:r>
        <w:t xml:space="preserve"> </w:t>
      </w:r>
      <w:r>
        <w:t xml:space="preserve">a third of respondents (30%, 29/96) considered that Pillar III fully or partially meets its</w:t>
      </w:r>
      <w:r>
        <w:t xml:space="preserve"> </w:t>
      </w:r>
      <w:r>
        <w:t xml:space="preserve">objectives, with an equal share indicating that objectives are not met. End users and civil</w:t>
      </w:r>
      <w:r>
        <w:t xml:space="preserve"> </w:t>
      </w:r>
      <w:r>
        <w:t xml:space="preserve">society/economic stakeholders expressed the strongest positive views (each 33%, 4/12 and</w:t>
      </w:r>
      <w:r>
        <w:t xml:space="preserve"> </w:t>
      </w:r>
      <w:r>
        <w:t xml:space="preserve">11/33), while authorities reported the lowest (22%, 2/9). Current uptake of monitoring</w:t>
      </w:r>
      <w:r>
        <w:t xml:space="preserve"> </w:t>
      </w:r>
      <w:r>
        <w:t xml:space="preserve">mechanisms remains limited: two-thirds of respondents (66%, 61/93) reported they had not</w:t>
      </w:r>
      <w:r>
        <w:t xml:space="preserve"> </w:t>
      </w:r>
      <w:r>
        <w:t xml:space="preserve">developed or implemented monitoring systems within their organisations, and a similar</w:t>
      </w:r>
      <w:r>
        <w:t xml:space="preserve"> </w:t>
      </w:r>
      <w:r>
        <w:t xml:space="preserve">proportion (66%, 57/86) indicated they have never reported or received alerts about potential</w:t>
      </w:r>
      <w:r>
        <w:t xml:space="preserve"> </w:t>
      </w:r>
      <w:r>
        <w:t xml:space="preserve">supply chain disruptions. When asked in open-ended questions about suggested additions and</w:t>
      </w:r>
      <w:r>
        <w:t xml:space="preserve"> </w:t>
      </w:r>
      <w:r>
        <w:t xml:space="preserve">changes to Pillar III, there was broad agreement across stakeholders that the Pillar requires</w:t>
      </w:r>
      <w:r>
        <w:t xml:space="preserve"> </w:t>
      </w:r>
      <w:r>
        <w:t xml:space="preserve">further development beyond its current focus on shortage management, with supply-chain</w:t>
      </w:r>
      <w:r>
        <w:t xml:space="preserve"> </w:t>
      </w:r>
      <w:r>
        <w:t xml:space="preserve">stakeholders highlighting practical concerns around information-sharing and export control</w:t>
      </w:r>
      <w:r>
        <w:t xml:space="preserve"> </w:t>
      </w:r>
      <w:r>
        <w:t xml:space="preserve">frameworks.</w:t>
      </w:r>
      <w:r>
        <w:t xml:space="preserve"> </w:t>
      </w:r>
      <w:r>
        <w:t xml:space="preserve">Regarding chip supply shortages over the past 12-24 months, respondents most commonly</w:t>
      </w:r>
      <w:r>
        <w:t xml:space="preserve"> </w:t>
      </w:r>
      <w:r>
        <w:t xml:space="preserve">reported experiencing shortages in final chips (39%, 22/57) and raw materials (26%, 15/57).</w:t>
      </w:r>
    </w:p>
    <w:p>
      <w:pPr>
        <w:pStyle w:val="BodyText"/>
      </w:pPr>
      <w:r>
        <w:t xml:space="preserve">Figure 3. Supply shortages</w:t>
      </w:r>
      <w:r>
        <w:br/>
      </w:r>
      <w:r>
        <w:t xml:space="preserve">Source: Consolidated public consultation of the review of the Chips Act, September-November 2025, Question 26.</w:t>
      </w:r>
      <w:r>
        <w:t xml:space="preserve"> </w:t>
      </w:r>
      <w:r>
        <w:t xml:space="preserve">Looking ahead at the next 2-3 years, a large majority (83%, 68/82) of respondents</w:t>
      </w:r>
      <w:r>
        <w:t xml:space="preserve"> </w:t>
      </w:r>
      <w:r>
        <w:t xml:space="preserve">anticipate further disruptions. Geopolitical risks (82%, 64/78) and new trade barriers (81%,</w:t>
      </w:r>
      <w:r>
        <w:t xml:space="preserve"> </w:t>
      </w:r>
      <w:r>
        <w:t xml:space="preserve">63/78) emerged as the most frequently cited threats across stakeholder groups, followed by</w:t>
      </w:r>
      <w:r>
        <w:t xml:space="preserve"> </w:t>
      </w:r>
      <w:r>
        <w:t xml:space="preserve">logistic bottlenecks (35%, 27/78) and natural hazards (26%, 20/78). Position papers echo these</w:t>
      </w:r>
      <w:r>
        <w:t xml:space="preserve"> </w:t>
      </w:r>
      <w:r>
        <w:t xml:space="preserve">concerns, with stakeholders observing that Europe’s relevance as a semiconductor market has</w:t>
      </w:r>
      <w:r>
        <w:t xml:space="preserve"> </w:t>
      </w:r>
      <w:r>
        <w:t xml:space="preserve">declined relative to other regions, and that capacity gaps in advanced manufacturing nodes leave</w:t>
      </w:r>
      <w:r>
        <w:t xml:space="preserve"> </w:t>
      </w:r>
      <w:r>
        <w:t xml:space="preserve">the EU reliant on a narrow base of non-European suppliers.</w:t>
      </w:r>
      <w:r>
        <w:t xml:space="preserve"> </w:t>
      </w:r>
      <w:r>
        <w:t xml:space="preserve">Respondents most widely supported diversifying trade partners (83%, 71/86) as a mitigation</w:t>
      </w:r>
      <w:r>
        <w:t xml:space="preserve"> </w:t>
      </w:r>
      <w:r>
        <w:t xml:space="preserve">measure across all stakeholder groups, followed by investing in innovation for recycling,</w:t>
      </w:r>
      <w:r>
        <w:t xml:space="preserve"> </w:t>
      </w:r>
      <w:r>
        <w:t xml:space="preserve">advanced materials or substitutes (73%, 63/86). Nearly two-thirds (65%, 51/79) considered it</w:t>
      </w:r>
      <w:r>
        <w:t xml:space="preserve"> </w:t>
      </w:r>
      <w:r>
        <w:t xml:space="preserve">useful to introduce protective measures for the Union’s semiconductor sector in the event of a</w:t>
      </w:r>
      <w:r>
        <w:t xml:space="preserve"> </w:t>
      </w:r>
      <w:r>
        <w:t xml:space="preserve">crisis.</w:t>
      </w:r>
      <w:r>
        <w:t xml:space="preserve"> </w:t>
      </w:r>
      <w:r>
        <w:t xml:space="preserve">Communication effectiveness was assessed positively overall. A large majority (86%, 77/89)</w:t>
      </w:r>
      <w:r>
        <w:t xml:space="preserve"> </w:t>
      </w:r>
      <w:r>
        <w:t xml:space="preserve">indicated that the implementation of the Chips Act has been communicated at least adequately</w:t>
      </w:r>
      <w:r>
        <w:t xml:space="preserve"> </w:t>
      </w:r>
      <w:r>
        <w:t xml:space="preserve">within their relevant Member States, with broadly consistent views across stakeholder groups.</w:t>
      </w:r>
    </w:p>
    <w:p>
      <w:pPr>
        <w:pStyle w:val="BodyText"/>
      </w:pPr>
      <w:r>
        <w:t xml:space="preserve">12</w:t>
      </w:r>
      <w:r>
        <w:t xml:space="preserve"> </w:t>
      </w:r>
      <w:r>
        <w:t xml:space="preserve">4.2.</w:t>
      </w:r>
      <w:r>
        <w:t xml:space="preserve"> </w:t>
      </w:r>
      <w:r>
        <w:t xml:space="preserve">Efficiency</w:t>
      </w:r>
      <w:r>
        <w:t xml:space="preserve"> </w:t>
      </w:r>
      <w:r>
        <w:t xml:space="preserve">Experiences with implementation mechanisms varied considerably across stakeholder</w:t>
      </w:r>
      <w:r>
        <w:t xml:space="preserve"> </w:t>
      </w:r>
      <w:r>
        <w:t xml:space="preserve">groups. Among fabless companies who engaged with EU-level initiatives, perceptions were</w:t>
      </w:r>
      <w:r>
        <w:t xml:space="preserve"> </w:t>
      </w:r>
      <w:r>
        <w:t xml:space="preserve">mixed, with equal shares finding them not effective or somewhat effective (each 33%, 3/9).</w:t>
      </w:r>
      <w:r>
        <w:t xml:space="preserve"> </w:t>
      </w:r>
      <w:r>
        <w:t xml:space="preserve">Among RTOs, 67% (6/9) reported having been part of one of the five pilot line projects under</w:t>
      </w:r>
      <w:r>
        <w:t xml:space="preserve"> </w:t>
      </w:r>
      <w:r>
        <w:t xml:space="preserve">Pillar I. Most foundry and integrated device manufacturers rated their experience with the first-</w:t>
      </w:r>
      <w:r>
        <w:t xml:space="preserve"> </w:t>
      </w:r>
      <w:r>
        <w:t xml:space="preserve">of-a-kind framework under Pillar II as neutral or satisfactory (each 44%, 4/9), though two-thirds</w:t>
      </w:r>
      <w:r>
        <w:t xml:space="preserve"> </w:t>
      </w:r>
      <w:r>
        <w:t xml:space="preserve">(67%, 6/9) had not applied for integrated production facility or Open EU foundry status.</w:t>
      </w:r>
      <w:r>
        <w:t xml:space="preserve"> </w:t>
      </w:r>
      <w:r>
        <w:t xml:space="preserve">Position papers and answers to open-ended questions provide further insight into the challenges</w:t>
      </w:r>
      <w:r>
        <w:t xml:space="preserve"> </w:t>
      </w:r>
      <w:r>
        <w:t xml:space="preserve">underlying these mixed experiences. A consistent finding across stakeholder groups is concern</w:t>
      </w:r>
      <w:r>
        <w:t xml:space="preserve"> </w:t>
      </w:r>
      <w:r>
        <w:t xml:space="preserve">about procedural complexity and slow timelines. Stakeholders identify state aid approval</w:t>
      </w:r>
      <w:r>
        <w:t xml:space="preserve"> </w:t>
      </w:r>
      <w:r>
        <w:t xml:space="preserve">delays, IPCEI and FOAK process complexity, administrative burden, and inconsistent pilot line</w:t>
      </w:r>
      <w:r>
        <w:t xml:space="preserve"> </w:t>
      </w:r>
      <w:r>
        <w:t xml:space="preserve">access conditions as key efficiency barriers. The length of state aid approval processes is the</w:t>
      </w:r>
      <w:r>
        <w:t xml:space="preserve"> </w:t>
      </w:r>
      <w:r>
        <w:t xml:space="preserve">most prominent concern, with stakeholders noting that timelines of up to two years from</w:t>
      </w:r>
      <w:r>
        <w:t xml:space="preserve"> </w:t>
      </w:r>
      <w:r>
        <w:t xml:space="preserve">submission to grant notification create uncertainty and represent a competitive disadvantage</w:t>
      </w:r>
      <w:r>
        <w:t xml:space="preserve"> </w:t>
      </w:r>
      <w:r>
        <w:t xml:space="preserve">relative to other semiconductor-producing regions. IPCEI is recognised as a valuable instrument,</w:t>
      </w:r>
      <w:r>
        <w:t xml:space="preserve"> </w:t>
      </w:r>
      <w:r>
        <w:t xml:space="preserve">though its efficiency is seen as constrained by approval timelines, administrative complexity, and</w:t>
      </w:r>
      <w:r>
        <w:t xml:space="preserve"> </w:t>
      </w:r>
      <w:r>
        <w:t xml:space="preserve">funding rates that are perceived as less competitive compared to global counterparts.</w:t>
      </w:r>
      <w:r>
        <w:t xml:space="preserve"> </w:t>
      </w:r>
      <w:r>
        <w:t xml:space="preserve">Respondents also noted that Member States retain primary authority over planning and licensing</w:t>
      </w:r>
      <w:r>
        <w:t xml:space="preserve"> </w:t>
      </w:r>
      <w:r>
        <w:t xml:space="preserve">processes, which can affect permit timelines.</w:t>
      </w:r>
      <w:r>
        <w:t xml:space="preserve"> </w:t>
      </w:r>
      <w:r>
        <w:t xml:space="preserve">Public authority involvement in supporting semiconductor development varies across</w:t>
      </w:r>
      <w:r>
        <w:t xml:space="preserve"> </w:t>
      </w:r>
      <w:r>
        <w:t xml:space="preserve">functions. Among authority respondents, 67% (6/9) indicated they provide specific incentives to</w:t>
      </w:r>
      <w:r>
        <w:t xml:space="preserve"> </w:t>
      </w:r>
      <w:r>
        <w:t xml:space="preserve">the semiconductor value chain, while 44% (4/9) have been involved in facilitating first-of-a-kind</w:t>
      </w:r>
      <w:r>
        <w:t xml:space="preserve"> </w:t>
      </w:r>
      <w:r>
        <w:t xml:space="preserve">facility investments. Two-thirds (67%, 6/9) reported that their authority has developed a</w:t>
      </w:r>
      <w:r>
        <w:t xml:space="preserve"> </w:t>
      </w:r>
      <w:r>
        <w:t xml:space="preserve">semiconductor strategy at national, regional, or local level. All authorities expressed interest in</w:t>
      </w:r>
      <w:r>
        <w:t xml:space="preserve"> </w:t>
      </w:r>
      <w:r>
        <w:t xml:space="preserve">supporting strategic projects in line with the Commission’s proposal for a European</w:t>
      </w:r>
      <w:r>
        <w:t xml:space="preserve"> </w:t>
      </w:r>
      <w:r>
        <w:t xml:space="preserve">Competitiveness Fund.</w:t>
      </w:r>
      <w:r>
        <w:t xml:space="preserve"> </w:t>
      </w:r>
      <w:r>
        <w:t xml:space="preserve">Regarding coordination and financing, three quarters of respondents (75%, 64/85) indicated</w:t>
      </w:r>
      <w:r>
        <w:t xml:space="preserve"> </w:t>
      </w:r>
      <w:r>
        <w:t xml:space="preserve">that strategic project selection and set-up should be coordinated at EU level, with strong cross-</w:t>
      </w:r>
      <w:r>
        <w:t xml:space="preserve"> </w:t>
      </w:r>
      <w:r>
        <w:t xml:space="preserve">stakeholder consensus. A large majority of all respondents (87%, 74/85) favoured financing</w:t>
      </w:r>
      <w:r>
        <w:t xml:space="preserve"> </w:t>
      </w:r>
      <w:r>
        <w:t xml:space="preserve">through a combination of funding sources. In their open-text responses, several respondents</w:t>
      </w:r>
      <w:r>
        <w:t xml:space="preserve"> </w:t>
      </w:r>
      <w:r>
        <w:t xml:space="preserve">representing RTOs/designers highlighted the need to align support with market demand, noting</w:t>
      </w:r>
      <w:r>
        <w:t xml:space="preserve"> </w:t>
      </w:r>
      <w:r>
        <w:t xml:space="preserve">that EU awards alone may not guarantee commercial viability. In terms of beneficial incentives</w:t>
      </w:r>
      <w:r>
        <w:t xml:space="preserve"> </w:t>
      </w:r>
      <w:r>
        <w:t xml:space="preserve">for companies, end-user industry respondents particularly favoured financial support for R&amp;D</w:t>
      </w:r>
      <w:r>
        <w:t xml:space="preserve"> </w:t>
      </w:r>
      <w:r>
        <w:t xml:space="preserve">(89%, 8/9), subsidies for building manufacturing facilities (89%, 8/9), and tax incentives for chip</w:t>
      </w:r>
      <w:r>
        <w:t xml:space="preserve"> </w:t>
      </w:r>
      <w:r>
        <w:t xml:space="preserve">production and usage (78%, 7/9).</w:t>
      </w:r>
      <w:r>
        <w:t xml:space="preserve"> </w:t>
      </w:r>
      <w:r>
        <w:t xml:space="preserve">4.3.</w:t>
      </w:r>
      <w:r>
        <w:t xml:space="preserve"> </w:t>
      </w:r>
      <w:r>
        <w:t xml:space="preserve">Coherence</w:t>
      </w:r>
      <w:r>
        <w:t xml:space="preserve"> </w:t>
      </w:r>
      <w:r>
        <w:t xml:space="preserve">A large majority of respondents (86%, 58/67) reported that the Chips Act has contributed to</w:t>
      </w:r>
      <w:r>
        <w:t xml:space="preserve"> </w:t>
      </w:r>
      <w:r>
        <w:t xml:space="preserve">improving governance and coordination between national and regional authorities, with 9%</w:t>
      </w:r>
      <w:r>
        <w:t xml:space="preserve"> </w:t>
      </w:r>
      <w:r>
        <w:t xml:space="preserve">(6/67) indicating it contributed very well, 16% (11/67) well, and 61% (41/67) adequately. The</w:t>
      </w:r>
      <w:r>
        <w:t xml:space="preserve"> </w:t>
      </w:r>
      <w:r>
        <w:t xml:space="preserve">strongest positive views came from authorities and RTOs/designers, while end users showed</w:t>
      </w:r>
      <w:r>
        <w:t xml:space="preserve"> </w:t>
      </w:r>
      <w:r>
        <w:t xml:space="preserve">more mixed views. Position papers and open-ended responses indicate scope for further</w:t>
      </w:r>
      <w:r>
        <w:t xml:space="preserve"> </w:t>
      </w:r>
      <w:r>
        <w:t xml:space="preserve">strengthening governance arrangements, including through more structured industry involvement</w:t>
      </w:r>
      <w:r>
        <w:t xml:space="preserve"> </w:t>
      </w:r>
      <w:r>
        <w:t xml:space="preserve">in decision-making processes.</w:t>
      </w:r>
    </w:p>
    <w:p>
      <w:pPr>
        <w:pStyle w:val="BodyText"/>
      </w:pPr>
      <w:r>
        <w:t xml:space="preserve">13</w:t>
      </w:r>
      <w:r>
        <w:t xml:space="preserve"> </w:t>
      </w:r>
      <w:r>
        <w:t xml:space="preserve">The most prominent internal coherence concern identified in position papers is the relationship</w:t>
      </w:r>
      <w:r>
        <w:t xml:space="preserve"> </w:t>
      </w:r>
      <w:r>
        <w:t xml:space="preserve">between research and innovation activities under Pillar I and manufacturing capacity under Pillar</w:t>
      </w:r>
      <w:r>
        <w:t xml:space="preserve"> </w:t>
      </w:r>
      <w:r>
        <w:t xml:space="preserve">II. Stakeholders argue that innovation delivers greater value when supported by clear pathways</w:t>
      </w:r>
      <w:r>
        <w:t xml:space="preserve"> </w:t>
      </w:r>
      <w:r>
        <w:t xml:space="preserve">to industrial-scale production. As DIGITALEUROPE noted, “Pillar 1 and Pillar 2 […] must be</w:t>
      </w:r>
      <w:r>
        <w:t xml:space="preserve"> </w:t>
      </w:r>
      <w:r>
        <w:t xml:space="preserve">more closely integrated. Innovation generated in Pillar 1 only delivers real value when it</w:t>
      </w:r>
      <w:r>
        <w:t xml:space="preserve"> </w:t>
      </w:r>
      <w:r>
        <w:t xml:space="preserve">transitions into industrial-scale manufacturing under Pillar 2”, a view echoed by other business</w:t>
      </w:r>
      <w:r>
        <w:t xml:space="preserve"> </w:t>
      </w:r>
      <w:r>
        <w:t xml:space="preserve">associations such as Eurochambres and ESIA. Beyond internal coherence, respondents call for</w:t>
      </w:r>
      <w:r>
        <w:t xml:space="preserve"> </w:t>
      </w:r>
      <w:r>
        <w:t xml:space="preserve">stronger alignment between the Chips Act and adjacent EU policy instruments, including the</w:t>
      </w:r>
      <w:r>
        <w:t xml:space="preserve"> </w:t>
      </w:r>
      <w:r>
        <w:t xml:space="preserve">Quantum Act, Advanced Materials Act, EuroHPC, and EDIP, to ensure complementarity across</w:t>
      </w:r>
      <w:r>
        <w:t xml:space="preserve"> </w:t>
      </w:r>
      <w:r>
        <w:t xml:space="preserve">policy domains. Stakeholders also identify a need for enhanced coordination across EU, national,</w:t>
      </w:r>
      <w:r>
        <w:t xml:space="preserve"> </w:t>
      </w:r>
      <w:r>
        <w:t xml:space="preserve">and regional governance levels, with regional stakeholders emphasising that success depends on</w:t>
      </w:r>
      <w:r>
        <w:t xml:space="preserve"> </w:t>
      </w:r>
      <w:r>
        <w:t xml:space="preserve">research, companies, pilot lines, centres of excellence, and public policy working closely</w:t>
      </w:r>
      <w:r>
        <w:t xml:space="preserve"> </w:t>
      </w:r>
      <w:r>
        <w:t xml:space="preserve">together.</w:t>
      </w:r>
    </w:p>
    <w:p>
      <w:pPr>
        <w:pStyle w:val="BodyText"/>
      </w:pPr>
      <w:r>
        <w:t xml:space="preserve">Figure 4. Impact on governance and coordination</w:t>
      </w:r>
      <w:r>
        <w:t xml:space="preserve"> </w:t>
      </w:r>
      <w:r>
        <w:t xml:space="preserve">Source: Consolidated public consultation of the review of the Chips Act, September-November 2025, Question 31.</w:t>
      </w:r>
      <w:r>
        <w:t xml:space="preserve"> </w:t>
      </w:r>
      <w:r>
        <w:t xml:space="preserve">Regarding sustainability, the majority of respondents (71%, 47/66) reported that their</w:t>
      </w:r>
      <w:r>
        <w:t xml:space="preserve"> </w:t>
      </w:r>
      <w:r>
        <w:t xml:space="preserve">organisation has sustainable practices or policies in place for the semiconductor sector. Supply-</w:t>
      </w:r>
      <w:r>
        <w:t xml:space="preserve"> </w:t>
      </w:r>
      <w:r>
        <w:t xml:space="preserve">chain actors showed the strongest uptake (85%, 17/20), while civil society/economic</w:t>
      </w:r>
      <w:r>
        <w:t xml:space="preserve"> </w:t>
      </w:r>
      <w:r>
        <w:t xml:space="preserve">stakeholders (60%, 12/20) and RTOs/designers (56%, 5/9) showed more varied adoption.</w:t>
      </w:r>
      <w:r>
        <w:t xml:space="preserve"> </w:t>
      </w:r>
      <w:r>
        <w:t xml:space="preserve">Among civil society and economic stakeholders, raw materials extraction was the most widely</w:t>
      </w:r>
      <w:r>
        <w:t xml:space="preserve"> </w:t>
      </w:r>
      <w:r>
        <w:t xml:space="preserve">shared environmental concern (75%, 6/8), followed by high energy consumption, lifecycle</w:t>
      </w:r>
      <w:r>
        <w:t xml:space="preserve"> </w:t>
      </w:r>
      <w:r>
        <w:t xml:space="preserve">assessment capabilities, and water usage. When prioritising concerns related to chips and</w:t>
      </w:r>
      <w:r>
        <w:t xml:space="preserve"> </w:t>
      </w:r>
      <w:r>
        <w:t xml:space="preserve">electronic components, high energy consumption emerged as the top issue (86%, 6/7). In</w:t>
      </w:r>
      <w:r>
        <w:t xml:space="preserve"> </w:t>
      </w:r>
      <w:r>
        <w:t xml:space="preserve">position papers and open-ended questions, some respondents noted potential tensions between</w:t>
      </w:r>
      <w:r>
        <w:t xml:space="preserve"> </w:t>
      </w:r>
      <w:r>
        <w:t xml:space="preserve">environmental regulations and manufacturing requirements, while others observed that</w:t>
      </w:r>
      <w:r>
        <w:t xml:space="preserve"> </w:t>
      </w:r>
      <w:r>
        <w:t xml:space="preserve">sustainability considerations are sometimes deprioritised relative to performance improvements</w:t>
      </w:r>
      <w:r>
        <w:t xml:space="preserve"> </w:t>
      </w:r>
      <w:r>
        <w:t xml:space="preserve">and that incentives may need to target both new and existing equipment. Among business</w:t>
      </w:r>
      <w:r>
        <w:t xml:space="preserve"> </w:t>
      </w:r>
      <w:r>
        <w:t xml:space="preserve">associations, the most frequently cited actions to promote sustainable practices were incentives</w:t>
      </w:r>
      <w:r>
        <w:t xml:space="preserve"> </w:t>
      </w:r>
      <w:r>
        <w:t xml:space="preserve">for green manufacturing and R&amp;D funding for eco-friendly technologies (both 85%, 11/13).</w:t>
      </w:r>
      <w:r>
        <w:t xml:space="preserve"> </w:t>
      </w:r>
      <w:r>
        <w:t xml:space="preserve">4.4.</w:t>
      </w:r>
      <w:r>
        <w:t xml:space="preserve"> </w:t>
      </w:r>
      <w:r>
        <w:t xml:space="preserve">EU added value</w:t>
      </w:r>
      <w:r>
        <w:t xml:space="preserve"> </w:t>
      </w:r>
      <w:r>
        <w:t xml:space="preserve">Position papers show strong consensus that EU-level action provides irreplaceable value</w:t>
      </w:r>
      <w:r>
        <w:t xml:space="preserve"> </w:t>
      </w:r>
      <w:r>
        <w:t xml:space="preserve">through coordination mechanisms that should be further strengthened. Stakeholders</w:t>
      </w:r>
      <w:r>
        <w:t xml:space="preserve"> </w:t>
      </w:r>
      <w:r>
        <w:t xml:space="preserve">support a centralised EU-level strategic framework and significant EU budgetary contributions</w:t>
      </w:r>
      <w:r>
        <w:t xml:space="preserve"> </w:t>
      </w:r>
      <w:r>
        <w:t xml:space="preserve">that complement Member State funding. Respondents frame EU coordination as essential for</w:t>
      </w:r>
      <w:r>
        <w:t xml:space="preserve"> </w:t>
      </w:r>
      <w:r>
        <w:t xml:space="preserve">European semiconductor competitiveness, emphasising that it helps minimise fragmentation and</w:t>
      </w:r>
      <w:r>
        <w:t xml:space="preserve"> </w:t>
      </w:r>
      <w:r>
        <w:t xml:space="preserve">enables scale effects that no individual Member State could achieve alone. In response to open-</w:t>
      </w:r>
      <w:r>
        <w:t xml:space="preserve"> </w:t>
      </w:r>
      <w:r>
        <w:t xml:space="preserve">ended questions, authority representatives recommended the European Semiconductor Board as</w:t>
      </w:r>
    </w:p>
    <w:p>
      <w:pPr>
        <w:pStyle w:val="BodyText"/>
      </w:pPr>
      <w:r>
        <w:t xml:space="preserve">14</w:t>
      </w:r>
      <w:r>
        <w:t xml:space="preserve"> </w:t>
      </w:r>
      <w:r>
        <w:t xml:space="preserve">the primary coordination platform, with investments planned according to European priorities</w:t>
      </w:r>
      <w:r>
        <w:t xml:space="preserve"> </w:t>
      </w:r>
      <w:r>
        <w:t xml:space="preserve">and demand to ensure resilient supply chains.</w:t>
      </w:r>
      <w:r>
        <w:t xml:space="preserve"> </w:t>
      </w:r>
      <w:r>
        <w:t xml:space="preserve">Views on extending information mandates showed no unanimous position across</w:t>
      </w:r>
      <w:r>
        <w:t xml:space="preserve"> </w:t>
      </w:r>
      <w:r>
        <w:t xml:space="preserve">stakeholder groups. Almost half of respondents (47%, 40/85) supported giving the European</w:t>
      </w:r>
      <w:r>
        <w:t xml:space="preserve"> </w:t>
      </w:r>
      <w:r>
        <w:t xml:space="preserve">Commission or National Competent Authorities a mandate to request information from</w:t>
      </w:r>
      <w:r>
        <w:t xml:space="preserve"> </w:t>
      </w:r>
      <w:r>
        <w:t xml:space="preserve">companies along the semiconductor supply chain to prevent future disruptions, with a similar</w:t>
      </w:r>
      <w:r>
        <w:t xml:space="preserve"> </w:t>
      </w:r>
      <w:r>
        <w:t xml:space="preserve">share (47%, 40/86) supporting mandates to address potential vulnerabilities such as</w:t>
      </w:r>
      <w:r>
        <w:t xml:space="preserve"> </w:t>
      </w:r>
      <w:r>
        <w:t xml:space="preserve">overcapacities or dependencies.</w:t>
      </w:r>
      <w:r>
        <w:t xml:space="preserve"> </w:t>
      </w:r>
      <w:r>
        <w:t xml:space="preserve">International cooperation received strong support across all stakeholder groups.</w:t>
      </w:r>
      <w:r>
        <w:t xml:space="preserve"> </w:t>
      </w:r>
      <w:r>
        <w:t xml:space="preserve">Collaborative R&amp;D and innovation was the most widely supported action area, consistently</w:t>
      </w:r>
      <w:r>
        <w:t xml:space="preserve"> </w:t>
      </w:r>
      <w:r>
        <w:t xml:space="preserve">ranking at or near the top for every group, while supply chain diversification and security of</w:t>
      </w:r>
      <w:r>
        <w:t xml:space="preserve"> </w:t>
      </w:r>
      <w:r>
        <w:t xml:space="preserve">supply was another cross-cutting priority. Position papers similarly call for strengthened</w:t>
      </w:r>
      <w:r>
        <w:t xml:space="preserve"> </w:t>
      </w:r>
      <w:r>
        <w:t xml:space="preserve">international partnerships with key semiconductor-producing nations, proposing more formalised</w:t>
      </w:r>
      <w:r>
        <w:t xml:space="preserve"> </w:t>
      </w:r>
      <w:r>
        <w:t xml:space="preserve">cooperation mechanisms and risk-based frameworks.</w:t>
      </w:r>
    </w:p>
    <w:p>
      <w:pPr>
        <w:pStyle w:val="BodyText"/>
      </w:pPr>
      <w:r>
        <w:t xml:space="preserve">Figure 5. International cooperation actions</w:t>
      </w:r>
      <w:r>
        <w:t xml:space="preserve"> </w:t>
      </w:r>
      <w:r>
        <w:t xml:space="preserve">Source: Consolidated public consultation of the review of the Chips Act, September-November 2025, Question 63.</w:t>
      </w:r>
      <w:r>
        <w:br/>
      </w:r>
      <w:r>
        <w:t xml:space="preserve">All end-user industry representatives (8/8) indicated that the EU should focus on facilitating</w:t>
      </w:r>
      <w:r>
        <w:t xml:space="preserve"> </w:t>
      </w:r>
      <w:r>
        <w:t xml:space="preserve">technology exchange in its global semiconductor partnerships, with 88% (7/8) highlighting the</w:t>
      </w:r>
      <w:r>
        <w:t xml:space="preserve"> </w:t>
      </w:r>
      <w:r>
        <w:t xml:space="preserve">importance of building strategic alliances with global leaders, while 75% (6/8) saw value in</w:t>
      </w:r>
      <w:r>
        <w:t xml:space="preserve"> </w:t>
      </w:r>
      <w:r>
        <w:t xml:space="preserve">leading research initiatives. All public authorities (9/9) indicated that they engage in bilateral or</w:t>
      </w:r>
      <w:r>
        <w:t xml:space="preserve"> </w:t>
      </w:r>
      <w:r>
        <w:t xml:space="preserve">multilateral cooperation with third countries in the field of semiconductors, covering areas such</w:t>
      </w:r>
      <w:r>
        <w:t xml:space="preserve"> </w:t>
      </w:r>
      <w:r>
        <w:t xml:space="preserve">as R&amp;D, industrial development, and investment. Among education institutions, half (2/4)</w:t>
      </w:r>
      <w:r>
        <w:t xml:space="preserve"> </w:t>
      </w:r>
      <w:r>
        <w:t xml:space="preserve">indicated that the Chips Act incentivised companies to collaborate with European education</w:t>
      </w:r>
      <w:r>
        <w:t xml:space="preserve"> </w:t>
      </w:r>
      <w:r>
        <w:t xml:space="preserve">institutions and align curricula with labour market needs.</w:t>
      </w:r>
      <w:r>
        <w:t xml:space="preserve"> </w:t>
      </w:r>
      <w:r>
        <w:t xml:space="preserve">4.5.</w:t>
      </w:r>
      <w:r>
        <w:t xml:space="preserve"> </w:t>
      </w:r>
      <w:r>
        <w:t xml:space="preserve">Relevance</w:t>
      </w:r>
      <w:r>
        <w:t xml:space="preserve"> </w:t>
      </w:r>
      <w:r>
        <w:t xml:space="preserve">Views on framework adequacy were mixed. One quarter of respondents (25%, 23/94) agreed</w:t>
      </w:r>
      <w:r>
        <w:t xml:space="preserve"> </w:t>
      </w:r>
      <w:r>
        <w:t xml:space="preserve">that the current Chips Act framework provides a sufficiently robust approach to address Europe’s</w:t>
      </w:r>
      <w:r>
        <w:t xml:space="preserve"> </w:t>
      </w:r>
      <w:r>
        <w:t xml:space="preserve">supply-side vulnerabilities, while almost half (44%, 41/94) disagreed and one-third (32%, 30/94)</w:t>
      </w:r>
      <w:r>
        <w:t xml:space="preserve"> </w:t>
      </w:r>
      <w:r>
        <w:t xml:space="preserve">expressed a neutral view. RTOs/designers showed the strongest support (62%, 10/16), whereas</w:t>
      </w:r>
      <w:r>
        <w:t xml:space="preserve"> </w:t>
      </w:r>
      <w:r>
        <w:t xml:space="preserve">supply-chain respondents were more cautious, with 56% (14/25) disagreeing. Among authorities,</w:t>
      </w:r>
      <w:r>
        <w:t xml:space="preserve"> </w:t>
      </w:r>
      <w:r>
        <w:t xml:space="preserve">none agreed with the statement, with responses split between neutrality (67%, 6/9) and</w:t>
      </w:r>
      <w:r>
        <w:t xml:space="preserve"> </w:t>
      </w:r>
      <w:r>
        <w:t xml:space="preserve">disagreement (33%, 3/9).</w:t>
      </w:r>
    </w:p>
    <w:p>
      <w:pPr>
        <w:pStyle w:val="BodyText"/>
      </w:pPr>
      <w:r>
        <w:t xml:space="preserve">15</w:t>
      </w:r>
      <w:r>
        <w:t xml:space="preserve"> </w:t>
      </w:r>
      <w:r>
        <w:t xml:space="preserve">Position papers provide further insight into these reservations. A frequently cited concern is that</w:t>
      </w:r>
      <w:r>
        <w:t xml:space="preserve"> </w:t>
      </w:r>
      <w:r>
        <w:t xml:space="preserve">the Act’s scope places too much emphasis on production capacity targets over alignment</w:t>
      </w:r>
      <w:r>
        <w:t xml:space="preserve"> </w:t>
      </w:r>
      <w:r>
        <w:t xml:space="preserve">with European industrial needs. As ASML emphasises, “A successful approach to the Chips</w:t>
      </w:r>
      <w:r>
        <w:t xml:space="preserve"> </w:t>
      </w:r>
      <w:r>
        <w:t xml:space="preserve">Act review must not only help develop production capabilities but, more fundamentally, it must</w:t>
      </w:r>
      <w:r>
        <w:t xml:space="preserve"> </w:t>
      </w:r>
      <w:r>
        <w:t xml:space="preserve">create the framework conditions for industry to create […] an end market for more</w:t>
      </w:r>
      <w:r>
        <w:t xml:space="preserve"> </w:t>
      </w:r>
      <w:r>
        <w:t xml:space="preserve">semiconductors ‘made in the EU’.” Respondents also note that the Act focuses predominantly on</w:t>
      </w:r>
      <w:r>
        <w:t xml:space="preserve"> </w:t>
      </w:r>
      <w:r>
        <w:t xml:space="preserve">front-end chip manufacturing while giving insufficient attention to adjacent value chain</w:t>
      </w:r>
      <w:r>
        <w:t xml:space="preserve"> </w:t>
      </w:r>
      <w:r>
        <w:t xml:space="preserve">segments, particularly printed circuit boards, packaging, and back-end processes. Design</w:t>
      </w:r>
      <w:r>
        <w:t xml:space="preserve"> </w:t>
      </w:r>
      <w:r>
        <w:t xml:space="preserve">capabilities emerge as a prominent theme, with stakeholders arguing that the production-centric</w:t>
      </w:r>
      <w:r>
        <w:t xml:space="preserve"> </w:t>
      </w:r>
      <w:r>
        <w:t xml:space="preserve">approach does not sufficiently recognise the role of chip design in European value creation.</w:t>
      </w:r>
      <w:r>
        <w:t xml:space="preserve"> </w:t>
      </w:r>
      <w:r>
        <w:t xml:space="preserve">Position papers also highlight a disconnect between Chips Act priorities and the needs of key</w:t>
      </w:r>
      <w:r>
        <w:t xml:space="preserve"> </w:t>
      </w:r>
      <w:r>
        <w:t xml:space="preserve">European user industries, particularly automotive, aerospace, defence, and industrial sectors, as</w:t>
      </w:r>
      <w:r>
        <w:t xml:space="preserve"> </w:t>
      </w:r>
      <w:r>
        <w:t xml:space="preserve">well as emerging technology domains such as quantum, photonics, and AI chips.</w:t>
      </w:r>
      <w:r>
        <w:t xml:space="preserve"> </w:t>
      </w:r>
      <w:r>
        <w:t xml:space="preserve">Among supply-chain respondents, key factors when selecting a location for semiconductor-</w:t>
      </w:r>
      <w:r>
        <w:t xml:space="preserve"> </w:t>
      </w:r>
      <w:r>
        <w:t xml:space="preserve">related facilities relate to funding access, administrative ease, and skill availability. Speed</w:t>
      </w:r>
      <w:r>
        <w:t xml:space="preserve"> </w:t>
      </w:r>
      <w:r>
        <w:t xml:space="preserve">and ease of access to public funding was rated very important by 88% (15/17), while clarity of</w:t>
      </w:r>
      <w:r>
        <w:t xml:space="preserve"> </w:t>
      </w:r>
      <w:r>
        <w:t xml:space="preserve">administrative processes and predictability of funding were similarly emphasised. The most</w:t>
      </w:r>
      <w:r>
        <w:t xml:space="preserve"> </w:t>
      </w:r>
      <w:r>
        <w:t xml:space="preserve">frequently identified barriers to developing an EU AI chip value chain were lack of</w:t>
      </w:r>
      <w:r>
        <w:t xml:space="preserve"> </w:t>
      </w:r>
      <w:r>
        <w:t xml:space="preserve">manufacturing capability (59%, 55/93), lack of investment instruments (57%, 53/93), skilled</w:t>
      </w:r>
      <w:r>
        <w:t xml:space="preserve"> </w:t>
      </w:r>
      <w:r>
        <w:t xml:space="preserve">workforce shortages (55%, 51/93), and low domestic demand from hyperscalers or AI</w:t>
      </w:r>
      <w:r>
        <w:t xml:space="preserve"> </w:t>
      </w:r>
      <w:r>
        <w:t xml:space="preserve">companies (55%, 51/93). Views varied across stakeholder groups.</w:t>
      </w:r>
    </w:p>
    <w:p>
      <w:pPr>
        <w:pStyle w:val="BodyText"/>
      </w:pPr>
      <w:r>
        <w:t xml:space="preserve">Figure 6. Barriers to AI chip value chain development</w:t>
      </w:r>
      <w:r>
        <w:t xml:space="preserve"> </w:t>
      </w:r>
      <w:r>
        <w:t xml:space="preserve">Source: Consolidated public consultation of the review of the Chips Act, September-November 2025, Question 42.</w:t>
      </w:r>
      <w:r>
        <w:br/>
      </w:r>
      <w:r>
        <w:t xml:space="preserve">Specific obstacles varied by stakeholder type. Fabless companies identified limited access to</w:t>
      </w:r>
      <w:r>
        <w:t xml:space="preserve"> </w:t>
      </w:r>
      <w:r>
        <w:t xml:space="preserve">venture capital and risk finance as the most critical obstacle (78%, 7/9), followed by high cost or</w:t>
      </w:r>
      <w:r>
        <w:t xml:space="preserve"> </w:t>
      </w:r>
      <w:r>
        <w:t xml:space="preserve">limited availability of EDA tools and IP blocks (67%, 6/9). Supply-chain respondents</w:t>
      </w:r>
      <w:r>
        <w:t xml:space="preserve"> </w:t>
      </w:r>
      <w:r>
        <w:t xml:space="preserve">highlighted complex or lengthy permitting procedures and energy costs (each 88%, 15/16).</w:t>
      </w:r>
      <w:r>
        <w:t xml:space="preserve"> </w:t>
      </w:r>
      <w:r>
        <w:t xml:space="preserve">Public authorities unanimously identified access to financing or aid as a key challenge (9/9) to</w:t>
      </w:r>
      <w:r>
        <w:t xml:space="preserve"> </w:t>
      </w:r>
      <w:r>
        <w:t xml:space="preserve">attracting large-scale semiconductor production projects to their region or country, with 78%</w:t>
      </w:r>
      <w:r>
        <w:t xml:space="preserve"> </w:t>
      </w:r>
      <w:r>
        <w:t xml:space="preserve">(7/9) also highlighting skilled labour availability. When asked in open-ended questions what</w:t>
      </w:r>
      <w:r>
        <w:t xml:space="preserve"> </w:t>
      </w:r>
      <w:r>
        <w:t xml:space="preserve">measures could mitigate these obstacles, end users emphasised the importance of continuous,</w:t>
      </w:r>
      <w:r>
        <w:t xml:space="preserve"> </w:t>
      </w:r>
      <w:r>
        <w:t xml:space="preserve">proactive Commission dialogue, real-time trade restriction monitoring, early crisis engagement,</w:t>
      </w:r>
      <w:r>
        <w:t xml:space="preserve"> </w:t>
      </w:r>
      <w:r>
        <w:t xml:space="preserve">and complete value chain resilience, extending beyond chip manufacturing. RTOs/designers</w:t>
      </w:r>
      <w:r>
        <w:t xml:space="preserve"> </w:t>
      </w:r>
      <w:r>
        <w:t xml:space="preserve">highlighted EU-level supply observatories with real-time component data and shared strategic</w:t>
      </w:r>
      <w:r>
        <w:t xml:space="preserve"> </w:t>
      </w:r>
      <w:r>
        <w:t xml:space="preserve">reserves for research components. Supply chain stakeholders called for coordinated EU-wide</w:t>
      </w:r>
    </w:p>
    <w:p>
      <w:pPr>
        <w:pStyle w:val="BodyText"/>
      </w:pPr>
      <w:r>
        <w:t xml:space="preserve">16</w:t>
      </w:r>
      <w:r>
        <w:t xml:space="preserve"> </w:t>
      </w:r>
      <w:r>
        <w:t xml:space="preserve">early-warning systems, harmonised export rules and chips diplomacy with like-minded</w:t>
      </w:r>
      <w:r>
        <w:t xml:space="preserve"> </w:t>
      </w:r>
      <w:r>
        <w:t xml:space="preserve">countries.</w:t>
      </w:r>
      <w:r>
        <w:br/>
      </w:r>
      <w:r>
        <w:t xml:space="preserve">Regarding leadership potential, respondents most frequently identified semiconductor</w:t>
      </w:r>
      <w:r>
        <w:t xml:space="preserve"> </w:t>
      </w:r>
      <w:r>
        <w:t xml:space="preserve">manufacturing equipment as the segment where the EU has strongest potential to gain or</w:t>
      </w:r>
      <w:r>
        <w:t xml:space="preserve"> </w:t>
      </w:r>
      <w:r>
        <w:t xml:space="preserve">reinforce leadership (79%, 70/89), followed by manufacturing of mainstream chips above 28 nm</w:t>
      </w:r>
      <w:r>
        <w:t xml:space="preserve"> </w:t>
      </w:r>
      <w:r>
        <w:t xml:space="preserve">(62%, 55/89) and packaging, testing, and assembly (61%, 54/89). Fewer respondents (29%,</w:t>
      </w:r>
      <w:r>
        <w:t xml:space="preserve"> </w:t>
      </w:r>
      <w:r>
        <w:t xml:space="preserve">26/89) saw potential for leadership in advanced chip manufacturing below 10 nm. In terms of</w:t>
      </w:r>
      <w:r>
        <w:t xml:space="preserve"> </w:t>
      </w:r>
      <w:r>
        <w:t xml:space="preserve">end-user industry prioritisation, defence/aerospace received strongest support (93%, 83/90),</w:t>
      </w:r>
      <w:r>
        <w:t xml:space="preserve"> </w:t>
      </w:r>
      <w:r>
        <w:t xml:space="preserve">followed by automotive (82%, 75/92), energy (82%, 73/89), and data-centre infrastructure (79%,</w:t>
      </w:r>
      <w:r>
        <w:t xml:space="preserve"> </w:t>
      </w:r>
      <w:r>
        <w:t xml:space="preserve">73/92).</w:t>
      </w:r>
      <w:r>
        <w:t xml:space="preserve"> </w:t>
      </w:r>
      <w:r>
        <w:t xml:space="preserve">4.6.</w:t>
      </w:r>
      <w:r>
        <w:t xml:space="preserve"> </w:t>
      </w:r>
      <w:r>
        <w:t xml:space="preserve">Prospective</w:t>
      </w:r>
      <w:r>
        <w:t xml:space="preserve"> </w:t>
      </w:r>
      <w:r>
        <w:t xml:space="preserve">Respondents expressed strong and consistent support for further Union action across all</w:t>
      </w:r>
      <w:r>
        <w:t xml:space="preserve"> </w:t>
      </w:r>
      <w:r>
        <w:t xml:space="preserve">four action areas. Addressing talent shortages received the highest level of agreement, with</w:t>
      </w:r>
      <w:r>
        <w:t xml:space="preserve"> </w:t>
      </w:r>
      <w:r>
        <w:t xml:space="preserve">94% of respondents (88 out of 94) agreeing or strongly agreeing that the European</w:t>
      </w:r>
      <w:r>
        <w:t xml:space="preserve"> </w:t>
      </w:r>
      <w:r>
        <w:t xml:space="preserve">semiconductor industry faces serious talent shortages requiring investment in attraction, skilling,</w:t>
      </w:r>
      <w:r>
        <w:t xml:space="preserve"> </w:t>
      </w:r>
      <w:r>
        <w:t xml:space="preserve">reskilling, and training policies; notably, 65% (61 out of 94) strongly agreed, the highest</w:t>
      </w:r>
      <w:r>
        <w:t xml:space="preserve"> </w:t>
      </w:r>
      <w:r>
        <w:t xml:space="preserve">intensity across all statements. The need for EU-level coordination of dispersed national</w:t>
      </w:r>
      <w:r>
        <w:t xml:space="preserve"> </w:t>
      </w:r>
      <w:r>
        <w:t xml:space="preserve">strategies followed closely at 88% (83 out of 94), while lowering barriers for fabless companies</w:t>
      </w:r>
      <w:r>
        <w:t xml:space="preserve"> </w:t>
      </w:r>
      <w:r>
        <w:t xml:space="preserve">and innovative semiconductor firms received 87% agreement. Making Europe a more attractive</w:t>
      </w:r>
      <w:r>
        <w:t xml:space="preserve"> </w:t>
      </w:r>
      <w:r>
        <w:t xml:space="preserve">destination for next-generation chip manufacturing received 84% support (80 out of 95). Across</w:t>
      </w:r>
      <w:r>
        <w:t xml:space="preserve"> </w:t>
      </w:r>
      <w:r>
        <w:t xml:space="preserve">stakeholder groups, there was broad convergence on these priorities, though with variations in</w:t>
      </w:r>
      <w:r>
        <w:t xml:space="preserve"> </w:t>
      </w:r>
      <w:r>
        <w:t xml:space="preserve">intensity (see Figure 7).</w:t>
      </w:r>
    </w:p>
    <w:p>
      <w:pPr>
        <w:pStyle w:val="BodyText"/>
      </w:pPr>
      <w:r>
        <w:t xml:space="preserve">Figure 7. Areas for further Union action (sum of strongly agree + agree)</w:t>
      </w:r>
      <w:r>
        <w:t xml:space="preserve"> </w:t>
      </w:r>
      <w:r>
        <w:t xml:space="preserve">Source: Consolidated public consultation of the review of the Chips Act, September–November 2025, Question 34.</w:t>
      </w:r>
      <w:r>
        <w:t xml:space="preserve"> </w:t>
      </w:r>
      <w:r>
        <w:t xml:space="preserve">Position papers provide detailed recommendations for a potential Chips Act 2.0. The core</w:t>
      </w:r>
      <w:r>
        <w:t xml:space="preserve"> </w:t>
      </w:r>
      <w:r>
        <w:t xml:space="preserve">message is that the next phase requires strategic transformation rather than incremental</w:t>
      </w:r>
      <w:r>
        <w:t xml:space="preserve"> </w:t>
      </w:r>
      <w:r>
        <w:t xml:space="preserve">adjustment, moving from a crisis-response instrument to a comprehensive industrial strategy</w:t>
      </w:r>
      <w:r>
        <w:t xml:space="preserve"> </w:t>
      </w:r>
      <w:r>
        <w:t xml:space="preserve">aligned with European demand and competitive positioning.</w:t>
      </w:r>
      <w:r>
        <w:t xml:space="preserve"> </w:t>
      </w:r>
      <w:r>
        <w:t xml:space="preserve">Design capabilities emerge as one of the most frequently referenced priorities, particularly</w:t>
      </w:r>
      <w:r>
        <w:t xml:space="preserve"> </w:t>
      </w:r>
      <w:r>
        <w:t xml:space="preserve">among supply-chain actors, with proposals for dedicated support to the fabless sector, investment</w:t>
      </w:r>
      <w:r>
        <w:t xml:space="preserve"> </w:t>
      </w:r>
      <w:r>
        <w:t xml:space="preserve">in open-source architectures, and processor development. Stakeholders also call for targeted</w:t>
      </w:r>
    </w:p>
    <w:p>
      <w:pPr>
        <w:pStyle w:val="BodyText"/>
      </w:pPr>
      <w:r>
        <w:t xml:space="preserve">17</w:t>
      </w:r>
      <w:r>
        <w:t xml:space="preserve"> </w:t>
      </w:r>
      <w:r>
        <w:t xml:space="preserve">support for quantum computing, AI chips, and other emerging technologies. Pilot line expansion</w:t>
      </w:r>
      <w:r>
        <w:t xml:space="preserve"> </w:t>
      </w:r>
      <w:r>
        <w:t xml:space="preserve">and lab-to-fab pathways received particular emphasis from RTOs and user industries, building</w:t>
      </w:r>
      <w:r>
        <w:t xml:space="preserve"> </w:t>
      </w:r>
      <w:r>
        <w:t xml:space="preserve">on the recognised success of Pillar I activities. Stakeholders call for enhanced pilot line</w:t>
      </w:r>
      <w:r>
        <w:t xml:space="preserve"> </w:t>
      </w:r>
      <w:r>
        <w:t xml:space="preserve">infrastructure and clearer pathways from research to industrial production across different</w:t>
      </w:r>
      <w:r>
        <w:t xml:space="preserve"> </w:t>
      </w:r>
      <w:r>
        <w:t xml:space="preserve">technology readiness levels.</w:t>
      </w:r>
      <w:r>
        <w:t xml:space="preserve"> </w:t>
      </w:r>
      <w:r>
        <w:t xml:space="preserve">Scope expansion beyond front-end chip manufacturing to encompass the full electronics value</w:t>
      </w:r>
      <w:r>
        <w:t xml:space="preserve"> </w:t>
      </w:r>
      <w:r>
        <w:t xml:space="preserve">chain received strong emphasis, particularly from business associations. Respondents underlined</w:t>
      </w:r>
      <w:r>
        <w:t xml:space="preserve"> </w:t>
      </w:r>
      <w:r>
        <w:t xml:space="preserve">the need to widen the FOAK definition under Pillar II to better support the broader</w:t>
      </w:r>
      <w:r>
        <w:t xml:space="preserve"> </w:t>
      </w:r>
      <w:r>
        <w:t xml:space="preserve">semiconductor supply chain and address gaps in PCBs and back-end manufacturing.</w:t>
      </w:r>
      <w:r>
        <w:t xml:space="preserve"> </w:t>
      </w:r>
      <w:r>
        <w:t xml:space="preserve">Governance and funding reforms feature prominently across stakeholder groups. Proposals</w:t>
      </w:r>
      <w:r>
        <w:t xml:space="preserve"> </w:t>
      </w:r>
      <w:r>
        <w:t xml:space="preserve">include dedicated leadership positions, streamlined procedures through one-stop-shop</w:t>
      </w:r>
      <w:r>
        <w:t xml:space="preserve"> </w:t>
      </w:r>
      <w:r>
        <w:t xml:space="preserve">mechanisms, and strengthened dialogue between policymakers and the European electronics</w:t>
      </w:r>
      <w:r>
        <w:t xml:space="preserve"> </w:t>
      </w:r>
      <w:r>
        <w:t xml:space="preserve">ecosystem. On funding, stakeholders call for structural changes including, consolidated budgets</w:t>
      </w:r>
      <w:r>
        <w:t xml:space="preserve"> </w:t>
      </w:r>
      <w:r>
        <w:t xml:space="preserve">to ensure consistency, dedicated EU budget lines for semiconductors in the next Multiannual</w:t>
      </w:r>
      <w:r>
        <w:t xml:space="preserve"> </w:t>
      </w:r>
      <w:r>
        <w:t xml:space="preserve">Financial Framework and tax incentives to enhance investment attractiveness.</w:t>
      </w:r>
      <w:r>
        <w:t xml:space="preserve"> </w:t>
      </w:r>
      <w:r>
        <w:t xml:space="preserve">5.</w:t>
      </w:r>
      <w:r>
        <w:t xml:space="preserve"> </w:t>
      </w:r>
      <w:r>
        <w:t xml:space="preserve">SUMMARISED RESULTS OF THE CALL FOR EVIDENCE</w:t>
      </w:r>
      <w:r>
        <w:t xml:space="preserve"> </w:t>
      </w:r>
      <w:r>
        <w:t xml:space="preserve">The call for evidence was conducted in parallel with the public consultation from 5 September</w:t>
      </w:r>
      <w:r>
        <w:t xml:space="preserve"> </w:t>
      </w:r>
      <w:r>
        <w:t xml:space="preserve">2025 to 28 November 2025. Stakeholders were invited to provide open-text responses as well as</w:t>
      </w:r>
      <w:r>
        <w:t xml:space="preserve"> </w:t>
      </w:r>
      <w:r>
        <w:t xml:space="preserve">position papers. In total, 209 responses were received, including 85 position papers. All inputs</w:t>
      </w:r>
      <w:r>
        <w:t xml:space="preserve"> </w:t>
      </w:r>
      <w:r>
        <w:t xml:space="preserve">were analysed using a hybrid approach combining LLM-driven topic modelling with expert</w:t>
      </w:r>
      <w:r>
        <w:t xml:space="preserve"> </w:t>
      </w:r>
      <w:r>
        <w:t xml:space="preserve">human validation.</w:t>
      </w:r>
      <w:r>
        <w:t xml:space="preserve"> </w:t>
      </w:r>
      <w:r>
        <w:t xml:space="preserve">The public consultation was answered predominantly by organisations (87%, 181/209), with</w:t>
      </w:r>
      <w:r>
        <w:t xml:space="preserve"> </w:t>
      </w:r>
      <w:r>
        <w:t xml:space="preserve">individual citizen respondents comprising 13% (28/209). The largest stakeholder groups were</w:t>
      </w:r>
      <w:r>
        <w:t xml:space="preserve"> </w:t>
      </w:r>
      <w:r>
        <w:t xml:space="preserve">companies/businesses (32%, 66/209), academic/research institutions (26%, 55/209), and</w:t>
      </w:r>
      <w:r>
        <w:t xml:space="preserve"> </w:t>
      </w:r>
      <w:r>
        <w:t xml:space="preserve">business associations (15%, 31/209), followed by NGOs (5%, 10/209), other stakeholders</w:t>
      </w:r>
      <w:r>
        <w:t xml:space="preserve"> </w:t>
      </w:r>
      <w:r>
        <w:t xml:space="preserve">including consumer organisations and trade unions (6%, 12/209), and public authorities (3%,</w:t>
      </w:r>
      <w:r>
        <w:t xml:space="preserve"> </w:t>
      </w:r>
      <w:r>
        <w:t xml:space="preserve">7/209). Most responding organisations were large enterprises with 250 or more employees (52%,</w:t>
      </w:r>
      <w:r>
        <w:t xml:space="preserve"> </w:t>
      </w:r>
      <w:r>
        <w:t xml:space="preserve">94/181), though medium (18%, 32/181), small (16%, 29/181), and micro enterprises (14%,</w:t>
      </w:r>
      <w:r>
        <w:t xml:space="preserve"> </w:t>
      </w:r>
      <w:r>
        <w:t xml:space="preserve">26/181) were also represented.</w:t>
      </w:r>
      <w:r>
        <w:t xml:space="preserve"> </w:t>
      </w:r>
      <w:r>
        <w:t xml:space="preserve">Geographically, responses came predominantly from EU Member States (90%, 188/209), with</w:t>
      </w:r>
      <w:r>
        <w:t xml:space="preserve"> </w:t>
      </w:r>
      <w:r>
        <w:t xml:space="preserve">Germany contributing the highest number (41), followed by France (31), Belgium (21), Spain</w:t>
      </w:r>
      <w:r>
        <w:t xml:space="preserve"> </w:t>
      </w:r>
      <w:r>
        <w:t xml:space="preserve">(19), and Italy (17). Non-EU participation totalled 21 responses, primarily from Switzerland (5),</w:t>
      </w:r>
      <w:r>
        <w:t xml:space="preserve"> </w:t>
      </w:r>
      <w:r>
        <w:t xml:space="preserve">the United Kingdom (5), and the United States (4).</w:t>
      </w:r>
      <w:r>
        <w:t xml:space="preserve"> </w:t>
      </w:r>
      <w:r>
        <w:t xml:space="preserve">5.1.</w:t>
      </w:r>
      <w:r>
        <w:t xml:space="preserve"> </w:t>
      </w:r>
      <w:r>
        <w:t xml:space="preserve">Effectiveness</w:t>
      </w:r>
      <w:r>
        <w:br/>
      </w:r>
      <w:r>
        <w:t xml:space="preserve">Responses and position papers present a nuanced view of the Chips Act’s effectiveness. The Act</w:t>
      </w:r>
      <w:r>
        <w:t xml:space="preserve"> </w:t>
      </w:r>
      <w:r>
        <w:t xml:space="preserve">is widely credited with generating political attention, mobilising substantial investment, and</w:t>
      </w:r>
      <w:r>
        <w:t xml:space="preserve"> </w:t>
      </w:r>
      <w:r>
        <w:t xml:space="preserve">establishing foundational infrastructure, while stakeholders also identify areas where further</w:t>
      </w:r>
      <w:r>
        <w:t xml:space="preserve"> </w:t>
      </w:r>
      <w:r>
        <w:t xml:space="preserve">progress is needed to achieve intended targets.</w:t>
      </w:r>
      <w:r>
        <w:t xml:space="preserve"> </w:t>
      </w:r>
      <w:r>
        <w:t xml:space="preserve">On investment and strategic vulnerabilities, stakeholders acknowledge substantial investment</w:t>
      </w:r>
      <w:r>
        <w:t xml:space="preserve"> </w:t>
      </w:r>
      <w:r>
        <w:t xml:space="preserve">announcements but question whether current volumes are sufficient to shift Europe’s competitive</w:t>
      </w:r>
      <w:r>
        <w:t xml:space="preserve"> </w:t>
      </w:r>
      <w:r>
        <w:t xml:space="preserve">position. Dependence on external suppliers, particularly for advanced nodes, is seen as a</w:t>
      </w:r>
      <w:r>
        <w:t xml:space="preserve"> </w:t>
      </w:r>
      <w:r>
        <w:t xml:space="preserve">continuing area requiring attention. Regarding specific pillars, Pillar III monitoring mechanisms</w:t>
      </w:r>
    </w:p>
    <w:p>
      <w:pPr>
        <w:pStyle w:val="BodyText"/>
      </w:pPr>
      <w:r>
        <w:t xml:space="preserve">18</w:t>
      </w:r>
      <w:r>
        <w:t xml:space="preserve"> </w:t>
      </w:r>
      <w:r>
        <w:t xml:space="preserve">are seen as requiring further development to deliver effective supply chain visibility. For Pillars I</w:t>
      </w:r>
      <w:r>
        <w:t xml:space="preserve"> </w:t>
      </w:r>
      <w:r>
        <w:t xml:space="preserve">and II, stakeholders identify considerations related to technology readiness level coverage and</w:t>
      </w:r>
      <w:r>
        <w:t xml:space="preserve"> </w:t>
      </w:r>
      <w:r>
        <w:t xml:space="preserve">project execution. While Pillar I is credited with tangible achievements, the lab-to-fab transition</w:t>
      </w:r>
      <w:r>
        <w:t xml:space="preserve"> </w:t>
      </w:r>
      <w:r>
        <w:t xml:space="preserve">remains an area for improvement, with respondents calling for stronger mechanisms to translate</w:t>
      </w:r>
      <w:r>
        <w:t xml:space="preserve"> </w:t>
      </w:r>
      <w:r>
        <w:t xml:space="preserve">research excellence into industrial-scale production. Several cross-cutting enablers emerge.</w:t>
      </w:r>
      <w:r>
        <w:t xml:space="preserve"> </w:t>
      </w:r>
      <w:r>
        <w:t xml:space="preserve">Respondents stress that infrastructure investments should be matched with sustained human-</w:t>
      </w:r>
      <w:r>
        <w:t xml:space="preserve"> </w:t>
      </w:r>
      <w:r>
        <w:t xml:space="preserve">capital development, with academic institutions underscoring the interdependence between</w:t>
      </w:r>
      <w:r>
        <w:t xml:space="preserve"> </w:t>
      </w:r>
      <w:r>
        <w:t xml:space="preserve">skills, research, and industrial capability. Stakeholders also emphasise that improved</w:t>
      </w:r>
      <w:r>
        <w:t xml:space="preserve"> </w:t>
      </w:r>
      <w:r>
        <w:t xml:space="preserve">accessibility and distribution of support instruments would help maximise the Act’s</w:t>
      </w:r>
      <w:r>
        <w:t xml:space="preserve"> </w:t>
      </w:r>
      <w:r>
        <w:t xml:space="preserve">effectiveness, particularly for SMEs and start-ups.</w:t>
      </w:r>
      <w:r>
        <w:t xml:space="preserve"> </w:t>
      </w:r>
      <w:r>
        <w:t xml:space="preserve">5.2.</w:t>
      </w:r>
      <w:r>
        <w:t xml:space="preserve"> </w:t>
      </w:r>
      <w:r>
        <w:t xml:space="preserve">Efficiency</w:t>
      </w:r>
      <w:r>
        <w:br/>
      </w:r>
      <w:r>
        <w:t xml:space="preserve">Responses addressing this criterion primarily focus on procedural complexity and approval</w:t>
      </w:r>
      <w:r>
        <w:t xml:space="preserve"> </w:t>
      </w:r>
      <w:r>
        <w:t xml:space="preserve">timescales across Chips Act instruments. Stakeholders across groups identify lengthy approval</w:t>
      </w:r>
      <w:r>
        <w:t xml:space="preserve"> </w:t>
      </w:r>
      <w:r>
        <w:t xml:space="preserve">timelines, administrative burdens, fragmented approaches between EU and national levels, and</w:t>
      </w:r>
      <w:r>
        <w:t xml:space="preserve"> </w:t>
      </w:r>
      <w:r>
        <w:t xml:space="preserve">implementation capacity constraints as areas for improvement.</w:t>
      </w:r>
      <w:r>
        <w:t xml:space="preserve"> </w:t>
      </w:r>
      <w:r>
        <w:t xml:space="preserve">Approval speed emerges as a prominent concern, with stakeholders noting that European</w:t>
      </w:r>
      <w:r>
        <w:t xml:space="preserve"> </w:t>
      </w:r>
      <w:r>
        <w:t xml:space="preserve">timelines compare unfavourably with other semiconductor-producing regions. These concerns</w:t>
      </w:r>
      <w:r>
        <w:t xml:space="preserve"> </w:t>
      </w:r>
      <w:r>
        <w:t xml:space="preserve">centre particularly on Pillar II instruments, where state aid procedures are seen as lengthy</w:t>
      </w:r>
      <w:r>
        <w:t xml:space="preserve"> </w:t>
      </w:r>
      <w:r>
        <w:t xml:space="preserve">relative to the pace required for timely support, as noted by business associations including</w:t>
      </w:r>
      <w:r>
        <w:t xml:space="preserve"> </w:t>
      </w:r>
      <w:r>
        <w:t xml:space="preserve">DIGITALEUROPE, SEMI Europe, and ESIA. The Important Projects of Common European</w:t>
      </w:r>
      <w:r>
        <w:t xml:space="preserve"> </w:t>
      </w:r>
      <w:r>
        <w:t xml:space="preserve">Interest (IPCEI) mechanism is recognised as important for mobilising large-scale investment,</w:t>
      </w:r>
      <w:r>
        <w:t xml:space="preserve"> </w:t>
      </w:r>
      <w:r>
        <w:t xml:space="preserve">though approval processes are seen as an area for streamlining. Administrative burden is</w:t>
      </w:r>
      <w:r>
        <w:t xml:space="preserve"> </w:t>
      </w:r>
      <w:r>
        <w:t xml:space="preserve">closely related. Companies in particular identify multiple sources including complex application</w:t>
      </w:r>
      <w:r>
        <w:t xml:space="preserve"> </w:t>
      </w:r>
      <w:r>
        <w:t xml:space="preserve">procedures and demanding reporting requirements, with smaller companies noting that these</w:t>
      </w:r>
      <w:r>
        <w:t xml:space="preserve"> </w:t>
      </w:r>
      <w:r>
        <w:t xml:space="preserve">pose particular challenges for SMEs and start-ups. For Pillar I, stakeholders call for simpler</w:t>
      </w:r>
      <w:r>
        <w:t xml:space="preserve"> </w:t>
      </w:r>
      <w:r>
        <w:t xml:space="preserve">access mechanisms to the Chips Fund and pilot lines, while for Pillar III, respondents emphasise</w:t>
      </w:r>
      <w:r>
        <w:t xml:space="preserve"> </w:t>
      </w:r>
      <w:r>
        <w:t xml:space="preserve">the need to balance supply chain visibility against reporting burden considerations.</w:t>
      </w:r>
      <w:r>
        <w:t xml:space="preserve"> </w:t>
      </w:r>
      <w:r>
        <w:t xml:space="preserve">Fragmentation between EU and national procedures is also identified, with respondents</w:t>
      </w:r>
      <w:r>
        <w:t xml:space="preserve"> </w:t>
      </w:r>
      <w:r>
        <w:t xml:space="preserve">describing parallel processes, inconsistent requirements across Member States, and unclear</w:t>
      </w:r>
      <w:r>
        <w:t xml:space="preserve"> </w:t>
      </w:r>
      <w:r>
        <w:t xml:space="preserve">coordination mechanisms.</w:t>
      </w:r>
      <w:r>
        <w:t xml:space="preserve"> </w:t>
      </w:r>
      <w:r>
        <w:t xml:space="preserve">5.3.</w:t>
      </w:r>
      <w:r>
        <w:t xml:space="preserve"> </w:t>
      </w:r>
      <w:r>
        <w:t xml:space="preserve">Coherence</w:t>
      </w:r>
      <w:r>
        <w:br/>
      </w:r>
      <w:r>
        <w:t xml:space="preserve">Respondents identify coherence as a multi-dimensional criterion spanning internal pillar</w:t>
      </w:r>
      <w:r>
        <w:t xml:space="preserve"> </w:t>
      </w:r>
      <w:r>
        <w:t xml:space="preserve">integration, external policy alignment, and coordination across governance levels – themes that</w:t>
      </w:r>
      <w:r>
        <w:t xml:space="preserve"> </w:t>
      </w:r>
      <w:r>
        <w:t xml:space="preserve">closely mirror those highlighted in the public consultation.</w:t>
      </w:r>
      <w:r>
        <w:t xml:space="preserve"> </w:t>
      </w:r>
      <w:r>
        <w:t xml:space="preserve">Internally, stakeholders identify scope for stronger alignment between Pillar I innovation</w:t>
      </w:r>
      <w:r>
        <w:t xml:space="preserve"> </w:t>
      </w:r>
      <w:r>
        <w:t xml:space="preserve">activities and Pillar II manufacturing support through dedicated bridging mechanisms to ensure</w:t>
      </w:r>
      <w:r>
        <w:t xml:space="preserve"> </w:t>
      </w:r>
      <w:r>
        <w:t xml:space="preserve">that innovation outputs from pilot lines translate into European manufacturing capabilities.</w:t>
      </w:r>
      <w:r>
        <w:t xml:space="preserve"> </w:t>
      </w:r>
      <w:r>
        <w:t xml:space="preserve">Externally, respondents see room for stronger coordination with other EU frameworks such as</w:t>
      </w:r>
      <w:r>
        <w:t xml:space="preserve"> </w:t>
      </w:r>
      <w:r>
        <w:t xml:space="preserve">the AI Act, the Quantum Act, and the Cyber Resilience Act. Stakeholders call for explicit</w:t>
      </w:r>
      <w:r>
        <w:t xml:space="preserve"> </w:t>
      </w:r>
      <w:r>
        <w:t xml:space="preserve">integration between semiconductor policy and broader digital strategies, as well as alignment</w:t>
      </w:r>
      <w:r>
        <w:t xml:space="preserve"> </w:t>
      </w:r>
      <w:r>
        <w:t xml:space="preserve">with defence-industrial policy and economic security frameworks. Coordination across EU,</w:t>
      </w:r>
      <w:r>
        <w:t xml:space="preserve"> </w:t>
      </w:r>
      <w:r>
        <w:t xml:space="preserve">national, and regional governance levels could be strengthened by streamlining funding streams,</w:t>
      </w:r>
      <w:r>
        <w:t xml:space="preserve"> </w:t>
      </w:r>
      <w:r>
        <w:t xml:space="preserve">aligning national approaches, and enhancing central coordination. Reference is made to the</w:t>
      </w:r>
      <w:r>
        <w:t xml:space="preserve"> </w:t>
      </w:r>
      <w:r>
        <w:t xml:space="preserve">European Semiconductor Board as a mechanism to support such alignment. Alignment with</w:t>
      </w:r>
      <w:r>
        <w:t xml:space="preserve"> </w:t>
      </w:r>
      <w:r>
        <w:t xml:space="preserve">Green Deal objectives presents both synergies and considerations. Stakeholders recognise</w:t>
      </w:r>
    </w:p>
    <w:p>
      <w:pPr>
        <w:pStyle w:val="BodyText"/>
      </w:pPr>
      <w:r>
        <w:t xml:space="preserve">19</w:t>
      </w:r>
      <w:r>
        <w:t xml:space="preserve"> </w:t>
      </w:r>
      <w:r>
        <w:t xml:space="preserve">semiconductors as key enablers of the green and digital transitions, viewing the Chips Act as an</w:t>
      </w:r>
      <w:r>
        <w:t xml:space="preserve"> </w:t>
      </w:r>
      <w:r>
        <w:t xml:space="preserve">opportunity to support greater circularity, energy efficiency, and sustainable manufacturing. At</w:t>
      </w:r>
      <w:r>
        <w:t xml:space="preserve"> </w:t>
      </w:r>
      <w:r>
        <w:t xml:space="preserve">the same time, some respondents note that future iterations should address the relationship</w:t>
      </w:r>
      <w:r>
        <w:t xml:space="preserve"> </w:t>
      </w:r>
      <w:r>
        <w:t xml:space="preserve">between environmental and industrial policy objectives.</w:t>
      </w:r>
      <w:r>
        <w:t xml:space="preserve"> </w:t>
      </w:r>
      <w:r>
        <w:t xml:space="preserve">5.4.</w:t>
      </w:r>
      <w:r>
        <w:t xml:space="preserve"> </w:t>
      </w:r>
      <w:r>
        <w:t xml:space="preserve">EU added value</w:t>
      </w:r>
      <w:r>
        <w:br/>
      </w:r>
      <w:r>
        <w:t xml:space="preserve">The key theme across responses is a strong affirmation that EU-level action delivers benefits</w:t>
      </w:r>
      <w:r>
        <w:t xml:space="preserve"> </w:t>
      </w:r>
      <w:r>
        <w:t xml:space="preserve">unattainable through national efforts alone. Stakeholders consistently point to scale and</w:t>
      </w:r>
      <w:r>
        <w:t xml:space="preserve"> </w:t>
      </w:r>
      <w:r>
        <w:t xml:space="preserve">critical mass, reduced fragmentation through coordinated action, and shared cross-border</w:t>
      </w:r>
      <w:r>
        <w:t xml:space="preserve"> </w:t>
      </w:r>
      <w:r>
        <w:t xml:space="preserve">infrastructure as core sources of EU added value.</w:t>
      </w:r>
      <w:r>
        <w:t xml:space="preserve"> </w:t>
      </w:r>
      <w:r>
        <w:t xml:space="preserve">A central element is Europe’s ability to achieve critical mass in investments that no individual</w:t>
      </w:r>
      <w:r>
        <w:t xml:space="preserve"> </w:t>
      </w:r>
      <w:r>
        <w:t xml:space="preserve">Member State could sustain. Stakeholders emphasise that the semiconductor sector’s capital</w:t>
      </w:r>
      <w:r>
        <w:t xml:space="preserve"> </w:t>
      </w:r>
      <w:r>
        <w:t xml:space="preserve">intensity and global competitive dynamics require pooled European resources. Coordination is</w:t>
      </w:r>
      <w:r>
        <w:t xml:space="preserve"> </w:t>
      </w:r>
      <w:r>
        <w:t xml:space="preserve">viewed as equally important, with fragmented national approaches identified as a risk that EU-</w:t>
      </w:r>
      <w:r>
        <w:t xml:space="preserve"> </w:t>
      </w:r>
      <w:r>
        <w:t xml:space="preserve">level action can help mitigate. Stakeholders, particularly academic and research institutions,</w:t>
      </w:r>
      <w:r>
        <w:t xml:space="preserve"> </w:t>
      </w:r>
      <w:r>
        <w:t xml:space="preserve">highlight shared infrastructure such as pilot lines and research facilities under Pillar I as</w:t>
      </w:r>
      <w:r>
        <w:t xml:space="preserve"> </w:t>
      </w:r>
      <w:r>
        <w:t xml:space="preserve">concrete examples of EU added value. Distributed manufacturing networks under Pillar III are</w:t>
      </w:r>
      <w:r>
        <w:t xml:space="preserve"> </w:t>
      </w:r>
      <w:r>
        <w:t xml:space="preserve">viewed as requiring EU-level coordination to achieve both economic efficiency and crisis</w:t>
      </w:r>
      <w:r>
        <w:t xml:space="preserve"> </w:t>
      </w:r>
      <w:r>
        <w:t xml:space="preserve">resilience. Citizens and NGOs tend to frame EU added value in terms of collective resilience</w:t>
      </w:r>
      <w:r>
        <w:t xml:space="preserve"> </w:t>
      </w:r>
      <w:r>
        <w:t xml:space="preserve">and geopolitical positioning, while public authorities emphasise that EU added value emerges</w:t>
      </w:r>
      <w:r>
        <w:t xml:space="preserve"> </w:t>
      </w:r>
      <w:r>
        <w:t xml:space="preserve">from connecting regional ecosystems into interregional networks and leveraging local</w:t>
      </w:r>
      <w:r>
        <w:t xml:space="preserve"> </w:t>
      </w:r>
      <w:r>
        <w:t xml:space="preserve">strengths within a coherent EU framework.</w:t>
      </w:r>
      <w:r>
        <w:t xml:space="preserve"> </w:t>
      </w:r>
      <w:r>
        <w:t xml:space="preserve">5.5.</w:t>
      </w:r>
      <w:r>
        <w:t xml:space="preserve"> </w:t>
      </w:r>
      <w:r>
        <w:t xml:space="preserve">Relevance</w:t>
      </w:r>
      <w:r>
        <w:br/>
      </w:r>
      <w:r>
        <w:t xml:space="preserve">Stakeholders broadly agree that the Act addresses the overarching challenge of</w:t>
      </w:r>
      <w:r>
        <w:t xml:space="preserve"> </w:t>
      </w:r>
      <w:r>
        <w:t xml:space="preserve">semiconductor resilience and competitiveness but could more closely align solutions with</w:t>
      </w:r>
      <w:r>
        <w:t xml:space="preserve"> </w:t>
      </w:r>
      <w:r>
        <w:t xml:space="preserve">sectoral needs. Respondents highlight broader questions about whether the Act should shift</w:t>
      </w:r>
      <w:r>
        <w:t xml:space="preserve"> </w:t>
      </w:r>
      <w:r>
        <w:t xml:space="preserve">from self-sufficiency toward indispensability, aligning policy more closely with demand-driven</w:t>
      </w:r>
      <w:r>
        <w:t xml:space="preserve"> </w:t>
      </w:r>
      <w:r>
        <w:t xml:space="preserve">priorities.</w:t>
      </w:r>
      <w:r>
        <w:t xml:space="preserve"> </w:t>
      </w:r>
      <w:r>
        <w:t xml:space="preserve">Across stakeholder categories, respondents identify an imbalance between support for leading-</w:t>
      </w:r>
      <w:r>
        <w:t xml:space="preserve"> </w:t>
      </w:r>
      <w:r>
        <w:t xml:space="preserve">edge manufacturing and the needs of mature and mainstream nodes where European</w:t>
      </w:r>
      <w:r>
        <w:t xml:space="preserve"> </w:t>
      </w:r>
      <w:r>
        <w:t xml:space="preserve">industrial demand is concentrated. Academic and research institutions particularly emphasise</w:t>
      </w:r>
      <w:r>
        <w:t xml:space="preserve"> </w:t>
      </w:r>
      <w:r>
        <w:t xml:space="preserve">that this imbalance “risks weakening Europe’s competitive position in the mainstream segments</w:t>
      </w:r>
      <w:r>
        <w:t xml:space="preserve"> </w:t>
      </w:r>
      <w:r>
        <w:t xml:space="preserve">where it already leads” (European University Institute). Stakeholders also identify value-chain</w:t>
      </w:r>
      <w:r>
        <w:t xml:space="preserve"> </w:t>
      </w:r>
      <w:r>
        <w:t xml:space="preserve">segments that could benefit from greater attention, including advanced packaging and assembly,</w:t>
      </w:r>
      <w:r>
        <w:t xml:space="preserve"> </w:t>
      </w:r>
      <w:r>
        <w:t xml:space="preserve">printed circuit boards, upstream materials and chemicals, and design capabilities. These</w:t>
      </w:r>
      <w:r>
        <w:t xml:space="preserve"> </w:t>
      </w:r>
      <w:r>
        <w:t xml:space="preserve">observations intersect with Pillar II and the definition of FOAK facilities, with business</w:t>
      </w:r>
      <w:r>
        <w:t xml:space="preserve"> </w:t>
      </w:r>
      <w:r>
        <w:t xml:space="preserve">associations calling for broader FOAK eligibility. Design emerges as the most frequently</w:t>
      </w:r>
      <w:r>
        <w:t xml:space="preserve"> </w:t>
      </w:r>
      <w:r>
        <w:t xml:space="preserve">mentioned area, with stakeholders noting that the current manufacturing emphasis could be</w:t>
      </w:r>
      <w:r>
        <w:t xml:space="preserve"> </w:t>
      </w:r>
      <w:r>
        <w:t xml:space="preserve">complemented by strengthened support for Europe’s design ecosystem. Respondents further</w:t>
      </w:r>
      <w:r>
        <w:t xml:space="preserve"> </w:t>
      </w:r>
      <w:r>
        <w:t xml:space="preserve">highlight the importance of balanced support distribution across stakeholder types,</w:t>
      </w:r>
      <w:r>
        <w:t xml:space="preserve"> </w:t>
      </w:r>
      <w:r>
        <w:t xml:space="preserve">particularly in addressing barriers faced by SMEs, start-ups, and research institutions.</w:t>
      </w:r>
      <w:r>
        <w:t xml:space="preserve"> </w:t>
      </w:r>
      <w:r>
        <w:t xml:space="preserve">5.6.</w:t>
      </w:r>
      <w:r>
        <w:t xml:space="preserve"> </w:t>
      </w:r>
      <w:r>
        <w:t xml:space="preserve">Prospective</w:t>
      </w:r>
      <w:r>
        <w:br/>
      </w:r>
      <w:r>
        <w:t xml:space="preserve">Respondents provided comprehensive recommendations for a potential Chips Act 2.0, closely</w:t>
      </w:r>
      <w:r>
        <w:t xml:space="preserve"> </w:t>
      </w:r>
      <w:r>
        <w:t xml:space="preserve">linked to the areas for improvement identified under the evaluation criteria and broadly aligned</w:t>
      </w:r>
    </w:p>
    <w:p>
      <w:pPr>
        <w:pStyle w:val="BodyText"/>
      </w:pPr>
      <w:r>
        <w:t xml:space="preserve">20</w:t>
      </w:r>
      <w:r>
        <w:t xml:space="preserve"> </w:t>
      </w:r>
      <w:r>
        <w:t xml:space="preserve">with themes emerging from the public consultation. A cross-cutting message is the need for</w:t>
      </w:r>
      <w:r>
        <w:t xml:space="preserve"> </w:t>
      </w:r>
      <w:r>
        <w:t xml:space="preserve">sustained, long-term strategic commitment to achieve European semiconductor objectives.</w:t>
      </w:r>
      <w:r>
        <w:t xml:space="preserve"> </w:t>
      </w:r>
      <w:r>
        <w:t xml:space="preserve">On funding, stakeholders call for a dedicated EU semiconductor budget at substantially</w:t>
      </w:r>
      <w:r>
        <w:t xml:space="preserve"> </w:t>
      </w:r>
      <w:r>
        <w:t xml:space="preserve">increased scale. Closely related is the recommendation to expand value-chain scope beyond</w:t>
      </w:r>
      <w:r>
        <w:t xml:space="preserve"> </w:t>
      </w:r>
      <w:r>
        <w:t xml:space="preserve">front-end manufacturing to include packaging, materials, equipment, and back-end processes,</w:t>
      </w:r>
      <w:r>
        <w:t xml:space="preserve"> </w:t>
      </w:r>
      <w:r>
        <w:t xml:space="preserve">accompanied by a revision of FOAK criteria to reflect this broader definition. Strengthening</w:t>
      </w:r>
      <w:r>
        <w:t xml:space="preserve"> </w:t>
      </w:r>
      <w:r>
        <w:t xml:space="preserve">European design capabilities emerges as a key priority, with recommendations focusing on</w:t>
      </w:r>
      <w:r>
        <w:t xml:space="preserve"> </w:t>
      </w:r>
      <w:r>
        <w:t xml:space="preserve">architecture sovereignty, open design platforms, and improved access to design tools and</w:t>
      </w:r>
      <w:r>
        <w:t xml:space="preserve"> </w:t>
      </w:r>
      <w:r>
        <w:t xml:space="preserve">infrastructure. Regarding implementation, stakeholders advocate for enhanced pilot lines more</w:t>
      </w:r>
      <w:r>
        <w:t xml:space="preserve"> </w:t>
      </w:r>
      <w:r>
        <w:t xml:space="preserve">closely aligned with industrial scaling requirements, alongside financing mechanisms better</w:t>
      </w:r>
      <w:r>
        <w:t xml:space="preserve"> </w:t>
      </w:r>
      <w:r>
        <w:t xml:space="preserve">suited to SMEs and start-ups. Comprehensive workforce programmes spanning education,</w:t>
      </w:r>
      <w:r>
        <w:t xml:space="preserve"> </w:t>
      </w:r>
      <w:r>
        <w:t xml:space="preserve">training, and talent attraction are emphasised as essential to address skills needs. Strategic</w:t>
      </w:r>
      <w:r>
        <w:t xml:space="preserve"> </w:t>
      </w:r>
      <w:r>
        <w:t xml:space="preserve">international partnerships with trusted partners feature prominently, as does dedicated support</w:t>
      </w:r>
      <w:r>
        <w:t xml:space="preserve"> </w:t>
      </w:r>
      <w:r>
        <w:t xml:space="preserve">for emerging technologies such as quantum, photonics, and AI chips. On governance, business</w:t>
      </w:r>
      <w:r>
        <w:t xml:space="preserve"> </w:t>
      </w:r>
      <w:r>
        <w:t xml:space="preserve">associations and public authorities call for strengthened industry-government dialogue and a</w:t>
      </w:r>
      <w:r>
        <w:t xml:space="preserve"> </w:t>
      </w:r>
      <w:r>
        <w:t xml:space="preserve">strengthened European Semiconductor Board to improve strategic coordination.</w:t>
      </w:r>
      <w:r>
        <w:t xml:space="preserve"> </w:t>
      </w:r>
      <w:r>
        <w:t xml:space="preserve">6.</w:t>
      </w:r>
      <w:r>
        <w:t xml:space="preserve"> </w:t>
      </w:r>
      <w:r>
        <w:t xml:space="preserve">SUMMARISED RESULTS OF THE SURVEY</w:t>
      </w:r>
      <w:r>
        <w:br/>
      </w:r>
      <w:r>
        <w:t xml:space="preserve">The survey was administered through Alchemer email campaigns targeting stakeholders</w:t>
      </w:r>
      <w:r>
        <w:t xml:space="preserve"> </w:t>
      </w:r>
      <w:r>
        <w:t xml:space="preserve">identified via desk research and MILD.AI mapping. The initial survey invitation was sent on 24</w:t>
      </w:r>
      <w:r>
        <w:t xml:space="preserve"> </w:t>
      </w:r>
      <w:r>
        <w:t xml:space="preserve">October 2025, followed by two reminder campaigns: one on November 3rd, a week after initial</w:t>
      </w:r>
      <w:r>
        <w:t xml:space="preserve"> </w:t>
      </w:r>
      <w:r>
        <w:t xml:space="preserve">contact, and a final reminder on 21 November, before survey closure on 24 November 2025.</w:t>
      </w:r>
      <w:r>
        <w:t xml:space="preserve"> </w:t>
      </w:r>
      <w:r>
        <w:t xml:space="preserve">Survey dissemination was further supported by the Austrian Institute of Technology (AIT) and</w:t>
      </w:r>
      <w:r>
        <w:t xml:space="preserve"> </w:t>
      </w:r>
      <w:r>
        <w:t xml:space="preserve">project experts to maximise stakeholder reach across the European semiconductor ecosystem.</w:t>
      </w:r>
      <w:r>
        <w:t xml:space="preserve"> </w:t>
      </w:r>
      <w:r>
        <w:t xml:space="preserve">The targeted stakeholder survey collected responses from 64 stakeholders. Four tailored</w:t>
      </w:r>
      <w:r>
        <w:t xml:space="preserve"> </w:t>
      </w:r>
      <w:r>
        <w:t xml:space="preserve">questionnaires were designed to capture the specific perspectives of distinct stakeholder groups:</w:t>
      </w:r>
      <w:r>
        <w:t xml:space="preserve"> </w:t>
      </w:r>
      <w:r>
        <w:t xml:space="preserve">national and regional authorities, industry users, supply chain, and research and design</w:t>
      </w:r>
      <w:r>
        <w:t xml:space="preserve"> </w:t>
      </w:r>
      <w:r>
        <w:t xml:space="preserve">organisations. Questions primarily utilised Likert scales (5-point agreement and importance</w:t>
      </w:r>
      <w:r>
        <w:t xml:space="preserve"> </w:t>
      </w:r>
      <w:r>
        <w:t xml:space="preserve">scales) and rating scales, with limited open-ended questions for qualitative feedback. Response</w:t>
      </w:r>
      <w:r>
        <w:t xml:space="preserve"> </w:t>
      </w:r>
      <w:r>
        <w:t xml:space="preserve">options included ‘Don’t know’, ‘Too early to tell’, and ‘Not applicable’ where relevant to ensure</w:t>
      </w:r>
      <w:r>
        <w:t xml:space="preserve"> </w:t>
      </w:r>
      <w:r>
        <w:t xml:space="preserve">data quality and avoid forced responses.</w:t>
      </w:r>
      <w:r>
        <w:br/>
      </w:r>
      <w:r>
        <w:t xml:space="preserve">National and Regional Authorities constituted the largest share of respondents (37.5%, 24/64),</w:t>
      </w:r>
      <w:r>
        <w:t xml:space="preserve"> </w:t>
      </w:r>
      <w:r>
        <w:t xml:space="preserve">followed by Research and Design organisations (26.6%, 17/64) and Supply Chain actors (25.0%,</w:t>
      </w:r>
      <w:r>
        <w:t xml:space="preserve"> </w:t>
      </w:r>
      <w:r>
        <w:t xml:space="preserve">16/64). Industry Users represented the smallest group (10.9%, 7/64).</w:t>
      </w:r>
    </w:p>
    <w:p>
      <w:pPr>
        <w:pStyle w:val="BodyText"/>
      </w:pPr>
      <w:r>
        <w:t xml:space="preserve">Figure 8. Breakdown of respondent profiles by stakeholder category</w:t>
      </w:r>
      <w:r>
        <w:t xml:space="preserve"> </w:t>
      </w:r>
      <w:r>
        <w:t xml:space="preserve">Source: Surveys with EU Chips Act stakeholders (research and design organisations N=17, supply chain</w:t>
      </w:r>
      <w:r>
        <w:t xml:space="preserve"> </w:t>
      </w:r>
      <w:r>
        <w:t xml:space="preserve">organisations N=16, industry users N=7, national authorities N=24), conducted by PPMI, October–November</w:t>
      </w:r>
      <w:r>
        <w:t xml:space="preserve"> </w:t>
      </w:r>
      <w:r>
        <w:t xml:space="preserve">2024).</w:t>
      </w:r>
    </w:p>
    <w:p>
      <w:pPr>
        <w:pStyle w:val="BodyText"/>
      </w:pPr>
      <w:r>
        <w:t xml:space="preserve">21</w:t>
      </w:r>
      <w:r>
        <w:t xml:space="preserve"> </w:t>
      </w:r>
      <w:r>
        <w:t xml:space="preserve">6.1.</w:t>
      </w:r>
      <w:r>
        <w:t xml:space="preserve"> </w:t>
      </w:r>
      <w:r>
        <w:t xml:space="preserve">Effectiveness</w:t>
      </w:r>
      <w:r>
        <w:br/>
      </w:r>
      <w:r>
        <w:t xml:space="preserve">National authorities consistently reported the highest levels of positive effects (75% across</w:t>
      </w:r>
      <w:r>
        <w:t xml:space="preserve"> </w:t>
      </w:r>
      <w:r>
        <w:t xml:space="preserve">most dimensions), which suggests that policy-level coordination benefits are materialising more</w:t>
      </w:r>
      <w:r>
        <w:t xml:space="preserve"> </w:t>
      </w:r>
      <w:r>
        <w:t xml:space="preserve">rapidly than operational effects. RTOs reported the lowest levels of positive effects (35-41%),</w:t>
      </w:r>
      <w:r>
        <w:t xml:space="preserve"> </w:t>
      </w:r>
      <w:r>
        <w:t xml:space="preserve">with 35% reporting ‘no effects’ on several dimensions. This gap warrants further investigation to</w:t>
      </w:r>
      <w:r>
        <w:t xml:space="preserve"> </w:t>
      </w:r>
      <w:r>
        <w:t xml:space="preserve">understand barriers to research organisation engagement.</w:t>
      </w:r>
    </w:p>
    <w:p>
      <w:pPr>
        <w:pStyle w:val="BodyText"/>
      </w:pPr>
      <w:r>
        <w:t xml:space="preserve">Figure 9. Positive effects experienced (% reporting moderate to very significant effects)</w:t>
      </w:r>
      <w:r>
        <w:t xml:space="preserve"> </w:t>
      </w:r>
      <w:r>
        <w:t xml:space="preserve">Source: Surveys with EU Chips Act stakeholders (research and design organisations N=17, supply chain</w:t>
      </w:r>
      <w:r>
        <w:t xml:space="preserve"> </w:t>
      </w:r>
      <w:r>
        <w:t xml:space="preserve">organisations N=16, industry users N=7, national authorities N=24), conducted by PPMI, October–November</w:t>
      </w:r>
      <w:r>
        <w:t xml:space="preserve"> </w:t>
      </w:r>
      <w:r>
        <w:t xml:space="preserve">2024).</w:t>
      </w:r>
      <w:r>
        <w:br/>
      </w:r>
      <w:r>
        <w:t xml:space="preserve">Progress assessments varied significantly across the three pillars. Pillar 1 (research-industry</w:t>
      </w:r>
      <w:r>
        <w:t xml:space="preserve"> </w:t>
      </w:r>
      <w:r>
        <w:t xml:space="preserve">link) received the strongest positive assessment, with 58% of National Authorities (14/24)</w:t>
      </w:r>
      <w:r>
        <w:t xml:space="preserve"> </w:t>
      </w:r>
      <w:r>
        <w:t xml:space="preserve">agreeing progress has been made. Pillar 2 (investment and capacity) showed more mixed results</w:t>
      </w:r>
      <w:r>
        <w:t xml:space="preserve"> </w:t>
      </w:r>
      <w:r>
        <w:t xml:space="preserve">(42% agreeing, 10/24), while Pillar 3 (supply chain resilience) received the lowest positive</w:t>
      </w:r>
      <w:r>
        <w:t xml:space="preserve"> </w:t>
      </w:r>
      <w:r>
        <w:t xml:space="preserve">assessment (17% agreeing, 4/24) with 25% (6/24) indicating it was too early to tell. These</w:t>
      </w:r>
      <w:r>
        <w:t xml:space="preserve"> </w:t>
      </w:r>
      <w:r>
        <w:t xml:space="preserve">findings suggest that Pillar 3 mechanisms may require more time to demonstrate observable</w:t>
      </w:r>
      <w:r>
        <w:t xml:space="preserve"> </w:t>
      </w:r>
      <w:r>
        <w:t xml:space="preserve">effects on supply chain resilience.</w:t>
      </w:r>
      <w:r>
        <w:t xml:space="preserve"> </w:t>
      </w:r>
      <w:r>
        <w:t xml:space="preserve">6.2.</w:t>
      </w:r>
      <w:r>
        <w:t xml:space="preserve"> </w:t>
      </w:r>
      <w:r>
        <w:t xml:space="preserve">Efficiency</w:t>
      </w:r>
      <w:r>
        <w:br/>
      </w:r>
      <w:r>
        <w:t xml:space="preserve">National authority responses indicate that 46% (11/24) have encountered significant</w:t>
      </w:r>
      <w:r>
        <w:t xml:space="preserve"> </w:t>
      </w:r>
      <w:r>
        <w:t xml:space="preserve">implementation challenges, whilst 21% (5/24) reported it was too early to tell and 13% (3/24)</w:t>
      </w:r>
      <w:r>
        <w:t xml:space="preserve"> </w:t>
      </w:r>
      <w:r>
        <w:t xml:space="preserve">indicated no significant challenges. Among those reporting challenges, the most frequently cited</w:t>
      </w:r>
      <w:r>
        <w:t xml:space="preserve"> </w:t>
      </w:r>
      <w:r>
        <w:t xml:space="preserve">were insufficient national co-funding capacity, competing national priorities, and complex EU-</w:t>
      </w:r>
      <w:r>
        <w:t xml:space="preserve"> </w:t>
      </w:r>
      <w:r>
        <w:t xml:space="preserve">national coordination.</w:t>
      </w:r>
    </w:p>
    <w:p>
      <w:pPr>
        <w:pStyle w:val="BodyText"/>
      </w:pPr>
      <w:r>
        <w:t xml:space="preserve">Figure 10. Governance effectiveness assessments (% rating somewhat effective to very</w:t>
      </w:r>
      <w:r>
        <w:t xml:space="preserve"> </w:t>
      </w:r>
      <w:r>
        <w:t xml:space="preserve">effective)</w:t>
      </w:r>
    </w:p>
    <w:p>
      <w:pPr>
        <w:pStyle w:val="BodyText"/>
      </w:pPr>
      <w:r>
        <w:t xml:space="preserve">22</w:t>
      </w:r>
      <w:r>
        <w:t xml:space="preserve"> </w:t>
      </w:r>
      <w:r>
        <w:t xml:space="preserve">Source: Surveys with EU Chips Act stakeholders (research and design organisations N=17, supply chain</w:t>
      </w:r>
      <w:r>
        <w:t xml:space="preserve"> </w:t>
      </w:r>
      <w:r>
        <w:t xml:space="preserve">organisations N=16, industry users N=7, national authorities N=24), conducted by PPMI, October–November</w:t>
      </w:r>
      <w:r>
        <w:t xml:space="preserve"> </w:t>
      </w:r>
      <w:r>
        <w:t xml:space="preserve">2024).</w:t>
      </w:r>
    </w:p>
    <w:p>
      <w:pPr>
        <w:pStyle w:val="BodyText"/>
      </w:pPr>
      <w:r>
        <w:t xml:space="preserve">A notable divergence exists between stakeholder groups: National Authorities assessed</w:t>
      </w:r>
      <w:r>
        <w:t xml:space="preserve"> </w:t>
      </w:r>
      <w:r>
        <w:t xml:space="preserve">governance mechanisms more favourably (38-46% effective) compared to RTOs (12-24%).</w:t>
      </w:r>
      <w:r>
        <w:t xml:space="preserve"> </w:t>
      </w:r>
      <w:r>
        <w:t xml:space="preserve">RTOs showed higher rates of ‘very ineffective’ assessments (18-29%), particularly for</w:t>
      </w:r>
      <w:r>
        <w:t xml:space="preserve"> </w:t>
      </w:r>
      <w:r>
        <w:t xml:space="preserve">administrative efficiency and Member State coordination, which suggests that research</w:t>
      </w:r>
      <w:r>
        <w:t xml:space="preserve"> </w:t>
      </w:r>
      <w:r>
        <w:t xml:space="preserve">organisations face more acute administrative frictions when engaging with Chips Act</w:t>
      </w:r>
      <w:r>
        <w:t xml:space="preserve"> </w:t>
      </w:r>
      <w:r>
        <w:t xml:space="preserve">instruments.</w:t>
      </w:r>
      <w:r>
        <w:t xml:space="preserve"> </w:t>
      </w:r>
      <w:r>
        <w:t xml:space="preserve">Among RTOs, 47% (8/17) reported facing significant barriers to commercialisation. Insufficient</w:t>
      </w:r>
      <w:r>
        <w:t xml:space="preserve"> </w:t>
      </w:r>
      <w:r>
        <w:t xml:space="preserve">risk capital and lack of industry partnerships were the most frequently cited barriers,</w:t>
      </w:r>
      <w:r>
        <w:t xml:space="preserve"> </w:t>
      </w:r>
      <w:r>
        <w:t xml:space="preserve">consistent with the broader concern about the lab-to-fab gap identified in the relevance section.</w:t>
      </w:r>
      <w:r>
        <w:t xml:space="preserve"> </w:t>
      </w:r>
      <w:r>
        <w:t xml:space="preserve">6.3.</w:t>
      </w:r>
      <w:r>
        <w:t xml:space="preserve"> </w:t>
      </w:r>
      <w:r>
        <w:t xml:space="preserve">Coherence</w:t>
      </w:r>
      <w:r>
        <w:br/>
      </w:r>
      <w:r>
        <w:t xml:space="preserve">Regarding external coherence with national strategies, responses from national authorities</w:t>
      </w:r>
      <w:r>
        <w:t xml:space="preserve"> </w:t>
      </w:r>
      <w:r>
        <w:t xml:space="preserve">indicated mixed alignment. Of 24 respondents, 33% reported the Chips Act was ‘fully aligned’</w:t>
      </w:r>
      <w:r>
        <w:t xml:space="preserve"> </w:t>
      </w:r>
      <w:r>
        <w:t xml:space="preserve">with their national semiconductor strategy, 21% ‘somewhat aligned’, and 21% indicated no</w:t>
      </w:r>
      <w:r>
        <w:t xml:space="preserve"> </w:t>
      </w:r>
      <w:r>
        <w:t xml:space="preserve">national strategy exists. The importance of addressing the misalignment between research</w:t>
      </w:r>
      <w:r>
        <w:t xml:space="preserve"> </w:t>
      </w:r>
      <w:r>
        <w:t xml:space="preserve">priorities and market needs was recognised across all groups, though with varying intensity.</w:t>
      </w:r>
      <w:r>
        <w:t xml:space="preserve"> </w:t>
      </w:r>
      <w:r>
        <w:t xml:space="preserve">Survey respondents, particularly national authorities, further noted that coordination and</w:t>
      </w:r>
      <w:r>
        <w:t xml:space="preserve"> </w:t>
      </w:r>
      <w:r>
        <w:t xml:space="preserve">investment across the EU, national and regional levels was challenging and more fragmented.</w:t>
      </w:r>
      <w:r>
        <w:t xml:space="preserve"> </w:t>
      </w:r>
      <w:r>
        <w:t xml:space="preserve">6.4.</w:t>
      </w:r>
      <w:r>
        <w:t xml:space="preserve"> </w:t>
      </w:r>
      <w:r>
        <w:t xml:space="preserve">EU added value</w:t>
      </w:r>
      <w:r>
        <w:br/>
      </w:r>
      <w:r>
        <w:t xml:space="preserve">Strengthening the EU’s global position received the highest agreement (68%, 28/41),</w:t>
      </w:r>
      <w:r>
        <w:t xml:space="preserve"> </w:t>
      </w:r>
      <w:r>
        <w:t xml:space="preserve">followed by pooling resources for greater scale (66%, 27/41). This suggests that stakeholders</w:t>
      </w:r>
      <w:r>
        <w:t xml:space="preserve"> </w:t>
      </w:r>
      <w:r>
        <w:t xml:space="preserve">recognise the value of collective European action in the globally competitive semiconductor</w:t>
      </w:r>
      <w:r>
        <w:t xml:space="preserve"> </w:t>
      </w:r>
      <w:r>
        <w:t xml:space="preserve">landscape. However, responses were not uniformly positive: 18-29% of RTOs expressed strong</w:t>
      </w:r>
      <w:r>
        <w:t xml:space="preserve"> </w:t>
      </w:r>
      <w:r>
        <w:t xml:space="preserve">disagreement that these benefits were materialising, indicating a cohort of research organisations</w:t>
      </w:r>
      <w:r>
        <w:t xml:space="preserve"> </w:t>
      </w:r>
      <w:r>
        <w:t xml:space="preserve">that have not yet experienced the expected EU-level synergies.</w:t>
      </w:r>
    </w:p>
    <w:p>
      <w:pPr>
        <w:pStyle w:val="BodyText"/>
      </w:pPr>
      <w:r>
        <w:t xml:space="preserve">Figure 11. EU added value perceptions (% agreeing or strongly agreeing)</w:t>
      </w:r>
      <w:r>
        <w:br/>
      </w:r>
      <w:r>
        <w:t xml:space="preserve">Source: Surveys with EU Chips Act stakeholders (research and design organisations N=17 and national authorities</w:t>
      </w:r>
      <w:r>
        <w:t xml:space="preserve"> </w:t>
      </w:r>
      <w:r>
        <w:t xml:space="preserve">N=24), conducted by PPMI, October–November 2024).</w:t>
      </w:r>
      <w:r>
        <w:br/>
      </w:r>
      <w:r>
        <w:t xml:space="preserve">National Authorities consistently assessed EU added value more positively than RTOs,</w:t>
      </w:r>
      <w:r>
        <w:t xml:space="preserve"> </w:t>
      </w:r>
      <w:r>
        <w:t xml:space="preserve">particularly for pooling resources (75% vs 53%). This 22-percentage point gap suggests that</w:t>
      </w:r>
      <w:r>
        <w:t xml:space="preserve"> </w:t>
      </w:r>
      <w:r>
        <w:t xml:space="preserve">the benefits of resource pooling may be more visible at the policy coordination level than at the</w:t>
      </w:r>
    </w:p>
    <w:p>
      <w:pPr>
        <w:pStyle w:val="BodyText"/>
      </w:pPr>
      <w:r>
        <w:t xml:space="preserve">23</w:t>
      </w:r>
      <w:r>
        <w:t xml:space="preserve"> </w:t>
      </w:r>
      <w:r>
        <w:t xml:space="preserve">research operational level. The relatively similar ratings for coordinated crisis response (59% for</w:t>
      </w:r>
      <w:r>
        <w:t xml:space="preserve"> </w:t>
      </w:r>
      <w:r>
        <w:t xml:space="preserve">RTOs vs 58% for National Authorities) indicate that crisis preparedness benefits are perceived</w:t>
      </w:r>
      <w:r>
        <w:t xml:space="preserve"> </w:t>
      </w:r>
      <w:r>
        <w:t xml:space="preserve">more evenly across stakeholder types.</w:t>
      </w:r>
      <w:r>
        <w:t xml:space="preserve"> </w:t>
      </w:r>
      <w:r>
        <w:t xml:space="preserve">6.5.</w:t>
      </w:r>
      <w:r>
        <w:t xml:space="preserve"> </w:t>
      </w:r>
      <w:r>
        <w:t xml:space="preserve">Relevance</w:t>
      </w:r>
      <w:r>
        <w:br/>
      </w:r>
      <w:r>
        <w:t xml:space="preserve">The survey results demonstrate strong and consistent support for continued EU-level</w:t>
      </w:r>
      <w:r>
        <w:t xml:space="preserve"> </w:t>
      </w:r>
      <w:r>
        <w:t xml:space="preserve">action across all stakeholder groups. Agreement rates on the need for EU-level coordination</w:t>
      </w:r>
      <w:r>
        <w:t xml:space="preserve"> </w:t>
      </w:r>
      <w:r>
        <w:t xml:space="preserve">ranged from 75% (monitoring and crisis response) to 86% (investment and manufacturing</w:t>
      </w:r>
      <w:r>
        <w:t xml:space="preserve"> </w:t>
      </w:r>
      <w:r>
        <w:t xml:space="preserve">capacity), indicating broad endorsement of the subsidiarity rationale underpinning the Act.</w:t>
      </w:r>
      <w:r>
        <w:t xml:space="preserve"> </w:t>
      </w:r>
      <w:r>
        <w:t xml:space="preserve">Supply chain stakeholders demonstrated the strongest support for EU-level coordination in R&amp;D</w:t>
      </w:r>
      <w:r>
        <w:t xml:space="preserve"> </w:t>
      </w:r>
      <w:r>
        <w:t xml:space="preserve">(100%, 16/16) and investment (94%, 15/16), reflecting their direct dependence on ecosystem-</w:t>
      </w:r>
      <w:r>
        <w:t xml:space="preserve"> </w:t>
      </w:r>
      <w:r>
        <w:t xml:space="preserve">wide infrastructure.</w:t>
      </w:r>
    </w:p>
    <w:p>
      <w:pPr>
        <w:pStyle w:val="BodyText"/>
      </w:pPr>
      <w:r>
        <w:t xml:space="preserve">Figure 12. Need for EU-level coordination by policy area (% agreeing or strongly agreeing)</w:t>
      </w:r>
      <w:r>
        <w:t xml:space="preserve"> </w:t>
      </w:r>
      <w:r>
        <w:t xml:space="preserve">Source: Surveys with EU Chips Act stakeholders (research and design organisations N=17, supply chain</w:t>
      </w:r>
      <w:r>
        <w:t xml:space="preserve"> </w:t>
      </w:r>
      <w:r>
        <w:t xml:space="preserve">organisations N=16, industry users N=7, national authorities N=24), conducted by PPMI, October-November</w:t>
      </w:r>
      <w:r>
        <w:t xml:space="preserve"> </w:t>
      </w:r>
      <w:r>
        <w:t xml:space="preserve">2024.</w:t>
      </w:r>
      <w:r>
        <w:br/>
      </w:r>
      <w:r>
        <w:t xml:space="preserve">However, support for monitoring coordination was comparatively lower among supply chain</w:t>
      </w:r>
      <w:r>
        <w:t xml:space="preserve"> </w:t>
      </w:r>
      <w:r>
        <w:t xml:space="preserve">(62%) and industry users (57%), possibly reflecting concerns about reporting obligations.</w:t>
      </w:r>
      <w:r>
        <w:t xml:space="preserve"> </w:t>
      </w:r>
      <w:r>
        <w:t xml:space="preserve">National authorities showed highest support for monitoring coordination (88%), consistent with</w:t>
      </w:r>
      <w:r>
        <w:t xml:space="preserve"> </w:t>
      </w:r>
      <w:r>
        <w:t xml:space="preserve">their role in crisis response mechanisms and their greater familiarity with Pillar 3 instruments.</w:t>
      </w:r>
    </w:p>
    <w:p>
      <w:pPr>
        <w:pStyle w:val="BodyText"/>
      </w:pPr>
      <w:r>
        <w:t xml:space="preserve">Figure 13. Importance of addressing key challenges (% rating important or very</w:t>
      </w:r>
      <w:r>
        <w:t xml:space="preserve"> </w:t>
      </w:r>
      <w:r>
        <w:t xml:space="preserve">important)</w:t>
      </w:r>
      <w:r>
        <w:t xml:space="preserve"> </w:t>
      </w:r>
      <w:r>
        <w:t xml:space="preserve">Source: Surveys with EU Chips Act stakeholders (research and design organisations N=17, supply chain</w:t>
      </w:r>
      <w:r>
        <w:t xml:space="preserve"> </w:t>
      </w:r>
      <w:r>
        <w:t xml:space="preserve">organisations N=16, industry users N=7, national authorities N=24), conducted by PPMI, October-November</w:t>
      </w:r>
      <w:r>
        <w:t xml:space="preserve"> </w:t>
      </w:r>
      <w:r>
        <w:t xml:space="preserve">2024.</w:t>
      </w:r>
      <w:r>
        <w:br/>
      </w:r>
      <w:r>
        <w:t xml:space="preserve">Regulatory barriers emerged as the highest-rated challenge overall, with near-unanimous concern</w:t>
      </w:r>
      <w:r>
        <w:t xml:space="preserve"> </w:t>
      </w:r>
      <w:r>
        <w:t xml:space="preserve">from supply chain stakeholders (94%, 15/16). The lab-to-fab gap was unanimously prioritised by</w:t>
      </w:r>
      <w:r>
        <w:t xml:space="preserve"> </w:t>
      </w:r>
      <w:r>
        <w:t xml:space="preserve">industry users (100%, 7/7), whilst RTOs and National Authorities prioritised skills shortages</w:t>
      </w:r>
      <w:r>
        <w:t xml:space="preserve"> </w:t>
      </w:r>
      <w:r>
        <w:t xml:space="preserve">(88% each). These differentiated priorities reflect the varying operational contexts and</w:t>
      </w:r>
      <w:r>
        <w:t xml:space="preserve"> </w:t>
      </w:r>
      <w:r>
        <w:t xml:space="preserve">immediate concerns of each stakeholder group.</w:t>
      </w:r>
    </w:p>
    <w:p>
      <w:pPr>
        <w:pStyle w:val="BodyText"/>
      </w:pPr>
      <w:r>
        <w:t xml:space="preserve">24</w:t>
      </w:r>
      <w:r>
        <w:t xml:space="preserve"> </w:t>
      </w:r>
      <w:r>
        <w:t xml:space="preserve">6.6.</w:t>
      </w:r>
      <w:r>
        <w:t xml:space="preserve"> </w:t>
      </w:r>
      <w:r>
        <w:t xml:space="preserve">Prospective</w:t>
      </w:r>
      <w:r>
        <w:br/>
      </w:r>
      <w:r>
        <w:t xml:space="preserve">Simplified and faster state aid emerged as the top priority (58% ranking first), with</w:t>
      </w:r>
      <w:r>
        <w:t xml:space="preserve"> </w:t>
      </w:r>
      <w:r>
        <w:t xml:space="preserve">particularly strong support from National Authorities (83% ranking first), consistent with their</w:t>
      </w:r>
      <w:r>
        <w:t xml:space="preserve"> </w:t>
      </w:r>
      <w:r>
        <w:t xml:space="preserve">direct experience of notification and approval processes. More direct EU-level funding ranked</w:t>
      </w:r>
      <w:r>
        <w:t xml:space="preserve"> </w:t>
      </w:r>
      <w:r>
        <w:t xml:space="preserve">second (51% ranking first), with strongest support from industry users (80%). Large-scale skills</w:t>
      </w:r>
      <w:r>
        <w:t xml:space="preserve"> </w:t>
      </w:r>
      <w:r>
        <w:t xml:space="preserve">development was also highly prioritised (44% ranking first).</w:t>
      </w:r>
    </w:p>
    <w:p>
      <w:pPr>
        <w:pStyle w:val="BodyText"/>
      </w:pPr>
      <w:r>
        <w:t xml:space="preserve">Figure 14. Policy option priorities (% of responses ranking option in top 3)</w:t>
      </w:r>
      <w:r>
        <w:t xml:space="preserve"> </w:t>
      </w:r>
      <w:r>
        <w:t xml:space="preserve">Source: Surveys with EU Chips Act stakeholders (research and design organisations N=17, supply chain</w:t>
      </w:r>
      <w:r>
        <w:t xml:space="preserve"> </w:t>
      </w:r>
      <w:r>
        <w:t xml:space="preserve">organisations N=16, industry users N=7, national authorities N=24), conducted by PPMI, October–November</w:t>
      </w:r>
      <w:r>
        <w:t xml:space="preserve"> </w:t>
      </w:r>
      <w:r>
        <w:t xml:space="preserve">2024).</w:t>
      </w:r>
      <w:r>
        <w:t xml:space="preserve"> </w:t>
      </w:r>
      <w:r>
        <w:t xml:space="preserve">Regarding ambition levels for cutting-edge manufacturing, National Authorities showed diverse</w:t>
      </w:r>
      <w:r>
        <w:t xml:space="preserve"> </w:t>
      </w:r>
      <w:r>
        <w:t xml:space="preserve">views: 29% favoured establishing at least one high-volume leading-edge fab, 21% preferred</w:t>
      </w:r>
      <w:r>
        <w:t xml:space="preserve"> </w:t>
      </w:r>
      <w:r>
        <w:t xml:space="preserve">focusing on pilot lines, 13% supported building multiple leading-edge fabs, and 13% advocated</w:t>
      </w:r>
      <w:r>
        <w:t xml:space="preserve"> </w:t>
      </w:r>
      <w:r>
        <w:t xml:space="preserve">focusing on R&amp;D without new commercial fabs.</w:t>
      </w:r>
      <w:r>
        <w:t xml:space="preserve"> </w:t>
      </w:r>
      <w:r>
        <w:t xml:space="preserve">7.</w:t>
      </w:r>
      <w:r>
        <w:t xml:space="preserve"> </w:t>
      </w:r>
      <w:r>
        <w:t xml:space="preserve">SUMMARISED RESULTS OF THE EXPERT INTERVIEWS</w:t>
      </w:r>
      <w:r>
        <w:br/>
      </w:r>
      <w:r>
        <w:t xml:space="preserve">The interviews were conducted using a semi-structured interview format. The interview guide</w:t>
      </w:r>
      <w:r>
        <w:t xml:space="preserve"> </w:t>
      </w:r>
      <w:r>
        <w:t xml:space="preserve">was developed specifically for this evaluation and was directly aligned with the objectives,</w:t>
      </w:r>
      <w:r>
        <w:t xml:space="preserve"> </w:t>
      </w:r>
      <w:r>
        <w:t xml:space="preserve">pillars, and policy instruments of the Chips Act. This ensured that all discussions systematically</w:t>
      </w:r>
      <w:r>
        <w:t xml:space="preserve"> </w:t>
      </w:r>
      <w:r>
        <w:t xml:space="preserve">addressed themes relevant to the Act while allowing respondents the flexibility to elaborate on</w:t>
      </w:r>
      <w:r>
        <w:t xml:space="preserve"> </w:t>
      </w:r>
      <w:r>
        <w:t xml:space="preserve">issues they considered most significant.</w:t>
      </w:r>
      <w:r>
        <w:t xml:space="preserve"> </w:t>
      </w:r>
      <w:r>
        <w:t xml:space="preserve">Each interview was fully transcribed and subsequently examined through a structured qualitative</w:t>
      </w:r>
      <w:r>
        <w:t xml:space="preserve"> </w:t>
      </w:r>
      <w:r>
        <w:t xml:space="preserve">analysis process. The analysis focused on identifying recurring themes, points of convergence</w:t>
      </w:r>
      <w:r>
        <w:t xml:space="preserve"> </w:t>
      </w:r>
      <w:r>
        <w:t xml:space="preserve">and divergence, and insights relevant to the evaluation questions. Artificial intelligence tools</w:t>
      </w:r>
      <w:r>
        <w:t xml:space="preserve"> </w:t>
      </w:r>
      <w:r>
        <w:t xml:space="preserve">were used to support the organisation and comparison of the interview material, helping to</w:t>
      </w:r>
      <w:r>
        <w:t xml:space="preserve"> </w:t>
      </w:r>
      <w:r>
        <w:t xml:space="preserve">cluster related content and reveal patterns across stakeholder groups. These AI-assisted steps</w:t>
      </w:r>
      <w:r>
        <w:t xml:space="preserve"> </w:t>
      </w:r>
      <w:r>
        <w:t xml:space="preserve">complemented the manual review of transcripts and improved the consistency and transparency</w:t>
      </w:r>
      <w:r>
        <w:t xml:space="preserve"> </w:t>
      </w:r>
      <w:r>
        <w:t xml:space="preserve">of the analytical process. The material was reviewed iteratively to ensure coherence and</w:t>
      </w:r>
      <w:r>
        <w:t xml:space="preserve"> </w:t>
      </w:r>
      <w:r>
        <w:t xml:space="preserve">completeness.</w:t>
      </w:r>
      <w:r>
        <w:br/>
      </w:r>
      <w:r>
        <w:t xml:space="preserve">Respondents represented a broad, strategically selected spectrum of organisations involved in or</w:t>
      </w:r>
      <w:r>
        <w:t xml:space="preserve"> </w:t>
      </w:r>
      <w:r>
        <w:t xml:space="preserve">affected by the European semiconductor ecosystem. The sample included actors from European</w:t>
      </w:r>
      <w:r>
        <w:t xml:space="preserve"> </w:t>
      </w:r>
      <w:r>
        <w:t xml:space="preserve">institutions, industry associations, manufacturing companies, investors, research and innovation</w:t>
      </w:r>
    </w:p>
    <w:p>
      <w:pPr>
        <w:pStyle w:val="BodyText"/>
      </w:pPr>
      <w:r>
        <w:t xml:space="preserve">25</w:t>
      </w:r>
      <w:r>
        <w:t xml:space="preserve"> </w:t>
      </w:r>
      <w:r>
        <w:t xml:space="preserve">bodies, and supply-chain specialists (Table 2). This diversity ensured the inclusion of both</w:t>
      </w:r>
      <w:r>
        <w:t xml:space="preserve"> </w:t>
      </w:r>
      <w:r>
        <w:t xml:space="preserve">supply-side and demand-side viewpoints, as well as short-term operational and long-term</w:t>
      </w:r>
      <w:r>
        <w:t xml:space="preserve"> </w:t>
      </w:r>
      <w:r>
        <w:t xml:space="preserve">strategic considerations. The resulting dataset reflects a balanced mix of technical, economic,</w:t>
      </w:r>
      <w:r>
        <w:t xml:space="preserve"> </w:t>
      </w:r>
      <w:r>
        <w:t xml:space="preserve">policy, and strategic insights relevant to assessing the relevance and implementation of the Chips</w:t>
      </w:r>
      <w:r>
        <w:t xml:space="preserve"> </w:t>
      </w:r>
      <w:r>
        <w:t xml:space="preserve">Act.</w:t>
      </w:r>
      <w:r>
        <w:t xml:space="preserve"> </w:t>
      </w:r>
      <w:r>
        <w:t xml:space="preserve">Table 2. Interview coding1</w:t>
      </w:r>
      <w:r>
        <w:br/>
      </w:r>
      <w:r>
        <w:t xml:space="preserve">Stakeholder group</w:t>
      </w:r>
      <w:r>
        <w:br/>
      </w:r>
      <w:r>
        <w:t xml:space="preserve">Code Stakeholder group</w:t>
      </w:r>
      <w:r>
        <w:t xml:space="preserve"> </w:t>
      </w:r>
      <w:r>
        <w:t xml:space="preserve">Code</w:t>
      </w:r>
      <w:r>
        <w:t xml:space="preserve"> </w:t>
      </w:r>
      <w:r>
        <w:t xml:space="preserve">Public Investor</w:t>
      </w:r>
      <w:r>
        <w:br/>
      </w:r>
      <w:r>
        <w:t xml:space="preserve">1</w:t>
      </w:r>
      <w:r>
        <w:t xml:space="preserve"> </w:t>
      </w:r>
      <w:r>
        <w:t xml:space="preserve">Industry (EMS &amp; PCB)</w:t>
      </w:r>
      <w:r>
        <w:br/>
      </w:r>
      <w:r>
        <w:t xml:space="preserve">8</w:t>
      </w:r>
      <w:r>
        <w:t xml:space="preserve"> </w:t>
      </w:r>
      <w:r>
        <w:t xml:space="preserve">EU Financial Institution</w:t>
      </w:r>
      <w:r>
        <w:br/>
      </w:r>
      <w:r>
        <w:t xml:space="preserve">2</w:t>
      </w:r>
      <w:r>
        <w:t xml:space="preserve"> </w:t>
      </w:r>
      <w:r>
        <w:t xml:space="preserve">Industry Association</w:t>
      </w:r>
      <w:r>
        <w:br/>
      </w:r>
      <w:r>
        <w:t xml:space="preserve">9</w:t>
      </w:r>
      <w:r>
        <w:t xml:space="preserve"> </w:t>
      </w:r>
      <w:r>
        <w:t xml:space="preserve">Private Investor</w:t>
      </w:r>
      <w:r>
        <w:br/>
      </w:r>
      <w:r>
        <w:t xml:space="preserve">3</w:t>
      </w:r>
      <w:r>
        <w:t xml:space="preserve"> </w:t>
      </w:r>
      <w:r>
        <w:t xml:space="preserve">EU Agency / End-User (Space)</w:t>
      </w:r>
      <w:r>
        <w:br/>
      </w:r>
      <w:r>
        <w:t xml:space="preserve">10</w:t>
      </w:r>
      <w:r>
        <w:t xml:space="preserve"> </w:t>
      </w:r>
      <w:r>
        <w:t xml:space="preserve">EU Policymaker (European Commission)</w:t>
      </w:r>
      <w:r>
        <w:br/>
      </w:r>
      <w:r>
        <w:t xml:space="preserve">4</w:t>
      </w:r>
      <w:r>
        <w:t xml:space="preserve"> </w:t>
      </w:r>
      <w:r>
        <w:t xml:space="preserve">Industry (Semiconductor Manufacturer / IDM)</w:t>
      </w:r>
      <w:r>
        <w:br/>
      </w:r>
      <w:r>
        <w:t xml:space="preserve">11</w:t>
      </w:r>
      <w:r>
        <w:t xml:space="preserve"> </w:t>
      </w:r>
      <w:r>
        <w:t xml:space="preserve">Industry Association</w:t>
      </w:r>
      <w:r>
        <w:br/>
      </w:r>
      <w:r>
        <w:t xml:space="preserve">5</w:t>
      </w:r>
      <w:r>
        <w:t xml:space="preserve"> </w:t>
      </w:r>
      <w:r>
        <w:t xml:space="preserve">Policy officer</w:t>
      </w:r>
      <w:r>
        <w:br/>
      </w:r>
      <w:r>
        <w:t xml:space="preserve">12</w:t>
      </w:r>
      <w:r>
        <w:t xml:space="preserve"> </w:t>
      </w:r>
      <w:r>
        <w:t xml:space="preserve">EU Policymaker (European Commission)</w:t>
      </w:r>
      <w:r>
        <w:br/>
      </w:r>
      <w:r>
        <w:t xml:space="preserve">6</w:t>
      </w:r>
      <w:r>
        <w:t xml:space="preserve"> </w:t>
      </w:r>
      <w:r>
        <w:t xml:space="preserve">Trade union</w:t>
      </w:r>
      <w:r>
        <w:br/>
      </w:r>
      <w:r>
        <w:t xml:space="preserve">13</w:t>
      </w:r>
      <w:r>
        <w:t xml:space="preserve"> </w:t>
      </w:r>
      <w:r>
        <w:t xml:space="preserve">EU Implementation Body / Public-Private</w:t>
      </w:r>
      <w:r>
        <w:t xml:space="preserve"> </w:t>
      </w:r>
      <w:r>
        <w:t xml:space="preserve">Partnership</w:t>
      </w:r>
      <w:r>
        <w:br/>
      </w:r>
      <w:r>
        <w:t xml:space="preserve">7</w:t>
      </w:r>
      <w:r>
        <w:t xml:space="preserve"> </w:t>
      </w:r>
      <w:r>
        <w:t xml:space="preserve">Industry Association</w:t>
      </w:r>
      <w:r>
        <w:br/>
      </w:r>
      <w:r>
        <w:t xml:space="preserve">14</w:t>
      </w:r>
    </w:p>
    <w:p>
      <w:pPr>
        <w:pStyle w:val="BodyText"/>
      </w:pPr>
      <w:r>
        <w:t xml:space="preserve">7.1.</w:t>
      </w:r>
      <w:r>
        <w:t xml:space="preserve"> </w:t>
      </w:r>
      <w:r>
        <w:t xml:space="preserve">Effectiveness</w:t>
      </w:r>
      <w:r>
        <w:br/>
      </w:r>
      <w:r>
        <w:t xml:space="preserve">Interviewed stakeholders widely reported that Pillar I instruments had been successful.</w:t>
      </w:r>
      <w:r>
        <w:t xml:space="preserve"> </w:t>
      </w:r>
      <w:r>
        <w:t xml:space="preserve">The EIC’s €300M Chips Fund mandate was described as effective in building a portfolio of</w:t>
      </w:r>
      <w:r>
        <w:t xml:space="preserve"> </w:t>
      </w:r>
      <w:r>
        <w:t xml:space="preserve">deep-tech start-ups and in crowding in private investment by validating risky companies.</w:t>
      </w:r>
      <w:r>
        <w:t xml:space="preserve"> </w:t>
      </w:r>
      <w:r>
        <w:t xml:space="preserve">Stakeholders characterised the Design Platform as a standout success for fabless start-ups,</w:t>
      </w:r>
      <w:r>
        <w:t xml:space="preserve"> </w:t>
      </w:r>
      <w:r>
        <w:t xml:space="preserve">offering easier and cheaper access to design tools. Research-oriented interviewees agreed that</w:t>
      </w:r>
      <w:r>
        <w:t xml:space="preserve"> </w:t>
      </w:r>
      <w:r>
        <w:t xml:space="preserve">Europe remained a global research hub, with IPCEIs and pilot lines supporting innovation along</w:t>
      </w:r>
      <w:r>
        <w:t xml:space="preserve"> </w:t>
      </w:r>
      <w:r>
        <w:t xml:space="preserve">the value chain. First-of-a-kind manufacturing projects and cooperation models such as the</w:t>
      </w:r>
      <w:r>
        <w:t xml:space="preserve"> </w:t>
      </w:r>
      <w:r>
        <w:t xml:space="preserve">TSMC Dresden project (ESMC) were viewed as promising steps towards greater sovereignty</w:t>
      </w:r>
      <w:r>
        <w:t xml:space="preserve"> </w:t>
      </w:r>
      <w:r>
        <w:t xml:space="preserve">and more coordinated European action.</w:t>
      </w:r>
      <w:r>
        <w:t xml:space="preserve"> </w:t>
      </w:r>
      <w:r>
        <w:t xml:space="preserve">However, perceived effectiveness dropped sharply at the transition from research to</w:t>
      </w:r>
      <w:r>
        <w:t xml:space="preserve"> </w:t>
      </w:r>
      <w:r>
        <w:t xml:space="preserve">industrialisation and scaling, creating a pronounced “valley of death” between early-stage</w:t>
      </w:r>
      <w:r>
        <w:t xml:space="preserve"> </w:t>
      </w:r>
      <w:r>
        <w:t xml:space="preserve">innovation and commercialisation. Access to and involvement in pilot lines for start-ups and</w:t>
      </w:r>
      <w:r>
        <w:t xml:space="preserve"> </w:t>
      </w:r>
      <w:r>
        <w:t xml:space="preserve">SMEs was described as unclear and costly and was perceived as a missed opportunity,</w:t>
      </w:r>
      <w:r>
        <w:t xml:space="preserve"> </w:t>
      </w:r>
      <w:r>
        <w:t xml:space="preserve">particularly for equipment and hardware start-ups that needed real testing environments.</w:t>
      </w:r>
      <w:r>
        <w:t xml:space="preserve"> </w:t>
      </w:r>
      <w:r>
        <w:t xml:space="preserve">Stakeholders generally judged Pillar II to be less effective due to weak coordination, the</w:t>
      </w:r>
      <w:r>
        <w:t xml:space="preserve"> </w:t>
      </w:r>
      <w:r>
        <w:t xml:space="preserve">dominance of national budgets (leading to concentration in large Member States), and a lack of</w:t>
      </w:r>
      <w:r>
        <w:t xml:space="preserve"> </w:t>
      </w:r>
      <w:r>
        <w:t xml:space="preserve">clear metrics. They argued that the system mainly supported incremental, rather than disruptive,</w:t>
      </w:r>
      <w:r>
        <w:t xml:space="preserve"> </w:t>
      </w:r>
      <w:r>
        <w:t xml:space="preserve">innovation and that project timelines (3–4 years) were too short for breakthrough technologies</w:t>
      </w:r>
      <w:r>
        <w:t xml:space="preserve"> </w:t>
      </w:r>
      <w:r>
        <w:t xml:space="preserve">that might require seven years or more.</w:t>
      </w:r>
      <w:r>
        <w:t xml:space="preserve"> </w:t>
      </w:r>
      <w:r>
        <w:t xml:space="preserve">Interviewees identified the investment and market environment as key structural</w:t>
      </w:r>
      <w:r>
        <w:t xml:space="preserve"> </w:t>
      </w:r>
      <w:r>
        <w:t xml:space="preserve">constraints. They claimed that without significantly larger funding, Europe could not expect</w:t>
      </w:r>
      <w:r>
        <w:t xml:space="preserve"> </w:t>
      </w:r>
      <w:r>
        <w:t xml:space="preserve">meaningful independence in advanced CMOS nodes or a competitive position in AI-related</w:t>
      </w:r>
      <w:r>
        <w:t xml:space="preserve"> </w:t>
      </w:r>
      <w:r>
        <w:t xml:space="preserve">hardware. Limited VC and capital markets, the lack of advanced fabs, and the absence of strong</w:t>
      </w:r>
      <w:r>
        <w:t xml:space="preserve"> </w:t>
      </w:r>
      <w:r>
        <w:t xml:space="preserve">European end-users in key sectors such as consumer electronics and AI hardware were said to</w:t>
      </w:r>
      <w:r>
        <w:t xml:space="preserve"> </w:t>
      </w:r>
      <w:r>
        <w:t xml:space="preserve">push start-ups to relocate or raise funds in the US, where both public and private capital moved</w:t>
      </w:r>
      <w:r>
        <w:t xml:space="preserve"> </w:t>
      </w:r>
      <w:r>
        <w:t xml:space="preserve">faster and at much larger scale. While the Chips Act was considered helpful at the seed and early</w:t>
      </w:r>
      <w:r>
        <w:t xml:space="preserve"> </w:t>
      </w:r>
      <w:r>
        <w:t xml:space="preserve">stages, stakeholders argued that it did not yet solve the “valley of death” for follow-on financing.</w:t>
      </w:r>
    </w:p>
    <w:p>
      <w:pPr>
        <w:pStyle w:val="BodyText"/>
      </w:pPr>
      <w:r>
        <w:t xml:space="preserve">26</w:t>
      </w:r>
      <w:r>
        <w:t xml:space="preserve"> </w:t>
      </w:r>
      <w:r>
        <w:t xml:space="preserve">SME representatives pointed out complex and demanding procedures that made it practically</w:t>
      </w:r>
      <w:r>
        <w:t xml:space="preserve"> </w:t>
      </w:r>
      <w:r>
        <w:t xml:space="preserve">impossible for them to benefit, and some interviewees felt that the Chips Act had not made</w:t>
      </w:r>
      <w:r>
        <w:t xml:space="preserve"> </w:t>
      </w:r>
      <w:r>
        <w:t xml:space="preserve">Europe more attractive for semiconductor start-ups.</w:t>
      </w:r>
      <w:r>
        <w:t xml:space="preserve"> </w:t>
      </w:r>
      <w:r>
        <w:t xml:space="preserve">Views on supply-chain resilience and governance effects were described as mixed. Interviewees</w:t>
      </w:r>
      <w:r>
        <w:t xml:space="preserve"> </w:t>
      </w:r>
      <w:r>
        <w:t xml:space="preserve">acknowledged that, on paper, the Act had improved sovereignty and triggered new projects, but</w:t>
      </w:r>
      <w:r>
        <w:t xml:space="preserve"> </w:t>
      </w:r>
      <w:r>
        <w:t xml:space="preserve">they also emphasised that Europe still relied heavily on Asian, especially Taiwanese, suppliers</w:t>
      </w:r>
      <w:r>
        <w:t xml:space="preserve"> </w:t>
      </w:r>
      <w:r>
        <w:t xml:space="preserve">and that current investment volumes were viewed as “cosmetic” compared to Asia’s.</w:t>
      </w:r>
      <w:r>
        <w:br/>
      </w:r>
      <w:r>
        <w:t xml:space="preserve">Stakeholders involved in Pillar III reported that data collection had shown voluntary mechanisms</w:t>
      </w:r>
      <w:r>
        <w:t xml:space="preserve"> </w:t>
      </w:r>
      <w:r>
        <w:t xml:space="preserve">could work technically, but effectiveness had been undermined because the information gathered</w:t>
      </w:r>
      <w:r>
        <w:t xml:space="preserve"> </w:t>
      </w:r>
      <w:r>
        <w:t xml:space="preserve">was not meaningfully used, which they said damaged trust and future cooperation.</w:t>
      </w:r>
      <w:r>
        <w:br/>
      </w:r>
      <w:r>
        <w:t xml:space="preserve">Finally, some stakeholders argued that supply-side support alone was insufficient. In their view,</w:t>
      </w:r>
      <w:r>
        <w:t xml:space="preserve"> </w:t>
      </w:r>
      <w:r>
        <w:t xml:space="preserve">effectiveness required stronger demand-side measures (e.g., “buy European” clauses in</w:t>
      </w:r>
      <w:r>
        <w:t xml:space="preserve"> </w:t>
      </w:r>
      <w:r>
        <w:t xml:space="preserve">public procurement for initiatives such as the Pilot Lines, AI Factories, and EuroHPC) to counter</w:t>
      </w:r>
      <w:r>
        <w:t xml:space="preserve"> </w:t>
      </w:r>
      <w:r>
        <w:t xml:space="preserve">the tendency for purchases to come predominantly from US or Japanese suppliers.</w:t>
      </w:r>
      <w:r>
        <w:t xml:space="preserve"> </w:t>
      </w:r>
      <w:r>
        <w:t xml:space="preserve">7.2.</w:t>
      </w:r>
      <w:r>
        <w:t xml:space="preserve"> </w:t>
      </w:r>
      <w:r>
        <w:t xml:space="preserve">Efficiency</w:t>
      </w:r>
      <w:r>
        <w:br/>
      </w:r>
      <w:r>
        <w:t xml:space="preserve">Stakeholders reported that the Chips Act was seen as strategically important but at times</w:t>
      </w:r>
      <w:r>
        <w:t xml:space="preserve"> </w:t>
      </w:r>
      <w:r>
        <w:t xml:space="preserve">operationally challenging. They generally argued that some instruments were not well aligned</w:t>
      </w:r>
      <w:r>
        <w:t xml:space="preserve"> </w:t>
      </w:r>
      <w:r>
        <w:t xml:space="preserve">with the capital intensity and timelines of semiconductors, and that governance across funding</w:t>
      </w:r>
      <w:r>
        <w:t xml:space="preserve"> </w:t>
      </w:r>
      <w:r>
        <w:t xml:space="preserve">streams and administrative levels could be difficult to navigate. Several companies reported</w:t>
      </w:r>
      <w:r>
        <w:t xml:space="preserve"> </w:t>
      </w:r>
      <w:r>
        <w:t xml:space="preserve">duplicated procedures for the same project, which increased costs and slowed decisions, while</w:t>
      </w:r>
      <w:r>
        <w:t xml:space="preserve"> </w:t>
      </w:r>
      <w:r>
        <w:t xml:space="preserve">smaller players often relied on consultants to manage similar application requirements.</w:t>
      </w:r>
      <w:r>
        <w:t xml:space="preserve"> </w:t>
      </w:r>
      <w:r>
        <w:t xml:space="preserve">Interviewees pointed to the design and sequencing of funding instruments as a key issue.</w:t>
      </w:r>
      <w:r>
        <w:t xml:space="preserve"> </w:t>
      </w:r>
      <w:r>
        <w:t xml:space="preserve">Existing innovation and scale-up tools were described as insufficiently tailored to the cost</w:t>
      </w:r>
      <w:r>
        <w:t xml:space="preserve"> </w:t>
      </w:r>
      <w:r>
        <w:t xml:space="preserve">structure of chip development. Grants were often too small for major steps such as a tape-</w:t>
      </w:r>
      <w:r>
        <w:t xml:space="preserve"> </w:t>
      </w:r>
      <w:r>
        <w:t xml:space="preserve">out, while the next-tier instruments required higher technological maturity than many</w:t>
      </w:r>
      <w:r>
        <w:t xml:space="preserve"> </w:t>
      </w:r>
      <w:r>
        <w:t xml:space="preserve">firms had reached. This contributed to a “valley of death” between programmes and, in scale-</w:t>
      </w:r>
      <w:r>
        <w:t xml:space="preserve"> </w:t>
      </w:r>
      <w:r>
        <w:t xml:space="preserve">up support, to difficulties meeting requirements for significant prior investment commitments.</w:t>
      </w:r>
      <w:r>
        <w:t xml:space="preserve"> </w:t>
      </w:r>
      <w:r>
        <w:t xml:space="preserve">Stakeholders argued that more flexible ticket sizes, smoother transitions across technology</w:t>
      </w:r>
      <w:r>
        <w:t xml:space="preserve"> </w:t>
      </w:r>
      <w:r>
        <w:t xml:space="preserve">readiness levels and clearer rules for co-investment with trusted non-EU partners would improve</w:t>
      </w:r>
      <w:r>
        <w:t xml:space="preserve"> </w:t>
      </w:r>
      <w:r>
        <w:t xml:space="preserve">alignment with sector needs.</w:t>
      </w:r>
      <w:r>
        <w:t xml:space="preserve"> </w:t>
      </w:r>
      <w:r>
        <w:t xml:space="preserve">Procedures were frequently described as slower and more burdensome than in competing</w:t>
      </w:r>
      <w:r>
        <w:t xml:space="preserve"> </w:t>
      </w:r>
      <w:r>
        <w:t xml:space="preserve">regions. Validation and approval for first-of-a-kind investments could take many months, and the</w:t>
      </w:r>
      <w:r>
        <w:t xml:space="preserve"> </w:t>
      </w:r>
      <w:r>
        <w:t xml:space="preserve">gap between political announcements and the first calls was occasionally long. Interviewees also</w:t>
      </w:r>
      <w:r>
        <w:t xml:space="preserve"> </w:t>
      </w:r>
      <w:r>
        <w:t xml:space="preserve">noted repeated documentation requests, digital platforms that did not always function as intended</w:t>
      </w:r>
      <w:r>
        <w:t xml:space="preserve"> </w:t>
      </w:r>
      <w:r>
        <w:t xml:space="preserve">and limited administrative capacity. Stakeholders also highlighted limited transparency on</w:t>
      </w:r>
      <w:r>
        <w:t xml:space="preserve"> </w:t>
      </w:r>
      <w:r>
        <w:t xml:space="preserve">application status, criteria and decision-making, which made planning difficult. They noted the</w:t>
      </w:r>
      <w:r>
        <w:t xml:space="preserve"> </w:t>
      </w:r>
      <w:r>
        <w:t xml:space="preserve">absence of an EU-level overview of firms and investment activity, reducing visibility for</w:t>
      </w:r>
      <w:r>
        <w:t xml:space="preserve"> </w:t>
      </w:r>
      <w:r>
        <w:t xml:space="preserve">effective policy steering. These experiences indicated, in their view, room for simplification,</w:t>
      </w:r>
      <w:r>
        <w:t xml:space="preserve"> </w:t>
      </w:r>
      <w:r>
        <w:t xml:space="preserve">clearer timelines and more consistent once-only submission practices.</w:t>
      </w:r>
      <w:r>
        <w:t xml:space="preserve"> </w:t>
      </w:r>
      <w:r>
        <w:t xml:space="preserve">Finally, several stakeholders commented that the Act had been assembled under time pressure</w:t>
      </w:r>
      <w:r>
        <w:t xml:space="preserve"> </w:t>
      </w:r>
      <w:r>
        <w:t xml:space="preserve">with limited early industry input, resulting in instruments layered onto administrative systems</w:t>
      </w:r>
      <w:r>
        <w:t xml:space="preserve"> </w:t>
      </w:r>
      <w:r>
        <w:t xml:space="preserve">not fully adapted to semiconductor needs. Decisions to fund many parallel technology areas,</w:t>
      </w:r>
      <w:r>
        <w:t xml:space="preserve"> </w:t>
      </w:r>
      <w:r>
        <w:t xml:space="preserve">such as in quantum, were viewed as spreading resources thinly. Interviewees also noted that for</w:t>
      </w:r>
    </w:p>
    <w:p>
      <w:pPr>
        <w:pStyle w:val="BodyText"/>
      </w:pPr>
      <w:r>
        <w:t xml:space="preserve">27</w:t>
      </w:r>
      <w:r>
        <w:t xml:space="preserve"> </w:t>
      </w:r>
      <w:r>
        <w:t xml:space="preserve">the most financially robust global semiconductor firms, bottlenecks related less to subsidies than</w:t>
      </w:r>
      <w:r>
        <w:t xml:space="preserve"> </w:t>
      </w:r>
      <w:r>
        <w:t xml:space="preserve">to broader framework conditions such as predictable permitting, skilled labour availability and</w:t>
      </w:r>
      <w:r>
        <w:t xml:space="preserve"> </w:t>
      </w:r>
      <w:r>
        <w:t xml:space="preserve">competitive operating costs.</w:t>
      </w:r>
      <w:r>
        <w:t xml:space="preserve"> </w:t>
      </w:r>
      <w:r>
        <w:t xml:space="preserve">7.3.</w:t>
      </w:r>
      <w:r>
        <w:t xml:space="preserve"> </w:t>
      </w:r>
      <w:r>
        <w:t xml:space="preserve">Coherence</w:t>
      </w:r>
      <w:r>
        <w:br/>
      </w:r>
      <w:r>
        <w:t xml:space="preserve">Stakeholders generally indicated that coherence had been a recurring challenge in the</w:t>
      </w:r>
      <w:r>
        <w:t xml:space="preserve"> </w:t>
      </w:r>
      <w:r>
        <w:t xml:space="preserve">implementation of the Chips Act, both within the EU policy system and across Member States.</w:t>
      </w:r>
      <w:r>
        <w:t xml:space="preserve"> </w:t>
      </w:r>
      <w:r>
        <w:t xml:space="preserve">They noted that internal coherence between innovation funding instruments and top-down policy</w:t>
      </w:r>
      <w:r>
        <w:t xml:space="preserve"> </w:t>
      </w:r>
      <w:r>
        <w:t xml:space="preserve">design had sometimes been limited. Bottom-up work with start-ups was seen as insufficiently</w:t>
      </w:r>
      <w:r>
        <w:t xml:space="preserve"> </w:t>
      </w:r>
      <w:r>
        <w:t xml:space="preserve">connected to the design or adjustment of large-scale instruments. Interviewees reported that</w:t>
      </w:r>
      <w:r>
        <w:t xml:space="preserve"> </w:t>
      </w:r>
      <w:r>
        <w:t xml:space="preserve">operational services collected valuable insights from start-ups, but these were not always fed</w:t>
      </w:r>
      <w:r>
        <w:t xml:space="preserve"> </w:t>
      </w:r>
      <w:r>
        <w:t xml:space="preserve">back into policymaking.</w:t>
      </w:r>
      <w:r>
        <w:br/>
      </w:r>
      <w:r>
        <w:t xml:space="preserve">Stakeholders also observed that coherence across instruments and programmes had been uneven.</w:t>
      </w:r>
      <w:r>
        <w:t xml:space="preserve"> </w:t>
      </w:r>
      <w:r>
        <w:t xml:space="preserve">Although synergies in principle existed between frontier research, proof-of-concept funding,</w:t>
      </w:r>
      <w:r>
        <w:t xml:space="preserve"> </w:t>
      </w:r>
      <w:r>
        <w:t xml:space="preserve">transition mechanisms, and later-stage innovation support, interviewees suggested that these</w:t>
      </w:r>
      <w:r>
        <w:t xml:space="preserve"> </w:t>
      </w:r>
      <w:r>
        <w:t xml:space="preserve">links tended to depend on individual initiative rather than structured coordination. The intended</w:t>
      </w:r>
      <w:r>
        <w:t xml:space="preserve"> </w:t>
      </w:r>
      <w:r>
        <w:t xml:space="preserve">pathway from research to pilot lines and then to production was not widely perceived as an</w:t>
      </w:r>
      <w:r>
        <w:t xml:space="preserve"> </w:t>
      </w:r>
      <w:r>
        <w:t xml:space="preserve">integrated continuum. The first pillar was viewed as largely research-driven, with limited</w:t>
      </w:r>
      <w:r>
        <w:t xml:space="preserve"> </w:t>
      </w:r>
      <w:r>
        <w:t xml:space="preserve">mechanisms to support the translation of results into industrial innovation or manufacturing</w:t>
      </w:r>
      <w:r>
        <w:t xml:space="preserve"> </w:t>
      </w:r>
      <w:r>
        <w:t xml:space="preserve">scale-up.</w:t>
      </w:r>
      <w:r>
        <w:t xml:space="preserve"> </w:t>
      </w:r>
      <w:r>
        <w:t xml:space="preserve">Interviewees further noted that coordination across Member States had sometimes been</w:t>
      </w:r>
      <w:r>
        <w:t xml:space="preserve"> </w:t>
      </w:r>
      <w:r>
        <w:t xml:space="preserve">fragmented. National and regional semiconductor initiatives were often developed</w:t>
      </w:r>
      <w:r>
        <w:t xml:space="preserve"> </w:t>
      </w:r>
      <w:r>
        <w:t xml:space="preserve">independently, without a clear framework to bring them together into a more strategic European</w:t>
      </w:r>
      <w:r>
        <w:t xml:space="preserve"> </w:t>
      </w:r>
      <w:r>
        <w:t xml:space="preserve">approach. Governance structures intended to facilitate coordination were described as offering</w:t>
      </w:r>
      <w:r>
        <w:t xml:space="preserve"> </w:t>
      </w:r>
      <w:r>
        <w:t xml:space="preserve">limited visibility into other countries’ activities, which stakeholders felt could hinder mutual</w:t>
      </w:r>
      <w:r>
        <w:t xml:space="preserve"> </w:t>
      </w:r>
      <w:r>
        <w:t xml:space="preserve">learning and risk duplication. According to several interviewees, parts of the value chain, such as</w:t>
      </w:r>
      <w:r>
        <w:t xml:space="preserve"> </w:t>
      </w:r>
      <w:r>
        <w:t xml:space="preserve">electronic manufacturing services and PCB industries, were receiving comparatively less</w:t>
      </w:r>
      <w:r>
        <w:t xml:space="preserve"> </w:t>
      </w:r>
      <w:r>
        <w:t xml:space="preserve">attention.</w:t>
      </w:r>
      <w:r>
        <w:t xml:space="preserve"> </w:t>
      </w:r>
      <w:r>
        <w:t xml:space="preserve">Stakeholders also pointed to areas where legal and policy scope had been unclear or not fully</w:t>
      </w:r>
      <w:r>
        <w:t xml:space="preserve"> </w:t>
      </w:r>
      <w:r>
        <w:t xml:space="preserve">aligned with other regulatory instruments. Definitions such as what constituted first-of-a-kind</w:t>
      </w:r>
      <w:r>
        <w:t xml:space="preserve"> </w:t>
      </w:r>
      <w:r>
        <w:t xml:space="preserve">were considered difficult to interpret, and some critical segments (e.g., materials suppliers,</w:t>
      </w:r>
      <w:r>
        <w:t xml:space="preserve"> </w:t>
      </w:r>
      <w:r>
        <w:t xml:space="preserve">testing, metrology equipment) were not always clearly addressed. Interviewees also noted</w:t>
      </w:r>
      <w:r>
        <w:t xml:space="preserve"> </w:t>
      </w:r>
      <w:r>
        <w:t xml:space="preserve">potential tensions with other frameworks, including foreign subsidy rules. Environmental and</w:t>
      </w:r>
      <w:r>
        <w:t xml:space="preserve"> </w:t>
      </w:r>
      <w:r>
        <w:t xml:space="preserve">energy-efficiency considerations, prominent in State aid rules, were not seen as strongly</w:t>
      </w:r>
      <w:r>
        <w:t xml:space="preserve"> </w:t>
      </w:r>
      <w:r>
        <w:t xml:space="preserve">integrated into the Chips Act.</w:t>
      </w:r>
      <w:r>
        <w:t xml:space="preserve"> </w:t>
      </w:r>
      <w:r>
        <w:t xml:space="preserve">Finally, stakeholders described data collection and monitoring as an area where coherence</w:t>
      </w:r>
      <w:r>
        <w:t xml:space="preserve"> </w:t>
      </w:r>
      <w:r>
        <w:t xml:space="preserve">could be strengthened. Multiple Commission services, Member States, and private actors</w:t>
      </w:r>
      <w:r>
        <w:t xml:space="preserve"> </w:t>
      </w:r>
      <w:r>
        <w:t xml:space="preserve">carried out parallel semiconductor-related data exercises, sometimes overlapping and targeting</w:t>
      </w:r>
      <w:r>
        <w:t xml:space="preserve"> </w:t>
      </w:r>
      <w:r>
        <w:t xml:space="preserve">the same firms. Interviewees reported a lack of a shared framework or one-stop-shop, which they</w:t>
      </w:r>
      <w:r>
        <w:t xml:space="preserve"> </w:t>
      </w:r>
      <w:r>
        <w:t xml:space="preserve">felt increased administrative burden and reduced transparency. They also saw limited evidence</w:t>
      </w:r>
      <w:r>
        <w:t xml:space="preserve"> </w:t>
      </w:r>
      <w:r>
        <w:t xml:space="preserve">that collected data was systematically pooled or used to support coordinated policy development,</w:t>
      </w:r>
      <w:r>
        <w:t xml:space="preserve"> </w:t>
      </w:r>
      <w:r>
        <w:t xml:space="preserve">noting that effective monitoring, particularly under the third pillar, would require both legal</w:t>
      </w:r>
      <w:r>
        <w:t xml:space="preserve"> </w:t>
      </w:r>
      <w:r>
        <w:t xml:space="preserve">provisions and sufficient institutional capacity.</w:t>
      </w:r>
    </w:p>
    <w:p>
      <w:pPr>
        <w:pStyle w:val="BodyText"/>
      </w:pPr>
      <w:r>
        <w:t xml:space="preserve">28</w:t>
      </w:r>
      <w:r>
        <w:t xml:space="preserve"> </w:t>
      </w:r>
      <w:r>
        <w:t xml:space="preserve">7.4.</w:t>
      </w:r>
      <w:r>
        <w:t xml:space="preserve"> </w:t>
      </w:r>
      <w:r>
        <w:t xml:space="preserve">EU added value</w:t>
      </w:r>
      <w:r>
        <w:br/>
      </w:r>
      <w:r>
        <w:t xml:space="preserve">Stakeholders generally indicated that European funding instruments had played a crucial</w:t>
      </w:r>
      <w:r>
        <w:t xml:space="preserve"> </w:t>
      </w:r>
      <w:r>
        <w:t xml:space="preserve">role for deep-tech start-ups in semiconductors and related fields. Many interviewees</w:t>
      </w:r>
      <w:r>
        <w:t xml:space="preserve"> </w:t>
      </w:r>
      <w:r>
        <w:t xml:space="preserve">believed that companies supported through Union programmes would have struggled to survive</w:t>
      </w:r>
      <w:r>
        <w:t xml:space="preserve"> </w:t>
      </w:r>
      <w:r>
        <w:t xml:space="preserve">on national or private funding alone, especially at very early and capital-intensive stages.</w:t>
      </w:r>
      <w:r>
        <w:t xml:space="preserve"> </w:t>
      </w:r>
      <w:r>
        <w:t xml:space="preserve">European-level public investment, combined with national support, was described as “genuinely</w:t>
      </w:r>
      <w:r>
        <w:t xml:space="preserve"> </w:t>
      </w:r>
      <w:r>
        <w:t xml:space="preserve">additional”, enabling rounds and growth that many Member States could not have achieved</w:t>
      </w:r>
      <w:r>
        <w:t xml:space="preserve"> </w:t>
      </w:r>
      <w:r>
        <w:t xml:space="preserve">independently.</w:t>
      </w:r>
      <w:r>
        <w:t xml:space="preserve"> </w:t>
      </w:r>
      <w:r>
        <w:t xml:space="preserve">Interviewees noted important signalling and ecosystem effects too. The Chips Act was seen as</w:t>
      </w:r>
      <w:r>
        <w:t xml:space="preserve"> </w:t>
      </w:r>
      <w:r>
        <w:t xml:space="preserve">demonstrating institutional commitment, helping build investor trust and a more visible</w:t>
      </w:r>
      <w:r>
        <w:t xml:space="preserve"> </w:t>
      </w:r>
      <w:r>
        <w:t xml:space="preserve">European semiconductor community. Events and portfolio efforts were viewed as contributing to</w:t>
      </w:r>
      <w:r>
        <w:t xml:space="preserve"> </w:t>
      </w:r>
      <w:r>
        <w:t xml:space="preserve">“a recognisable European semiconductor ecosystem” rather than a set of disconnected</w:t>
      </w:r>
      <w:r>
        <w:t xml:space="preserve"> </w:t>
      </w:r>
      <w:r>
        <w:t xml:space="preserve">national efforts.</w:t>
      </w:r>
      <w:r>
        <w:t xml:space="preserve"> </w:t>
      </w:r>
      <w:r>
        <w:t xml:space="preserve">On regulation and coordination, stakeholders argued that the EU offered value that</w:t>
      </w:r>
      <w:r>
        <w:t xml:space="preserve"> </w:t>
      </w:r>
      <w:r>
        <w:t xml:space="preserve">Member States could not replicate alone. The state aid framework linked to the Chips Act and</w:t>
      </w:r>
      <w:r>
        <w:t xml:space="preserve"> </w:t>
      </w:r>
      <w:r>
        <w:t xml:space="preserve">IPCEI experience was perceived as creating “a common playing field”, giving Europe clearer</w:t>
      </w:r>
      <w:r>
        <w:t xml:space="preserve"> </w:t>
      </w:r>
      <w:r>
        <w:t xml:space="preserve">rules for competing in global subsidy environments, even though most investment came from</w:t>
      </w:r>
      <w:r>
        <w:t xml:space="preserve"> </w:t>
      </w:r>
      <w:r>
        <w:t xml:space="preserve">national budgets.</w:t>
      </w:r>
      <w:r>
        <w:t xml:space="preserve"> </w:t>
      </w:r>
      <w:r>
        <w:t xml:space="preserve">The joint undertaking structure was viewed as another source of added value through its</w:t>
      </w:r>
      <w:r>
        <w:t xml:space="preserve"> </w:t>
      </w:r>
      <w:r>
        <w:t xml:space="preserve">matching-fund model. Interviewees saw this “money-doubling mechanism” that encouraged</w:t>
      </w:r>
      <w:r>
        <w:t xml:space="preserve"> </w:t>
      </w:r>
      <w:r>
        <w:t xml:space="preserve">national mobilisation. At the same time, they noted that the Act continued to rely heavily on</w:t>
      </w:r>
      <w:r>
        <w:t xml:space="preserve"> </w:t>
      </w:r>
      <w:r>
        <w:t xml:space="preserve">national fiscal capacity, limiting the extent to which EU-level funding could reduce disparities</w:t>
      </w:r>
      <w:r>
        <w:t xml:space="preserve"> </w:t>
      </w:r>
      <w:r>
        <w:t xml:space="preserve">between larger and smaller Member States. Stakeholders also highlighted added value in market</w:t>
      </w:r>
      <w:r>
        <w:t xml:space="preserve"> </w:t>
      </w:r>
      <w:r>
        <w:t xml:space="preserve">intelligence. They reported that only an EU-level effort could generate comprehensive cross-</w:t>
      </w:r>
      <w:r>
        <w:t xml:space="preserve"> </w:t>
      </w:r>
      <w:r>
        <w:t xml:space="preserve">border data on semiconductor use and revenues, which companies valued as a neutral reference</w:t>
      </w:r>
      <w:r>
        <w:t xml:space="preserve"> </w:t>
      </w:r>
      <w:r>
        <w:t xml:space="preserve">point. Yet, they stressed that this advantage depended on such information being visibly used in</w:t>
      </w:r>
      <w:r>
        <w:t xml:space="preserve"> </w:t>
      </w:r>
      <w:r>
        <w:t xml:space="preserve">policy design; otherwise, the case for centralised monitoring weakened.</w:t>
      </w:r>
      <w:r>
        <w:t xml:space="preserve"> </w:t>
      </w:r>
      <w:r>
        <w:t xml:space="preserve">Interviewees also mentioned several limits. Slow funding roll-out, shaped by the Multiannual</w:t>
      </w:r>
      <w:r>
        <w:t xml:space="preserve"> </w:t>
      </w:r>
      <w:r>
        <w:t xml:space="preserve">Financial Framework and procedural complexity, was perceived as reducing the Act’s</w:t>
      </w:r>
      <w:r>
        <w:t xml:space="preserve"> </w:t>
      </w:r>
      <w:r>
        <w:t xml:space="preserve">competitiveness relative to faster support schemes elsewhere. Stakeholders additionally noted</w:t>
      </w:r>
      <w:r>
        <w:t xml:space="preserve"> </w:t>
      </w:r>
      <w:r>
        <w:t xml:space="preserve">that full semiconductor autonomy was unrealistic. They saw the EU’s most feasible</w:t>
      </w:r>
      <w:r>
        <w:t xml:space="preserve"> </w:t>
      </w:r>
      <w:r>
        <w:t xml:space="preserve">contribution as reinforcing existing industrial strengths, attracting inward investment, and</w:t>
      </w:r>
      <w:r>
        <w:t xml:space="preserve"> </w:t>
      </w:r>
      <w:r>
        <w:t xml:space="preserve">supporting competitive European firms within global supply chains rather than pursuing full</w:t>
      </w:r>
      <w:r>
        <w:t xml:space="preserve"> </w:t>
      </w:r>
      <w:r>
        <w:t xml:space="preserve">localisation.</w:t>
      </w:r>
      <w:r>
        <w:t xml:space="preserve"> </w:t>
      </w:r>
      <w:r>
        <w:t xml:space="preserve">7.5.</w:t>
      </w:r>
      <w:r>
        <w:t xml:space="preserve"> </w:t>
      </w:r>
      <w:r>
        <w:t xml:space="preserve">Relevance</w:t>
      </w:r>
      <w:r>
        <w:br/>
      </w:r>
      <w:r>
        <w:t xml:space="preserve">Stakeholders indicated that the European Chips Act addressed several important needs within</w:t>
      </w:r>
      <w:r>
        <w:t xml:space="preserve"> </w:t>
      </w:r>
      <w:r>
        <w:t xml:space="preserve">Europe’s semiconductor ecosystem, though assessments of its overall relevance varied. Many</w:t>
      </w:r>
      <w:r>
        <w:t xml:space="preserve"> </w:t>
      </w:r>
      <w:r>
        <w:t xml:space="preserve">noted that its initial focus did not fully reflect Europe’s structural strengths, long-term</w:t>
      </w:r>
      <w:r>
        <w:t xml:space="preserve"> </w:t>
      </w:r>
      <w:r>
        <w:t xml:space="preserve">vulnerabilities, or the realities of global markets. While the Act provided a framework for</w:t>
      </w:r>
      <w:r>
        <w:t xml:space="preserve"> </w:t>
      </w:r>
      <w:r>
        <w:t xml:space="preserve">investment and technological development, interviewees stressed the need to refine priorities,</w:t>
      </w:r>
      <w:r>
        <w:t xml:space="preserve"> </w:t>
      </w:r>
      <w:r>
        <w:t xml:space="preserve">strengthen demand-side integration, and better align with industrial capabilities and</w:t>
      </w:r>
      <w:r>
        <w:t xml:space="preserve"> </w:t>
      </w:r>
      <w:r>
        <w:t xml:space="preserve">geopolitical constraints.</w:t>
      </w:r>
    </w:p>
    <w:p>
      <w:pPr>
        <w:pStyle w:val="BodyText"/>
      </w:pPr>
      <w:r>
        <w:t xml:space="preserve">29</w:t>
      </w:r>
      <w:r>
        <w:t xml:space="preserve"> </w:t>
      </w:r>
      <w:r>
        <w:t xml:space="preserve">Several stakeholders observed that early instruments overlooked emerging needs, particularly</w:t>
      </w:r>
      <w:r>
        <w:t xml:space="preserve"> </w:t>
      </w:r>
      <w:r>
        <w:t xml:space="preserve">the strategic roles of fabless design companies. End-user industries and parts of the supply</w:t>
      </w:r>
      <w:r>
        <w:t xml:space="preserve"> </w:t>
      </w:r>
      <w:r>
        <w:t xml:space="preserve">chain, such as electronic manufacturing services, printed circuit boards, packaging, testing,</w:t>
      </w:r>
      <w:r>
        <w:t xml:space="preserve"> </w:t>
      </w:r>
      <w:r>
        <w:t xml:space="preserve">metrology tools, and raw materials, were not adequately considered, creating uncertainty for</w:t>
      </w:r>
      <w:r>
        <w:t xml:space="preserve"> </w:t>
      </w:r>
      <w:r>
        <w:t xml:space="preserve">investors and leaving European strengths underexploited.</w:t>
      </w:r>
      <w:r>
        <w:t xml:space="preserve"> </w:t>
      </w:r>
      <w:r>
        <w:t xml:space="preserve">A recurring theme was the need to focus on areas of competitive advantage, including</w:t>
      </w:r>
      <w:r>
        <w:t xml:space="preserve"> </w:t>
      </w:r>
      <w:r>
        <w:t xml:space="preserve">lithography and other production equipment, photonics, power electronics, sensors, and imaging</w:t>
      </w:r>
      <w:r>
        <w:t xml:space="preserve"> </w:t>
      </w:r>
      <w:r>
        <w:t xml:space="preserve">technologies. Interviewees suggested that political emphasis on the most advanced</w:t>
      </w:r>
      <w:r>
        <w:t xml:space="preserve"> </w:t>
      </w:r>
      <w:r>
        <w:t xml:space="preserve">manufacturing nodes was unlikely to be realistic without significantly larger budgets. They</w:t>
      </w:r>
      <w:r>
        <w:t xml:space="preserve"> </w:t>
      </w:r>
      <w:r>
        <w:t xml:space="preserve">recommended building on existing ecosystems and concentrating on niches where Europe can</w:t>
      </w:r>
      <w:r>
        <w:t xml:space="preserve"> </w:t>
      </w:r>
      <w:r>
        <w:t xml:space="preserve">lead. Long-term relevance was also linked to AI hardware and related technologies, where</w:t>
      </w:r>
      <w:r>
        <w:t xml:space="preserve"> </w:t>
      </w:r>
      <w:r>
        <w:t xml:space="preserve">innovations risked remaining underutilised without strategies ensuring domestic deployment.</w:t>
      </w:r>
      <w:r>
        <w:t xml:space="preserve"> </w:t>
      </w:r>
      <w:r>
        <w:t xml:space="preserve">Ignoring these areas could leave Europe economically marginalised.</w:t>
      </w:r>
      <w:r>
        <w:t xml:space="preserve"> </w:t>
      </w:r>
      <w:r>
        <w:t xml:space="preserve">Stakeholders highlighted that monitoring and intelligence functions required clearer design.</w:t>
      </w:r>
      <w:r>
        <w:t xml:space="preserve"> </w:t>
      </w:r>
      <w:r>
        <w:t xml:space="preserve">Effective data collection needed to be tied to specific policy purposes, with aggregated</w:t>
      </w:r>
      <w:r>
        <w:t xml:space="preserve"> </w:t>
      </w:r>
      <w:r>
        <w:t xml:space="preserve">intelligence shared back to contributors to inform assessments and foster long-term cooperation.</w:t>
      </w:r>
      <w:r>
        <w:t xml:space="preserve"> </w:t>
      </w:r>
      <w:r>
        <w:t xml:space="preserve">Interviewees emphasised the importance of integrating industrial policy across the full</w:t>
      </w:r>
      <w:r>
        <w:t xml:space="preserve"> </w:t>
      </w:r>
      <w:r>
        <w:t xml:space="preserve">electronics value chain. Declines in European printed circuit board manufacturing, for instance,</w:t>
      </w:r>
      <w:r>
        <w:t xml:space="preserve"> </w:t>
      </w:r>
      <w:r>
        <w:t xml:space="preserve">were seen as threatening commercial sectors as well as space and defence autonomy,</w:t>
      </w:r>
      <w:r>
        <w:t xml:space="preserve"> </w:t>
      </w:r>
      <w:r>
        <w:t xml:space="preserve">underscoring the need for sustained support to maintain critical suppliers.</w:t>
      </w:r>
      <w:r>
        <w:t xml:space="preserve"> </w:t>
      </w:r>
      <w:r>
        <w:t xml:space="preserve">7.6.</w:t>
      </w:r>
      <w:r>
        <w:t xml:space="preserve"> </w:t>
      </w:r>
      <w:r>
        <w:t xml:space="preserve">Prospective</w:t>
      </w:r>
      <w:r>
        <w:t xml:space="preserve"> </w:t>
      </w:r>
      <w:r>
        <w:t xml:space="preserve">Interviewees suggested that the future of the Chips Act would require a strategic refocus.</w:t>
      </w:r>
      <w:r>
        <w:t xml:space="preserve"> </w:t>
      </w:r>
      <w:r>
        <w:t xml:space="preserve">Some argued that Europe should concentrate on its real strengths, such as equipment, photonics,</w:t>
      </w:r>
      <w:r>
        <w:t xml:space="preserve"> </w:t>
      </w:r>
      <w:r>
        <w:t xml:space="preserve">sensors, power electronics, and specific AI-related hardware, while providing better support for</w:t>
      </w:r>
      <w:r>
        <w:t xml:space="preserve"> </w:t>
      </w:r>
      <w:r>
        <w:t xml:space="preserve">fabless design and the full electronics value chain. Monitoring and data collection were expected</w:t>
      </w:r>
      <w:r>
        <w:t xml:space="preserve"> </w:t>
      </w:r>
      <w:r>
        <w:t xml:space="preserve">to evolve into a more purposeful intelligence function, with information clearly linked to policy</w:t>
      </w:r>
      <w:r>
        <w:t xml:space="preserve"> </w:t>
      </w:r>
      <w:r>
        <w:t xml:space="preserve">choices, shared with contributors, and used to guide priorities and risk assessments.</w:t>
      </w:r>
      <w:r>
        <w:t xml:space="preserve"> </w:t>
      </w:r>
      <w:r>
        <w:t xml:space="preserve">Looking ahead, stakeholders called for more flexible and faster funding tools to bridge the</w:t>
      </w:r>
      <w:r>
        <w:t xml:space="preserve"> </w:t>
      </w:r>
      <w:r>
        <w:t xml:space="preserve">“valley of death” from research to industrial scale-up, alongside simpler procedures and</w:t>
      </w:r>
      <w:r>
        <w:t xml:space="preserve"> </w:t>
      </w:r>
      <w:r>
        <w:t xml:space="preserve">clearer access for start-ups and SMEs. They also highlighted the need for smoother pathways</w:t>
      </w:r>
      <w:r>
        <w:t xml:space="preserve"> </w:t>
      </w:r>
      <w:r>
        <w:t xml:space="preserve">across technology readiness levels, and clearer rules for co-investment with trusted non-EU</w:t>
      </w:r>
      <w:r>
        <w:t xml:space="preserve"> </w:t>
      </w:r>
      <w:r>
        <w:t xml:space="preserve">partners. At the same time, they anticipated a stronger EU role in coordinating national</w:t>
      </w:r>
      <w:r>
        <w:t xml:space="preserve"> </w:t>
      </w:r>
      <w:r>
        <w:t xml:space="preserve">initiatives, aligning the Chips Act with other regulatory frameworks, and complementing supply-</w:t>
      </w:r>
      <w:r>
        <w:t xml:space="preserve"> </w:t>
      </w:r>
      <w:r>
        <w:t xml:space="preserve">side subsidies with demand-side measures such as strategic public procurement.</w:t>
      </w:r>
      <w:r>
        <w:t xml:space="preserve"> </w:t>
      </w:r>
      <w:r>
        <w:t xml:space="preserve">A distinctive perspective emphasised that before pursuing ambitious expansion, Europe should</w:t>
      </w:r>
      <w:r>
        <w:t xml:space="preserve"> </w:t>
      </w:r>
      <w:r>
        <w:t xml:space="preserve">secure existing facilities, as remaining backend capacity faces significant pressure.</w:t>
      </w:r>
      <w:r>
        <w:t xml:space="preserve"> </w:t>
      </w:r>
      <w:r>
        <w:t xml:space="preserve">Recommendations included integrating social conditions (job creation quality, health and safety</w:t>
      </w:r>
      <w:r>
        <w:t xml:space="preserve"> </w:t>
      </w:r>
      <w:r>
        <w:t xml:space="preserve">standards, collective bargaining requirements) and environmental criteria (PFAS substitution,</w:t>
      </w:r>
      <w:r>
        <w:t xml:space="preserve"> </w:t>
      </w:r>
      <w:r>
        <w:t xml:space="preserve">renewable energy incentives) to position Europe as a leader in sustainable semiconductor</w:t>
      </w:r>
      <w:r>
        <w:t xml:space="preserve"> </w:t>
      </w:r>
      <w:r>
        <w:t xml:space="preserve">manufacturing.</w:t>
      </w:r>
      <w:r>
        <w:t xml:space="preserve"> </w:t>
      </w:r>
      <w:r>
        <w:t xml:space="preserve">Stakeholders emphasised that Europe should not aim for full semiconductor autonomy but a</w:t>
      </w:r>
      <w:r>
        <w:t xml:space="preserve"> </w:t>
      </w:r>
      <w:r>
        <w:t xml:space="preserve">realistic position: reinforcing existing strengths, attracting foreign investment, supporting</w:t>
      </w:r>
      <w:r>
        <w:t xml:space="preserve"> </w:t>
      </w:r>
      <w:r>
        <w:t xml:space="preserve">competitive European application companies, and increasing agile EU-level funding to remain</w:t>
      </w:r>
      <w:r>
        <w:t xml:space="preserve"> </w:t>
      </w:r>
      <w:r>
        <w:t xml:space="preserve">relevant in AI chips and advanced computing.</w:t>
      </w:r>
    </w:p>
    <w:p>
      <w:pPr>
        <w:pStyle w:val="BodyText"/>
      </w:pPr>
      <w:r>
        <w:t xml:space="preserve">30</w:t>
      </w:r>
      <w:r>
        <w:t xml:space="preserve"> </w:t>
      </w:r>
      <w:r>
        <w:t xml:space="preserve">8.</w:t>
      </w:r>
      <w:r>
        <w:t xml:space="preserve"> </w:t>
      </w:r>
      <w:r>
        <w:t xml:space="preserve">SUMMARISED RESULTS OF THE WORKSHOPS</w:t>
      </w:r>
      <w:r>
        <w:br/>
      </w:r>
      <w:r>
        <w:t xml:space="preserve">Sixteen thematic evaluation workshops (Table 3) were conducted between September and</w:t>
      </w:r>
      <w:r>
        <w:t xml:space="preserve"> </w:t>
      </w:r>
      <w:r>
        <w:t xml:space="preserve">December 2025 with the participation of diverse stakeholders across the European</w:t>
      </w:r>
      <w:r>
        <w:t xml:space="preserve"> </w:t>
      </w:r>
      <w:r>
        <w:t xml:space="preserve">semiconductor ecosystem. Structured summary reports were developed for each of the</w:t>
      </w:r>
      <w:r>
        <w:t xml:space="preserve"> </w:t>
      </w:r>
      <w:r>
        <w:t xml:space="preserve">workshops, including sections 1) Summary of Stakeholders’ Perspectives; 2) Key messages per</w:t>
      </w:r>
      <w:r>
        <w:t xml:space="preserve"> </w:t>
      </w:r>
      <w:r>
        <w:t xml:space="preserve">evaluation criteria; and 3) Prospective Reflections for Chips Act 2.0. These summaries have been</w:t>
      </w:r>
      <w:r>
        <w:t xml:space="preserve"> </w:t>
      </w:r>
      <w:r>
        <w:t xml:space="preserve">analysed and compared across the workshops.</w:t>
      </w:r>
      <w:r>
        <w:br/>
      </w:r>
      <w:r>
        <w:t xml:space="preserve">Table 3. Workshop coding</w:t>
      </w:r>
      <w:r>
        <w:br/>
      </w:r>
      <w:r>
        <w:t xml:space="preserve">Workshop title</w:t>
      </w:r>
      <w:r>
        <w:t xml:space="preserve"> </w:t>
      </w:r>
      <w:r>
        <w:t xml:space="preserve">Code Workshop title</w:t>
      </w:r>
      <w:r>
        <w:t xml:space="preserve"> </w:t>
      </w:r>
      <w:r>
        <w:t xml:space="preserve">Code</w:t>
      </w:r>
      <w:r>
        <w:t xml:space="preserve"> </w:t>
      </w:r>
      <w:r>
        <w:t xml:space="preserve">Health</w:t>
      </w:r>
      <w:r>
        <w:t xml:space="preserve"> </w:t>
      </w:r>
      <w:r>
        <w:t xml:space="preserve">1</w:t>
      </w:r>
      <w:r>
        <w:t xml:space="preserve"> </w:t>
      </w:r>
      <w:r>
        <w:t xml:space="preserve">Automotives</w:t>
      </w:r>
      <w:r>
        <w:t xml:space="preserve"> </w:t>
      </w:r>
      <w:r>
        <w:t xml:space="preserve">10</w:t>
      </w:r>
      <w:r>
        <w:t xml:space="preserve"> </w:t>
      </w:r>
      <w:r>
        <w:t xml:space="preserve">Telecoms</w:t>
      </w:r>
      <w:r>
        <w:t xml:space="preserve"> </w:t>
      </w:r>
      <w:r>
        <w:t xml:space="preserve">2</w:t>
      </w:r>
      <w:r>
        <w:t xml:space="preserve"> </w:t>
      </w:r>
      <w:r>
        <w:t xml:space="preserve">PCB &amp; EMS</w:t>
      </w:r>
      <w:r>
        <w:t xml:space="preserve"> </w:t>
      </w:r>
      <w:r>
        <w:t xml:space="preserve">11</w:t>
      </w:r>
      <w:r>
        <w:t xml:space="preserve"> </w:t>
      </w:r>
      <w:r>
        <w:t xml:space="preserve">RTOs &amp; Academia</w:t>
      </w:r>
      <w:r>
        <w:t xml:space="preserve"> </w:t>
      </w:r>
      <w:r>
        <w:t xml:space="preserve">3</w:t>
      </w:r>
      <w:r>
        <w:t xml:space="preserve"> </w:t>
      </w:r>
      <w:r>
        <w:t xml:space="preserve">SMEs &amp; Start-ups</w:t>
      </w:r>
      <w:r>
        <w:t xml:space="preserve"> </w:t>
      </w:r>
      <w:r>
        <w:t xml:space="preserve">12</w:t>
      </w:r>
      <w:r>
        <w:t xml:space="preserve"> </w:t>
      </w:r>
      <w:r>
        <w:t xml:space="preserve">ESRA &amp; Regional clusters</w:t>
      </w:r>
      <w:r>
        <w:t xml:space="preserve"> </w:t>
      </w:r>
      <w:r>
        <w:t xml:space="preserve">4</w:t>
      </w:r>
      <w:r>
        <w:t xml:space="preserve"> </w:t>
      </w:r>
      <w:r>
        <w:t xml:space="preserve">Industrial Alliance on Processors and</w:t>
      </w:r>
      <w:r>
        <w:t xml:space="preserve"> </w:t>
      </w:r>
      <w:r>
        <w:t xml:space="preserve">Semiconductor Technologies Plenary</w:t>
      </w:r>
      <w:r>
        <w:t xml:space="preserve"> </w:t>
      </w:r>
      <w:r>
        <w:t xml:space="preserve">13</w:t>
      </w:r>
      <w:r>
        <w:t xml:space="preserve"> </w:t>
      </w:r>
      <w:r>
        <w:t xml:space="preserve">Technology, Innovation and Skills</w:t>
      </w:r>
      <w:r>
        <w:t xml:space="preserve"> </w:t>
      </w:r>
      <w:r>
        <w:t xml:space="preserve">5</w:t>
      </w:r>
      <w:r>
        <w:t xml:space="preserve"> </w:t>
      </w:r>
      <w:r>
        <w:t xml:space="preserve">PAB Workshop</w:t>
      </w:r>
      <w:r>
        <w:t xml:space="preserve"> </w:t>
      </w:r>
      <w:r>
        <w:t xml:space="preserve">14</w:t>
      </w:r>
      <w:r>
        <w:t xml:space="preserve"> </w:t>
      </w:r>
      <w:r>
        <w:t xml:space="preserve">Defence &amp; Space</w:t>
      </w:r>
      <w:r>
        <w:t xml:space="preserve"> </w:t>
      </w:r>
      <w:r>
        <w:t xml:space="preserve">6</w:t>
      </w:r>
      <w:r>
        <w:t xml:space="preserve"> </w:t>
      </w:r>
      <w:r>
        <w:t xml:space="preserve">PMB Workshop</w:t>
      </w:r>
      <w:r>
        <w:t xml:space="preserve"> </w:t>
      </w:r>
      <w:r>
        <w:t xml:space="preserve">15</w:t>
      </w:r>
      <w:r>
        <w:t xml:space="preserve"> </w:t>
      </w:r>
      <w:r>
        <w:t xml:space="preserve">Supply chains</w:t>
      </w:r>
      <w:r>
        <w:t xml:space="preserve"> </w:t>
      </w:r>
      <w:r>
        <w:t xml:space="preserve">7</w:t>
      </w:r>
      <w:r>
        <w:t xml:space="preserve"> </w:t>
      </w:r>
      <w:r>
        <w:t xml:space="preserve">Semiconductor equipment and its components</w:t>
      </w:r>
      <w:r>
        <w:t xml:space="preserve"> </w:t>
      </w:r>
      <w:r>
        <w:t xml:space="preserve">16</w:t>
      </w:r>
      <w:r>
        <w:t xml:space="preserve"> </w:t>
      </w:r>
      <w:r>
        <w:t xml:space="preserve">Advanced Chips Design for Data Centres</w:t>
      </w:r>
      <w:r>
        <w:t xml:space="preserve"> </w:t>
      </w:r>
      <w:r>
        <w:t xml:space="preserve">8</w:t>
      </w:r>
      <w:r>
        <w:t xml:space="preserve"> </w:t>
      </w:r>
      <w:r>
        <w:t xml:space="preserve">Stakeholder’s validation workshop</w:t>
      </w:r>
      <w:r>
        <w:t xml:space="preserve"> </w:t>
      </w:r>
      <w:r>
        <w:t xml:space="preserve">17</w:t>
      </w:r>
      <w:r>
        <w:t xml:space="preserve"> </w:t>
      </w:r>
      <w:r>
        <w:t xml:space="preserve">Materials</w:t>
      </w:r>
      <w:r>
        <w:t xml:space="preserve"> </w:t>
      </w:r>
      <w:r>
        <w:t xml:space="preserve">9</w:t>
      </w:r>
    </w:p>
    <w:p>
      <w:pPr>
        <w:pStyle w:val="BodyText"/>
      </w:pPr>
      <w:r>
        <w:t xml:space="preserve">This diverse participation ensured comprehensive coverage of the semiconductor value chain and</w:t>
      </w:r>
      <w:r>
        <w:t xml:space="preserve"> </w:t>
      </w:r>
      <w:r>
        <w:t xml:space="preserve">other stakeholders. They included:</w:t>
      </w:r>
      <w:r>
        <w:br/>
      </w:r>
      <w:r>
        <w:t xml:space="preserve">• Industry representatives: Major telecoms and industrial equipment manufacturers (Ericsson,</w:t>
      </w:r>
      <w:r>
        <w:t xml:space="preserve"> </w:t>
      </w:r>
      <w:r>
        <w:t xml:space="preserve">Nokia, Philips, Siemens), manufacturer of semiconductors and equipment (ASM, ASML, ST</w:t>
      </w:r>
      <w:r>
        <w:t xml:space="preserve"> </w:t>
      </w:r>
      <w:r>
        <w:t xml:space="preserve">Microelectronics, Cologne Chip), fabless companies, design service providers and other firms</w:t>
      </w:r>
      <w:r>
        <w:t xml:space="preserve"> </w:t>
      </w:r>
      <w:r>
        <w:t xml:space="preserve">(e.g., cloud providers).</w:t>
      </w:r>
      <w:r>
        <w:t xml:space="preserve"> </w:t>
      </w:r>
      <w:r>
        <w:t xml:space="preserve">• Regional and institutional actors: Regional authorities from Saxony, Catalonia, and</w:t>
      </w:r>
      <w:r>
        <w:t xml:space="preserve"> </w:t>
      </w:r>
      <w:r>
        <w:t xml:space="preserve">Finland; industrial clusters (Silicon Europe, MESAP); competence centres; and</w:t>
      </w:r>
      <w:r>
        <w:t xml:space="preserve"> </w:t>
      </w:r>
      <w:r>
        <w:t xml:space="preserve">implementation practitioners managing major projects like Saxony’s TSMC facility.</w:t>
      </w:r>
      <w:r>
        <w:t xml:space="preserve"> </w:t>
      </w:r>
      <w:r>
        <w:t xml:space="preserve">• Research and academic organisations: Research Technology Organisations (RTOs)</w:t>
      </w:r>
      <w:r>
        <w:t xml:space="preserve"> </w:t>
      </w:r>
      <w:r>
        <w:t xml:space="preserve">including IMEC, Fraunhofer, CSEM, and CRT/LETI; universities (TU Graz, University of</w:t>
      </w:r>
      <w:r>
        <w:t xml:space="preserve"> </w:t>
      </w:r>
      <w:r>
        <w:t xml:space="preserve">Delft); and academic consortia involved in pilot lines and research projects.</w:t>
      </w:r>
      <w:r>
        <w:t xml:space="preserve"> </w:t>
      </w:r>
      <w:r>
        <w:t xml:space="preserve">• Supporting ecosystem: Organisations dealing with education (European Chips Skills</w:t>
      </w:r>
      <w:r>
        <w:t xml:space="preserve"> </w:t>
      </w:r>
      <w:r>
        <w:t xml:space="preserve">Academy, EIT Digital, aCCCess), material suppliers, manufacturing technology suppliers,</w:t>
      </w:r>
      <w:r>
        <w:t xml:space="preserve"> </w:t>
      </w:r>
      <w:r>
        <w:t xml:space="preserve">investors, and national talent initiatives.</w:t>
      </w:r>
      <w:r>
        <w:t xml:space="preserve"> </w:t>
      </w:r>
      <w:r>
        <w:t xml:space="preserve">• European Commission: Representatives from DG CNECT, DG DEFIS, DG SANTE, DG</w:t>
      </w:r>
      <w:r>
        <w:t xml:space="preserve"> </w:t>
      </w:r>
      <w:r>
        <w:t xml:space="preserve">RTD, and the Joint Research Centre participated to provide policy context and gather</w:t>
      </w:r>
      <w:r>
        <w:t xml:space="preserve"> </w:t>
      </w:r>
      <w:r>
        <w:t xml:space="preserve">feedback.</w:t>
      </w:r>
      <w:r>
        <w:t xml:space="preserve"> </w:t>
      </w:r>
      <w:r>
        <w:t xml:space="preserve">8.1.</w:t>
      </w:r>
      <w:r>
        <w:t xml:space="preserve"> </w:t>
      </w:r>
      <w:r>
        <w:t xml:space="preserve">Effectiveness</w:t>
      </w:r>
      <w:r>
        <w:br/>
      </w:r>
      <w:r>
        <w:t xml:space="preserve">Across the workshops, stakeholders recognised that the Chips Act had mobilised significant</w:t>
      </w:r>
      <w:r>
        <w:t xml:space="preserve"> </w:t>
      </w:r>
      <w:r>
        <w:t xml:space="preserve">investment and accelerated progress in design, pilot-line development and early</w:t>
      </w:r>
      <w:r>
        <w:t xml:space="preserve"> </w:t>
      </w:r>
      <w:r>
        <w:t xml:space="preserve">manufacturing capacity, yet they also emphasised that critical structural gaps persisted</w:t>
      </w:r>
      <w:r>
        <w:t xml:space="preserve"> </w:t>
      </w:r>
      <w:r>
        <w:t xml:space="preserve">across the value chain. Many noted that Europe still depended heavily on non-EU suppliers, and</w:t>
      </w:r>
      <w:r>
        <w:t xml:space="preserve"> </w:t>
      </w:r>
      <w:r>
        <w:t xml:space="preserve">recent disruptions in the medical, industrial and telecoms sectors illustrated the ongoing</w:t>
      </w:r>
    </w:p>
    <w:p>
      <w:pPr>
        <w:pStyle w:val="BodyText"/>
      </w:pPr>
      <w:r>
        <w:t xml:space="preserve">31</w:t>
      </w:r>
      <w:r>
        <w:t xml:space="preserve"> </w:t>
      </w:r>
      <w:r>
        <w:t xml:space="preserve">vulnerability of supply chains. Participants also warned that component obsolescence,</w:t>
      </w:r>
      <w:r>
        <w:t xml:space="preserve"> </w:t>
      </w:r>
      <w:r>
        <w:t xml:space="preserve">particularly of specialised FPGAs, posed rising risks for sectors requiring long validation cycles.</w:t>
      </w:r>
      <w:r>
        <w:t xml:space="preserve"> </w:t>
      </w:r>
      <w:r>
        <w:t xml:space="preserve">Stakeholders broadly agreed that Europe lacked viable high-performance manufacturing</w:t>
      </w:r>
      <w:r>
        <w:t xml:space="preserve"> </w:t>
      </w:r>
      <w:r>
        <w:t xml:space="preserve">options, especially for AI, HPC and advanced automotive applications. With nearly all cloud-</w:t>
      </w:r>
      <w:r>
        <w:t xml:space="preserve"> </w:t>
      </w:r>
      <w:r>
        <w:t xml:space="preserve">grade chips sourced from Asia, concentration risks remained extremely high. Several workshops</w:t>
      </w:r>
      <w:r>
        <w:t xml:space="preserve"> </w:t>
      </w:r>
      <w:r>
        <w:t xml:space="preserve">highlighted that the absence of a sufficiently large and coordinated European demand base</w:t>
      </w:r>
      <w:r>
        <w:t xml:space="preserve"> </w:t>
      </w:r>
      <w:r>
        <w:t xml:space="preserve">limited incentives for large-scale investment in cutting-edge capacity.</w:t>
      </w:r>
      <w:r>
        <w:t xml:space="preserve"> </w:t>
      </w:r>
      <w:r>
        <w:t xml:space="preserve">SME access emerged as a consistent concern. While many welcomed the ambition of pilot lines,</w:t>
      </w:r>
      <w:r>
        <w:t xml:space="preserve"> </w:t>
      </w:r>
      <w:r>
        <w:t xml:space="preserve">design platforms and competence centres, stakeholders reported barriers related to cost,</w:t>
      </w:r>
      <w:r>
        <w:t xml:space="preserve"> </w:t>
      </w:r>
      <w:r>
        <w:t xml:space="preserve">administrative complexity, and timing. Pilot-line access was still unaffordable for early-stage</w:t>
      </w:r>
      <w:r>
        <w:t xml:space="preserve"> </w:t>
      </w:r>
      <w:r>
        <w:t xml:space="preserve">innovators, the design platform remained oriented toward firms already active in</w:t>
      </w:r>
      <w:r>
        <w:t xml:space="preserve"> </w:t>
      </w:r>
      <w:r>
        <w:t xml:space="preserve">microelectronics, and in several Member States competence centres had only recently become</w:t>
      </w:r>
      <w:r>
        <w:t xml:space="preserve"> </w:t>
      </w:r>
      <w:r>
        <w:t xml:space="preserve">operational, limiting early benefits for SMEs and start-ups. A lack of effectiveness was also</w:t>
      </w:r>
      <w:r>
        <w:t xml:space="preserve"> </w:t>
      </w:r>
      <w:r>
        <w:t xml:space="preserve">noted by equipment manufacturers who pointed out that their business model would require</w:t>
      </w:r>
      <w:r>
        <w:t xml:space="preserve"> </w:t>
      </w:r>
      <w:r>
        <w:t xml:space="preserve">higher R&amp;D support, not investment incentives.</w:t>
      </w:r>
      <w:r>
        <w:t xml:space="preserve"> </w:t>
      </w:r>
      <w:r>
        <w:t xml:space="preserve">A cross-cutting theme was the lack of demand aggregation, especially in sectors relying on</w:t>
      </w:r>
      <w:r>
        <w:t xml:space="preserve"> </w:t>
      </w:r>
      <w:r>
        <w:t xml:space="preserve">customised or low-volume chips (health technologies, telecoms, data centres, automotive,</w:t>
      </w:r>
      <w:r>
        <w:t xml:space="preserve"> </w:t>
      </w:r>
      <w:r>
        <w:t xml:space="preserve">PCB/EMS). Participants described this as a fundamental structural weakness: fragmented</w:t>
      </w:r>
      <w:r>
        <w:t xml:space="preserve"> </w:t>
      </w:r>
      <w:r>
        <w:t xml:space="preserve">demand prevented economies of scale and slowed the transition from “lab to fab”, limiting</w:t>
      </w:r>
      <w:r>
        <w:t xml:space="preserve"> </w:t>
      </w:r>
      <w:r>
        <w:t xml:space="preserve">Europe’s ability to industrialise emerging technologies.</w:t>
      </w:r>
      <w:r>
        <w:t xml:space="preserve"> </w:t>
      </w:r>
      <w:r>
        <w:t xml:space="preserve">Workshops also noted that skills shortages remained a major bottleneck, with current</w:t>
      </w:r>
      <w:r>
        <w:t xml:space="preserve"> </w:t>
      </w:r>
      <w:r>
        <w:t xml:space="preserve">initiatives seen as insufficient relative to projected shortages of 70,000-80,000 professionals.</w:t>
      </w:r>
      <w:r>
        <w:t xml:space="preserve"> </w:t>
      </w:r>
      <w:r>
        <w:t xml:space="preserve">Acute gaps were reported in analogue design, system architecture, advanced packaging and</w:t>
      </w:r>
      <w:r>
        <w:t xml:space="preserve"> </w:t>
      </w:r>
      <w:r>
        <w:t xml:space="preserve">testing, profiles essential for scaling many of the technologies supported under the Act.</w:t>
      </w:r>
      <w:r>
        <w:t xml:space="preserve"> </w:t>
      </w:r>
      <w:r>
        <w:t xml:space="preserve">Finally, stakeholders stressed that back-end and supporting ecosystem capabilities, notably</w:t>
      </w:r>
      <w:r>
        <w:t xml:space="preserve"> </w:t>
      </w:r>
      <w:r>
        <w:t xml:space="preserve">packaging, testing, materials, and PCBs/EMS, remained underdeveloped and insufficiently</w:t>
      </w:r>
      <w:r>
        <w:t xml:space="preserve"> </w:t>
      </w:r>
      <w:r>
        <w:t xml:space="preserve">addressed by the Chips Act. Several workshops argued that progress in front-end capacity</w:t>
      </w:r>
      <w:r>
        <w:t xml:space="preserve"> </w:t>
      </w:r>
      <w:r>
        <w:t xml:space="preserve">would not translate into ecosystem resilience unless downstream and adjacent segments were</w:t>
      </w:r>
      <w:r>
        <w:t xml:space="preserve"> </w:t>
      </w:r>
      <w:r>
        <w:t xml:space="preserve">strengthened in parallel, particularly for strategic sectors such as defence, automotive and</w:t>
      </w:r>
      <w:r>
        <w:t xml:space="preserve"> </w:t>
      </w:r>
      <w:r>
        <w:t xml:space="preserve">industrial automation.</w:t>
      </w:r>
      <w:r>
        <w:t xml:space="preserve"> </w:t>
      </w:r>
      <w:r>
        <w:t xml:space="preserve">8.2.</w:t>
      </w:r>
      <w:r>
        <w:t xml:space="preserve"> </w:t>
      </w:r>
      <w:r>
        <w:t xml:space="preserve">Efficiency</w:t>
      </w:r>
      <w:r>
        <w:br/>
      </w:r>
      <w:r>
        <w:t xml:space="preserve">Across the workshops, stakeholders emphasised that suggested that while the Chips Act created</w:t>
      </w:r>
      <w:r>
        <w:t xml:space="preserve"> </w:t>
      </w:r>
      <w:r>
        <w:t xml:space="preserve">valuable instruments, administrative processes were at times perceived as slow, complex,</w:t>
      </w:r>
      <w:r>
        <w:t xml:space="preserve"> </w:t>
      </w:r>
      <w:r>
        <w:t xml:space="preserve">and misaligned with industry timelines. Participants highlighted long funding cycles, multi-</w:t>
      </w:r>
      <w:r>
        <w:t xml:space="preserve"> </w:t>
      </w:r>
      <w:r>
        <w:t xml:space="preserve">stage application procedures, and lengthy State-aid approvals as recurring sources of</w:t>
      </w:r>
      <w:r>
        <w:t xml:space="preserve"> </w:t>
      </w:r>
      <w:r>
        <w:t xml:space="preserve">inefficiency. Timing mismatches were frequently cited – industry projects often required multi-</w:t>
      </w:r>
      <w:r>
        <w:t xml:space="preserve"> </w:t>
      </w:r>
      <w:r>
        <w:t xml:space="preserve">year lead times, while some public-funding deadlines operated on six-month windows, creating</w:t>
      </w:r>
      <w:r>
        <w:t xml:space="preserve"> </w:t>
      </w:r>
      <w:r>
        <w:t xml:space="preserve">uncertainty and deterring participation. Stakeholders across sectors therefore prioritised reduced</w:t>
      </w:r>
      <w:r>
        <w:t xml:space="preserve"> </w:t>
      </w:r>
      <w:r>
        <w:t xml:space="preserve">administrative burden, clearer guidance, and streamlined multi-instrument processes as key</w:t>
      </w:r>
      <w:r>
        <w:t xml:space="preserve"> </w:t>
      </w:r>
      <w:r>
        <w:t xml:space="preserve">conditions for improving efficiency.</w:t>
      </w:r>
      <w:r>
        <w:t xml:space="preserve"> </w:t>
      </w:r>
      <w:r>
        <w:t xml:space="preserve">Another broad theme was fragmentation across parallel EU and national initiatives.</w:t>
      </w:r>
      <w:r>
        <w:t xml:space="preserve"> </w:t>
      </w:r>
      <w:r>
        <w:t xml:space="preserve">Workshops pointed to multiple programmes operating with limited coordination, leading to</w:t>
      </w:r>
      <w:r>
        <w:t xml:space="preserve"> </w:t>
      </w:r>
      <w:r>
        <w:t xml:space="preserve">duplication, inconsistent cost models, and unclear complementarities. Participants expressed a</w:t>
      </w:r>
    </w:p>
    <w:p>
      <w:pPr>
        <w:pStyle w:val="BodyText"/>
      </w:pPr>
      <w:r>
        <w:t xml:space="preserve">32</w:t>
      </w:r>
      <w:r>
        <w:t xml:space="preserve"> </w:t>
      </w:r>
      <w:r>
        <w:t xml:space="preserve">preference for a more unified and predictable framework, with several arguing that the Chips Act</w:t>
      </w:r>
      <w:r>
        <w:t xml:space="preserve"> </w:t>
      </w:r>
      <w:r>
        <w:t xml:space="preserve">would function more efficiently if structured as a single, coordinated programme with clearer</w:t>
      </w:r>
      <w:r>
        <w:t xml:space="preserve"> </w:t>
      </w:r>
      <w:r>
        <w:t xml:space="preserve">interfaces between instruments rather than a collection of separately governed schemes. Gaps</w:t>
      </w:r>
      <w:r>
        <w:t xml:space="preserve"> </w:t>
      </w:r>
      <w:r>
        <w:t xml:space="preserve">in day-to-day coordination between entities offering similar expertise—such as competence</w:t>
      </w:r>
      <w:r>
        <w:t xml:space="preserve"> </w:t>
      </w:r>
      <w:r>
        <w:t xml:space="preserve">centres, research infrastructures, and national innovation agencies—were also reported as</w:t>
      </w:r>
      <w:r>
        <w:t xml:space="preserve"> </w:t>
      </w:r>
      <w:r>
        <w:t xml:space="preserve">reducing the overall efficiency of investment.</w:t>
      </w:r>
      <w:r>
        <w:t xml:space="preserve"> </w:t>
      </w:r>
      <w:r>
        <w:t xml:space="preserve">Some workshops raised concerns regarding the tension between efficiency and geographical</w:t>
      </w:r>
      <w:r>
        <w:t xml:space="preserve"> </w:t>
      </w:r>
      <w:r>
        <w:t xml:space="preserve">cohesion. While many stakeholders acknowledged that semiconductor manufacturing benefits</w:t>
      </w:r>
      <w:r>
        <w:t xml:space="preserve"> </w:t>
      </w:r>
      <w:r>
        <w:t xml:space="preserve">from concentration in strong industrial clusters, regional authorities emphasised that they played</w:t>
      </w:r>
      <w:r>
        <w:t xml:space="preserve"> </w:t>
      </w:r>
      <w:r>
        <w:t xml:space="preserve">a critical role in training talent, supporting SMEs, and anchoring local innovation ecosystems.</w:t>
      </w:r>
      <w:r>
        <w:t xml:space="preserve"> </w:t>
      </w:r>
      <w:r>
        <w:t xml:space="preserve">Participants noted that overly centralised investment risks overlooking regional capabilities and</w:t>
      </w:r>
      <w:r>
        <w:t xml:space="preserve"> </w:t>
      </w:r>
      <w:r>
        <w:t xml:space="preserve">slowing implementation, underscoring the need for better multilevel coordination rather than</w:t>
      </w:r>
      <w:r>
        <w:t xml:space="preserve"> </w:t>
      </w:r>
      <w:r>
        <w:t xml:space="preserve">simply broader dispersion of funds.</w:t>
      </w:r>
      <w:r>
        <w:t xml:space="preserve"> </w:t>
      </w:r>
      <w:r>
        <w:t xml:space="preserve">Mobilising private capital, particularly European venture capital, was repeatedly identified</w:t>
      </w:r>
      <w:r>
        <w:t xml:space="preserve"> </w:t>
      </w:r>
      <w:r>
        <w:t xml:space="preserve">as a structural bottleneck. Stakeholders argued that despite the availability of public funding,</w:t>
      </w:r>
      <w:r>
        <w:t xml:space="preserve"> </w:t>
      </w:r>
      <w:r>
        <w:t xml:space="preserve">many semiconductor and deep-tech companies faced difficulties raising private investment at</w:t>
      </w:r>
      <w:r>
        <w:t xml:space="preserve"> </w:t>
      </w:r>
      <w:r>
        <w:t xml:space="preserve">scale. Pension-fund rules and conservative investment mandates were frequently mentioned</w:t>
      </w:r>
      <w:r>
        <w:t xml:space="preserve"> </w:t>
      </w:r>
      <w:r>
        <w:t xml:space="preserve">constraints, alongside the limited depth of European VC markets compared to the United States.</w:t>
      </w:r>
      <w:r>
        <w:t xml:space="preserve"> </w:t>
      </w:r>
      <w:r>
        <w:t xml:space="preserve">As a result, participants stressed that the binding constraint for scale-up was often not public-</w:t>
      </w:r>
      <w:r>
        <w:t xml:space="preserve"> </w:t>
      </w:r>
      <w:r>
        <w:t xml:space="preserve">funding volume but insufficient private-capital mobilisation, which reduced Europe’s ability to</w:t>
      </w:r>
      <w:r>
        <w:t xml:space="preserve"> </w:t>
      </w:r>
      <w:r>
        <w:t xml:space="preserve">translate R&amp;I outputs into industrial impact.</w:t>
      </w:r>
      <w:r>
        <w:t xml:space="preserve"> </w:t>
      </w:r>
      <w:r>
        <w:t xml:space="preserve">8.3.</w:t>
      </w:r>
      <w:r>
        <w:t xml:space="preserve"> </w:t>
      </w:r>
      <w:r>
        <w:t xml:space="preserve">Coherence</w:t>
      </w:r>
      <w:r>
        <w:br/>
      </w:r>
      <w:r>
        <w:t xml:space="preserve">Workshop discussions suggested that stakeholders saw the main coherence gap in the Chips</w:t>
      </w:r>
      <w:r>
        <w:t xml:space="preserve"> </w:t>
      </w:r>
      <w:r>
        <w:t xml:space="preserve">Act’s imbalance between its strong emphasis on manufacturing capacity and comparatively</w:t>
      </w:r>
      <w:r>
        <w:t xml:space="preserve"> </w:t>
      </w:r>
      <w:r>
        <w:t xml:space="preserve">weaker support for design ecosystems, downstream integration, and demand-creation</w:t>
      </w:r>
      <w:r>
        <w:t xml:space="preserve"> </w:t>
      </w:r>
      <w:r>
        <w:t xml:space="preserve">mechanisms. Participants across sectors argued that these elements needed to evolve together</w:t>
      </w:r>
      <w:r>
        <w:t xml:space="preserve"> </w:t>
      </w:r>
      <w:r>
        <w:t xml:space="preserve">for the strategy to be coherent, yet this alignment had not fully materialised. Although seen a</w:t>
      </w:r>
      <w:r>
        <w:t xml:space="preserve"> </w:t>
      </w:r>
      <w:r>
        <w:t xml:space="preserve">setting a great foundation, intended synergies across the three pillars were seen as only partially</w:t>
      </w:r>
      <w:r>
        <w:t xml:space="preserve"> </w:t>
      </w:r>
      <w:r>
        <w:t xml:space="preserve">realised, due to fragmented funding streams, misaligned timelines, and weak operational linkage</w:t>
      </w:r>
      <w:r>
        <w:t xml:space="preserve"> </w:t>
      </w:r>
      <w:r>
        <w:t xml:space="preserve">between Pillars I and II, especially in the transition from pilot-line validation to industrial</w:t>
      </w:r>
      <w:r>
        <w:t xml:space="preserve"> </w:t>
      </w:r>
      <w:r>
        <w:t xml:space="preserve">deployment.</w:t>
      </w:r>
      <w:r>
        <w:br/>
      </w:r>
      <w:r>
        <w:t xml:space="preserve">A cross-cutting theme from multiple workshops was the scale mismatch between European</w:t>
      </w:r>
      <w:r>
        <w:t xml:space="preserve"> </w:t>
      </w:r>
      <w:r>
        <w:t xml:space="preserve">demand and the investment requirements of semiconductor manufacturing. Even where</w:t>
      </w:r>
      <w:r>
        <w:t xml:space="preserve"> </w:t>
      </w:r>
      <w:r>
        <w:t xml:space="preserve">European technology alternatives existed, participants noted that providers struggled to achieve</w:t>
      </w:r>
      <w:r>
        <w:t xml:space="preserve"> </w:t>
      </w:r>
      <w:r>
        <w:t xml:space="preserve">cost competitiveness because the scale of demand was insufficient. Sectors such as</w:t>
      </w:r>
      <w:r>
        <w:t xml:space="preserve"> </w:t>
      </w:r>
      <w:r>
        <w:t xml:space="preserve">telecommunications, automotive, industrial automation, and medical technologies individually</w:t>
      </w:r>
      <w:r>
        <w:t xml:space="preserve"> </w:t>
      </w:r>
      <w:r>
        <w:t xml:space="preserve">lacked the volume to justify major fabs, and participants across several workshops stressed that</w:t>
      </w:r>
      <w:r>
        <w:t xml:space="preserve"> </w:t>
      </w:r>
      <w:r>
        <w:t xml:space="preserve">scale cannot be reached without coordinated, aggregated demand. This structural constraint was</w:t>
      </w:r>
      <w:r>
        <w:t xml:space="preserve"> </w:t>
      </w:r>
      <w:r>
        <w:t xml:space="preserve">linked to cases where European components were technically available but not adopted widely</w:t>
      </w:r>
      <w:r>
        <w:t xml:space="preserve"> </w:t>
      </w:r>
      <w:r>
        <w:t xml:space="preserve">due to higher cost and fragmented purchasing.</w:t>
      </w:r>
      <w:r>
        <w:t xml:space="preserve"> </w:t>
      </w:r>
      <w:r>
        <w:t xml:space="preserve">Stakeholders also pointed to regulatory and policy incoherence affecting implementation.</w:t>
      </w:r>
      <w:r>
        <w:t xml:space="preserve"> </w:t>
      </w:r>
      <w:r>
        <w:t xml:space="preserve">Tensions emerged between ambitions for greater use of European technology and EU state-aid</w:t>
      </w:r>
      <w:r>
        <w:t xml:space="preserve"> </w:t>
      </w:r>
      <w:r>
        <w:t xml:space="preserve">and procurement rules that restricted preferential treatment. Materials and equipment suppliers</w:t>
      </w:r>
      <w:r>
        <w:t xml:space="preserve"> </w:t>
      </w:r>
      <w:r>
        <w:t xml:space="preserve">noted path dependencies that made it difficult for European pilot lines to adopt EU-produced</w:t>
      </w:r>
      <w:r>
        <w:t xml:space="preserve"> </w:t>
      </w:r>
      <w:r>
        <w:t xml:space="preserve">chemicals or tools, as certification systems were aligned with non-EU inputs. Emerging</w:t>
      </w:r>
    </w:p>
    <w:p>
      <w:pPr>
        <w:pStyle w:val="BodyText"/>
      </w:pPr>
      <w:r>
        <w:t xml:space="preserve">33</w:t>
      </w:r>
      <w:r>
        <w:t xml:space="preserve"> </w:t>
      </w:r>
      <w:r>
        <w:t xml:space="preserve">environmental regulations, particularly PFAS restrictions, were also described as misaligned</w:t>
      </w:r>
      <w:r>
        <w:t xml:space="preserve"> </w:t>
      </w:r>
      <w:r>
        <w:t xml:space="preserve">with Europe’s manufacturing ambitions, given the absence of economically viable substitutes for</w:t>
      </w:r>
      <w:r>
        <w:t xml:space="preserve"> </w:t>
      </w:r>
      <w:r>
        <w:t xml:space="preserve">certain fabrication processes.</w:t>
      </w:r>
      <w:r>
        <w:t xml:space="preserve"> </w:t>
      </w:r>
      <w:r>
        <w:t xml:space="preserve">Participants highlighted fragmentation across EU instruments, including Chips JU,</w:t>
      </w:r>
      <w:r>
        <w:t xml:space="preserve"> </w:t>
      </w:r>
      <w:r>
        <w:t xml:space="preserve">Horizon Europe, EIC, IPCEIs, and InvestEU. While individually valuable, these initiatives</w:t>
      </w:r>
      <w:r>
        <w:t xml:space="preserve"> </w:t>
      </w:r>
      <w:r>
        <w:t xml:space="preserve">were perceived as lacking a unifying architecture, creating duplication of administrative effort</w:t>
      </w:r>
      <w:r>
        <w:t xml:space="preserve"> </w:t>
      </w:r>
      <w:r>
        <w:t xml:space="preserve">and insufficiently coordinated investment logic. IPCEIs were viewed as coherent with the Act at</w:t>
      </w:r>
      <w:r>
        <w:t xml:space="preserve"> </w:t>
      </w:r>
      <w:r>
        <w:t xml:space="preserve">a strategic level but still favouring large incumbents, with limited mechanisms to ensure</w:t>
      </w:r>
      <w:r>
        <w:t xml:space="preserve"> </w:t>
      </w:r>
      <w:r>
        <w:t xml:space="preserve">collaboration with smaller innovators. Some challenges were also noted as stemming from</w:t>
      </w:r>
      <w:r>
        <w:t xml:space="preserve"> </w:t>
      </w:r>
      <w:r>
        <w:t xml:space="preserve">temporal misalignment. Stakeholders noted that multi-year project cycles and programme start</w:t>
      </w:r>
      <w:r>
        <w:t xml:space="preserve"> </w:t>
      </w:r>
      <w:r>
        <w:t xml:space="preserve">dates were out of sync with industry time-to-market pressures, with initiatives planned for 2026</w:t>
      </w:r>
      <w:r>
        <w:t xml:space="preserve"> </w:t>
      </w:r>
      <w:r>
        <w:t xml:space="preserve">already perceived as too late for emerging technological windows. Similarly, semiconductor</w:t>
      </w:r>
      <w:r>
        <w:t xml:space="preserve"> </w:t>
      </w:r>
      <w:r>
        <w:t xml:space="preserve">skills pipelines required decade-long investment horizons, yet relevant programmes operated on</w:t>
      </w:r>
      <w:r>
        <w:t xml:space="preserve"> </w:t>
      </w:r>
      <w:r>
        <w:t xml:space="preserve">shorter budgetary cycles, limiting structural impact.</w:t>
      </w:r>
      <w:r>
        <w:t xml:space="preserve"> </w:t>
      </w:r>
      <w:r>
        <w:t xml:space="preserve">8.4.</w:t>
      </w:r>
      <w:r>
        <w:t xml:space="preserve"> </w:t>
      </w:r>
      <w:r>
        <w:t xml:space="preserve">EU added value</w:t>
      </w:r>
      <w:r>
        <w:br/>
      </w:r>
      <w:r>
        <w:t xml:space="preserve">Across the workshops, participants broadly agreed that EU-level coordination was essential for</w:t>
      </w:r>
      <w:r>
        <w:t xml:space="preserve"> </w:t>
      </w:r>
      <w:r>
        <w:t xml:space="preserve">achieving outcomes that individual Member States could not deliver alone. Stakeholders</w:t>
      </w:r>
      <w:r>
        <w:t xml:space="preserve"> </w:t>
      </w:r>
      <w:r>
        <w:t xml:space="preserve">highlighted that only the EU could coordinate dispersed national strategies, facilitate cross-</w:t>
      </w:r>
      <w:r>
        <w:t xml:space="preserve"> </w:t>
      </w:r>
      <w:r>
        <w:t xml:space="preserve">border collaboration, and create economies of scale needed for shared infrastructures such as</w:t>
      </w:r>
      <w:r>
        <w:t xml:space="preserve"> </w:t>
      </w:r>
      <w:r>
        <w:t xml:space="preserve">pilot lines, competence centres, and the European Chips Design Platform. If implemented</w:t>
      </w:r>
      <w:r>
        <w:t xml:space="preserve"> </w:t>
      </w:r>
      <w:r>
        <w:t xml:space="preserve">effectively, these platforms were seen as providing globally distinctive EU added value,</w:t>
      </w:r>
      <w:r>
        <w:t xml:space="preserve"> </w:t>
      </w:r>
      <w:r>
        <w:t xml:space="preserve">particularly by enabling SMEs and start-ups to access design tools and advanced prototyping</w:t>
      </w:r>
      <w:r>
        <w:t xml:space="preserve"> </w:t>
      </w:r>
      <w:r>
        <w:t xml:space="preserve">environments that no single country could sustain.</w:t>
      </w:r>
      <w:r>
        <w:t xml:space="preserve"> </w:t>
      </w:r>
      <w:r>
        <w:t xml:space="preserve">EU-level action was also viewed as necessary for advancing strategic autonomy, not through</w:t>
      </w:r>
      <w:r>
        <w:t xml:space="preserve"> </w:t>
      </w:r>
      <w:r>
        <w:t xml:space="preserve">full self-sufficiency, which participants widely considered unrealistic, but by reinforcing</w:t>
      </w:r>
      <w:r>
        <w:t xml:space="preserve"> </w:t>
      </w:r>
      <w:r>
        <w:t xml:space="preserve">Europe’s strongest technological niches. Workshops consistently pointed to European</w:t>
      </w:r>
      <w:r>
        <w:t xml:space="preserve"> </w:t>
      </w:r>
      <w:r>
        <w:t xml:space="preserve">advantages in areas such as manufacturing equipment including advanced packaging tools and</w:t>
      </w:r>
      <w:r>
        <w:t xml:space="preserve"> </w:t>
      </w:r>
      <w:r>
        <w:t xml:space="preserve">lithography, to photonics, silicon photonics, power electronics, sensors, and energy-efficient</w:t>
      </w:r>
      <w:r>
        <w:t xml:space="preserve"> </w:t>
      </w:r>
      <w:r>
        <w:t xml:space="preserve">design. Participants emphasised that strengthening these capabilities, combined with targeted</w:t>
      </w:r>
      <w:r>
        <w:t xml:space="preserve"> </w:t>
      </w:r>
      <w:r>
        <w:t xml:space="preserve">international partnerships, could create mutual dependencies where global supply chains rely on</w:t>
      </w:r>
      <w:r>
        <w:t xml:space="preserve"> </w:t>
      </w:r>
      <w:r>
        <w:t xml:space="preserve">European technologies. This was seen as an EU-level task, as no Member State could negotiate</w:t>
      </w:r>
      <w:r>
        <w:t xml:space="preserve"> </w:t>
      </w:r>
      <w:r>
        <w:t xml:space="preserve">such strategic partnerships alone.</w:t>
      </w:r>
      <w:r>
        <w:t xml:space="preserve"> </w:t>
      </w:r>
      <w:r>
        <w:t xml:space="preserve">Stakeholders also noted EU added value in coordinating shared investments, particularly</w:t>
      </w:r>
      <w:r>
        <w:t xml:space="preserve"> </w:t>
      </w:r>
      <w:r>
        <w:t xml:space="preserve">through Chips JU and IPCEI mechanisms. Participants observed that these programmes</w:t>
      </w:r>
      <w:r>
        <w:t xml:space="preserve"> </w:t>
      </w:r>
      <w:r>
        <w:t xml:space="preserve">enabled joint funding and collaboration across borders, giving smaller Member States access to</w:t>
      </w:r>
      <w:r>
        <w:t xml:space="preserve"> </w:t>
      </w:r>
      <w:r>
        <w:t xml:space="preserve">research infrastructures and reducing duplication of national efforts. For many SMEs,</w:t>
      </w:r>
      <w:r>
        <w:t xml:space="preserve"> </w:t>
      </w:r>
      <w:r>
        <w:t xml:space="preserve">universities, and RTOs, the EU framework offered opportunities that national schemes could not</w:t>
      </w:r>
      <w:r>
        <w:t xml:space="preserve"> </w:t>
      </w:r>
      <w:r>
        <w:t xml:space="preserve">provide.</w:t>
      </w:r>
      <w:r>
        <w:t xml:space="preserve"> </w:t>
      </w:r>
      <w:r>
        <w:t xml:space="preserve">However, workshops also highlighted several areas where EU added value remained largely</w:t>
      </w:r>
      <w:r>
        <w:t xml:space="preserve"> </w:t>
      </w:r>
      <w:r>
        <w:t xml:space="preserve">unrealised. Fragmented decision-making and parallel national initiatives continued to dilute</w:t>
      </w:r>
      <w:r>
        <w:t xml:space="preserve"> </w:t>
      </w:r>
      <w:r>
        <w:t xml:space="preserve">Europe’s collective leverage. Participants stressed that while Europe possessed substantial</w:t>
      </w:r>
      <w:r>
        <w:t xml:space="preserve"> </w:t>
      </w:r>
      <w:r>
        <w:t xml:space="preserve">potential demand, the absence of EU mechanisms for demand aggregation prevented this from</w:t>
      </w:r>
      <w:r>
        <w:t xml:space="preserve"> </w:t>
      </w:r>
      <w:r>
        <w:t xml:space="preserve">translating into coordinated procurement or industrial scale. In sectors such as health,</w:t>
      </w:r>
      <w:r>
        <w:t xml:space="preserve"> </w:t>
      </w:r>
      <w:r>
        <w:t xml:space="preserve">telecommunications, and data centres, regulatory fragmentation, such as the lack of a unified</w:t>
      </w:r>
    </w:p>
    <w:p>
      <w:pPr>
        <w:pStyle w:val="BodyText"/>
      </w:pPr>
      <w:r>
        <w:t xml:space="preserve">34</w:t>
      </w:r>
      <w:r>
        <w:t xml:space="preserve"> </w:t>
      </w:r>
      <w:r>
        <w:t xml:space="preserve">European counterpart to the FDA, pushed innovators to seek approval in the US first, weakening</w:t>
      </w:r>
      <w:r>
        <w:t xml:space="preserve"> </w:t>
      </w:r>
      <w:r>
        <w:t xml:space="preserve">Europe’s bargaining position and market cohesion.</w:t>
      </w:r>
      <w:r>
        <w:t xml:space="preserve"> </w:t>
      </w:r>
      <w:r>
        <w:t xml:space="preserve">Stakeholders also viewed labour mobility and talent attraction as a major unrealised</w:t>
      </w:r>
      <w:r>
        <w:t xml:space="preserve"> </w:t>
      </w:r>
      <w:r>
        <w:t xml:space="preserve">opportunity for EU added value. Despite widespread skills shortages, there was no unified</w:t>
      </w:r>
      <w:r>
        <w:t xml:space="preserve"> </w:t>
      </w:r>
      <w:r>
        <w:t xml:space="preserve">European framework for cross-border mobility, qualification recognition, or work permits for</w:t>
      </w:r>
      <w:r>
        <w:t xml:space="preserve"> </w:t>
      </w:r>
      <w:r>
        <w:t xml:space="preserve">international talent. Participants argued that only EU-level action could meaningfully reduce</w:t>
      </w:r>
      <w:r>
        <w:t xml:space="preserve"> </w:t>
      </w:r>
      <w:r>
        <w:t xml:space="preserve">these barriers and support semiconductor workforce development at the scale required.</w:t>
      </w:r>
      <w:r>
        <w:t xml:space="preserve"> </w:t>
      </w:r>
      <w:r>
        <w:t xml:space="preserve">8.5.</w:t>
      </w:r>
      <w:r>
        <w:t xml:space="preserve"> </w:t>
      </w:r>
      <w:r>
        <w:t xml:space="preserve">Relevance</w:t>
      </w:r>
      <w:r>
        <w:br/>
      </w:r>
      <w:r>
        <w:t xml:space="preserve">Across the workshops, stakeholders broadly agreed that the Chips Act addressed several of</w:t>
      </w:r>
      <w:r>
        <w:t xml:space="preserve"> </w:t>
      </w:r>
      <w:r>
        <w:t xml:space="preserve">the EU’s most pressing semiconductor needs, particularly the scarcity of mature-node</w:t>
      </w:r>
      <w:r>
        <w:t xml:space="preserve"> </w:t>
      </w:r>
      <w:r>
        <w:t xml:space="preserve">manufacturing capacity, the fragmentation of design infrastructure, and the lack of coordinated</w:t>
      </w:r>
      <w:r>
        <w:t xml:space="preserve"> </w:t>
      </w:r>
      <w:r>
        <w:t xml:space="preserve">investment in critical technologies. Participants consistently emphasised that Europe’s most</w:t>
      </w:r>
      <w:r>
        <w:t xml:space="preserve"> </w:t>
      </w:r>
      <w:r>
        <w:t xml:space="preserve">strategically</w:t>
      </w:r>
      <w:r>
        <w:t xml:space="preserve"> </w:t>
      </w:r>
      <w:r>
        <w:t xml:space="preserve">important</w:t>
      </w:r>
      <w:r>
        <w:t xml:space="preserve"> </w:t>
      </w:r>
      <w:r>
        <w:t xml:space="preserve">sectors,</w:t>
      </w:r>
      <w:r>
        <w:t xml:space="preserve"> </w:t>
      </w:r>
      <w:r>
        <w:t xml:space="preserve">including</w:t>
      </w:r>
      <w:r>
        <w:t xml:space="preserve"> </w:t>
      </w:r>
      <w:r>
        <w:t xml:space="preserve">automotive,</w:t>
      </w:r>
      <w:r>
        <w:t xml:space="preserve"> </w:t>
      </w:r>
      <w:r>
        <w:t xml:space="preserve">health,</w:t>
      </w:r>
      <w:r>
        <w:t xml:space="preserve"> </w:t>
      </w:r>
      <w:r>
        <w:t xml:space="preserve">defence,</w:t>
      </w:r>
      <w:r>
        <w:t xml:space="preserve"> </w:t>
      </w:r>
      <w:r>
        <w:t xml:space="preserve">space,</w:t>
      </w:r>
      <w:r>
        <w:t xml:space="preserve"> </w:t>
      </w:r>
      <w:r>
        <w:t xml:space="preserve">and</w:t>
      </w:r>
      <w:r>
        <w:t xml:space="preserve"> </w:t>
      </w:r>
      <w:r>
        <w:t xml:space="preserve">telecommunications, continued to rely predominantly on mature and specialised technologies,</w:t>
      </w:r>
      <w:r>
        <w:t xml:space="preserve"> </w:t>
      </w:r>
      <w:r>
        <w:t xml:space="preserve">making the Act’s focus on securing and expanding such capacity highly relevant. Defence and</w:t>
      </w:r>
      <w:r>
        <w:t xml:space="preserve"> </w:t>
      </w:r>
      <w:r>
        <w:t xml:space="preserve">space relied on radiation-tolerant 7-12 nm nodes; automotive applications required long-lifecycle</w:t>
      </w:r>
      <w:r>
        <w:t xml:space="preserve"> </w:t>
      </w:r>
      <w:r>
        <w:t xml:space="preserve">components; and healthcare depended on parts requiring multi-decade availability, which</w:t>
      </w:r>
      <w:r>
        <w:t xml:space="preserve"> </w:t>
      </w:r>
      <w:r>
        <w:t xml:space="preserve">standard global semiconductor lifecycles do not support. Participants therefore viewed the</w:t>
      </w:r>
      <w:r>
        <w:t xml:space="preserve"> </w:t>
      </w:r>
      <w:r>
        <w:t xml:space="preserve">Chips Act as filling a gap that individual Member States could not address alone.</w:t>
      </w:r>
      <w:r>
        <w:t xml:space="preserve"> </w:t>
      </w:r>
      <w:r>
        <w:t xml:space="preserve">At the same time, workshops highlighted that several structural needs remained only partially</w:t>
      </w:r>
      <w:r>
        <w:t xml:space="preserve"> </w:t>
      </w:r>
      <w:r>
        <w:t xml:space="preserve">reflected in the Act’s design, especially as new vulnerabilities were arising. Many sectors</w:t>
      </w:r>
      <w:r>
        <w:t xml:space="preserve"> </w:t>
      </w:r>
      <w:r>
        <w:t xml:space="preserve">stressed that relevance depended not only on front-end capacity but on strengthening</w:t>
      </w:r>
      <w:r>
        <w:t xml:space="preserve"> </w:t>
      </w:r>
      <w:r>
        <w:t xml:space="preserve">packaging, testing, assembly, and PCB/EMS capabilities, which were described as Europe’s</w:t>
      </w:r>
      <w:r>
        <w:t xml:space="preserve"> </w:t>
      </w:r>
      <w:r>
        <w:t xml:space="preserve">most acute bottlenecks. Stakeholders across telecoms, automotive, and materials workshops</w:t>
      </w:r>
      <w:r>
        <w:t xml:space="preserve"> </w:t>
      </w:r>
      <w:r>
        <w:t xml:space="preserve">argued that without these back-end and integration capabilities, the Chips Act risked reinforcing</w:t>
      </w:r>
      <w:r>
        <w:t xml:space="preserve"> </w:t>
      </w:r>
      <w:r>
        <w:t xml:space="preserve">Europe’s dependence on non-EU suppliers even as wafer-fabrication capacity expanded.</w:t>
      </w:r>
      <w:r>
        <w:t xml:space="preserve"> </w:t>
      </w:r>
      <w:r>
        <w:t xml:space="preserve">Another recurring theme concerned the Lab-to-Fab gap, which stakeholders described as not</w:t>
      </w:r>
      <w:r>
        <w:t xml:space="preserve"> </w:t>
      </w:r>
      <w:r>
        <w:t xml:space="preserve">merely an implementation issue but a design-relevance challenge. Pilot lines were judged</w:t>
      </w:r>
      <w:r>
        <w:t xml:space="preserve"> </w:t>
      </w:r>
      <w:r>
        <w:t xml:space="preserve">valuable for TRL 5-6 development but insufficiently connected to pathways for high-volume</w:t>
      </w:r>
      <w:r>
        <w:t xml:space="preserve"> </w:t>
      </w:r>
      <w:r>
        <w:t xml:space="preserve">manufacturing. Universities and RTOs pointed to wafer-size mismatches, limited access to</w:t>
      </w:r>
      <w:r>
        <w:t xml:space="preserve"> </w:t>
      </w:r>
      <w:r>
        <w:t xml:space="preserve">industrial equipment, and weak technology-transfer channels, all of which limited the relevance</w:t>
      </w:r>
      <w:r>
        <w:t xml:space="preserve"> </w:t>
      </w:r>
      <w:r>
        <w:t xml:space="preserve">of pilot-line investments for early-stage innovation ecosystems.</w:t>
      </w:r>
      <w:r>
        <w:t xml:space="preserve"> </w:t>
      </w:r>
      <w:r>
        <w:t xml:space="preserve">SMEs repeatedly noted that the Chips Act’s architecture was not fully aligned with their needs,</w:t>
      </w:r>
      <w:r>
        <w:t xml:space="preserve"> </w:t>
      </w:r>
      <w:r>
        <w:t xml:space="preserve">despite the central role SMEs play in design, IP development, and manufacturing technology</w:t>
      </w:r>
      <w:r>
        <w:t xml:space="preserve"> </w:t>
      </w:r>
      <w:r>
        <w:t xml:space="preserve">supply. Barriers included cost-prohibitive pilot-line access, consortium structures that favoured</w:t>
      </w:r>
      <w:r>
        <w:t xml:space="preserve"> </w:t>
      </w:r>
      <w:r>
        <w:t xml:space="preserve">incumbents, and an absence of mechanisms to test equipment within industrial fabrication</w:t>
      </w:r>
      <w:r>
        <w:t xml:space="preserve"> </w:t>
      </w:r>
      <w:r>
        <w:t xml:space="preserve">environments. For fabless companies and design start-ups, the Act was seen as insufficiently</w:t>
      </w:r>
      <w:r>
        <w:t xml:space="preserve"> </w:t>
      </w:r>
      <w:r>
        <w:t xml:space="preserve">tailored to address Europe’s limited availability of EDA tools, high design costs, and lack of</w:t>
      </w:r>
      <w:r>
        <w:t xml:space="preserve"> </w:t>
      </w:r>
      <w:r>
        <w:t xml:space="preserve">early-stage risk capital – factors that were identified as core relevance gaps.</w:t>
      </w:r>
      <w:r>
        <w:t xml:space="preserve"> </w:t>
      </w:r>
      <w:r>
        <w:t xml:space="preserve">Workshops also underscored that Europe’s design ecosystem and architectural IP</w:t>
      </w:r>
      <w:r>
        <w:t xml:space="preserve"> </w:t>
      </w:r>
      <w:r>
        <w:t xml:space="preserve">capabilities represented a more fundamental sovereignty constraint than manufacturing alone.</w:t>
      </w:r>
      <w:r>
        <w:t xml:space="preserve"> </w:t>
      </w:r>
      <w:r>
        <w:t xml:space="preserve">Stakeholders emphasised that relevance would depend on strengthening software-heavy chip</w:t>
      </w:r>
      <w:r>
        <w:t xml:space="preserve"> </w:t>
      </w:r>
      <w:r>
        <w:t xml:space="preserve">design, system integration, and access to state-of-the-art EDA tools. Telecommunications and</w:t>
      </w:r>
      <w:r>
        <w:t xml:space="preserve"> </w:t>
      </w:r>
      <w:r>
        <w:t xml:space="preserve">data-centre actors, for instance, stressed that controlling architectural design flows and system-</w:t>
      </w:r>
    </w:p>
    <w:p>
      <w:pPr>
        <w:pStyle w:val="BodyText"/>
      </w:pPr>
      <w:r>
        <w:t xml:space="preserve">35</w:t>
      </w:r>
      <w:r>
        <w:t xml:space="preserve"> </w:t>
      </w:r>
      <w:r>
        <w:t xml:space="preserve">level integration was just as important as building fabs, yet this dimension was underrepresented</w:t>
      </w:r>
      <w:r>
        <w:t xml:space="preserve"> </w:t>
      </w:r>
      <w:r>
        <w:t xml:space="preserve">in the Chips Act’s current scope.</w:t>
      </w:r>
      <w:r>
        <w:t xml:space="preserve"> </w:t>
      </w:r>
      <w:r>
        <w:t xml:space="preserve">Finally, skills needs emerged as a cross-cutting relevance issue. Participants across design,</w:t>
      </w:r>
      <w:r>
        <w:t xml:space="preserve"> </w:t>
      </w:r>
      <w:r>
        <w:t xml:space="preserve">R&amp;I, manufacturing, packaging, automotive, telecoms, and materials workshops reported</w:t>
      </w:r>
      <w:r>
        <w:t xml:space="preserve"> </w:t>
      </w:r>
      <w:r>
        <w:t xml:space="preserve">shortages in applied engineering, analogue design, advanced packaging, and system integration</w:t>
      </w:r>
      <w:r>
        <w:t xml:space="preserve"> </w:t>
      </w:r>
      <w:r>
        <w:t xml:space="preserve">skills. Some stakeholders argued the Chips Act’s skills measures were insufficiently aligned with</w:t>
      </w:r>
      <w:r>
        <w:t xml:space="preserve"> </w:t>
      </w:r>
      <w:r>
        <w:t xml:space="preserve">where shortages were most acute and did not yet match the pace of technological change in AI,</w:t>
      </w:r>
      <w:r>
        <w:t xml:space="preserve"> </w:t>
      </w:r>
      <w:r>
        <w:t xml:space="preserve">chiplet architectures, and power electronics.</w:t>
      </w:r>
      <w:r>
        <w:br/>
      </w:r>
      <w:r>
        <w:t xml:space="preserve">8.6.</w:t>
      </w:r>
      <w:r>
        <w:t xml:space="preserve"> </w:t>
      </w:r>
      <w:r>
        <w:t xml:space="preserve">Prospective</w:t>
      </w:r>
      <w:r>
        <w:br/>
      </w:r>
      <w:r>
        <w:t xml:space="preserve">Across the workshops, stakeholders underscored that any future iteration of the Chips Act should</w:t>
      </w:r>
      <w:r>
        <w:t xml:space="preserve"> </w:t>
      </w:r>
      <w:r>
        <w:t xml:space="preserve">move beyond a predominantly supply-driven focus toward a more systemic, integrated, value-</w:t>
      </w:r>
      <w:r>
        <w:t xml:space="preserve"> </w:t>
      </w:r>
      <w:r>
        <w:t xml:space="preserve">chain approach. Participants emphasised the need for a framework that supports not only front-</w:t>
      </w:r>
      <w:r>
        <w:t xml:space="preserve"> </w:t>
      </w:r>
      <w:r>
        <w:t xml:space="preserve">end manufacturing but also design ecosystems, advanced packaging, testing and system</w:t>
      </w:r>
      <w:r>
        <w:t xml:space="preserve"> </w:t>
      </w:r>
      <w:r>
        <w:t xml:space="preserve">integration, which remain essential bottlenecks for Europe’s competitiveness.</w:t>
      </w:r>
      <w:r>
        <w:t xml:space="preserve"> </w:t>
      </w:r>
      <w:r>
        <w:t xml:space="preserve">Stakeholders also pointed to a series of structural reforms. A recurrent theme was the need for</w:t>
      </w:r>
      <w:r>
        <w:t xml:space="preserve"> </w:t>
      </w:r>
      <w:r>
        <w:t xml:space="preserve">dedicated mechanisms for SMEs and fabless companies, including accessible pilot-line</w:t>
      </w:r>
      <w:r>
        <w:t xml:space="preserve"> </w:t>
      </w:r>
      <w:r>
        <w:t xml:space="preserve">pathways, equipment-testing environments, lighter consortium requirements, and dedicated</w:t>
      </w:r>
      <w:r>
        <w:t xml:space="preserve"> </w:t>
      </w:r>
      <w:r>
        <w:t xml:space="preserve">equipment development infrastructure with confidentiality protections, R&amp;D tax credits and TRL</w:t>
      </w:r>
      <w:r>
        <w:t xml:space="preserve"> </w:t>
      </w:r>
      <w:r>
        <w:t xml:space="preserve">7-9 fast-track funding, and equipment sector representation in governance structures.</w:t>
      </w:r>
      <w:r>
        <w:t xml:space="preserve"> </w:t>
      </w:r>
      <w:r>
        <w:t xml:space="preserve">Another widely supported proposal was the introduction of demand-aggregation frameworks,</w:t>
      </w:r>
      <w:r>
        <w:t xml:space="preserve"> </w:t>
      </w:r>
      <w:r>
        <w:t xml:space="preserve">enabling</w:t>
      </w:r>
      <w:r>
        <w:t xml:space="preserve"> </w:t>
      </w:r>
      <w:r>
        <w:t xml:space="preserve">coordinated</w:t>
      </w:r>
      <w:r>
        <w:t xml:space="preserve"> </w:t>
      </w:r>
      <w:r>
        <w:t xml:space="preserve">procurement</w:t>
      </w:r>
      <w:r>
        <w:t xml:space="preserve"> </w:t>
      </w:r>
      <w:r>
        <w:t xml:space="preserve">across</w:t>
      </w:r>
      <w:r>
        <w:t xml:space="preserve"> </w:t>
      </w:r>
      <w:r>
        <w:t xml:space="preserve">high-impact</w:t>
      </w:r>
      <w:r>
        <w:t xml:space="preserve"> </w:t>
      </w:r>
      <w:r>
        <w:t xml:space="preserve">sectors</w:t>
      </w:r>
      <w:r>
        <w:t xml:space="preserve"> </w:t>
      </w:r>
      <w:r>
        <w:t xml:space="preserve">such</w:t>
      </w:r>
      <w:r>
        <w:t xml:space="preserve"> </w:t>
      </w:r>
      <w:r>
        <w:t xml:space="preserve">as</w:t>
      </w:r>
      <w:r>
        <w:t xml:space="preserve"> </w:t>
      </w:r>
      <w:r>
        <w:t xml:space="preserve">defence,</w:t>
      </w:r>
      <w:r>
        <w:t xml:space="preserve"> </w:t>
      </w:r>
      <w:r>
        <w:t xml:space="preserve">telecommunications, automotive, health and space. Participants suggested that publicly funded</w:t>
      </w:r>
      <w:r>
        <w:t xml:space="preserve"> </w:t>
      </w:r>
      <w:r>
        <w:t xml:space="preserve">projects could embed demand-side instruments to strengthen the position of European suppliers.</w:t>
      </w:r>
      <w:r>
        <w:t xml:space="preserve"> </w:t>
      </w:r>
      <w:r>
        <w:t xml:space="preserve">They also stressed the need for faster, more flexible funding instruments, streamlined</w:t>
      </w:r>
      <w:r>
        <w:t xml:space="preserve"> </w:t>
      </w:r>
      <w:r>
        <w:t xml:space="preserve">administration, and longer funding horizons aligned with the 10–15 year timescales typical of</w:t>
      </w:r>
      <w:r>
        <w:t xml:space="preserve"> </w:t>
      </w:r>
      <w:r>
        <w:t xml:space="preserve">semiconductor innovation. Predictable, multi-year funding was repeatedly described as critical</w:t>
      </w:r>
      <w:r>
        <w:t xml:space="preserve"> </w:t>
      </w:r>
      <w:r>
        <w:t xml:space="preserve">for enabling companies to plan ahead and scale confidently.</w:t>
      </w:r>
      <w:r>
        <w:t xml:space="preserve"> </w:t>
      </w:r>
      <w:r>
        <w:t xml:space="preserve">Beyond procedural reforms, workshops identified several new technological and strategic</w:t>
      </w:r>
      <w:r>
        <w:t xml:space="preserve"> </w:t>
      </w:r>
      <w:r>
        <w:t xml:space="preserve">priorities for a next phase of the Act. These included targeted support for advanced</w:t>
      </w:r>
      <w:r>
        <w:t xml:space="preserve"> </w:t>
      </w:r>
      <w:r>
        <w:t xml:space="preserve">manufacturing capabilities, such as sub-2 nm processes and 3D/heterogeneous packaging, to</w:t>
      </w:r>
      <w:r>
        <w:t xml:space="preserve"> </w:t>
      </w:r>
      <w:r>
        <w:t xml:space="preserve">reduce reliance on Taiwan and respond to the rapid rise in AI-driven demand. At the same time,</w:t>
      </w:r>
      <w:r>
        <w:t xml:space="preserve"> </w:t>
      </w:r>
      <w:r>
        <w:t xml:space="preserve">participants stressed that expanding leading-edge capacity should not come at the expense of</w:t>
      </w:r>
      <w:r>
        <w:t xml:space="preserve"> </w:t>
      </w:r>
      <w:r>
        <w:t xml:space="preserve">mature nodes, which remain indispensable for automotive, health, industrial and defence sectors.</w:t>
      </w:r>
      <w:r>
        <w:t xml:space="preserve"> </w:t>
      </w:r>
      <w:r>
        <w:t xml:space="preserve">To strengthen Europe’s long-term sovereignty in design, stakeholders proposed investments in</w:t>
      </w:r>
      <w:r>
        <w:t xml:space="preserve"> </w:t>
      </w:r>
      <w:r>
        <w:t xml:space="preserve">reusable IP libraries, open design clouds, and European EDA tools, arguing that architectural and</w:t>
      </w:r>
      <w:r>
        <w:t xml:space="preserve"> </w:t>
      </w:r>
      <w:r>
        <w:t xml:space="preserve">system-level control is as strategically important as manufacturing. Persistent talent shortages</w:t>
      </w:r>
      <w:r>
        <w:t xml:space="preserve"> </w:t>
      </w:r>
      <w:r>
        <w:t xml:space="preserve">also prompted calls for common European curricula beginning in primary and secondary schools</w:t>
      </w:r>
      <w:r>
        <w:t xml:space="preserve"> </w:t>
      </w:r>
      <w:r>
        <w:t xml:space="preserve">with teacher involvement, mobility schemes, and streamlined international recruitment</w:t>
      </w:r>
      <w:r>
        <w:t xml:space="preserve"> </w:t>
      </w:r>
      <w:r>
        <w:t xml:space="preserve">pathways. Workshop discussions also highlighted the importance of purposeful international</w:t>
      </w:r>
      <w:r>
        <w:t xml:space="preserve"> </w:t>
      </w:r>
      <w:r>
        <w:t xml:space="preserve">partnerships, particularly a more formalised high-level cooperation framework with Taiwan,</w:t>
      </w:r>
      <w:r>
        <w:t xml:space="preserve"> </w:t>
      </w:r>
      <w:r>
        <w:t xml:space="preserve">alongside selective strategic collaborations with Japan, South Korea and other trusted partners in</w:t>
      </w:r>
      <w:r>
        <w:t xml:space="preserve"> </w:t>
      </w:r>
      <w:r>
        <w:t xml:space="preserve">areas where Europe is unlikely to develop full domestic capacity in the near term.</w:t>
      </w:r>
    </w:p>
    <w:p>
      <w:pPr>
        <w:pStyle w:val="BodyText"/>
      </w:pPr>
      <w:r>
        <w:t xml:space="preserve">36</w:t>
      </w:r>
      <w:r>
        <w:t xml:space="preserve"> </w:t>
      </w:r>
      <w:r>
        <w:t xml:space="preserve">9.</w:t>
      </w:r>
      <w:r>
        <w:t xml:space="preserve"> </w:t>
      </w:r>
      <w:r>
        <w:t xml:space="preserve">COMPARISON OF THE RESULTS OF CONSULTATION ACTIVITIES</w:t>
      </w:r>
      <w:r>
        <w:t xml:space="preserve"> </w:t>
      </w:r>
      <w:r>
        <w:t xml:space="preserve">The table presents the key results per consultation activity, organised by evaluation criteria, and by the level of consistency, complementarity, and</w:t>
      </w:r>
      <w:r>
        <w:t xml:space="preserve"> </w:t>
      </w:r>
      <w:r>
        <w:t xml:space="preserve">contradiction of the results across consultation activities. Overall, there was a high convergence in the results of different consultation activities, in</w:t>
      </w:r>
      <w:r>
        <w:t xml:space="preserve"> </w:t>
      </w:r>
      <w:r>
        <w:t xml:space="preserve">particular, over the need to align the Chips Act with emerging vulnerabilities, speeding-up and simplifying procedures, and the need to foster SME</w:t>
      </w:r>
      <w:r>
        <w:t xml:space="preserve"> </w:t>
      </w:r>
      <w:r>
        <w:t xml:space="preserve">participation and design activities. Dissent, if any, emerged over the priorities of the Chips Act.</w:t>
      </w:r>
      <w:r>
        <w:t xml:space="preserve"> </w:t>
      </w:r>
      <w:r>
        <w:t xml:space="preserve">Evaluation criterion</w:t>
      </w:r>
      <w:r>
        <w:t xml:space="preserve"> </w:t>
      </w:r>
      <w:r>
        <w:t xml:space="preserve">Open</w:t>
      </w:r>
      <w:r>
        <w:t xml:space="preserve"> </w:t>
      </w:r>
      <w:r>
        <w:t xml:space="preserve">public</w:t>
      </w:r>
      <w:r>
        <w:t xml:space="preserve"> </w:t>
      </w:r>
      <w:r>
        <w:t xml:space="preserve">consultation and call</w:t>
      </w:r>
      <w:r>
        <w:t xml:space="preserve"> </w:t>
      </w:r>
      <w:r>
        <w:t xml:space="preserve">for evidence</w:t>
      </w:r>
      <w:r>
        <w:t xml:space="preserve"> </w:t>
      </w:r>
      <w:r>
        <w:t xml:space="preserve">Survey</w:t>
      </w:r>
      <w:r>
        <w:t xml:space="preserve"> </w:t>
      </w:r>
      <w:r>
        <w:t xml:space="preserve">Interviews</w:t>
      </w:r>
      <w:r>
        <w:t xml:space="preserve"> </w:t>
      </w:r>
      <w:r>
        <w:t xml:space="preserve">Workshops</w:t>
      </w:r>
      <w:r>
        <w:t xml:space="preserve"> </w:t>
      </w:r>
      <w:r>
        <w:t xml:space="preserve">Consistency</w:t>
      </w:r>
      <w:r>
        <w:t xml:space="preserve"> </w:t>
      </w:r>
      <w:r>
        <w:t xml:space="preserve">Complementarity</w:t>
      </w:r>
      <w:r>
        <w:t xml:space="preserve"> </w:t>
      </w:r>
      <w:r>
        <w:t xml:space="preserve">Contradiction</w:t>
      </w:r>
      <w:r>
        <w:t xml:space="preserve"> </w:t>
      </w:r>
      <w:r>
        <w:t xml:space="preserve">Effectiveness</w:t>
      </w:r>
      <w:r>
        <w:t xml:space="preserve"> </w:t>
      </w:r>
      <w:r>
        <w:t xml:space="preserve">Pillar I received</w:t>
      </w:r>
      <w:r>
        <w:t xml:space="preserve"> </w:t>
      </w:r>
      <w:r>
        <w:t xml:space="preserve">strong positive</w:t>
      </w:r>
      <w:r>
        <w:t xml:space="preserve"> </w:t>
      </w:r>
      <w:r>
        <w:t xml:space="preserve">assessments, with a</w:t>
      </w:r>
      <w:r>
        <w:t xml:space="preserve"> </w:t>
      </w:r>
      <w:r>
        <w:t xml:space="preserve">majority considering</w:t>
      </w:r>
      <w:r>
        <w:t xml:space="preserve"> </w:t>
      </w:r>
      <w:r>
        <w:t xml:space="preserve">pilot lines meet their</w:t>
      </w:r>
      <w:r>
        <w:t xml:space="preserve"> </w:t>
      </w:r>
      <w:r>
        <w:t xml:space="preserve">objectives. Pillar II</w:t>
      </w:r>
      <w:r>
        <w:t xml:space="preserve"> </w:t>
      </w:r>
      <w:r>
        <w:t xml:space="preserve">was viewed</w:t>
      </w:r>
      <w:r>
        <w:t xml:space="preserve"> </w:t>
      </w:r>
      <w:r>
        <w:t xml:space="preserve">positively by three</w:t>
      </w:r>
      <w:r>
        <w:t xml:space="preserve"> </w:t>
      </w:r>
      <w:r>
        <w:t xml:space="preserve">quarters of</w:t>
      </w:r>
      <w:r>
        <w:t xml:space="preserve"> </w:t>
      </w:r>
      <w:r>
        <w:t xml:space="preserve">respondents, who</w:t>
      </w:r>
      <w:r>
        <w:t xml:space="preserve"> </w:t>
      </w:r>
      <w:r>
        <w:t xml:space="preserve">considered it has</w:t>
      </w:r>
      <w:r>
        <w:t xml:space="preserve"> </w:t>
      </w:r>
      <w:r>
        <w:t xml:space="preserve">made the EU a more</w:t>
      </w:r>
      <w:r>
        <w:t xml:space="preserve"> </w:t>
      </w:r>
      <w:r>
        <w:t xml:space="preserve">attractive location for</w:t>
      </w:r>
      <w:r>
        <w:t xml:space="preserve"> </w:t>
      </w:r>
      <w:r>
        <w:t xml:space="preserve">semiconductor</w:t>
      </w:r>
      <w:r>
        <w:t xml:space="preserve"> </w:t>
      </w:r>
      <w:r>
        <w:t xml:space="preserve">manufacturing.</w:t>
      </w:r>
      <w:r>
        <w:t xml:space="preserve"> </w:t>
      </w:r>
      <w:r>
        <w:t xml:space="preserve">However,</w:t>
      </w:r>
      <w:r>
        <w:t xml:space="preserve"> </w:t>
      </w:r>
      <w:r>
        <w:t xml:space="preserve">stakeholders question</w:t>
      </w:r>
      <w:r>
        <w:t xml:space="preserve"> </w:t>
      </w:r>
      <w:r>
        <w:t xml:space="preserve">whether investment</w:t>
      </w:r>
      <w:r>
        <w:t xml:space="preserve"> </w:t>
      </w:r>
      <w:r>
        <w:t xml:space="preserve">volumes are</w:t>
      </w:r>
      <w:r>
        <w:t xml:space="preserve"> </w:t>
      </w:r>
      <w:r>
        <w:t xml:space="preserve">sufficient to shift</w:t>
      </w:r>
      <w:r>
        <w:t xml:space="preserve"> </w:t>
      </w:r>
      <w:r>
        <w:t xml:space="preserve">Europe’s competitive</w:t>
      </w:r>
      <w:r>
        <w:t xml:space="preserve"> </w:t>
      </w:r>
      <w:r>
        <w:t xml:space="preserve">position and highlight</w:t>
      </w:r>
      <w:r>
        <w:t xml:space="preserve"> </w:t>
      </w:r>
      <w:r>
        <w:t xml:space="preserve">structural</w:t>
      </w:r>
      <w:r>
        <w:t xml:space="preserve"> </w:t>
      </w:r>
      <w:r>
        <w:t xml:space="preserve">vulnerabilities in</w:t>
      </w:r>
      <w:r>
        <w:t xml:space="preserve"> </w:t>
      </w:r>
      <w:r>
        <w:t xml:space="preserve">PCBs and back-end</w:t>
      </w:r>
      <w:r>
        <w:t xml:space="preserve"> </w:t>
      </w:r>
      <w:r>
        <w:t xml:space="preserve">manufacturing. Pillar</w:t>
      </w:r>
      <w:r>
        <w:t xml:space="preserve"> </w:t>
      </w:r>
      <w:r>
        <w:t xml:space="preserve">III received notably</w:t>
      </w:r>
      <w:r>
        <w:t xml:space="preserve"> </w:t>
      </w:r>
      <w:r>
        <w:t xml:space="preserve">lower only around a</w:t>
      </w:r>
      <w:r>
        <w:t xml:space="preserve"> </w:t>
      </w:r>
      <w:r>
        <w:t xml:space="preserve">third considering</w:t>
      </w:r>
      <w:r>
        <w:t xml:space="preserve"> </w:t>
      </w:r>
      <w:r>
        <w:t xml:space="preserve">objectives met; two-</w:t>
      </w:r>
      <w:r>
        <w:t xml:space="preserve"> </w:t>
      </w:r>
      <w:r>
        <w:t xml:space="preserve">thirds of respondents</w:t>
      </w:r>
      <w:r>
        <w:t xml:space="preserve"> </w:t>
      </w:r>
      <w:r>
        <w:t xml:space="preserve">National authorities</w:t>
      </w:r>
      <w:r>
        <w:t xml:space="preserve"> </w:t>
      </w:r>
      <w:r>
        <w:t xml:space="preserve">report highest</w:t>
      </w:r>
      <w:r>
        <w:t xml:space="preserve"> </w:t>
      </w:r>
      <w:r>
        <w:t xml:space="preserve">positive effects (75%</w:t>
      </w:r>
      <w:r>
        <w:t xml:space="preserve"> </w:t>
      </w:r>
      <w:r>
        <w:t xml:space="preserve">across most</w:t>
      </w:r>
      <w:r>
        <w:t xml:space="preserve"> </w:t>
      </w:r>
      <w:r>
        <w:t xml:space="preserve">dimensions); RTOs</w:t>
      </w:r>
      <w:r>
        <w:t xml:space="preserve"> </w:t>
      </w:r>
      <w:r>
        <w:t xml:space="preserve">report lowest (35-</w:t>
      </w:r>
      <w:r>
        <w:t xml:space="preserve"> </w:t>
      </w:r>
      <w:r>
        <w:t xml:space="preserve">41%), with 35%</w:t>
      </w:r>
      <w:r>
        <w:t xml:space="preserve"> </w:t>
      </w:r>
      <w:r>
        <w:t xml:space="preserve">reporting “no effects”</w:t>
      </w:r>
      <w:r>
        <w:t xml:space="preserve"> </w:t>
      </w:r>
      <w:r>
        <w:t xml:space="preserve">on several</w:t>
      </w:r>
      <w:r>
        <w:t xml:space="preserve"> </w:t>
      </w:r>
      <w:r>
        <w:t xml:space="preserve">dimensions. Progress</w:t>
      </w:r>
      <w:r>
        <w:t xml:space="preserve"> </w:t>
      </w:r>
      <w:r>
        <w:t xml:space="preserve">varies by pillar: Pillar</w:t>
      </w:r>
      <w:r>
        <w:t xml:space="preserve"> </w:t>
      </w:r>
      <w:r>
        <w:t xml:space="preserve">1 (research-industry</w:t>
      </w:r>
      <w:r>
        <w:t xml:space="preserve"> </w:t>
      </w:r>
      <w:r>
        <w:t xml:space="preserve">link) strongest at</w:t>
      </w:r>
      <w:r>
        <w:t xml:space="preserve"> </w:t>
      </w:r>
      <w:r>
        <w:t xml:space="preserve">58%; Pillar 2</w:t>
      </w:r>
      <w:r>
        <w:t xml:space="preserve"> </w:t>
      </w:r>
      <w:r>
        <w:t xml:space="preserve">(investment/capacity)</w:t>
      </w:r>
      <w:r>
        <w:t xml:space="preserve"> </w:t>
      </w:r>
      <w:r>
        <w:t xml:space="preserve">mixed at 42%; Pillar</w:t>
      </w:r>
      <w:r>
        <w:t xml:space="preserve"> </w:t>
      </w:r>
      <w:r>
        <w:t xml:space="preserve">3 (supply chain</w:t>
      </w:r>
      <w:r>
        <w:t xml:space="preserve"> </w:t>
      </w:r>
      <w:r>
        <w:t xml:space="preserve">resilience) weakest at</w:t>
      </w:r>
      <w:r>
        <w:t xml:space="preserve"> </w:t>
      </w:r>
      <w:r>
        <w:t xml:space="preserve">only 17%, with 25%</w:t>
      </w:r>
      <w:r>
        <w:t xml:space="preserve"> </w:t>
      </w:r>
      <w:r>
        <w:t xml:space="preserve">of respondents stating</w:t>
      </w:r>
      <w:r>
        <w:t xml:space="preserve"> </w:t>
      </w:r>
      <w:r>
        <w:t xml:space="preserve">it too early to tell.</w:t>
      </w:r>
      <w:r>
        <w:br/>
      </w:r>
      <w:r>
        <w:t xml:space="preserve">Pillar I is widely</w:t>
      </w:r>
      <w:r>
        <w:t xml:space="preserve"> </w:t>
      </w:r>
      <w:r>
        <w:t xml:space="preserve">viewed as successful.</w:t>
      </w:r>
      <w:r>
        <w:t xml:space="preserve"> </w:t>
      </w:r>
      <w:r>
        <w:t xml:space="preserve">However,</w:t>
      </w:r>
      <w:r>
        <w:t xml:space="preserve"> </w:t>
      </w:r>
      <w:r>
        <w:t xml:space="preserve">effectiveness is</w:t>
      </w:r>
      <w:r>
        <w:t xml:space="preserve"> </w:t>
      </w:r>
      <w:r>
        <w:t xml:space="preserve">lacking in the</w:t>
      </w:r>
      <w:r>
        <w:t xml:space="preserve"> </w:t>
      </w:r>
      <w:r>
        <w:t xml:space="preserve">commercialisation of</w:t>
      </w:r>
      <w:r>
        <w:t xml:space="preserve"> </w:t>
      </w:r>
      <w:r>
        <w:t xml:space="preserve">knowledge. Pilot line</w:t>
      </w:r>
      <w:r>
        <w:t xml:space="preserve"> </w:t>
      </w:r>
      <w:r>
        <w:t xml:space="preserve">access for start-ups</w:t>
      </w:r>
      <w:r>
        <w:t xml:space="preserve"> </w:t>
      </w:r>
      <w:r>
        <w:t xml:space="preserve">and SMEs is unclear,</w:t>
      </w:r>
      <w:r>
        <w:t xml:space="preserve"> </w:t>
      </w:r>
      <w:r>
        <w:t xml:space="preserve">costly, and a missed</w:t>
      </w:r>
      <w:r>
        <w:t xml:space="preserve"> </w:t>
      </w:r>
      <w:r>
        <w:t xml:space="preserve">opportunity. First-of-</w:t>
      </w:r>
      <w:r>
        <w:t xml:space="preserve"> </w:t>
      </w:r>
      <w:r>
        <w:t xml:space="preserve">a-kind manufacturing</w:t>
      </w:r>
      <w:r>
        <w:t xml:space="preserve"> </w:t>
      </w:r>
      <w:r>
        <w:t xml:space="preserve">projects are</w:t>
      </w:r>
      <w:r>
        <w:t xml:space="preserve"> </w:t>
      </w:r>
      <w:r>
        <w:t xml:space="preserve">promising steps, but</w:t>
      </w:r>
      <w:r>
        <w:t xml:space="preserve"> </w:t>
      </w:r>
      <w:r>
        <w:t xml:space="preserve">overall Pillar II</w:t>
      </w:r>
      <w:r>
        <w:t xml:space="preserve"> </w:t>
      </w:r>
      <w:r>
        <w:t xml:space="preserve">suffers from weak</w:t>
      </w:r>
      <w:r>
        <w:t xml:space="preserve"> </w:t>
      </w:r>
      <w:r>
        <w:t xml:space="preserve">coordination, national</w:t>
      </w:r>
      <w:r>
        <w:t xml:space="preserve"> </w:t>
      </w:r>
      <w:r>
        <w:t xml:space="preserve">budget dominance,</w:t>
      </w:r>
      <w:r>
        <w:t xml:space="preserve"> </w:t>
      </w:r>
      <w:r>
        <w:t xml:space="preserve">and lack of clear</w:t>
      </w:r>
      <w:r>
        <w:t xml:space="preserve"> </w:t>
      </w:r>
      <w:r>
        <w:t xml:space="preserve">metrics. Effects of the</w:t>
      </w:r>
      <w:r>
        <w:t xml:space="preserve"> </w:t>
      </w:r>
      <w:r>
        <w:t xml:space="preserve">Chips Act on supply</w:t>
      </w:r>
      <w:r>
        <w:t xml:space="preserve"> </w:t>
      </w:r>
      <w:r>
        <w:t xml:space="preserve">chain resilience are</w:t>
      </w:r>
      <w:r>
        <w:t xml:space="preserve"> </w:t>
      </w:r>
      <w:r>
        <w:t xml:space="preserve">mixed. The Act has</w:t>
      </w:r>
      <w:r>
        <w:t xml:space="preserve"> </w:t>
      </w:r>
      <w:r>
        <w:t xml:space="preserve">triggered new</w:t>
      </w:r>
      <w:r>
        <w:t xml:space="preserve"> </w:t>
      </w:r>
      <w:r>
        <w:t xml:space="preserve">projects, but Europe</w:t>
      </w:r>
      <w:r>
        <w:t xml:space="preserve"> </w:t>
      </w:r>
      <w:r>
        <w:t xml:space="preserve">still relies heavily on</w:t>
      </w:r>
      <w:r>
        <w:t xml:space="preserve"> </w:t>
      </w:r>
      <w:r>
        <w:t xml:space="preserve">Asian, especially</w:t>
      </w:r>
      <w:r>
        <w:t xml:space="preserve"> </w:t>
      </w:r>
      <w:r>
        <w:t xml:space="preserve">Taiwanese, suppliers,</w:t>
      </w:r>
      <w:r>
        <w:t xml:space="preserve"> </w:t>
      </w:r>
      <w:r>
        <w:t xml:space="preserve">with current</w:t>
      </w:r>
      <w:r>
        <w:t xml:space="preserve"> </w:t>
      </w:r>
      <w:r>
        <w:t xml:space="preserve">investment volumes</w:t>
      </w:r>
      <w:r>
        <w:t xml:space="preserve"> </w:t>
      </w:r>
      <w:r>
        <w:t xml:space="preserve">“cosmetic” compared</w:t>
      </w:r>
      <w:r>
        <w:t xml:space="preserve"> </w:t>
      </w:r>
      <w:r>
        <w:t xml:space="preserve">Workshop</w:t>
      </w:r>
      <w:r>
        <w:t xml:space="preserve"> </w:t>
      </w:r>
      <w:r>
        <w:t xml:space="preserve">participants</w:t>
      </w:r>
      <w:r>
        <w:t xml:space="preserve"> </w:t>
      </w:r>
      <w:r>
        <w:t xml:space="preserve">confirmed that the</w:t>
      </w:r>
      <w:r>
        <w:t xml:space="preserve"> </w:t>
      </w:r>
      <w:r>
        <w:t xml:space="preserve">Chips Act delivered</w:t>
      </w:r>
      <w:r>
        <w:t xml:space="preserve"> </w:t>
      </w:r>
      <w:r>
        <w:t xml:space="preserve">its main outputs.</w:t>
      </w:r>
      <w:r>
        <w:t xml:space="preserve"> </w:t>
      </w:r>
      <w:r>
        <w:t xml:space="preserve">However, critical</w:t>
      </w:r>
      <w:r>
        <w:t xml:space="preserve"> </w:t>
      </w:r>
      <w:r>
        <w:t xml:space="preserve">gaps remain, and</w:t>
      </w:r>
      <w:r>
        <w:t xml:space="preserve"> </w:t>
      </w:r>
      <w:r>
        <w:t xml:space="preserve">large dependencies</w:t>
      </w:r>
      <w:r>
        <w:t xml:space="preserve"> </w:t>
      </w:r>
      <w:r>
        <w:t xml:space="preserve">persist. Europe lacks</w:t>
      </w:r>
      <w:r>
        <w:t xml:space="preserve"> </w:t>
      </w:r>
      <w:r>
        <w:t xml:space="preserve">production capacities</w:t>
      </w:r>
      <w:r>
        <w:t xml:space="preserve"> </w:t>
      </w:r>
      <w:r>
        <w:t xml:space="preserve">for high-performance</w:t>
      </w:r>
      <w:r>
        <w:t xml:space="preserve"> </w:t>
      </w:r>
      <w:r>
        <w:t xml:space="preserve">chip; early 100% of</w:t>
      </w:r>
      <w:r>
        <w:t xml:space="preserve"> </w:t>
      </w:r>
      <w:r>
        <w:t xml:space="preserve">chips for data centres</w:t>
      </w:r>
      <w:r>
        <w:t xml:space="preserve"> </w:t>
      </w:r>
      <w:r>
        <w:t xml:space="preserve">are manufactured in</w:t>
      </w:r>
      <w:r>
        <w:t xml:space="preserve"> </w:t>
      </w:r>
      <w:r>
        <w:t xml:space="preserve">Taiwan. SME</w:t>
      </w:r>
      <w:r>
        <w:t xml:space="preserve"> </w:t>
      </w:r>
      <w:r>
        <w:t xml:space="preserve">participation in the</w:t>
      </w:r>
      <w:r>
        <w:t xml:space="preserve"> </w:t>
      </w:r>
      <w:r>
        <w:t xml:space="preserve">Chips Act remains</w:t>
      </w:r>
      <w:r>
        <w:t xml:space="preserve"> </w:t>
      </w:r>
      <w:r>
        <w:t xml:space="preserve">weak. The Design</w:t>
      </w:r>
      <w:r>
        <w:t xml:space="preserve"> </w:t>
      </w:r>
      <w:r>
        <w:t xml:space="preserve">Platform came only</w:t>
      </w:r>
      <w:r>
        <w:t xml:space="preserve"> </w:t>
      </w:r>
      <w:r>
        <w:t xml:space="preserve">late and excludes</w:t>
      </w:r>
      <w:r>
        <w:t xml:space="preserve"> </w:t>
      </w:r>
      <w:r>
        <w:t xml:space="preserve">electronics companies</w:t>
      </w:r>
      <w:r>
        <w:t xml:space="preserve"> </w:t>
      </w:r>
      <w:r>
        <w:t xml:space="preserve">wishing to integrate</w:t>
      </w:r>
      <w:r>
        <w:t xml:space="preserve"> </w:t>
      </w:r>
      <w:r>
        <w:t xml:space="preserve">chips; pilot line</w:t>
      </w:r>
      <w:r>
        <w:t xml:space="preserve"> </w:t>
      </w:r>
      <w:r>
        <w:t xml:space="preserve">access remains cost</w:t>
      </w:r>
      <w:r>
        <w:t xml:space="preserve"> </w:t>
      </w:r>
      <w:r>
        <w:t xml:space="preserve">prohibitive. Talent</w:t>
      </w:r>
      <w:r>
        <w:t xml:space="preserve"> </w:t>
      </w:r>
      <w:r>
        <w:t xml:space="preserve">programmes operate</w:t>
      </w:r>
      <w:r>
        <w:t xml:space="preserve"> </w:t>
      </w:r>
      <w:r>
        <w:t xml:space="preserve">at insufficient scale.</w:t>
      </w:r>
      <w:r>
        <w:t xml:space="preserve"> </w:t>
      </w:r>
      <w:r>
        <w:t xml:space="preserve">Vulnerabilities persist</w:t>
      </w:r>
      <w:r>
        <w:t xml:space="preserve"> </w:t>
      </w:r>
      <w:r>
        <w:t xml:space="preserve">in packaging, testing,</w:t>
      </w:r>
      <w:r>
        <w:t xml:space="preserve"> </w:t>
      </w:r>
      <w:r>
        <w:t xml:space="preserve">and commodity</w:t>
      </w:r>
      <w:r>
        <w:t xml:space="preserve"> </w:t>
      </w:r>
      <w:r>
        <w:t xml:space="preserve">components, with</w:t>
      </w:r>
    </w:p>
    <w:p>
      <w:pPr>
        <w:pStyle w:val="BodyText"/>
      </w:pPr>
      <w:r>
        <w:t xml:space="preserve">High</w:t>
      </w:r>
    </w:p>
    <w:p>
      <w:pPr>
        <w:pStyle w:val="BodyText"/>
      </w:pPr>
      <w:r>
        <w:t xml:space="preserve">High</w:t>
      </w:r>
    </w:p>
    <w:p>
      <w:pPr>
        <w:pStyle w:val="BodyText"/>
      </w:pPr>
      <w:r>
        <w:t xml:space="preserve">Low</w:t>
      </w:r>
    </w:p>
    <w:p>
      <w:pPr>
        <w:pStyle w:val="BodyText"/>
      </w:pPr>
      <w:r>
        <w:t xml:space="preserve">37</w:t>
      </w:r>
      <w:r>
        <w:t xml:space="preserve"> </w:t>
      </w:r>
      <w:r>
        <w:t xml:space="preserve">Evaluation criterion</w:t>
      </w:r>
      <w:r>
        <w:t xml:space="preserve"> </w:t>
      </w:r>
      <w:r>
        <w:t xml:space="preserve">Open</w:t>
      </w:r>
      <w:r>
        <w:t xml:space="preserve"> </w:t>
      </w:r>
      <w:r>
        <w:t xml:space="preserve">public</w:t>
      </w:r>
      <w:r>
        <w:t xml:space="preserve"> </w:t>
      </w:r>
      <w:r>
        <w:t xml:space="preserve">consultation and call</w:t>
      </w:r>
      <w:r>
        <w:t xml:space="preserve"> </w:t>
      </w:r>
      <w:r>
        <w:t xml:space="preserve">for evidence</w:t>
      </w:r>
      <w:r>
        <w:t xml:space="preserve"> </w:t>
      </w:r>
      <w:r>
        <w:t xml:space="preserve">Survey</w:t>
      </w:r>
      <w:r>
        <w:t xml:space="preserve"> </w:t>
      </w:r>
      <w:r>
        <w:t xml:space="preserve">Interviews</w:t>
      </w:r>
      <w:r>
        <w:t xml:space="preserve"> </w:t>
      </w:r>
      <w:r>
        <w:t xml:space="preserve">Workshops</w:t>
      </w:r>
      <w:r>
        <w:t xml:space="preserve"> </w:t>
      </w:r>
      <w:r>
        <w:t xml:space="preserve">Consistency</w:t>
      </w:r>
      <w:r>
        <w:t xml:space="preserve"> </w:t>
      </w:r>
      <w:r>
        <w:t xml:space="preserve">Complementarity</w:t>
      </w:r>
      <w:r>
        <w:t xml:space="preserve"> </w:t>
      </w:r>
      <w:r>
        <w:t xml:space="preserve">Contradiction</w:t>
      </w:r>
      <w:r>
        <w:t xml:space="preserve"> </w:t>
      </w:r>
      <w:r>
        <w:t xml:space="preserve">had not developed</w:t>
      </w:r>
      <w:r>
        <w:t xml:space="preserve"> </w:t>
      </w:r>
      <w:r>
        <w:t xml:space="preserve">monitoring systems</w:t>
      </w:r>
      <w:r>
        <w:t xml:space="preserve"> </w:t>
      </w:r>
      <w:r>
        <w:t xml:space="preserve">or engaged with</w:t>
      </w:r>
      <w:r>
        <w:t xml:space="preserve"> </w:t>
      </w:r>
      <w:r>
        <w:t xml:space="preserve">disruption alerts. A</w:t>
      </w:r>
      <w:r>
        <w:t xml:space="preserve"> </w:t>
      </w:r>
      <w:r>
        <w:t xml:space="preserve">large majority</w:t>
      </w:r>
      <w:r>
        <w:t xml:space="preserve"> </w:t>
      </w:r>
      <w:r>
        <w:t xml:space="preserve">anticipate further</w:t>
      </w:r>
      <w:r>
        <w:t xml:space="preserve"> </w:t>
      </w:r>
      <w:r>
        <w:t xml:space="preserve">supply disruptions,</w:t>
      </w:r>
      <w:r>
        <w:t xml:space="preserve"> </w:t>
      </w:r>
      <w:r>
        <w:t xml:space="preserve">citing geopolitical</w:t>
      </w:r>
      <w:r>
        <w:t xml:space="preserve"> </w:t>
      </w:r>
      <w:r>
        <w:t xml:space="preserve">risks and trade</w:t>
      </w:r>
      <w:r>
        <w:t xml:space="preserve"> </w:t>
      </w:r>
      <w:r>
        <w:t xml:space="preserve">barriers as primary</w:t>
      </w:r>
      <w:r>
        <w:t xml:space="preserve"> </w:t>
      </w:r>
      <w:r>
        <w:t xml:space="preserve">threats. The lab-to-</w:t>
      </w:r>
      <w:r>
        <w:t xml:space="preserve"> </w:t>
      </w:r>
      <w:r>
        <w:t xml:space="preserve">fab gap remains a key</w:t>
      </w:r>
      <w:r>
        <w:t xml:space="preserve"> </w:t>
      </w:r>
      <w:r>
        <w:t xml:space="preserve">barrier, and the 20%</w:t>
      </w:r>
      <w:r>
        <w:t xml:space="preserve"> </w:t>
      </w:r>
      <w:r>
        <w:t xml:space="preserve">market share target is</w:t>
      </w:r>
      <w:r>
        <w:t xml:space="preserve"> </w:t>
      </w:r>
      <w:r>
        <w:t xml:space="preserve">widely seen as</w:t>
      </w:r>
      <w:r>
        <w:t xml:space="preserve"> </w:t>
      </w:r>
      <w:r>
        <w:t xml:space="preserve">unrealistic. SME and</w:t>
      </w:r>
      <w:r>
        <w:t xml:space="preserve"> </w:t>
      </w:r>
      <w:r>
        <w:t xml:space="preserve">start-up accessibility</w:t>
      </w:r>
      <w:r>
        <w:t xml:space="preserve"> </w:t>
      </w:r>
      <w:r>
        <w:t xml:space="preserve">to support</w:t>
      </w:r>
      <w:r>
        <w:t xml:space="preserve"> </w:t>
      </w:r>
      <w:r>
        <w:t xml:space="preserve">instruments requires</w:t>
      </w:r>
      <w:r>
        <w:t xml:space="preserve"> </w:t>
      </w:r>
      <w:r>
        <w:t xml:space="preserve">improvement.</w:t>
      </w:r>
      <w:r>
        <w:t xml:space="preserve"> </w:t>
      </w:r>
      <w:r>
        <w:t xml:space="preserve">to Asia’s. Pillar 3</w:t>
      </w:r>
      <w:r>
        <w:t xml:space="preserve"> </w:t>
      </w:r>
      <w:r>
        <w:t xml:space="preserve">data collection</w:t>
      </w:r>
      <w:r>
        <w:t xml:space="preserve"> </w:t>
      </w:r>
      <w:r>
        <w:t xml:space="preserve">showed voluntary</w:t>
      </w:r>
      <w:r>
        <w:t xml:space="preserve"> </w:t>
      </w:r>
      <w:r>
        <w:t xml:space="preserve">mechanisms can</w:t>
      </w:r>
      <w:r>
        <w:t xml:space="preserve"> </w:t>
      </w:r>
      <w:r>
        <w:t xml:space="preserve">work technically, but</w:t>
      </w:r>
      <w:r>
        <w:t xml:space="preserve"> </w:t>
      </w:r>
      <w:r>
        <w:t xml:space="preserve">effectiveness was</w:t>
      </w:r>
      <w:r>
        <w:t xml:space="preserve"> </w:t>
      </w:r>
      <w:r>
        <w:t xml:space="preserve">undermined because</w:t>
      </w:r>
      <w:r>
        <w:t xml:space="preserve"> </w:t>
      </w:r>
      <w:r>
        <w:t xml:space="preserve">information was not</w:t>
      </w:r>
      <w:r>
        <w:t xml:space="preserve"> </w:t>
      </w:r>
      <w:r>
        <w:t xml:space="preserve">meaningfully used,</w:t>
      </w:r>
      <w:r>
        <w:t xml:space="preserve"> </w:t>
      </w:r>
      <w:r>
        <w:t xml:space="preserve">damaging trust.</w:t>
      </w:r>
      <w:r>
        <w:t xml:space="preserve"> </w:t>
      </w:r>
      <w:r>
        <w:t xml:space="preserve">Supply-side support</w:t>
      </w:r>
      <w:r>
        <w:t xml:space="preserve"> </w:t>
      </w:r>
      <w:r>
        <w:t xml:space="preserve">alone is insufficient.</w:t>
      </w:r>
      <w:r>
        <w:t xml:space="preserve"> </w:t>
      </w:r>
      <w:r>
        <w:t xml:space="preserve">PCB and packaging</w:t>
      </w:r>
      <w:r>
        <w:t xml:space="preserve"> </w:t>
      </w:r>
      <w:r>
        <w:t xml:space="preserve">firms remaining</w:t>
      </w:r>
      <w:r>
        <w:t xml:space="preserve"> </w:t>
      </w:r>
      <w:r>
        <w:t xml:space="preserve">outside the Act’s</w:t>
      </w:r>
      <w:r>
        <w:t xml:space="preserve"> </w:t>
      </w:r>
      <w:r>
        <w:t xml:space="preserve">scope.</w:t>
      </w:r>
      <w:r>
        <w:t xml:space="preserve"> </w:t>
      </w:r>
      <w:r>
        <w:t xml:space="preserve">Efficiency</w:t>
      </w:r>
      <w:r>
        <w:t xml:space="preserve"> </w:t>
      </w:r>
      <w:r>
        <w:t xml:space="preserve">Experiences with</w:t>
      </w:r>
      <w:r>
        <w:t xml:space="preserve"> </w:t>
      </w:r>
      <w:r>
        <w:t xml:space="preserve">implementation</w:t>
      </w:r>
      <w:r>
        <w:t xml:space="preserve"> </w:t>
      </w:r>
      <w:r>
        <w:t xml:space="preserve">mechanisms varied</w:t>
      </w:r>
      <w:r>
        <w:t xml:space="preserve"> </w:t>
      </w:r>
      <w:r>
        <w:t xml:space="preserve">considerably, with</w:t>
      </w:r>
      <w:r>
        <w:t xml:space="preserve"> </w:t>
      </w:r>
      <w:r>
        <w:t xml:space="preserve">mixed perceptions</w:t>
      </w:r>
      <w:r>
        <w:t xml:space="preserve"> </w:t>
      </w:r>
      <w:r>
        <w:t xml:space="preserve">among fabless</w:t>
      </w:r>
      <w:r>
        <w:t xml:space="preserve"> </w:t>
      </w:r>
      <w:r>
        <w:t xml:space="preserve">companies and most</w:t>
      </w:r>
      <w:r>
        <w:t xml:space="preserve"> </w:t>
      </w:r>
      <w:r>
        <w:t xml:space="preserve">foundries not having</w:t>
      </w:r>
      <w:r>
        <w:t xml:space="preserve"> </w:t>
      </w:r>
      <w:r>
        <w:t xml:space="preserve">applied for facility</w:t>
      </w:r>
      <w:r>
        <w:t xml:space="preserve"> </w:t>
      </w:r>
      <w:r>
        <w:t xml:space="preserve">status. Procedural</w:t>
      </w:r>
      <w:r>
        <w:t xml:space="preserve"> </w:t>
      </w:r>
      <w:r>
        <w:t xml:space="preserve">complexity and slow</w:t>
      </w:r>
      <w:r>
        <w:t xml:space="preserve"> </w:t>
      </w:r>
      <w:r>
        <w:t xml:space="preserve">timelines are</w:t>
      </w:r>
      <w:r>
        <w:t xml:space="preserve"> </w:t>
      </w:r>
      <w:r>
        <w:t xml:space="preserve">dominant concerns;</w:t>
      </w:r>
      <w:r>
        <w:t xml:space="preserve"> </w:t>
      </w:r>
      <w:r>
        <w:t xml:space="preserve">state aid approval</w:t>
      </w:r>
      <w:r>
        <w:t xml:space="preserve"> </w:t>
      </w:r>
      <w:r>
        <w:t xml:space="preserve">delays are</w:t>
      </w:r>
      <w:r>
        <w:t xml:space="preserve"> </w:t>
      </w:r>
      <w:r>
        <w:t xml:space="preserve">characterised as a</w:t>
      </w:r>
      <w:r>
        <w:t xml:space="preserve"> </w:t>
      </w:r>
      <w:r>
        <w:t xml:space="preserve">competitive</w:t>
      </w:r>
      <w:r>
        <w:t xml:space="preserve"> </w:t>
      </w:r>
      <w:r>
        <w:t xml:space="preserve">disadvantage. IPCEI</w:t>
      </w:r>
      <w:r>
        <w:t xml:space="preserve"> </w:t>
      </w:r>
      <w:r>
        <w:t xml:space="preserve">is valued but</w:t>
      </w:r>
      <w:r>
        <w:t xml:space="preserve"> </w:t>
      </w:r>
      <w:r>
        <w:t xml:space="preserve">undermined by</w:t>
      </w:r>
      <w:r>
        <w:t xml:space="preserve"> </w:t>
      </w:r>
      <w:r>
        <w:t xml:space="preserve">46% of national</w:t>
      </w:r>
      <w:r>
        <w:t xml:space="preserve"> </w:t>
      </w:r>
      <w:r>
        <w:t xml:space="preserve">authorities</w:t>
      </w:r>
      <w:r>
        <w:t xml:space="preserve"> </w:t>
      </w:r>
      <w:r>
        <w:t xml:space="preserve">encountered</w:t>
      </w:r>
      <w:r>
        <w:t xml:space="preserve"> </w:t>
      </w:r>
      <w:r>
        <w:t xml:space="preserve">significant</w:t>
      </w:r>
      <w:r>
        <w:t xml:space="preserve"> </w:t>
      </w:r>
      <w:r>
        <w:t xml:space="preserve">implementation</w:t>
      </w:r>
      <w:r>
        <w:t xml:space="preserve"> </w:t>
      </w:r>
      <w:r>
        <w:t xml:space="preserve">challenges; 21% said</w:t>
      </w:r>
      <w:r>
        <w:t xml:space="preserve"> </w:t>
      </w:r>
      <w:r>
        <w:t xml:space="preserve">too early to tell. Most</w:t>
      </w:r>
      <w:r>
        <w:t xml:space="preserve"> </w:t>
      </w:r>
      <w:r>
        <w:t xml:space="preserve">frequent challenges:</w:t>
      </w:r>
      <w:r>
        <w:t xml:space="preserve"> </w:t>
      </w:r>
      <w:r>
        <w:t xml:space="preserve">insufficient national</w:t>
      </w:r>
      <w:r>
        <w:t xml:space="preserve"> </w:t>
      </w:r>
      <w:r>
        <w:t xml:space="preserve">co-funding capacity,</w:t>
      </w:r>
      <w:r>
        <w:t xml:space="preserve"> </w:t>
      </w:r>
      <w:r>
        <w:t xml:space="preserve">competing national</w:t>
      </w:r>
      <w:r>
        <w:t xml:space="preserve"> </w:t>
      </w:r>
      <w:r>
        <w:t xml:space="preserve">priorities, complex</w:t>
      </w:r>
      <w:r>
        <w:t xml:space="preserve"> </w:t>
      </w:r>
      <w:r>
        <w:t xml:space="preserve">EU-national</w:t>
      </w:r>
      <w:r>
        <w:t xml:space="preserve"> </w:t>
      </w:r>
      <w:r>
        <w:t xml:space="preserve">coordination, and</w:t>
      </w:r>
      <w:r>
        <w:t xml:space="preserve"> </w:t>
      </w:r>
      <w:r>
        <w:t xml:space="preserve">skills/workforce</w:t>
      </w:r>
      <w:r>
        <w:t xml:space="preserve"> </w:t>
      </w:r>
      <w:r>
        <w:t xml:space="preserve">limitations. Notable</w:t>
      </w:r>
      <w:r>
        <w:t xml:space="preserve"> </w:t>
      </w:r>
      <w:r>
        <w:t xml:space="preserve">governance</w:t>
      </w:r>
      <w:r>
        <w:t xml:space="preserve"> </w:t>
      </w:r>
      <w:r>
        <w:t xml:space="preserve">effectiveness gap:</w:t>
      </w:r>
      <w:r>
        <w:t xml:space="preserve"> </w:t>
      </w:r>
      <w:r>
        <w:t xml:space="preserve">national authorities</w:t>
      </w:r>
      <w:r>
        <w:t xml:space="preserve"> </w:t>
      </w:r>
      <w:r>
        <w:t xml:space="preserve">rate relevant</w:t>
      </w:r>
      <w:r>
        <w:t xml:space="preserve"> </w:t>
      </w:r>
      <w:r>
        <w:t xml:space="preserve">The Chips Act was</w:t>
      </w:r>
      <w:r>
        <w:t xml:space="preserve"> </w:t>
      </w:r>
      <w:r>
        <w:t xml:space="preserve">assembled under time</w:t>
      </w:r>
      <w:r>
        <w:t xml:space="preserve"> </w:t>
      </w:r>
      <w:r>
        <w:t xml:space="preserve">pressure which may</w:t>
      </w:r>
      <w:r>
        <w:t xml:space="preserve"> </w:t>
      </w:r>
      <w:r>
        <w:t xml:space="preserve">explain some of its</w:t>
      </w:r>
      <w:r>
        <w:t xml:space="preserve"> </w:t>
      </w:r>
      <w:r>
        <w:t xml:space="preserve">shortcomings.</w:t>
      </w:r>
      <w:r>
        <w:t xml:space="preserve"> </w:t>
      </w:r>
      <w:r>
        <w:t xml:space="preserve">Stakeholders describe</w:t>
      </w:r>
      <w:r>
        <w:t xml:space="preserve"> </w:t>
      </w:r>
      <w:r>
        <w:t xml:space="preserve">instruments too rigid</w:t>
      </w:r>
      <w:r>
        <w:t xml:space="preserve"> </w:t>
      </w:r>
      <w:r>
        <w:t xml:space="preserve">for semiconductor</w:t>
      </w:r>
      <w:r>
        <w:t xml:space="preserve"> </w:t>
      </w:r>
      <w:r>
        <w:t xml:space="preserve">capital intensity and</w:t>
      </w:r>
      <w:r>
        <w:t xml:space="preserve"> </w:t>
      </w:r>
      <w:r>
        <w:t xml:space="preserve">timelines, fragmented</w:t>
      </w:r>
      <w:r>
        <w:t xml:space="preserve"> </w:t>
      </w:r>
      <w:r>
        <w:t xml:space="preserve">governance across</w:t>
      </w:r>
      <w:r>
        <w:t xml:space="preserve"> </w:t>
      </w:r>
      <w:r>
        <w:t xml:space="preserve">funding streams and</w:t>
      </w:r>
      <w:r>
        <w:t xml:space="preserve"> </w:t>
      </w:r>
      <w:r>
        <w:t xml:space="preserve">administration levels,</w:t>
      </w:r>
      <w:r>
        <w:t xml:space="preserve"> </w:t>
      </w:r>
      <w:r>
        <w:t xml:space="preserve">and procedures that</w:t>
      </w:r>
      <w:r>
        <w:t xml:space="preserve"> </w:t>
      </w:r>
      <w:r>
        <w:t xml:space="preserve">are slow,</w:t>
      </w:r>
      <w:r>
        <w:t xml:space="preserve"> </w:t>
      </w:r>
      <w:r>
        <w:t xml:space="preserve">untransparent, and</w:t>
      </w:r>
      <w:r>
        <w:t xml:space="preserve"> </w:t>
      </w:r>
      <w:r>
        <w:t xml:space="preserve">administratively</w:t>
      </w:r>
      <w:r>
        <w:t xml:space="preserve"> </w:t>
      </w:r>
      <w:r>
        <w:t xml:space="preserve">heavy. Companies</w:t>
      </w:r>
      <w:r>
        <w:t xml:space="preserve"> </w:t>
      </w:r>
      <w:r>
        <w:t xml:space="preserve">face duplicated,</w:t>
      </w:r>
      <w:r>
        <w:t xml:space="preserve"> </w:t>
      </w:r>
      <w:r>
        <w:t xml:space="preserve">overlapping</w:t>
      </w:r>
      <w:r>
        <w:t xml:space="preserve"> </w:t>
      </w:r>
      <w:r>
        <w:t xml:space="preserve">Processes are too</w:t>
      </w:r>
      <w:r>
        <w:t xml:space="preserve"> </w:t>
      </w:r>
      <w:r>
        <w:t xml:space="preserve">slow (two years</w:t>
      </w:r>
      <w:r>
        <w:t xml:space="preserve"> </w:t>
      </w:r>
      <w:r>
        <w:t xml:space="preserve">between application</w:t>
      </w:r>
      <w:r>
        <w:t xml:space="preserve"> </w:t>
      </w:r>
      <w:r>
        <w:t xml:space="preserve">and funding), and</w:t>
      </w:r>
      <w:r>
        <w:t xml:space="preserve"> </w:t>
      </w:r>
      <w:r>
        <w:t xml:space="preserve">favour very large</w:t>
      </w:r>
      <w:r>
        <w:t xml:space="preserve"> </w:t>
      </w:r>
      <w:r>
        <w:t xml:space="preserve">projects create</w:t>
      </w:r>
      <w:r>
        <w:t xml:space="preserve"> </w:t>
      </w:r>
      <w:r>
        <w:t xml:space="preserve">systematic</w:t>
      </w:r>
      <w:r>
        <w:t xml:space="preserve"> </w:t>
      </w:r>
      <w:r>
        <w:t xml:space="preserve">inefficiencies.</w:t>
      </w:r>
      <w:r>
        <w:t xml:space="preserve"> </w:t>
      </w:r>
      <w:r>
        <w:t xml:space="preserve">Programme</w:t>
      </w:r>
      <w:r>
        <w:t xml:space="preserve"> </w:t>
      </w:r>
      <w:r>
        <w:t xml:space="preserve">coordination between</w:t>
      </w:r>
      <w:r>
        <w:t xml:space="preserve"> </w:t>
      </w:r>
      <w:r>
        <w:t xml:space="preserve">DGs and the EU and</w:t>
      </w:r>
      <w:r>
        <w:t xml:space="preserve"> </w:t>
      </w:r>
      <w:r>
        <w:t xml:space="preserve">national level could</w:t>
      </w:r>
      <w:r>
        <w:t xml:space="preserve"> </w:t>
      </w:r>
      <w:r>
        <w:t xml:space="preserve">be improved, causing</w:t>
      </w:r>
      <w:r>
        <w:t xml:space="preserve"> </w:t>
      </w:r>
      <w:r>
        <w:t xml:space="preserve">duplication and</w:t>
      </w:r>
      <w:r>
        <w:t xml:space="preserve"> </w:t>
      </w:r>
      <w:r>
        <w:t xml:space="preserve">missed synergies. The</w:t>
      </w:r>
      <w:r>
        <w:t xml:space="preserve"> </w:t>
      </w:r>
      <w:r>
        <w:t xml:space="preserve">most critical</w:t>
      </w:r>
      <w:r>
        <w:t xml:space="preserve"> </w:t>
      </w:r>
      <w:r>
        <w:t xml:space="preserve">bottleneck is</w:t>
      </w:r>
      <w:r>
        <w:t xml:space="preserve"> </w:t>
      </w:r>
      <w:r>
        <w:t xml:space="preserve">mobilising European</w:t>
      </w:r>
      <w:r>
        <w:t xml:space="preserve"> </w:t>
      </w:r>
      <w:r>
        <w:t xml:space="preserve">venture capital.</w:t>
      </w:r>
    </w:p>
    <w:p>
      <w:pPr>
        <w:pStyle w:val="BodyText"/>
      </w:pPr>
      <w:r>
        <w:t xml:space="preserve">High</w:t>
      </w:r>
    </w:p>
    <w:p>
      <w:pPr>
        <w:pStyle w:val="BodyText"/>
      </w:pPr>
      <w:r>
        <w:t xml:space="preserve">High</w:t>
      </w:r>
    </w:p>
    <w:p>
      <w:pPr>
        <w:pStyle w:val="BodyText"/>
      </w:pPr>
      <w:r>
        <w:t xml:space="preserve">Low</w:t>
      </w:r>
    </w:p>
    <w:p>
      <w:pPr>
        <w:pStyle w:val="BodyText"/>
      </w:pPr>
      <w:r>
        <w:t xml:space="preserve">38</w:t>
      </w:r>
      <w:r>
        <w:t xml:space="preserve"> </w:t>
      </w:r>
      <w:r>
        <w:t xml:space="preserve">Evaluation criterion</w:t>
      </w:r>
      <w:r>
        <w:t xml:space="preserve"> </w:t>
      </w:r>
      <w:r>
        <w:t xml:space="preserve">Open</w:t>
      </w:r>
      <w:r>
        <w:t xml:space="preserve"> </w:t>
      </w:r>
      <w:r>
        <w:t xml:space="preserve">public</w:t>
      </w:r>
      <w:r>
        <w:t xml:space="preserve"> </w:t>
      </w:r>
      <w:r>
        <w:t xml:space="preserve">consultation and call</w:t>
      </w:r>
      <w:r>
        <w:t xml:space="preserve"> </w:t>
      </w:r>
      <w:r>
        <w:t xml:space="preserve">for evidence</w:t>
      </w:r>
      <w:r>
        <w:t xml:space="preserve"> </w:t>
      </w:r>
      <w:r>
        <w:t xml:space="preserve">Survey</w:t>
      </w:r>
      <w:r>
        <w:t xml:space="preserve"> </w:t>
      </w:r>
      <w:r>
        <w:t xml:space="preserve">Interviews</w:t>
      </w:r>
      <w:r>
        <w:t xml:space="preserve"> </w:t>
      </w:r>
      <w:r>
        <w:t xml:space="preserve">Workshops</w:t>
      </w:r>
      <w:r>
        <w:t xml:space="preserve"> </w:t>
      </w:r>
      <w:r>
        <w:t xml:space="preserve">Consistency</w:t>
      </w:r>
      <w:r>
        <w:t xml:space="preserve"> </w:t>
      </w:r>
      <w:r>
        <w:t xml:space="preserve">Complementarity</w:t>
      </w:r>
      <w:r>
        <w:t xml:space="preserve"> </w:t>
      </w:r>
      <w:r>
        <w:t xml:space="preserve">Contradiction</w:t>
      </w:r>
      <w:r>
        <w:t xml:space="preserve"> </w:t>
      </w:r>
      <w:r>
        <w:t xml:space="preserve">lengthy processes and</w:t>
      </w:r>
      <w:r>
        <w:t xml:space="preserve"> </w:t>
      </w:r>
      <w:r>
        <w:t xml:space="preserve">less competitive</w:t>
      </w:r>
      <w:r>
        <w:t xml:space="preserve"> </w:t>
      </w:r>
      <w:r>
        <w:t xml:space="preserve">funding rates. Three</w:t>
      </w:r>
      <w:r>
        <w:t xml:space="preserve"> </w:t>
      </w:r>
      <w:r>
        <w:t xml:space="preserve">quarters of</w:t>
      </w:r>
      <w:r>
        <w:t xml:space="preserve"> </w:t>
      </w:r>
      <w:r>
        <w:t xml:space="preserve">respondents support</w:t>
      </w:r>
      <w:r>
        <w:t xml:space="preserve"> </w:t>
      </w:r>
      <w:r>
        <w:t xml:space="preserve">EU-level</w:t>
      </w:r>
      <w:r>
        <w:t xml:space="preserve"> </w:t>
      </w:r>
      <w:r>
        <w:t xml:space="preserve">coordination for</w:t>
      </w:r>
      <w:r>
        <w:t xml:space="preserve"> </w:t>
      </w:r>
      <w:r>
        <w:t xml:space="preserve">strategic project</w:t>
      </w:r>
      <w:r>
        <w:t xml:space="preserve"> </w:t>
      </w:r>
      <w:r>
        <w:t xml:space="preserve">selection, and favour</w:t>
      </w:r>
      <w:r>
        <w:t xml:space="preserve"> </w:t>
      </w:r>
      <w:r>
        <w:t xml:space="preserve">combined funding</w:t>
      </w:r>
      <w:r>
        <w:t xml:space="preserve"> </w:t>
      </w:r>
      <w:r>
        <w:t xml:space="preserve">sources.</w:t>
      </w:r>
      <w:r>
        <w:t xml:space="preserve"> </w:t>
      </w:r>
      <w:r>
        <w:t xml:space="preserve">Administrative</w:t>
      </w:r>
      <w:r>
        <w:t xml:space="preserve"> </w:t>
      </w:r>
      <w:r>
        <w:t xml:space="preserve">burdens pose barriers,</w:t>
      </w:r>
      <w:r>
        <w:t xml:space="preserve"> </w:t>
      </w:r>
      <w:r>
        <w:t xml:space="preserve">in particular for</w:t>
      </w:r>
      <w:r>
        <w:t xml:space="preserve"> </w:t>
      </w:r>
      <w:r>
        <w:t xml:space="preserve">SMEs and start-ups.</w:t>
      </w:r>
      <w:r>
        <w:t xml:space="preserve"> </w:t>
      </w:r>
      <w:r>
        <w:t xml:space="preserve">Fragmentation</w:t>
      </w:r>
      <w:r>
        <w:t xml:space="preserve"> </w:t>
      </w:r>
      <w:r>
        <w:t xml:space="preserve">between EU and</w:t>
      </w:r>
      <w:r>
        <w:t xml:space="preserve"> </w:t>
      </w:r>
      <w:r>
        <w:t xml:space="preserve">national procedures</w:t>
      </w:r>
      <w:r>
        <w:t xml:space="preserve"> </w:t>
      </w:r>
      <w:r>
        <w:t xml:space="preserve">(parallel processes,</w:t>
      </w:r>
      <w:r>
        <w:t xml:space="preserve"> </w:t>
      </w:r>
      <w:r>
        <w:t xml:space="preserve">inconsistent</w:t>
      </w:r>
      <w:r>
        <w:t xml:space="preserve"> </w:t>
      </w:r>
      <w:r>
        <w:t xml:space="preserve">requirements, and</w:t>
      </w:r>
      <w:r>
        <w:t xml:space="preserve"> </w:t>
      </w:r>
      <w:r>
        <w:t xml:space="preserve">unclear coordination)</w:t>
      </w:r>
      <w:r>
        <w:t xml:space="preserve"> </w:t>
      </w:r>
      <w:r>
        <w:t xml:space="preserve">are perceived as</w:t>
      </w:r>
      <w:r>
        <w:t xml:space="preserve"> </w:t>
      </w:r>
      <w:r>
        <w:t xml:space="preserve">impeding delivery.</w:t>
      </w:r>
      <w:r>
        <w:t xml:space="preserve"> </w:t>
      </w:r>
      <w:r>
        <w:t xml:space="preserve">mechanisms 38-46%</w:t>
      </w:r>
      <w:r>
        <w:t xml:space="preserve"> </w:t>
      </w:r>
      <w:r>
        <w:t xml:space="preserve">effective vs RTOs</w:t>
      </w:r>
      <w:r>
        <w:t xml:space="preserve"> </w:t>
      </w:r>
      <w:r>
        <w:t xml:space="preserve">only 12-24%. RTOs</w:t>
      </w:r>
      <w:r>
        <w:t xml:space="preserve"> </w:t>
      </w:r>
      <w:r>
        <w:t xml:space="preserve">show higher “very</w:t>
      </w:r>
      <w:r>
        <w:t xml:space="preserve"> </w:t>
      </w:r>
      <w:r>
        <w:t xml:space="preserve">ineffective”</w:t>
      </w:r>
      <w:r>
        <w:t xml:space="preserve"> </w:t>
      </w:r>
      <w:r>
        <w:t xml:space="preserve">assessments (18-</w:t>
      </w:r>
      <w:r>
        <w:t xml:space="preserve"> </w:t>
      </w:r>
      <w:r>
        <w:t xml:space="preserve">29%), particularly for</w:t>
      </w:r>
      <w:r>
        <w:t xml:space="preserve"> </w:t>
      </w:r>
      <w:r>
        <w:t xml:space="preserve">administrative</w:t>
      </w:r>
      <w:r>
        <w:t xml:space="preserve"> </w:t>
      </w:r>
      <w:r>
        <w:t xml:space="preserve">efficiency and</w:t>
      </w:r>
      <w:r>
        <w:t xml:space="preserve"> </w:t>
      </w:r>
      <w:r>
        <w:t xml:space="preserve">Member State</w:t>
      </w:r>
      <w:r>
        <w:t xml:space="preserve"> </w:t>
      </w:r>
      <w:r>
        <w:t xml:space="preserve">coordination. 47% of</w:t>
      </w:r>
      <w:r>
        <w:t xml:space="preserve"> </w:t>
      </w:r>
      <w:r>
        <w:t xml:space="preserve">RTOs face</w:t>
      </w:r>
      <w:r>
        <w:t xml:space="preserve"> </w:t>
      </w:r>
      <w:r>
        <w:t xml:space="preserve">commercialisation</w:t>
      </w:r>
      <w:r>
        <w:t xml:space="preserve"> </w:t>
      </w:r>
      <w:r>
        <w:t xml:space="preserve">barriers, with</w:t>
      </w:r>
      <w:r>
        <w:t xml:space="preserve"> </w:t>
      </w:r>
      <w:r>
        <w:t xml:space="preserve">insufficient risk</w:t>
      </w:r>
      <w:r>
        <w:t xml:space="preserve"> </w:t>
      </w:r>
      <w:r>
        <w:t xml:space="preserve">capital and lack of</w:t>
      </w:r>
      <w:r>
        <w:t xml:space="preserve"> </w:t>
      </w:r>
      <w:r>
        <w:t xml:space="preserve">industry partnerships</w:t>
      </w:r>
      <w:r>
        <w:t xml:space="preserve"> </w:t>
      </w:r>
      <w:r>
        <w:t xml:space="preserve">being the most cited</w:t>
      </w:r>
      <w:r>
        <w:t xml:space="preserve"> </w:t>
      </w:r>
      <w:r>
        <w:t xml:space="preserve">elements.</w:t>
      </w:r>
      <w:r>
        <w:t xml:space="preserve"> </w:t>
      </w:r>
      <w:r>
        <w:t xml:space="preserve">procedures for the</w:t>
      </w:r>
      <w:r>
        <w:t xml:space="preserve"> </w:t>
      </w:r>
      <w:r>
        <w:t xml:space="preserve">same project.</w:t>
      </w:r>
      <w:r>
        <w:t xml:space="preserve"> </w:t>
      </w:r>
      <w:r>
        <w:t xml:space="preserve">Complicated</w:t>
      </w:r>
      <w:r>
        <w:t xml:space="preserve"> </w:t>
      </w:r>
      <w:r>
        <w:t xml:space="preserve">governance forces</w:t>
      </w:r>
      <w:r>
        <w:t xml:space="preserve"> </w:t>
      </w:r>
      <w:r>
        <w:t xml:space="preserve">newer or smaller</w:t>
      </w:r>
      <w:r>
        <w:t xml:space="preserve"> </w:t>
      </w:r>
      <w:r>
        <w:t xml:space="preserve">players to rely on</w:t>
      </w:r>
      <w:r>
        <w:t xml:space="preserve"> </w:t>
      </w:r>
      <w:r>
        <w:t xml:space="preserve">expensive</w:t>
      </w:r>
      <w:r>
        <w:t xml:space="preserve"> </w:t>
      </w:r>
      <w:r>
        <w:t xml:space="preserve">consultants.</w:t>
      </w:r>
      <w:r>
        <w:br/>
      </w:r>
      <w:r>
        <w:t xml:space="preserve">validation can take</w:t>
      </w:r>
      <w:r>
        <w:t xml:space="preserve"> </w:t>
      </w:r>
      <w:r>
        <w:t xml:space="preserve">ten to twelve months</w:t>
      </w:r>
      <w:r>
        <w:t xml:space="preserve"> </w:t>
      </w:r>
      <w:r>
        <w:t xml:space="preserve">versus roughly half</w:t>
      </w:r>
      <w:r>
        <w:t xml:space="preserve"> </w:t>
      </w:r>
      <w:r>
        <w:t xml:space="preserve">that time or weeks in</w:t>
      </w:r>
      <w:r>
        <w:t xml:space="preserve"> </w:t>
      </w:r>
      <w:r>
        <w:t xml:space="preserve">competitor countries.</w:t>
      </w:r>
      <w:r>
        <w:t xml:space="preserve"> </w:t>
      </w:r>
      <w:r>
        <w:t xml:space="preserve">Time between</w:t>
      </w:r>
      <w:r>
        <w:t xml:space="preserve"> </w:t>
      </w:r>
      <w:r>
        <w:t xml:space="preserve">announcement and</w:t>
      </w:r>
      <w:r>
        <w:t xml:space="preserve"> </w:t>
      </w:r>
      <w:r>
        <w:t xml:space="preserve">first call has been</w:t>
      </w:r>
      <w:r>
        <w:t xml:space="preserve"> </w:t>
      </w:r>
      <w:r>
        <w:t xml:space="preserve">around one year.</w:t>
      </w:r>
      <w:r>
        <w:t xml:space="preserve"> </w:t>
      </w:r>
      <w:r>
        <w:t xml:space="preserve">Documentation must</w:t>
      </w:r>
      <w:r>
        <w:t xml:space="preserve"> </w:t>
      </w:r>
      <w:r>
        <w:t xml:space="preserve">be submitted multiple</w:t>
      </w:r>
      <w:r>
        <w:t xml:space="preserve"> </w:t>
      </w:r>
      <w:r>
        <w:t xml:space="preserve">times, digital</w:t>
      </w:r>
      <w:r>
        <w:t xml:space="preserve"> </w:t>
      </w:r>
      <w:r>
        <w:t xml:space="preserve">platforms do not</w:t>
      </w:r>
      <w:r>
        <w:t xml:space="preserve"> </w:t>
      </w:r>
      <w:r>
        <w:t xml:space="preserve">function as intended,</w:t>
      </w:r>
      <w:r>
        <w:t xml:space="preserve"> </w:t>
      </w:r>
      <w:r>
        <w:t xml:space="preserve">and understaffed</w:t>
      </w:r>
      <w:r>
        <w:t xml:space="preserve"> </w:t>
      </w:r>
      <w:r>
        <w:t xml:space="preserve">bodies are</w:t>
      </w:r>
      <w:r>
        <w:t xml:space="preserve"> </w:t>
      </w:r>
      <w:r>
        <w:t xml:space="preserve">overwhelmed.</w:t>
      </w:r>
      <w:r>
        <w:br/>
      </w:r>
      <w:r>
        <w:t xml:space="preserve">Limited visibility on</w:t>
      </w:r>
      <w:r>
        <w:t xml:space="preserve"> </w:t>
      </w:r>
      <w:r>
        <w:t xml:space="preserve">application progress,</w:t>
      </w:r>
      <w:r>
        <w:t xml:space="preserve"> </w:t>
      </w:r>
      <w:r>
        <w:t xml:space="preserve">evaluation criteria,</w:t>
      </w:r>
      <w:r>
        <w:t xml:space="preserve"> </w:t>
      </w:r>
      <w:r>
        <w:t xml:space="preserve">and decision-making</w:t>
      </w:r>
      <w:r>
        <w:t xml:space="preserve"> </w:t>
      </w:r>
      <w:r>
        <w:t xml:space="preserve">makes planning</w:t>
      </w:r>
      <w:r>
        <w:t xml:space="preserve"> </w:t>
      </w:r>
      <w:r>
        <w:t xml:space="preserve">difficult. Data</w:t>
      </w:r>
      <w:r>
        <w:t xml:space="preserve"> </w:t>
      </w:r>
      <w:r>
        <w:t xml:space="preserve">collected from</w:t>
      </w:r>
      <w:r>
        <w:t xml:space="preserve"> </w:t>
      </w:r>
      <w:r>
        <w:t xml:space="preserve">industry is perceived</w:t>
      </w:r>
      <w:r>
        <w:t xml:space="preserve"> </w:t>
      </w:r>
      <w:r>
        <w:t xml:space="preserve">as one-way exercise.</w:t>
      </w:r>
    </w:p>
    <w:p>
      <w:pPr>
        <w:pStyle w:val="BodyText"/>
      </w:pPr>
      <w:r>
        <w:t xml:space="preserve">39</w:t>
      </w:r>
      <w:r>
        <w:t xml:space="preserve"> </w:t>
      </w:r>
      <w:r>
        <w:t xml:space="preserve">Evaluation criterion</w:t>
      </w:r>
      <w:r>
        <w:t xml:space="preserve"> </w:t>
      </w:r>
      <w:r>
        <w:t xml:space="preserve">Open</w:t>
      </w:r>
      <w:r>
        <w:t xml:space="preserve"> </w:t>
      </w:r>
      <w:r>
        <w:t xml:space="preserve">public</w:t>
      </w:r>
      <w:r>
        <w:t xml:space="preserve"> </w:t>
      </w:r>
      <w:r>
        <w:t xml:space="preserve">consultation and call</w:t>
      </w:r>
      <w:r>
        <w:t xml:space="preserve"> </w:t>
      </w:r>
      <w:r>
        <w:t xml:space="preserve">for evidence</w:t>
      </w:r>
      <w:r>
        <w:t xml:space="preserve"> </w:t>
      </w:r>
      <w:r>
        <w:t xml:space="preserve">Survey</w:t>
      </w:r>
      <w:r>
        <w:t xml:space="preserve"> </w:t>
      </w:r>
      <w:r>
        <w:t xml:space="preserve">Interviews</w:t>
      </w:r>
      <w:r>
        <w:t xml:space="preserve"> </w:t>
      </w:r>
      <w:r>
        <w:t xml:space="preserve">Workshops</w:t>
      </w:r>
      <w:r>
        <w:t xml:space="preserve"> </w:t>
      </w:r>
      <w:r>
        <w:t xml:space="preserve">Consistency</w:t>
      </w:r>
      <w:r>
        <w:t xml:space="preserve"> </w:t>
      </w:r>
      <w:r>
        <w:t xml:space="preserve">Complementarity</w:t>
      </w:r>
      <w:r>
        <w:t xml:space="preserve"> </w:t>
      </w:r>
      <w:r>
        <w:t xml:space="preserve">Contradiction</w:t>
      </w:r>
      <w:r>
        <w:t xml:space="preserve"> </w:t>
      </w:r>
      <w:r>
        <w:t xml:space="preserve">Coherence</w:t>
      </w:r>
      <w:r>
        <w:t xml:space="preserve"> </w:t>
      </w:r>
      <w:r>
        <w:t xml:space="preserve">A large majority</w:t>
      </w:r>
      <w:r>
        <w:t xml:space="preserve"> </w:t>
      </w:r>
      <w:r>
        <w:t xml:space="preserve">reported the Chips</w:t>
      </w:r>
      <w:r>
        <w:t xml:space="preserve"> </w:t>
      </w:r>
      <w:r>
        <w:t xml:space="preserve">Act has contributed to</w:t>
      </w:r>
      <w:r>
        <w:t xml:space="preserve"> </w:t>
      </w:r>
      <w:r>
        <w:t xml:space="preserve">improving</w:t>
      </w:r>
      <w:r>
        <w:t xml:space="preserve"> </w:t>
      </w:r>
      <w:r>
        <w:t xml:space="preserve">governance and</w:t>
      </w:r>
      <w:r>
        <w:t xml:space="preserve"> </w:t>
      </w:r>
      <w:r>
        <w:t xml:space="preserve">coordination between</w:t>
      </w:r>
      <w:r>
        <w:t xml:space="preserve"> </w:t>
      </w:r>
      <w:r>
        <w:t xml:space="preserve">national and regional</w:t>
      </w:r>
      <w:r>
        <w:t xml:space="preserve"> </w:t>
      </w:r>
      <w:r>
        <w:t xml:space="preserve">authorities. However,</w:t>
      </w:r>
      <w:r>
        <w:t xml:space="preserve"> </w:t>
      </w:r>
      <w:r>
        <w:t xml:space="preserve">internal coherence</w:t>
      </w:r>
      <w:r>
        <w:t xml:space="preserve"> </w:t>
      </w:r>
      <w:r>
        <w:t xml:space="preserve">gaps persist between</w:t>
      </w:r>
      <w:r>
        <w:t xml:space="preserve"> </w:t>
      </w:r>
      <w:r>
        <w:t xml:space="preserve">Pillar I innovation</w:t>
      </w:r>
      <w:r>
        <w:t xml:space="preserve"> </w:t>
      </w:r>
      <w:r>
        <w:t xml:space="preserve">and Pillar II</w:t>
      </w:r>
      <w:r>
        <w:t xml:space="preserve"> </w:t>
      </w:r>
      <w:r>
        <w:t xml:space="preserve">manufacturing</w:t>
      </w:r>
      <w:r>
        <w:t xml:space="preserve"> </w:t>
      </w:r>
      <w:r>
        <w:t xml:space="preserve">support, with</w:t>
      </w:r>
      <w:r>
        <w:t xml:space="preserve"> </w:t>
      </w:r>
      <w:r>
        <w:t xml:space="preserve">stakeholders calling</w:t>
      </w:r>
      <w:r>
        <w:t xml:space="preserve"> </w:t>
      </w:r>
      <w:r>
        <w:t xml:space="preserve">for bridging</w:t>
      </w:r>
      <w:r>
        <w:t xml:space="preserve"> </w:t>
      </w:r>
      <w:r>
        <w:t xml:space="preserve">mechanisms. External</w:t>
      </w:r>
      <w:r>
        <w:t xml:space="preserve"> </w:t>
      </w:r>
      <w:r>
        <w:t xml:space="preserve">alignment with</w:t>
      </w:r>
      <w:r>
        <w:t xml:space="preserve"> </w:t>
      </w:r>
      <w:r>
        <w:t xml:space="preserve">adjacent EU</w:t>
      </w:r>
      <w:r>
        <w:t xml:space="preserve"> </w:t>
      </w:r>
      <w:r>
        <w:t xml:space="preserve">frameworks (AI Act,</w:t>
      </w:r>
      <w:r>
        <w:t xml:space="preserve"> </w:t>
      </w:r>
      <w:r>
        <w:t xml:space="preserve">Quantum Act, Cyber</w:t>
      </w:r>
      <w:r>
        <w:t xml:space="preserve"> </w:t>
      </w:r>
      <w:r>
        <w:t xml:space="preserve">Resilience Act,</w:t>
      </w:r>
      <w:r>
        <w:t xml:space="preserve"> </w:t>
      </w:r>
      <w:r>
        <w:t xml:space="preserve">defence policy)</w:t>
      </w:r>
      <w:r>
        <w:t xml:space="preserve"> </w:t>
      </w:r>
      <w:r>
        <w:t xml:space="preserve">requires</w:t>
      </w:r>
      <w:r>
        <w:t xml:space="preserve"> </w:t>
      </w:r>
      <w:r>
        <w:t xml:space="preserve">strengthening. Multi-</w:t>
      </w:r>
      <w:r>
        <w:t xml:space="preserve"> </w:t>
      </w:r>
      <w:r>
        <w:t xml:space="preserve">level coordination</w:t>
      </w:r>
      <w:r>
        <w:t xml:space="preserve"> </w:t>
      </w:r>
      <w:r>
        <w:t xml:space="preserve">across EU, national,</w:t>
      </w:r>
      <w:r>
        <w:t xml:space="preserve"> </w:t>
      </w:r>
      <w:r>
        <w:t xml:space="preserve">and regional</w:t>
      </w:r>
      <w:r>
        <w:t xml:space="preserve"> </w:t>
      </w:r>
      <w:r>
        <w:t xml:space="preserve">governance led</w:t>
      </w:r>
      <w:r>
        <w:t xml:space="preserve"> </w:t>
      </w:r>
      <w:r>
        <w:t xml:space="preserve">through streamlined</w:t>
      </w:r>
      <w:r>
        <w:t xml:space="preserve"> </w:t>
      </w:r>
      <w:r>
        <w:t xml:space="preserve">funding streams.</w:t>
      </w:r>
      <w:r>
        <w:t xml:space="preserve"> </w:t>
      </w:r>
      <w:r>
        <w:t xml:space="preserve">Most respondents</w:t>
      </w:r>
      <w:r>
        <w:t xml:space="preserve"> </w:t>
      </w:r>
      <w:r>
        <w:t xml:space="preserve">reported sustainable</w:t>
      </w:r>
      <w:r>
        <w:t xml:space="preserve"> </w:t>
      </w:r>
      <w:r>
        <w:t xml:space="preserve">practices in place, but</w:t>
      </w:r>
      <w:r>
        <w:t xml:space="preserve"> </w:t>
      </w:r>
      <w:r>
        <w:t xml:space="preserve">tensions exist</w:t>
      </w:r>
      <w:r>
        <w:t xml:space="preserve"> </w:t>
      </w:r>
      <w:r>
        <w:t xml:space="preserve">between</w:t>
      </w:r>
      <w:r>
        <w:t xml:space="preserve"> </w:t>
      </w:r>
      <w:r>
        <w:t xml:space="preserve">environmental</w:t>
      </w:r>
      <w:r>
        <w:t xml:space="preserve"> </w:t>
      </w:r>
      <w:r>
        <w:t xml:space="preserve">regulations and</w:t>
      </w:r>
      <w:r>
        <w:t xml:space="preserve"> </w:t>
      </w:r>
      <w:r>
        <w:t xml:space="preserve">semiconductor</w:t>
      </w:r>
      <w:r>
        <w:t xml:space="preserve"> </w:t>
      </w:r>
      <w:r>
        <w:t xml:space="preserve">manufacturing</w:t>
      </w:r>
      <w:r>
        <w:t xml:space="preserve"> </w:t>
      </w:r>
      <w:r>
        <w:t xml:space="preserve">Mixed national</w:t>
      </w:r>
      <w:r>
        <w:t xml:space="preserve"> </w:t>
      </w:r>
      <w:r>
        <w:t xml:space="preserve">strategy alignment:</w:t>
      </w:r>
      <w:r>
        <w:t xml:space="preserve"> </w:t>
      </w:r>
      <w:r>
        <w:t xml:space="preserve">only 33% fully</w:t>
      </w:r>
      <w:r>
        <w:t xml:space="preserve"> </w:t>
      </w:r>
      <w:r>
        <w:t xml:space="preserve">aligned with Chips</w:t>
      </w:r>
      <w:r>
        <w:t xml:space="preserve"> </w:t>
      </w:r>
      <w:r>
        <w:t xml:space="preserve">Act, 21% somewhat</w:t>
      </w:r>
      <w:r>
        <w:t xml:space="preserve"> </w:t>
      </w:r>
      <w:r>
        <w:t xml:space="preserve">aligned, 21% reported</w:t>
      </w:r>
      <w:r>
        <w:t xml:space="preserve"> </w:t>
      </w:r>
      <w:r>
        <w:t xml:space="preserve">no national strategy</w:t>
      </w:r>
      <w:r>
        <w:t xml:space="preserve"> </w:t>
      </w:r>
      <w:r>
        <w:t xml:space="preserve">exists. Significant</w:t>
      </w:r>
      <w:r>
        <w:t xml:space="preserve"> </w:t>
      </w:r>
      <w:r>
        <w:t xml:space="preserve">clarity gap between</w:t>
      </w:r>
      <w:r>
        <w:t xml:space="preserve"> </w:t>
      </w:r>
      <w:r>
        <w:t xml:space="preserve">high-level objectives</w:t>
      </w:r>
      <w:r>
        <w:t xml:space="preserve"> </w:t>
      </w:r>
      <w:r>
        <w:t xml:space="preserve">(70% clear) and</w:t>
      </w:r>
      <w:r>
        <w:t xml:space="preserve"> </w:t>
      </w:r>
      <w:r>
        <w:t xml:space="preserve">application</w:t>
      </w:r>
      <w:r>
        <w:t xml:space="preserve"> </w:t>
      </w:r>
      <w:r>
        <w:t xml:space="preserve">procedures (only 31%</w:t>
      </w:r>
      <w:r>
        <w:t xml:space="preserve"> </w:t>
      </w:r>
      <w:r>
        <w:t xml:space="preserve">clear). Industry users</w:t>
      </w:r>
      <w:r>
        <w:t xml:space="preserve"> </w:t>
      </w:r>
      <w:r>
        <w:t xml:space="preserve">reported 0% clarity</w:t>
      </w:r>
      <w:r>
        <w:t xml:space="preserve"> </w:t>
      </w:r>
      <w:r>
        <w:t xml:space="preserve">on application</w:t>
      </w:r>
      <w:r>
        <w:t xml:space="preserve"> </w:t>
      </w:r>
      <w:r>
        <w:t xml:space="preserve">procedure.</w:t>
      </w:r>
      <w:r>
        <w:t xml:space="preserve"> </w:t>
      </w:r>
      <w:r>
        <w:t xml:space="preserve">Coherence across</w:t>
      </w:r>
      <w:r>
        <w:t xml:space="preserve"> </w:t>
      </w:r>
      <w:r>
        <w:t xml:space="preserve">instruments and</w:t>
      </w:r>
      <w:r>
        <w:t xml:space="preserve"> </w:t>
      </w:r>
      <w:r>
        <w:t xml:space="preserve">programmes could be</w:t>
      </w:r>
      <w:r>
        <w:t xml:space="preserve"> </w:t>
      </w:r>
      <w:r>
        <w:t xml:space="preserve">improved. Potential</w:t>
      </w:r>
      <w:r>
        <w:t xml:space="preserve"> </w:t>
      </w:r>
      <w:r>
        <w:t xml:space="preserve">synergies between</w:t>
      </w:r>
      <w:r>
        <w:t xml:space="preserve"> </w:t>
      </w:r>
      <w:r>
        <w:t xml:space="preserve">frontier research,</w:t>
      </w:r>
      <w:r>
        <w:t xml:space="preserve"> </w:t>
      </w:r>
      <w:r>
        <w:t xml:space="preserve">proof-of-concept</w:t>
      </w:r>
      <w:r>
        <w:t xml:space="preserve"> </w:t>
      </w:r>
      <w:r>
        <w:t xml:space="preserve">funding, and later-</w:t>
      </w:r>
      <w:r>
        <w:t xml:space="preserve"> </w:t>
      </w:r>
      <w:r>
        <w:t xml:space="preserve">stage support</w:t>
      </w:r>
      <w:r>
        <w:t xml:space="preserve"> </w:t>
      </w:r>
      <w:r>
        <w:t xml:space="preserve">function mainly</w:t>
      </w:r>
      <w:r>
        <w:t xml:space="preserve"> </w:t>
      </w:r>
      <w:r>
        <w:t xml:space="preserve">because individual</w:t>
      </w:r>
      <w:r>
        <w:t xml:space="preserve"> </w:t>
      </w:r>
      <w:r>
        <w:t xml:space="preserve">researchers and</w:t>
      </w:r>
      <w:r>
        <w:t xml:space="preserve"> </w:t>
      </w:r>
      <w:r>
        <w:t xml:space="preserve">programme managers</w:t>
      </w:r>
      <w:r>
        <w:t xml:space="preserve"> </w:t>
      </w:r>
      <w:r>
        <w:t xml:space="preserve">push them forward,</w:t>
      </w:r>
      <w:r>
        <w:t xml:space="preserve"> </w:t>
      </w:r>
      <w:r>
        <w:t xml:space="preserve">not through formal</w:t>
      </w:r>
      <w:r>
        <w:t xml:space="preserve"> </w:t>
      </w:r>
      <w:r>
        <w:t xml:space="preserve">coordination</w:t>
      </w:r>
      <w:r>
        <w:t xml:space="preserve"> </w:t>
      </w:r>
      <w:r>
        <w:t xml:space="preserve">mechanisms. The</w:t>
      </w:r>
      <w:r>
        <w:t xml:space="preserve"> </w:t>
      </w:r>
      <w:r>
        <w:t xml:space="preserve">intended continuum</w:t>
      </w:r>
      <w:r>
        <w:t xml:space="preserve"> </w:t>
      </w:r>
      <w:r>
        <w:t xml:space="preserve">from R&amp;D to pilot</w:t>
      </w:r>
      <w:r>
        <w:t xml:space="preserve"> </w:t>
      </w:r>
      <w:r>
        <w:t xml:space="preserve">lines to large-scale</w:t>
      </w:r>
      <w:r>
        <w:t xml:space="preserve"> </w:t>
      </w:r>
      <w:r>
        <w:t xml:space="preserve">production is not</w:t>
      </w:r>
      <w:r>
        <w:t xml:space="preserve"> </w:t>
      </w:r>
      <w:r>
        <w:t xml:space="preserve">perceived as a real,</w:t>
      </w:r>
      <w:r>
        <w:t xml:space="preserve"> </w:t>
      </w:r>
      <w:r>
        <w:t xml:space="preserve">functioning pathway.</w:t>
      </w:r>
      <w:r>
        <w:t xml:space="preserve"> </w:t>
      </w:r>
      <w:r>
        <w:t xml:space="preserve">Another challenge is</w:t>
      </w:r>
      <w:r>
        <w:t xml:space="preserve"> </w:t>
      </w:r>
      <w:r>
        <w:t xml:space="preserve">that coordination</w:t>
      </w:r>
      <w:r>
        <w:t xml:space="preserve"> </w:t>
      </w:r>
      <w:r>
        <w:t xml:space="preserve">across member states</w:t>
      </w:r>
      <w:r>
        <w:t xml:space="preserve"> </w:t>
      </w:r>
      <w:r>
        <w:t xml:space="preserve">is fragmented.</w:t>
      </w:r>
      <w:r>
        <w:t xml:space="preserve"> </w:t>
      </w:r>
      <w:r>
        <w:t xml:space="preserve">National and regional</w:t>
      </w:r>
      <w:r>
        <w:t xml:space="preserve"> </w:t>
      </w:r>
      <w:r>
        <w:t xml:space="preserve">initiatives are</w:t>
      </w:r>
      <w:r>
        <w:t xml:space="preserve"> </w:t>
      </w:r>
      <w:r>
        <w:t xml:space="preserve">developed in isolation</w:t>
      </w:r>
      <w:r>
        <w:t xml:space="preserve"> </w:t>
      </w:r>
      <w:r>
        <w:t xml:space="preserve">with no clear</w:t>
      </w:r>
      <w:r>
        <w:t xml:space="preserve"> </w:t>
      </w:r>
      <w:r>
        <w:t xml:space="preserve">framework for</w:t>
      </w:r>
      <w:r>
        <w:t xml:space="preserve"> </w:t>
      </w:r>
      <w:r>
        <w:t xml:space="preserve">aggregating efforts</w:t>
      </w:r>
      <w:r>
        <w:t xml:space="preserve"> </w:t>
      </w:r>
      <w:r>
        <w:t xml:space="preserve">into strategically</w:t>
      </w:r>
      <w:r>
        <w:t xml:space="preserve"> </w:t>
      </w:r>
      <w:r>
        <w:t xml:space="preserve">coherent European</w:t>
      </w:r>
      <w:r>
        <w:t xml:space="preserve"> </w:t>
      </w:r>
      <w:r>
        <w:t xml:space="preserve">action. Uncertainty</w:t>
      </w:r>
      <w:r>
        <w:t xml:space="preserve"> </w:t>
      </w:r>
      <w:r>
        <w:t xml:space="preserve">around definitions</w:t>
      </w:r>
      <w:r>
        <w:t xml:space="preserve"> </w:t>
      </w:r>
      <w:r>
        <w:t xml:space="preserve">(first-of-a-kind),</w:t>
      </w:r>
      <w:r>
        <w:t xml:space="preserve"> </w:t>
      </w:r>
      <w:r>
        <w:t xml:space="preserve">exclusion or unclear</w:t>
      </w:r>
      <w:r>
        <w:t xml:space="preserve"> </w:t>
      </w:r>
      <w:r>
        <w:t xml:space="preserve">treatment of critical</w:t>
      </w:r>
      <w:r>
        <w:t xml:space="preserve"> </w:t>
      </w:r>
      <w:r>
        <w:t xml:space="preserve">The fundamental</w:t>
      </w:r>
      <w:r>
        <w:t xml:space="preserve"> </w:t>
      </w:r>
      <w:r>
        <w:t xml:space="preserve">incoherence lies in</w:t>
      </w:r>
      <w:r>
        <w:t xml:space="preserve"> </w:t>
      </w:r>
      <w:r>
        <w:t xml:space="preserve">expanding</w:t>
      </w:r>
      <w:r>
        <w:t xml:space="preserve"> </w:t>
      </w:r>
      <w:r>
        <w:t xml:space="preserve">manufacturing</w:t>
      </w:r>
      <w:r>
        <w:t xml:space="preserve"> </w:t>
      </w:r>
      <w:r>
        <w:t xml:space="preserve">capacity while</w:t>
      </w:r>
      <w:r>
        <w:t xml:space="preserve"> </w:t>
      </w:r>
      <w:r>
        <w:t xml:space="preserve">underinvesting in</w:t>
      </w:r>
      <w:r>
        <w:t xml:space="preserve"> </w:t>
      </w:r>
      <w:r>
        <w:t xml:space="preserve">design ecosystems</w:t>
      </w:r>
      <w:r>
        <w:t xml:space="preserve"> </w:t>
      </w:r>
      <w:r>
        <w:t xml:space="preserve">and back-end</w:t>
      </w:r>
      <w:r>
        <w:t xml:space="preserve"> </w:t>
      </w:r>
      <w:r>
        <w:t xml:space="preserve">manufacturing. A</w:t>
      </w:r>
      <w:r>
        <w:t xml:space="preserve"> </w:t>
      </w:r>
      <w:r>
        <w:t xml:space="preserve">recurring problem is</w:t>
      </w:r>
      <w:r>
        <w:t xml:space="preserve"> </w:t>
      </w:r>
      <w:r>
        <w:t xml:space="preserve">that European</w:t>
      </w:r>
      <w:r>
        <w:t xml:space="preserve"> </w:t>
      </w:r>
      <w:r>
        <w:t xml:space="preserve">alternatives exist but</w:t>
      </w:r>
      <w:r>
        <w:t xml:space="preserve"> </w:t>
      </w:r>
      <w:r>
        <w:t xml:space="preserve">cannot achieve cost-</w:t>
      </w:r>
      <w:r>
        <w:t xml:space="preserve"> </w:t>
      </w:r>
      <w:r>
        <w:t xml:space="preserve">competitiveness due</w:t>
      </w:r>
      <w:r>
        <w:t xml:space="preserve"> </w:t>
      </w:r>
      <w:r>
        <w:t xml:space="preserve">to lack of scale, yet</w:t>
      </w:r>
      <w:r>
        <w:t xml:space="preserve"> </w:t>
      </w:r>
      <w:r>
        <w:t xml:space="preserve">cannot achieve scale</w:t>
      </w:r>
      <w:r>
        <w:t xml:space="preserve"> </w:t>
      </w:r>
      <w:r>
        <w:t xml:space="preserve">without initial</w:t>
      </w:r>
      <w:r>
        <w:t xml:space="preserve"> </w:t>
      </w:r>
      <w:r>
        <w:t xml:space="preserve">demand. “Buy</w:t>
      </w:r>
      <w:r>
        <w:t xml:space="preserve"> </w:t>
      </w:r>
      <w:r>
        <w:t xml:space="preserve">European”</w:t>
      </w:r>
      <w:r>
        <w:t xml:space="preserve"> </w:t>
      </w:r>
      <w:r>
        <w:t xml:space="preserve">procurement clashes</w:t>
      </w:r>
      <w:r>
        <w:t xml:space="preserve"> </w:t>
      </w:r>
      <w:r>
        <w:t xml:space="preserve">with state-aid</w:t>
      </w:r>
      <w:r>
        <w:t xml:space="preserve"> </w:t>
      </w:r>
      <w:r>
        <w:t xml:space="preserve">restrictions; material</w:t>
      </w:r>
      <w:r>
        <w:t xml:space="preserve"> </w:t>
      </w:r>
      <w:r>
        <w:t xml:space="preserve">suppliers report pilot</w:t>
      </w:r>
      <w:r>
        <w:t xml:space="preserve"> </w:t>
      </w:r>
      <w:r>
        <w:t xml:space="preserve">lines using Asian</w:t>
      </w:r>
      <w:r>
        <w:t xml:space="preserve"> </w:t>
      </w:r>
      <w:r>
        <w:t xml:space="preserve">chemicals despite</w:t>
      </w:r>
      <w:r>
        <w:t xml:space="preserve"> </w:t>
      </w:r>
      <w:r>
        <w:t xml:space="preserve">European</w:t>
      </w:r>
      <w:r>
        <w:t xml:space="preserve"> </w:t>
      </w:r>
      <w:r>
        <w:t xml:space="preserve">alternatives; PFAS</w:t>
      </w:r>
      <w:r>
        <w:t xml:space="preserve"> </w:t>
      </w:r>
      <w:r>
        <w:t xml:space="preserve">restrictions conflict</w:t>
      </w:r>
      <w:r>
        <w:t xml:space="preserve"> </w:t>
      </w:r>
      <w:r>
        <w:t xml:space="preserve">with fabrication</w:t>
      </w:r>
      <w:r>
        <w:t xml:space="preserve"> </w:t>
      </w:r>
      <w:r>
        <w:t xml:space="preserve">equipment needs.</w:t>
      </w:r>
    </w:p>
    <w:p>
      <w:pPr>
        <w:pStyle w:val="BodyText"/>
      </w:pPr>
      <w:r>
        <w:t xml:space="preserve">High</w:t>
      </w:r>
    </w:p>
    <w:p>
      <w:pPr>
        <w:pStyle w:val="BodyText"/>
      </w:pPr>
      <w:r>
        <w:t xml:space="preserve">High</w:t>
      </w:r>
    </w:p>
    <w:p>
      <w:pPr>
        <w:pStyle w:val="BodyText"/>
      </w:pPr>
      <w:r>
        <w:t xml:space="preserve">Low</w:t>
      </w:r>
    </w:p>
    <w:p>
      <w:pPr>
        <w:pStyle w:val="BodyText"/>
      </w:pPr>
      <w:r>
        <w:t xml:space="preserve">40</w:t>
      </w:r>
      <w:r>
        <w:t xml:space="preserve"> </w:t>
      </w:r>
      <w:r>
        <w:t xml:space="preserve">Evaluation criterion</w:t>
      </w:r>
      <w:r>
        <w:t xml:space="preserve"> </w:t>
      </w:r>
      <w:r>
        <w:t xml:space="preserve">Open</w:t>
      </w:r>
      <w:r>
        <w:t xml:space="preserve"> </w:t>
      </w:r>
      <w:r>
        <w:t xml:space="preserve">public</w:t>
      </w:r>
      <w:r>
        <w:t xml:space="preserve"> </w:t>
      </w:r>
      <w:r>
        <w:t xml:space="preserve">consultation and call</w:t>
      </w:r>
      <w:r>
        <w:t xml:space="preserve"> </w:t>
      </w:r>
      <w:r>
        <w:t xml:space="preserve">for evidence</w:t>
      </w:r>
      <w:r>
        <w:t xml:space="preserve"> </w:t>
      </w:r>
      <w:r>
        <w:t xml:space="preserve">Survey</w:t>
      </w:r>
      <w:r>
        <w:t xml:space="preserve"> </w:t>
      </w:r>
      <w:r>
        <w:t xml:space="preserve">Interviews</w:t>
      </w:r>
      <w:r>
        <w:t xml:space="preserve"> </w:t>
      </w:r>
      <w:r>
        <w:t xml:space="preserve">Workshops</w:t>
      </w:r>
      <w:r>
        <w:t xml:space="preserve"> </w:t>
      </w:r>
      <w:r>
        <w:t xml:space="preserve">Consistency</w:t>
      </w:r>
      <w:r>
        <w:t xml:space="preserve"> </w:t>
      </w:r>
      <w:r>
        <w:t xml:space="preserve">Complementarity</w:t>
      </w:r>
      <w:r>
        <w:t xml:space="preserve"> </w:t>
      </w:r>
      <w:r>
        <w:t xml:space="preserve">Contradiction</w:t>
      </w:r>
      <w:r>
        <w:t xml:space="preserve"> </w:t>
      </w:r>
      <w:r>
        <w:t xml:space="preserve">requirements.</w:t>
      </w:r>
      <w:r>
        <w:t xml:space="preserve"> </w:t>
      </w:r>
      <w:r>
        <w:t xml:space="preserve">segments (materials</w:t>
      </w:r>
      <w:r>
        <w:t xml:space="preserve"> </w:t>
      </w:r>
      <w:r>
        <w:t xml:space="preserve">suppliers, testing,</w:t>
      </w:r>
      <w:r>
        <w:t xml:space="preserve"> </w:t>
      </w:r>
      <w:r>
        <w:t xml:space="preserve">metrology</w:t>
      </w:r>
      <w:r>
        <w:t xml:space="preserve"> </w:t>
      </w:r>
      <w:r>
        <w:t xml:space="preserve">equipment) are</w:t>
      </w:r>
      <w:r>
        <w:t xml:space="preserve"> </w:t>
      </w:r>
      <w:r>
        <w:t xml:space="preserve">obstacles to</w:t>
      </w:r>
      <w:r>
        <w:t xml:space="preserve"> </w:t>
      </w:r>
      <w:r>
        <w:t xml:space="preserve">investment.</w:t>
      </w:r>
      <w:r>
        <w:t xml:space="preserve"> </w:t>
      </w:r>
      <w:r>
        <w:t xml:space="preserve">EU added value</w:t>
      </w:r>
      <w:r>
        <w:t xml:space="preserve"> </w:t>
      </w:r>
      <w:r>
        <w:t xml:space="preserve">Strong consensus that</w:t>
      </w:r>
      <w:r>
        <w:t xml:space="preserve"> </w:t>
      </w:r>
      <w:r>
        <w:t xml:space="preserve">EU-level action</w:t>
      </w:r>
      <w:r>
        <w:t xml:space="preserve"> </w:t>
      </w:r>
      <w:r>
        <w:t xml:space="preserve">delivers benefits</w:t>
      </w:r>
      <w:r>
        <w:t xml:space="preserve"> </w:t>
      </w:r>
      <w:r>
        <w:t xml:space="preserve">unattainable through</w:t>
      </w:r>
      <w:r>
        <w:t xml:space="preserve"> </w:t>
      </w:r>
      <w:r>
        <w:t xml:space="preserve">national efforts alone,</w:t>
      </w:r>
      <w:r>
        <w:t xml:space="preserve"> </w:t>
      </w:r>
      <w:r>
        <w:t xml:space="preserve">particularly scale,</w:t>
      </w:r>
      <w:r>
        <w:t xml:space="preserve"> </w:t>
      </w:r>
      <w:r>
        <w:t xml:space="preserve">critical mass, and</w:t>
      </w:r>
      <w:r>
        <w:t xml:space="preserve"> </w:t>
      </w:r>
      <w:r>
        <w:t xml:space="preserve">reduced</w:t>
      </w:r>
      <w:r>
        <w:t xml:space="preserve"> </w:t>
      </w:r>
      <w:r>
        <w:t xml:space="preserve">fragmentation.</w:t>
      </w:r>
      <w:r>
        <w:t xml:space="preserve"> </w:t>
      </w:r>
      <w:r>
        <w:t xml:space="preserve">Shared infrastructure</w:t>
      </w:r>
      <w:r>
        <w:t xml:space="preserve"> </w:t>
      </w:r>
      <w:r>
        <w:t xml:space="preserve">under Pillar I is cited</w:t>
      </w:r>
      <w:r>
        <w:t xml:space="preserve"> </w:t>
      </w:r>
      <w:r>
        <w:t xml:space="preserve">as a concrete</w:t>
      </w:r>
      <w:r>
        <w:t xml:space="preserve"> </w:t>
      </w:r>
      <w:r>
        <w:t xml:space="preserve">example. The</w:t>
      </w:r>
      <w:r>
        <w:t xml:space="preserve"> </w:t>
      </w:r>
      <w:r>
        <w:t xml:space="preserve">European</w:t>
      </w:r>
      <w:r>
        <w:t xml:space="preserve"> </w:t>
      </w:r>
      <w:r>
        <w:t xml:space="preserve">Semiconductor Board</w:t>
      </w:r>
      <w:r>
        <w:t xml:space="preserve"> </w:t>
      </w:r>
      <w:r>
        <w:t xml:space="preserve">is highlighted as a</w:t>
      </w:r>
      <w:r>
        <w:t xml:space="preserve"> </w:t>
      </w:r>
      <w:r>
        <w:t xml:space="preserve">key coordination</w:t>
      </w:r>
      <w:r>
        <w:t xml:space="preserve"> </w:t>
      </w:r>
      <w:r>
        <w:t xml:space="preserve">platform to prevent</w:t>
      </w:r>
      <w:r>
        <w:t xml:space="preserve"> </w:t>
      </w:r>
      <w:r>
        <w:t xml:space="preserve">subsidy races. Views</w:t>
      </w:r>
      <w:r>
        <w:t xml:space="preserve"> </w:t>
      </w:r>
      <w:r>
        <w:t xml:space="preserve">on extending</w:t>
      </w:r>
      <w:r>
        <w:t xml:space="preserve"> </w:t>
      </w:r>
      <w:r>
        <w:t xml:space="preserve">information mandates</w:t>
      </w:r>
      <w:r>
        <w:t xml:space="preserve"> </w:t>
      </w:r>
      <w:r>
        <w:t xml:space="preserve">were divided, with</w:t>
      </w:r>
      <w:r>
        <w:t xml:space="preserve"> </w:t>
      </w:r>
      <w:r>
        <w:t xml:space="preserve">around half</w:t>
      </w:r>
      <w:r>
        <w:t xml:space="preserve"> </w:t>
      </w:r>
      <w:r>
        <w:t xml:space="preserve">supporting expanded</w:t>
      </w:r>
      <w:r>
        <w:t xml:space="preserve"> </w:t>
      </w:r>
      <w:r>
        <w:t xml:space="preserve">reporting.</w:t>
      </w:r>
      <w:r>
        <w:t xml:space="preserve"> </w:t>
      </w:r>
      <w:r>
        <w:t xml:space="preserve">International</w:t>
      </w:r>
      <w:r>
        <w:t xml:space="preserve"> </w:t>
      </w:r>
      <w:r>
        <w:t xml:space="preserve">cooperation received</w:t>
      </w:r>
      <w:r>
        <w:t xml:space="preserve"> </w:t>
      </w:r>
      <w:r>
        <w:t xml:space="preserve">strong support across</w:t>
      </w:r>
      <w:r>
        <w:t xml:space="preserve"> </w:t>
      </w:r>
      <w:r>
        <w:t xml:space="preserve">all stakeholder</w:t>
      </w:r>
      <w:r>
        <w:t xml:space="preserve"> </w:t>
      </w:r>
      <w:r>
        <w:t xml:space="preserve">groups, with</w:t>
      </w:r>
      <w:r>
        <w:t xml:space="preserve"> </w:t>
      </w:r>
      <w:r>
        <w:t xml:space="preserve">collaborative R&amp;D</w:t>
      </w:r>
      <w:r>
        <w:t xml:space="preserve"> </w:t>
      </w:r>
      <w:r>
        <w:t xml:space="preserve">and supply chain</w:t>
      </w:r>
      <w:r>
        <w:t xml:space="preserve"> </w:t>
      </w:r>
      <w:r>
        <w:t xml:space="preserve">diversification as top</w:t>
      </w:r>
      <w:r>
        <w:t xml:space="preserve"> </w:t>
      </w:r>
      <w:r>
        <w:t xml:space="preserve">Strengthening EU</w:t>
      </w:r>
      <w:r>
        <w:t xml:space="preserve"> </w:t>
      </w:r>
      <w:r>
        <w:t xml:space="preserve">global position</w:t>
      </w:r>
      <w:r>
        <w:t xml:space="preserve"> </w:t>
      </w:r>
      <w:r>
        <w:t xml:space="preserve">received highest</w:t>
      </w:r>
      <w:r>
        <w:t xml:space="preserve"> </w:t>
      </w:r>
      <w:r>
        <w:t xml:space="preserve">agreement (68%);</w:t>
      </w:r>
      <w:r>
        <w:t xml:space="preserve"> </w:t>
      </w:r>
      <w:r>
        <w:t xml:space="preserve">pooling resources</w:t>
      </w:r>
      <w:r>
        <w:t xml:space="preserve"> </w:t>
      </w:r>
      <w:r>
        <w:t xml:space="preserve">second (66%).</w:t>
      </w:r>
      <w:r>
        <w:t xml:space="preserve"> </w:t>
      </w:r>
      <w:r>
        <w:t xml:space="preserve">National authorities</w:t>
      </w:r>
      <w:r>
        <w:t xml:space="preserve"> </w:t>
      </w:r>
      <w:r>
        <w:t xml:space="preserve">were consistently</w:t>
      </w:r>
      <w:r>
        <w:t xml:space="preserve"> </w:t>
      </w:r>
      <w:r>
        <w:t xml:space="preserve">more positive than</w:t>
      </w:r>
      <w:r>
        <w:t xml:space="preserve"> </w:t>
      </w:r>
      <w:r>
        <w:t xml:space="preserve">RTOs, particularly on</w:t>
      </w:r>
      <w:r>
        <w:t xml:space="preserve"> </w:t>
      </w:r>
      <w:r>
        <w:t xml:space="preserve">resource pooling</w:t>
      </w:r>
      <w:r>
        <w:t xml:space="preserve"> </w:t>
      </w:r>
      <w:r>
        <w:t xml:space="preserve">(75% vs 53%),</w:t>
      </w:r>
      <w:r>
        <w:t xml:space="preserve"> </w:t>
      </w:r>
      <w:r>
        <w:t xml:space="preserve">suggesting benefits</w:t>
      </w:r>
      <w:r>
        <w:t xml:space="preserve"> </w:t>
      </w:r>
      <w:r>
        <w:t xml:space="preserve">were more visible at</w:t>
      </w:r>
      <w:r>
        <w:t xml:space="preserve"> </w:t>
      </w:r>
      <w:r>
        <w:t xml:space="preserve">policy level than</w:t>
      </w:r>
      <w:r>
        <w:t xml:space="preserve"> </w:t>
      </w:r>
      <w:r>
        <w:t xml:space="preserve">research operational</w:t>
      </w:r>
      <w:r>
        <w:t xml:space="preserve"> </w:t>
      </w:r>
      <w:r>
        <w:t xml:space="preserve">level. Crisis response</w:t>
      </w:r>
      <w:r>
        <w:t xml:space="preserve"> </w:t>
      </w:r>
      <w:r>
        <w:t xml:space="preserve">benefits were</w:t>
      </w:r>
      <w:r>
        <w:t xml:space="preserve"> </w:t>
      </w:r>
      <w:r>
        <w:t xml:space="preserve">perceived more</w:t>
      </w:r>
      <w:r>
        <w:t xml:space="preserve"> </w:t>
      </w:r>
      <w:r>
        <w:t xml:space="preserve">evenly across groups</w:t>
      </w:r>
      <w:r>
        <w:t xml:space="preserve"> </w:t>
      </w:r>
      <w:r>
        <w:t xml:space="preserve">(RTOs 59%, National</w:t>
      </w:r>
      <w:r>
        <w:t xml:space="preserve"> </w:t>
      </w:r>
      <w:r>
        <w:t xml:space="preserve">authorities 58%).</w:t>
      </w:r>
      <w:r>
        <w:t xml:space="preserve"> </w:t>
      </w:r>
      <w:r>
        <w:t xml:space="preserve">However, 18-29% of</w:t>
      </w:r>
      <w:r>
        <w:t xml:space="preserve"> </w:t>
      </w:r>
      <w:r>
        <w:t xml:space="preserve">RTOs strongly</w:t>
      </w:r>
      <w:r>
        <w:t xml:space="preserve"> </w:t>
      </w:r>
      <w:r>
        <w:t xml:space="preserve">disagree that EU-</w:t>
      </w:r>
      <w:r>
        <w:t xml:space="preserve"> </w:t>
      </w:r>
      <w:r>
        <w:t xml:space="preserve">level benefits are</w:t>
      </w:r>
      <w:r>
        <w:t xml:space="preserve"> </w:t>
      </w:r>
      <w:r>
        <w:t xml:space="preserve">materialising.</w:t>
      </w:r>
      <w:r>
        <w:t xml:space="preserve"> </w:t>
      </w:r>
      <w:r>
        <w:t xml:space="preserve">The Chips Act sends</w:t>
      </w:r>
      <w:r>
        <w:t xml:space="preserve"> </w:t>
      </w:r>
      <w:r>
        <w:t xml:space="preserve">a strong message of</w:t>
      </w:r>
      <w:r>
        <w:t xml:space="preserve"> </w:t>
      </w:r>
      <w:r>
        <w:t xml:space="preserve">EU commitment,</w:t>
      </w:r>
      <w:r>
        <w:t xml:space="preserve"> </w:t>
      </w:r>
      <w:r>
        <w:t xml:space="preserve">creating trust among</w:t>
      </w:r>
      <w:r>
        <w:t xml:space="preserve"> </w:t>
      </w:r>
      <w:r>
        <w:t xml:space="preserve">investors and</w:t>
      </w:r>
      <w:r>
        <w:t xml:space="preserve"> </w:t>
      </w:r>
      <w:r>
        <w:t xml:space="preserve">industry. By</w:t>
      </w:r>
      <w:r>
        <w:t xml:space="preserve"> </w:t>
      </w:r>
      <w:r>
        <w:t xml:space="preserve">providing a</w:t>
      </w:r>
      <w:r>
        <w:t xml:space="preserve"> </w:t>
      </w:r>
      <w:r>
        <w:t xml:space="preserve">framework for large-</w:t>
      </w:r>
      <w:r>
        <w:t xml:space="preserve"> </w:t>
      </w:r>
      <w:r>
        <w:t xml:space="preserve">scale investments in</w:t>
      </w:r>
      <w:r>
        <w:t xml:space="preserve"> </w:t>
      </w:r>
      <w:r>
        <w:t xml:space="preserve">semiconductor</w:t>
      </w:r>
      <w:r>
        <w:t xml:space="preserve"> </w:t>
      </w:r>
      <w:r>
        <w:t xml:space="preserve">production and R&amp;D,</w:t>
      </w:r>
      <w:r>
        <w:t xml:space="preserve"> </w:t>
      </w:r>
      <w:r>
        <w:t xml:space="preserve">it fills a role Member</w:t>
      </w:r>
      <w:r>
        <w:t xml:space="preserve"> </w:t>
      </w:r>
      <w:r>
        <w:t xml:space="preserve">States cannot perform</w:t>
      </w:r>
      <w:r>
        <w:t xml:space="preserve"> </w:t>
      </w:r>
      <w:r>
        <w:t xml:space="preserve">and adds momentum</w:t>
      </w:r>
      <w:r>
        <w:t xml:space="preserve"> </w:t>
      </w:r>
      <w:r>
        <w:t xml:space="preserve">by encouraging</w:t>
      </w:r>
      <w:r>
        <w:t xml:space="preserve"> </w:t>
      </w:r>
      <w:r>
        <w:t xml:space="preserve">Member States to</w:t>
      </w:r>
      <w:r>
        <w:t xml:space="preserve"> </w:t>
      </w:r>
      <w:r>
        <w:t xml:space="preserve">mobilise national</w:t>
      </w:r>
      <w:r>
        <w:t xml:space="preserve"> </w:t>
      </w:r>
      <w:r>
        <w:t xml:space="preserve">resources. Only</w:t>
      </w:r>
      <w:r>
        <w:t xml:space="preserve"> </w:t>
      </w:r>
      <w:r>
        <w:t xml:space="preserve">European-level</w:t>
      </w:r>
      <w:r>
        <w:t xml:space="preserve"> </w:t>
      </w:r>
      <w:r>
        <w:t xml:space="preserve">efforts can collect</w:t>
      </w:r>
      <w:r>
        <w:t xml:space="preserve"> </w:t>
      </w:r>
      <w:r>
        <w:t xml:space="preserve">comprehensive</w:t>
      </w:r>
      <w:r>
        <w:t xml:space="preserve"> </w:t>
      </w:r>
      <w:r>
        <w:t xml:space="preserve">market intelligence</w:t>
      </w:r>
      <w:r>
        <w:t xml:space="preserve"> </w:t>
      </w:r>
      <w:r>
        <w:t xml:space="preserve">across sectors and</w:t>
      </w:r>
      <w:r>
        <w:t xml:space="preserve"> </w:t>
      </w:r>
      <w:r>
        <w:t xml:space="preserve">borders. Slow</w:t>
      </w:r>
      <w:r>
        <w:t xml:space="preserve"> </w:t>
      </w:r>
      <w:r>
        <w:t xml:space="preserve">funding roll-out</w:t>
      </w:r>
      <w:r>
        <w:t xml:space="preserve"> </w:t>
      </w:r>
      <w:r>
        <w:t xml:space="preserve">reduces attractiveness</w:t>
      </w:r>
      <w:r>
        <w:t xml:space="preserve"> </w:t>
      </w:r>
      <w:r>
        <w:t xml:space="preserve">compared to more</w:t>
      </w:r>
      <w:r>
        <w:t xml:space="preserve"> </w:t>
      </w:r>
      <w:r>
        <w:t xml:space="preserve">agile schemes in</w:t>
      </w:r>
      <w:r>
        <w:t xml:space="preserve"> </w:t>
      </w:r>
      <w:r>
        <w:t xml:space="preserve">other regions. The</w:t>
      </w:r>
      <w:r>
        <w:t xml:space="preserve"> </w:t>
      </w:r>
      <w:r>
        <w:t xml:space="preserve">state aid framework is</w:t>
      </w:r>
      <w:r>
        <w:t xml:space="preserve"> </w:t>
      </w:r>
      <w:r>
        <w:t xml:space="preserve">seen as too restrictive</w:t>
      </w:r>
      <w:r>
        <w:t xml:space="preserve"> </w:t>
      </w:r>
      <w:r>
        <w:t xml:space="preserve">to allow Europe to</w:t>
      </w:r>
      <w:r>
        <w:t xml:space="preserve"> </w:t>
      </w:r>
      <w:r>
        <w:t xml:space="preserve">participate in global</w:t>
      </w:r>
      <w:r>
        <w:t xml:space="preserve"> </w:t>
      </w:r>
      <w:r>
        <w:t xml:space="preserve">The EU’s distinctive</w:t>
      </w:r>
      <w:r>
        <w:t xml:space="preserve"> </w:t>
      </w:r>
      <w:r>
        <w:t xml:space="preserve">contribution lies in</w:t>
      </w:r>
      <w:r>
        <w:t xml:space="preserve"> </w:t>
      </w:r>
      <w:r>
        <w:t xml:space="preserve">coordinating across</w:t>
      </w:r>
      <w:r>
        <w:t xml:space="preserve"> </w:t>
      </w:r>
      <w:r>
        <w:t xml:space="preserve">member states. The</w:t>
      </w:r>
      <w:r>
        <w:t xml:space="preserve"> </w:t>
      </w:r>
      <w:r>
        <w:t xml:space="preserve">EU level is also</w:t>
      </w:r>
      <w:r>
        <w:t xml:space="preserve"> </w:t>
      </w:r>
      <w:r>
        <w:t xml:space="preserve">relevant because</w:t>
      </w:r>
      <w:r>
        <w:t xml:space="preserve"> </w:t>
      </w:r>
      <w:r>
        <w:t xml:space="preserve">strategic autonomy</w:t>
      </w:r>
      <w:r>
        <w:t xml:space="preserve"> </w:t>
      </w:r>
      <w:r>
        <w:t xml:space="preserve">cannot be achieved at</w:t>
      </w:r>
      <w:r>
        <w:t xml:space="preserve"> </w:t>
      </w:r>
      <w:r>
        <w:t xml:space="preserve">member states level.</w:t>
      </w:r>
      <w:r>
        <w:t xml:space="preserve"> </w:t>
      </w:r>
      <w:r>
        <w:t xml:space="preserve">The EU also provides</w:t>
      </w:r>
      <w:r>
        <w:t xml:space="preserve"> </w:t>
      </w:r>
      <w:r>
        <w:t xml:space="preserve">a collective voice for</w:t>
      </w:r>
      <w:r>
        <w:t xml:space="preserve"> </w:t>
      </w:r>
      <w:r>
        <w:t xml:space="preserve">negotiating strategic</w:t>
      </w:r>
      <w:r>
        <w:t xml:space="preserve"> </w:t>
      </w:r>
      <w:r>
        <w:t xml:space="preserve">partnerships. Shared</w:t>
      </w:r>
      <w:r>
        <w:t xml:space="preserve"> </w:t>
      </w:r>
      <w:r>
        <w:t xml:space="preserve">infrastructure</w:t>
      </w:r>
      <w:r>
        <w:t xml:space="preserve"> </w:t>
      </w:r>
      <w:r>
        <w:t xml:space="preserve">provides valuable</w:t>
      </w:r>
      <w:r>
        <w:t xml:space="preserve"> </w:t>
      </w:r>
      <w:r>
        <w:t xml:space="preserve">access through pilot</w:t>
      </w:r>
      <w:r>
        <w:t xml:space="preserve"> </w:t>
      </w:r>
      <w:r>
        <w:t xml:space="preserve">lines, competence</w:t>
      </w:r>
      <w:r>
        <w:t xml:space="preserve"> </w:t>
      </w:r>
      <w:r>
        <w:t xml:space="preserve">centres, and EU-level</w:t>
      </w:r>
      <w:r>
        <w:t xml:space="preserve"> </w:t>
      </w:r>
      <w:r>
        <w:t xml:space="preserve">consortia, with</w:t>
      </w:r>
      <w:r>
        <w:t xml:space="preserve"> </w:t>
      </w:r>
      <w:r>
        <w:t xml:space="preserve">complementary</w:t>
      </w:r>
      <w:r>
        <w:t xml:space="preserve"> </w:t>
      </w:r>
      <w:r>
        <w:t xml:space="preserve">IPCEI and Chips JU</w:t>
      </w:r>
      <w:r>
        <w:t xml:space="preserve"> </w:t>
      </w:r>
      <w:r>
        <w:t xml:space="preserve">funding. However,</w:t>
      </w:r>
      <w:r>
        <w:t xml:space="preserve"> </w:t>
      </w:r>
      <w:r>
        <w:t xml:space="preserve">the EU’s greatest</w:t>
      </w:r>
      <w:r>
        <w:t xml:space="preserve"> </w:t>
      </w:r>
      <w:r>
        <w:t xml:space="preserve">potential remains</w:t>
      </w:r>
      <w:r>
        <w:t xml:space="preserve"> </w:t>
      </w:r>
      <w:r>
        <w:t xml:space="preserve">largely unrealised.</w:t>
      </w:r>
      <w:r>
        <w:t xml:space="preserve"> </w:t>
      </w:r>
      <w:r>
        <w:t xml:space="preserve">Fragmentation</w:t>
      </w:r>
      <w:r>
        <w:t xml:space="preserve"> </w:t>
      </w:r>
      <w:r>
        <w:t xml:space="preserve">undermines</w:t>
      </w:r>
      <w:r>
        <w:t xml:space="preserve"> </w:t>
      </w:r>
      <w:r>
        <w:t xml:space="preserve">competitiveness;</w:t>
      </w:r>
      <w:r>
        <w:t xml:space="preserve"> </w:t>
      </w:r>
      <w:r>
        <w:t xml:space="preserve">absence of</w:t>
      </w:r>
      <w:r>
        <w:t xml:space="preserve"> </w:t>
      </w:r>
      <w:r>
        <w:t xml:space="preserve">mechanisms for</w:t>
      </w:r>
      <w:r>
        <w:t xml:space="preserve"> </w:t>
      </w:r>
      <w:r>
        <w:t xml:space="preserve">aggregated</w:t>
      </w:r>
      <w:r>
        <w:t xml:space="preserve"> </w:t>
      </w:r>
      <w:r>
        <w:t xml:space="preserve">procurement prevents</w:t>
      </w:r>
      <w:r>
        <w:t xml:space="preserve"> </w:t>
      </w:r>
      <w:r>
        <w:t xml:space="preserve">leveraging market</w:t>
      </w:r>
    </w:p>
    <w:p>
      <w:pPr>
        <w:pStyle w:val="BodyText"/>
      </w:pPr>
      <w:r>
        <w:t xml:space="preserve">High</w:t>
      </w:r>
    </w:p>
    <w:p>
      <w:pPr>
        <w:pStyle w:val="BodyText"/>
      </w:pPr>
      <w:r>
        <w:t xml:space="preserve">High</w:t>
      </w:r>
    </w:p>
    <w:p>
      <w:pPr>
        <w:pStyle w:val="BodyText"/>
      </w:pPr>
      <w:r>
        <w:t xml:space="preserve">Low</w:t>
      </w:r>
    </w:p>
    <w:p>
      <w:pPr>
        <w:pStyle w:val="BodyText"/>
      </w:pPr>
      <w:r>
        <w:t xml:space="preserve">41</w:t>
      </w:r>
      <w:r>
        <w:t xml:space="preserve"> </w:t>
      </w:r>
      <w:r>
        <w:t xml:space="preserve">Evaluation criterion</w:t>
      </w:r>
      <w:r>
        <w:t xml:space="preserve"> </w:t>
      </w:r>
      <w:r>
        <w:t xml:space="preserve">Open</w:t>
      </w:r>
      <w:r>
        <w:t xml:space="preserve"> </w:t>
      </w:r>
      <w:r>
        <w:t xml:space="preserve">public</w:t>
      </w:r>
      <w:r>
        <w:t xml:space="preserve"> </w:t>
      </w:r>
      <w:r>
        <w:t xml:space="preserve">consultation and call</w:t>
      </w:r>
      <w:r>
        <w:t xml:space="preserve"> </w:t>
      </w:r>
      <w:r>
        <w:t xml:space="preserve">for evidence</w:t>
      </w:r>
      <w:r>
        <w:t xml:space="preserve"> </w:t>
      </w:r>
      <w:r>
        <w:t xml:space="preserve">Survey</w:t>
      </w:r>
      <w:r>
        <w:t xml:space="preserve"> </w:t>
      </w:r>
      <w:r>
        <w:t xml:space="preserve">Interviews</w:t>
      </w:r>
      <w:r>
        <w:t xml:space="preserve"> </w:t>
      </w:r>
      <w:r>
        <w:t xml:space="preserve">Workshops</w:t>
      </w:r>
      <w:r>
        <w:t xml:space="preserve"> </w:t>
      </w:r>
      <w:r>
        <w:t xml:space="preserve">Consistency</w:t>
      </w:r>
      <w:r>
        <w:t xml:space="preserve"> </w:t>
      </w:r>
      <w:r>
        <w:t xml:space="preserve">Complementarity</w:t>
      </w:r>
      <w:r>
        <w:t xml:space="preserve"> </w:t>
      </w:r>
      <w:r>
        <w:t xml:space="preserve">Contradiction</w:t>
      </w:r>
      <w:r>
        <w:t xml:space="preserve"> </w:t>
      </w:r>
      <w:r>
        <w:t xml:space="preserve">priorities; all public</w:t>
      </w:r>
      <w:r>
        <w:t xml:space="preserve"> </w:t>
      </w:r>
      <w:r>
        <w:t xml:space="preserve">authorities reported</w:t>
      </w:r>
      <w:r>
        <w:t xml:space="preserve"> </w:t>
      </w:r>
      <w:r>
        <w:t xml:space="preserve">engaging in bilateral</w:t>
      </w:r>
      <w:r>
        <w:t xml:space="preserve"> </w:t>
      </w:r>
      <w:r>
        <w:t xml:space="preserve">or multilateral</w:t>
      </w:r>
      <w:r>
        <w:t xml:space="preserve"> </w:t>
      </w:r>
      <w:r>
        <w:t xml:space="preserve">cooperation with</w:t>
      </w:r>
      <w:r>
        <w:t xml:space="preserve"> </w:t>
      </w:r>
      <w:r>
        <w:t xml:space="preserve">third countries.</w:t>
      </w:r>
      <w:r>
        <w:t xml:space="preserve"> </w:t>
      </w:r>
      <w:r>
        <w:t xml:space="preserve">subsidy competition</w:t>
      </w:r>
      <w:r>
        <w:t xml:space="preserve"> </w:t>
      </w:r>
      <w:r>
        <w:t xml:space="preserve">more effectively.</w:t>
      </w:r>
      <w:r>
        <w:t xml:space="preserve"> </w:t>
      </w:r>
      <w:r>
        <w:t xml:space="preserve">size; absence of</w:t>
      </w:r>
      <w:r>
        <w:t xml:space="preserve"> </w:t>
      </w:r>
      <w:r>
        <w:t xml:space="preserve">unified work permit</w:t>
      </w:r>
      <w:r>
        <w:t xml:space="preserve"> </w:t>
      </w:r>
      <w:r>
        <w:t xml:space="preserve">approach creates</w:t>
      </w:r>
      <w:r>
        <w:t xml:space="preserve"> </w:t>
      </w:r>
      <w:r>
        <w:t xml:space="preserve">competitive</w:t>
      </w:r>
      <w:r>
        <w:t xml:space="preserve"> </w:t>
      </w:r>
      <w:r>
        <w:t xml:space="preserve">disadvantages in</w:t>
      </w:r>
      <w:r>
        <w:t xml:space="preserve"> </w:t>
      </w:r>
      <w:r>
        <w:t xml:space="preserve">talent attraction.</w:t>
      </w:r>
      <w:r>
        <w:t xml:space="preserve"> </w:t>
      </w:r>
      <w:r>
        <w:t xml:space="preserve">Relevance</w:t>
      </w:r>
      <w:r>
        <w:t xml:space="preserve"> </w:t>
      </w:r>
      <w:r>
        <w:t xml:space="preserve">Views on framework</w:t>
      </w:r>
      <w:r>
        <w:t xml:space="preserve"> </w:t>
      </w:r>
      <w:r>
        <w:t xml:space="preserve">adequacy were</w:t>
      </w:r>
      <w:r>
        <w:t xml:space="preserve"> </w:t>
      </w:r>
      <w:r>
        <w:t xml:space="preserve">mixed: only one</w:t>
      </w:r>
      <w:r>
        <w:t xml:space="preserve"> </w:t>
      </w:r>
      <w:r>
        <w:t xml:space="preserve">quarter agreed the</w:t>
      </w:r>
      <w:r>
        <w:t xml:space="preserve"> </w:t>
      </w:r>
      <w:r>
        <w:t xml:space="preserve">current framework</w:t>
      </w:r>
      <w:r>
        <w:t xml:space="preserve"> </w:t>
      </w:r>
      <w:r>
        <w:t xml:space="preserve">sufficiently addresses</w:t>
      </w:r>
      <w:r>
        <w:t xml:space="preserve"> </w:t>
      </w:r>
      <w:r>
        <w:t xml:space="preserve">supply-side</w:t>
      </w:r>
      <w:r>
        <w:t xml:space="preserve"> </w:t>
      </w:r>
      <w:r>
        <w:t xml:space="preserve">vulnerabilities, while</w:t>
      </w:r>
      <w:r>
        <w:t xml:space="preserve"> </w:t>
      </w:r>
      <w:r>
        <w:t xml:space="preserve">almost half disagreed.</w:t>
      </w:r>
      <w:r>
        <w:t xml:space="preserve"> </w:t>
      </w:r>
      <w:r>
        <w:t xml:space="preserve">The Act’s scope is</w:t>
      </w:r>
      <w:r>
        <w:t xml:space="preserve"> </w:t>
      </w:r>
      <w:r>
        <w:t xml:space="preserve">seen as too narrow,</w:t>
      </w:r>
      <w:r>
        <w:t xml:space="preserve"> </w:t>
      </w:r>
      <w:r>
        <w:t xml:space="preserve">with excessive focus</w:t>
      </w:r>
      <w:r>
        <w:t xml:space="preserve"> </w:t>
      </w:r>
      <w:r>
        <w:t xml:space="preserve">on production</w:t>
      </w:r>
      <w:r>
        <w:t xml:space="preserve"> </w:t>
      </w:r>
      <w:r>
        <w:t xml:space="preserve">capacity over</w:t>
      </w:r>
      <w:r>
        <w:t xml:space="preserve"> </w:t>
      </w:r>
      <w:r>
        <w:t xml:space="preserve">alignment with</w:t>
      </w:r>
      <w:r>
        <w:t xml:space="preserve"> </w:t>
      </w:r>
      <w:r>
        <w:t xml:space="preserve">European industrial</w:t>
      </w:r>
      <w:r>
        <w:t xml:space="preserve"> </w:t>
      </w:r>
      <w:r>
        <w:t xml:space="preserve">needs. Stakeholders</w:t>
      </w:r>
      <w:r>
        <w:t xml:space="preserve"> </w:t>
      </w:r>
      <w:r>
        <w:t xml:space="preserve">identify an imbalance</w:t>
      </w:r>
      <w:r>
        <w:t xml:space="preserve"> </w:t>
      </w:r>
      <w:r>
        <w:t xml:space="preserve">between leading-edge</w:t>
      </w:r>
      <w:r>
        <w:t xml:space="preserve"> </w:t>
      </w:r>
      <w:r>
        <w:t xml:space="preserve">manufacturing</w:t>
      </w:r>
      <w:r>
        <w:t xml:space="preserve"> </w:t>
      </w:r>
      <w:r>
        <w:t xml:space="preserve">support and mature</w:t>
      </w:r>
      <w:r>
        <w:t xml:space="preserve"> </w:t>
      </w:r>
      <w:r>
        <w:t xml:space="preserve">nodes where demand</w:t>
      </w:r>
      <w:r>
        <w:t xml:space="preserve"> </w:t>
      </w:r>
      <w:r>
        <w:t xml:space="preserve">is concentrated.</w:t>
      </w:r>
      <w:r>
        <w:t xml:space="preserve"> </w:t>
      </w:r>
      <w:r>
        <w:t xml:space="preserve">Value-chain gaps in</w:t>
      </w:r>
      <w:r>
        <w:t xml:space="preserve"> </w:t>
      </w:r>
      <w:r>
        <w:t xml:space="preserve">PCBs, packaging,</w:t>
      </w:r>
      <w:r>
        <w:t xml:space="preserve"> </w:t>
      </w:r>
      <w:r>
        <w:t xml:space="preserve">back-end processes,</w:t>
      </w:r>
      <w:r>
        <w:t xml:space="preserve"> </w:t>
      </w:r>
      <w:r>
        <w:t xml:space="preserve">and design s are</w:t>
      </w:r>
      <w:r>
        <w:t xml:space="preserve"> </w:t>
      </w:r>
      <w:r>
        <w:t xml:space="preserve">under-addressed. For</w:t>
      </w:r>
      <w:r>
        <w:t xml:space="preserve"> </w:t>
      </w:r>
      <w:r>
        <w:t xml:space="preserve">location decisions,</w:t>
      </w:r>
      <w:r>
        <w:t xml:space="preserve"> </w:t>
      </w:r>
      <w:r>
        <w:t xml:space="preserve">funding access,</w:t>
      </w:r>
      <w:r>
        <w:t xml:space="preserve"> </w:t>
      </w:r>
      <w:r>
        <w:t xml:space="preserve">administrative</w:t>
      </w:r>
      <w:r>
        <w:t xml:space="preserve"> </w:t>
      </w:r>
      <w:r>
        <w:t xml:space="preserve">simplicity, and skilled</w:t>
      </w:r>
      <w:r>
        <w:t xml:space="preserve"> </w:t>
      </w:r>
      <w:r>
        <w:t xml:space="preserve">Strong consensus on</w:t>
      </w:r>
      <w:r>
        <w:t xml:space="preserve"> </w:t>
      </w:r>
      <w:r>
        <w:t xml:space="preserve">EU-level</w:t>
      </w:r>
      <w:r>
        <w:t xml:space="preserve"> </w:t>
      </w:r>
      <w:r>
        <w:t xml:space="preserve">coordination: 86% for</w:t>
      </w:r>
      <w:r>
        <w:t xml:space="preserve"> </w:t>
      </w:r>
      <w:r>
        <w:t xml:space="preserve">investment/</w:t>
      </w:r>
      <w:r>
        <w:t xml:space="preserve"> </w:t>
      </w:r>
      <w:r>
        <w:t xml:space="preserve">manufacturing, 81%</w:t>
      </w:r>
      <w:r>
        <w:t xml:space="preserve"> </w:t>
      </w:r>
      <w:r>
        <w:t xml:space="preserve">for R&amp;D, 75% for</w:t>
      </w:r>
      <w:r>
        <w:t xml:space="preserve"> </w:t>
      </w:r>
      <w:r>
        <w:t xml:space="preserve">monitoring. Supply</w:t>
      </w:r>
      <w:r>
        <w:t xml:space="preserve"> </w:t>
      </w:r>
      <w:r>
        <w:t xml:space="preserve">chain stakeholders</w:t>
      </w:r>
      <w:r>
        <w:t xml:space="preserve"> </w:t>
      </w:r>
      <w:r>
        <w:t xml:space="preserve">were the most</w:t>
      </w:r>
      <w:r>
        <w:t xml:space="preserve"> </w:t>
      </w:r>
      <w:r>
        <w:t xml:space="preserve">supportive (100% for</w:t>
      </w:r>
      <w:r>
        <w:t xml:space="preserve"> </w:t>
      </w:r>
      <w:r>
        <w:t xml:space="preserve">R&amp;D, 94% for</w:t>
      </w:r>
      <w:r>
        <w:t xml:space="preserve"> </w:t>
      </w:r>
      <w:r>
        <w:t xml:space="preserve">investment). Lower</w:t>
      </w:r>
      <w:r>
        <w:t xml:space="preserve"> </w:t>
      </w:r>
      <w:r>
        <w:t xml:space="preserve">support for</w:t>
      </w:r>
      <w:r>
        <w:t xml:space="preserve"> </w:t>
      </w:r>
      <w:r>
        <w:t xml:space="preserve">monitoring among</w:t>
      </w:r>
      <w:r>
        <w:t xml:space="preserve"> </w:t>
      </w:r>
      <w:r>
        <w:t xml:space="preserve">supply chain (62%)</w:t>
      </w:r>
      <w:r>
        <w:t xml:space="preserve"> </w:t>
      </w:r>
      <w:r>
        <w:t xml:space="preserve">and industry users</w:t>
      </w:r>
      <w:r>
        <w:t xml:space="preserve"> </w:t>
      </w:r>
      <w:r>
        <w:t xml:space="preserve">(57%), possibly</w:t>
      </w:r>
      <w:r>
        <w:t xml:space="preserve"> </w:t>
      </w:r>
      <w:r>
        <w:t xml:space="preserve">reflecting concerns</w:t>
      </w:r>
      <w:r>
        <w:t xml:space="preserve"> </w:t>
      </w:r>
      <w:r>
        <w:t xml:space="preserve">about reporting</w:t>
      </w:r>
      <w:r>
        <w:t xml:space="preserve"> </w:t>
      </w:r>
      <w:r>
        <w:t xml:space="preserve">obligations. Lab-to-</w:t>
      </w:r>
      <w:r>
        <w:t xml:space="preserve"> </w:t>
      </w:r>
      <w:r>
        <w:t xml:space="preserve">fab gap emerged as</w:t>
      </w:r>
      <w:r>
        <w:t xml:space="preserve"> </w:t>
      </w:r>
      <w:r>
        <w:t xml:space="preserve">highest priority</w:t>
      </w:r>
      <w:r>
        <w:t xml:space="preserve"> </w:t>
      </w:r>
      <w:r>
        <w:t xml:space="preserve">(83%); unanimous</w:t>
      </w:r>
      <w:r>
        <w:t xml:space="preserve"> </w:t>
      </w:r>
      <w:r>
        <w:t xml:space="preserve">among industry users</w:t>
      </w:r>
      <w:r>
        <w:t xml:space="preserve"> </w:t>
      </w:r>
      <w:r>
        <w:t xml:space="preserve">(100%). Skills</w:t>
      </w:r>
      <w:r>
        <w:t xml:space="preserve"> </w:t>
      </w:r>
      <w:r>
        <w:t xml:space="preserve">shortages (80%),</w:t>
      </w:r>
      <w:r>
        <w:t xml:space="preserve"> </w:t>
      </w:r>
      <w:r>
        <w:t xml:space="preserve">supply chain</w:t>
      </w:r>
      <w:r>
        <w:t xml:space="preserve"> </w:t>
      </w:r>
      <w:r>
        <w:t xml:space="preserve">disruptions (78%),</w:t>
      </w:r>
      <w:r>
        <w:t xml:space="preserve"> </w:t>
      </w:r>
      <w:r>
        <w:t xml:space="preserve">and energy costs</w:t>
      </w:r>
      <w:r>
        <w:t xml:space="preserve"> </w:t>
      </w:r>
      <w:r>
        <w:t xml:space="preserve">(77%) widely</w:t>
      </w:r>
      <w:r>
        <w:t xml:space="preserve"> </w:t>
      </w:r>
      <w:r>
        <w:t xml:space="preserve">Recognised.</w:t>
      </w:r>
      <w:r>
        <w:t xml:space="preserve"> </w:t>
      </w:r>
      <w:r>
        <w:t xml:space="preserve">Regulatory barriers</w:t>
      </w:r>
      <w:r>
        <w:t xml:space="preserve"> </w:t>
      </w:r>
      <w:r>
        <w:t xml:space="preserve">The Chips Act</w:t>
      </w:r>
      <w:r>
        <w:t xml:space="preserve"> </w:t>
      </w:r>
      <w:r>
        <w:t xml:space="preserve">addresses important</w:t>
      </w:r>
      <w:r>
        <w:t xml:space="preserve"> </w:t>
      </w:r>
      <w:r>
        <w:t xml:space="preserve">needs, but its initial</w:t>
      </w:r>
      <w:r>
        <w:t xml:space="preserve"> </w:t>
      </w:r>
      <w:r>
        <w:t xml:space="preserve">focus did not</w:t>
      </w:r>
      <w:r>
        <w:t xml:space="preserve"> </w:t>
      </w:r>
      <w:r>
        <w:t xml:space="preserve">sufficiently reflect</w:t>
      </w:r>
      <w:r>
        <w:t xml:space="preserve"> </w:t>
      </w:r>
      <w:r>
        <w:t xml:space="preserve">Europe’s structural</w:t>
      </w:r>
      <w:r>
        <w:t xml:space="preserve"> </w:t>
      </w:r>
      <w:r>
        <w:t xml:space="preserve">strengths, long-term</w:t>
      </w:r>
      <w:r>
        <w:t xml:space="preserve"> </w:t>
      </w:r>
      <w:r>
        <w:t xml:space="preserve">vulnerabilities, or</w:t>
      </w:r>
      <w:r>
        <w:t xml:space="preserve"> </w:t>
      </w:r>
      <w:r>
        <w:t xml:space="preserve">global semiconductor</w:t>
      </w:r>
      <w:r>
        <w:t xml:space="preserve"> </w:t>
      </w:r>
      <w:r>
        <w:t xml:space="preserve">market realities.</w:t>
      </w:r>
      <w:r>
        <w:t xml:space="preserve"> </w:t>
      </w:r>
      <w:r>
        <w:t xml:space="preserve">Moreover, the Act</w:t>
      </w:r>
      <w:r>
        <w:t xml:space="preserve"> </w:t>
      </w:r>
      <w:r>
        <w:t xml:space="preserve">lacked attention to</w:t>
      </w:r>
      <w:r>
        <w:t xml:space="preserve"> </w:t>
      </w:r>
      <w:r>
        <w:t xml:space="preserve">emerging needs,</w:t>
      </w:r>
      <w:r>
        <w:t xml:space="preserve"> </w:t>
      </w:r>
      <w:r>
        <w:t xml:space="preserve">particularly fabless</w:t>
      </w:r>
      <w:r>
        <w:t xml:space="preserve"> </w:t>
      </w:r>
      <w:r>
        <w:t xml:space="preserve">design companies’</w:t>
      </w:r>
      <w:r>
        <w:t xml:space="preserve"> </w:t>
      </w:r>
      <w:r>
        <w:t xml:space="preserve">strategic roles, and</w:t>
      </w:r>
      <w:r>
        <w:t xml:space="preserve"> </w:t>
      </w:r>
      <w:r>
        <w:t xml:space="preserve">did not adequately</w:t>
      </w:r>
      <w:r>
        <w:t xml:space="preserve"> </w:t>
      </w:r>
      <w:r>
        <w:t xml:space="preserve">consider end-user</w:t>
      </w:r>
      <w:r>
        <w:t xml:space="preserve"> </w:t>
      </w:r>
      <w:r>
        <w:t xml:space="preserve">industries or the</w:t>
      </w:r>
      <w:r>
        <w:t xml:space="preserve"> </w:t>
      </w:r>
      <w:r>
        <w:t xml:space="preserve">broader supply chain,</w:t>
      </w:r>
      <w:r>
        <w:t xml:space="preserve"> </w:t>
      </w:r>
      <w:r>
        <w:t xml:space="preserve">creating uncertainty</w:t>
      </w:r>
      <w:r>
        <w:t xml:space="preserve"> </w:t>
      </w:r>
      <w:r>
        <w:t xml:space="preserve">for investors and</w:t>
      </w:r>
      <w:r>
        <w:t xml:space="preserve"> </w:t>
      </w:r>
      <w:r>
        <w:t xml:space="preserve">leaving European</w:t>
      </w:r>
      <w:r>
        <w:t xml:space="preserve"> </w:t>
      </w:r>
      <w:r>
        <w:t xml:space="preserve">strengths</w:t>
      </w:r>
      <w:r>
        <w:t xml:space="preserve"> </w:t>
      </w:r>
      <w:r>
        <w:t xml:space="preserve">underexploited. A</w:t>
      </w:r>
      <w:r>
        <w:t xml:space="preserve"> </w:t>
      </w:r>
      <w:r>
        <w:t xml:space="preserve">recurring theme in the</w:t>
      </w:r>
      <w:r>
        <w:t xml:space="preserve"> </w:t>
      </w:r>
      <w:r>
        <w:t xml:space="preserve">interviews is the need</w:t>
      </w:r>
      <w:r>
        <w:t xml:space="preserve"> </w:t>
      </w:r>
      <w:r>
        <w:t xml:space="preserve">to focus on Europe’s</w:t>
      </w:r>
      <w:r>
        <w:t xml:space="preserve"> </w:t>
      </w:r>
      <w:r>
        <w:t xml:space="preserve">competitive</w:t>
      </w:r>
      <w:r>
        <w:t xml:space="preserve"> </w:t>
      </w:r>
      <w:r>
        <w:t xml:space="preserve">advantages. The</w:t>
      </w:r>
      <w:r>
        <w:t xml:space="preserve"> </w:t>
      </w:r>
      <w:r>
        <w:t xml:space="preserve">political emphasis on</w:t>
      </w:r>
      <w:r>
        <w:t xml:space="preserve"> </w:t>
      </w:r>
      <w:r>
        <w:t xml:space="preserve">competing at the most</w:t>
      </w:r>
      <w:r>
        <w:t xml:space="preserve"> </w:t>
      </w:r>
      <w:r>
        <w:t xml:space="preserve">The Chips Act is</w:t>
      </w:r>
      <w:r>
        <w:t xml:space="preserve"> </w:t>
      </w:r>
      <w:r>
        <w:t xml:space="preserve">relevant, in particular</w:t>
      </w:r>
      <w:r>
        <w:t xml:space="preserve"> </w:t>
      </w:r>
      <w:r>
        <w:t xml:space="preserve">because of its</w:t>
      </w:r>
      <w:r>
        <w:t xml:space="preserve"> </w:t>
      </w:r>
      <w:r>
        <w:t xml:space="preserve">investments in mature</w:t>
      </w:r>
      <w:r>
        <w:t xml:space="preserve"> </w:t>
      </w:r>
      <w:r>
        <w:t xml:space="preserve">node production and</w:t>
      </w:r>
      <w:r>
        <w:t xml:space="preserve"> </w:t>
      </w:r>
      <w:r>
        <w:t xml:space="preserve">in R&amp;D. Stakeholders</w:t>
      </w:r>
      <w:r>
        <w:t xml:space="preserve"> </w:t>
      </w:r>
      <w:r>
        <w:t xml:space="preserve">emphasised the need</w:t>
      </w:r>
      <w:r>
        <w:t xml:space="preserve"> </w:t>
      </w:r>
      <w:r>
        <w:t xml:space="preserve">to move from chip-</w:t>
      </w:r>
      <w:r>
        <w:t xml:space="preserve"> </w:t>
      </w:r>
      <w:r>
        <w:t xml:space="preserve">centric focus to</w:t>
      </w:r>
      <w:r>
        <w:t xml:space="preserve"> </w:t>
      </w:r>
      <w:r>
        <w:t xml:space="preserve">systemic approach</w:t>
      </w:r>
      <w:r>
        <w:t xml:space="preserve"> </w:t>
      </w:r>
      <w:r>
        <w:t xml:space="preserve">including packaging,</w:t>
      </w:r>
      <w:r>
        <w:t xml:space="preserve"> </w:t>
      </w:r>
      <w:r>
        <w:t xml:space="preserve">testing, and assembly.</w:t>
      </w:r>
      <w:r>
        <w:t xml:space="preserve"> </w:t>
      </w:r>
      <w:r>
        <w:t xml:space="preserve">The Lab-to-Fab Gap</w:t>
      </w:r>
      <w:r>
        <w:t xml:space="preserve"> </w:t>
      </w:r>
      <w:r>
        <w:t xml:space="preserve">persists, with pilot</w:t>
      </w:r>
      <w:r>
        <w:t xml:space="preserve"> </w:t>
      </w:r>
      <w:r>
        <w:t xml:space="preserve">lines reaching TRL6</w:t>
      </w:r>
      <w:r>
        <w:t xml:space="preserve"> </w:t>
      </w:r>
      <w:r>
        <w:t xml:space="preserve">but lacking pathways</w:t>
      </w:r>
      <w:r>
        <w:t xml:space="preserve"> </w:t>
      </w:r>
      <w:r>
        <w:t xml:space="preserve">to high-volume</w:t>
      </w:r>
      <w:r>
        <w:t xml:space="preserve"> </w:t>
      </w:r>
      <w:r>
        <w:t xml:space="preserve">production. Critical</w:t>
      </w:r>
      <w:r>
        <w:t xml:space="preserve"> </w:t>
      </w:r>
      <w:r>
        <w:t xml:space="preserve">across all sectors.</w:t>
      </w:r>
    </w:p>
    <w:p>
      <w:pPr>
        <w:pStyle w:val="BodyText"/>
      </w:pPr>
      <w:r>
        <w:t xml:space="preserve">High</w:t>
      </w:r>
    </w:p>
    <w:p>
      <w:pPr>
        <w:pStyle w:val="BodyText"/>
      </w:pPr>
      <w:r>
        <w:t xml:space="preserve">High</w:t>
      </w:r>
    </w:p>
    <w:p>
      <w:pPr>
        <w:pStyle w:val="BodyText"/>
      </w:pPr>
      <w:r>
        <w:t xml:space="preserve">Low</w:t>
      </w:r>
    </w:p>
    <w:p>
      <w:pPr>
        <w:pStyle w:val="BodyText"/>
      </w:pPr>
      <w:r>
        <w:t xml:space="preserve">42</w:t>
      </w:r>
      <w:r>
        <w:t xml:space="preserve"> </w:t>
      </w:r>
      <w:r>
        <w:t xml:space="preserve">Evaluation criterion</w:t>
      </w:r>
      <w:r>
        <w:t xml:space="preserve"> </w:t>
      </w:r>
      <w:r>
        <w:t xml:space="preserve">Open</w:t>
      </w:r>
      <w:r>
        <w:t xml:space="preserve"> </w:t>
      </w:r>
      <w:r>
        <w:t xml:space="preserve">public</w:t>
      </w:r>
      <w:r>
        <w:t xml:space="preserve"> </w:t>
      </w:r>
      <w:r>
        <w:t xml:space="preserve">consultation and call</w:t>
      </w:r>
      <w:r>
        <w:t xml:space="preserve"> </w:t>
      </w:r>
      <w:r>
        <w:t xml:space="preserve">for evidence</w:t>
      </w:r>
      <w:r>
        <w:t xml:space="preserve"> </w:t>
      </w:r>
      <w:r>
        <w:t xml:space="preserve">Survey</w:t>
      </w:r>
      <w:r>
        <w:t xml:space="preserve"> </w:t>
      </w:r>
      <w:r>
        <w:t xml:space="preserve">Interviews</w:t>
      </w:r>
      <w:r>
        <w:t xml:space="preserve"> </w:t>
      </w:r>
      <w:r>
        <w:t xml:space="preserve">Workshops</w:t>
      </w:r>
      <w:r>
        <w:t xml:space="preserve"> </w:t>
      </w:r>
      <w:r>
        <w:t xml:space="preserve">Consistency</w:t>
      </w:r>
      <w:r>
        <w:t xml:space="preserve"> </w:t>
      </w:r>
      <w:r>
        <w:t xml:space="preserve">Complementarity</w:t>
      </w:r>
      <w:r>
        <w:t xml:space="preserve"> </w:t>
      </w:r>
      <w:r>
        <w:t xml:space="preserve">Contradiction</w:t>
      </w:r>
      <w:r>
        <w:t xml:space="preserve"> </w:t>
      </w:r>
      <w:r>
        <w:t xml:space="preserve">workforce availability</w:t>
      </w:r>
      <w:r>
        <w:t xml:space="preserve"> </w:t>
      </w:r>
      <w:r>
        <w:t xml:space="preserve">emerged as most</w:t>
      </w:r>
      <w:r>
        <w:t xml:space="preserve"> </w:t>
      </w:r>
      <w:r>
        <w:t xml:space="preserve">important factors.</w:t>
      </w:r>
      <w:r>
        <w:t xml:space="preserve"> </w:t>
      </w:r>
      <w:r>
        <w:t xml:space="preserve">Semiconductor</w:t>
      </w:r>
      <w:r>
        <w:t xml:space="preserve"> </w:t>
      </w:r>
      <w:r>
        <w:t xml:space="preserve">equipment and</w:t>
      </w:r>
      <w:r>
        <w:t xml:space="preserve"> </w:t>
      </w:r>
      <w:r>
        <w:t xml:space="preserve">mainstream chip</w:t>
      </w:r>
      <w:r>
        <w:t xml:space="preserve"> </w:t>
      </w:r>
      <w:r>
        <w:t xml:space="preserve">manufacturing were</w:t>
      </w:r>
      <w:r>
        <w:t xml:space="preserve"> </w:t>
      </w:r>
      <w:r>
        <w:t xml:space="preserve">identified as strongest</w:t>
      </w:r>
      <w:r>
        <w:t xml:space="preserve"> </w:t>
      </w:r>
      <w:r>
        <w:t xml:space="preserve">areas for EU</w:t>
      </w:r>
      <w:r>
        <w:t xml:space="preserve"> </w:t>
      </w:r>
      <w:r>
        <w:t xml:space="preserve">leadership potential,</w:t>
      </w:r>
      <w:r>
        <w:t xml:space="preserve"> </w:t>
      </w:r>
      <w:r>
        <w:t xml:space="preserve">with</w:t>
      </w:r>
      <w:r>
        <w:t xml:space="preserve"> </w:t>
      </w:r>
      <w:r>
        <w:t xml:space="preserve">defence/aerospace</w:t>
      </w:r>
      <w:r>
        <w:t xml:space="preserve"> </w:t>
      </w:r>
      <w:r>
        <w:t xml:space="preserve">and automotive as</w:t>
      </w:r>
      <w:r>
        <w:t xml:space="preserve"> </w:t>
      </w:r>
      <w:r>
        <w:t xml:space="preserve">priority end-user</w:t>
      </w:r>
      <w:r>
        <w:t xml:space="preserve"> </w:t>
      </w:r>
      <w:r>
        <w:t xml:space="preserve">sectors.</w:t>
      </w:r>
      <w:r>
        <w:t xml:space="preserve"> </w:t>
      </w:r>
      <w:r>
        <w:t xml:space="preserve">particularly concern</w:t>
      </w:r>
      <w:r>
        <w:t xml:space="preserve"> </w:t>
      </w:r>
      <w:r>
        <w:t xml:space="preserve">supply chain actors</w:t>
      </w:r>
      <w:r>
        <w:t xml:space="preserve"> </w:t>
      </w:r>
      <w:r>
        <w:t xml:space="preserve">(94%). RTOs and</w:t>
      </w:r>
      <w:r>
        <w:t xml:space="preserve"> </w:t>
      </w:r>
      <w:r>
        <w:t xml:space="preserve">National Authorities</w:t>
      </w:r>
      <w:r>
        <w:t xml:space="preserve"> </w:t>
      </w:r>
      <w:r>
        <w:t xml:space="preserve">both prioritised skills</w:t>
      </w:r>
      <w:r>
        <w:t xml:space="preserve"> </w:t>
      </w:r>
      <w:r>
        <w:t xml:space="preserve">shortages (88% each).</w:t>
      </w:r>
      <w:r>
        <w:t xml:space="preserve"> </w:t>
      </w:r>
      <w:r>
        <w:t xml:space="preserve">advanced</w:t>
      </w:r>
      <w:r>
        <w:t xml:space="preserve"> </w:t>
      </w:r>
      <w:r>
        <w:t xml:space="preserve">manufacturing nodes</w:t>
      </w:r>
      <w:r>
        <w:t xml:space="preserve"> </w:t>
      </w:r>
      <w:r>
        <w:t xml:space="preserve">is unrealistic without</w:t>
      </w:r>
      <w:r>
        <w:t xml:space="preserve"> </w:t>
      </w:r>
      <w:r>
        <w:t xml:space="preserve">far larger budgets.</w:t>
      </w:r>
    </w:p>
    <w:p>
      <w:pPr>
        <w:pStyle w:val="BodyText"/>
      </w:pPr>
      <w:r>
        <w:t xml:space="preserve">43</w:t>
      </w:r>
      <w:r>
        <w:t xml:space="preserve"> </w:t>
      </w:r>
      <w:r>
        <w:t xml:space="preserve">ANNEX 3: WHO IS AFFECTED AND HOW?</w:t>
      </w:r>
      <w:r>
        <w:t xml:space="preserve"> </w:t>
      </w:r>
      <w:r>
        <w:t xml:space="preserve">1.</w:t>
      </w:r>
      <w:r>
        <w:t xml:space="preserve"> </w:t>
      </w:r>
      <w:r>
        <w:t xml:space="preserve">PRACTICAL IMPLICATIONS OF THE INITIATIVE</w:t>
      </w:r>
      <w:r>
        <w:t xml:space="preserve"> </w:t>
      </w:r>
      <w:r>
        <w:t xml:space="preserve">The proposed initiative would establish a regulatory framework to ensure the functioning of the</w:t>
      </w:r>
      <w:r>
        <w:t xml:space="preserve"> </w:t>
      </w:r>
      <w:r>
        <w:t xml:space="preserve">internal market for semiconductors, secure the competitiveness of the sector, and strengthen the</w:t>
      </w:r>
      <w:r>
        <w:t xml:space="preserve"> </w:t>
      </w:r>
      <w:r>
        <w:t xml:space="preserve">resilience of the semiconductor supply chain across the Union.</w:t>
      </w:r>
      <w:r>
        <w:t xml:space="preserve"> </w:t>
      </w:r>
      <w:r>
        <w:t xml:space="preserve">The measures concern a few principal stakeholder groups: the semiconductor industry, research</w:t>
      </w:r>
      <w:r>
        <w:t xml:space="preserve"> </w:t>
      </w:r>
      <w:r>
        <w:t xml:space="preserve">organisations and public authorities. On the industry side, the initiative covers a broad cross-</w:t>
      </w:r>
      <w:r>
        <w:t xml:space="preserve"> </w:t>
      </w:r>
      <w:r>
        <w:t xml:space="preserve">section of the semiconductor value chain, including IDMs, fabless companies, design houses,</w:t>
      </w:r>
      <w:r>
        <w:t xml:space="preserve"> </w:t>
      </w:r>
      <w:r>
        <w:t xml:space="preserve">equipment manufacturers, and suppliers, as well as industrial users in sectors such as automotive,</w:t>
      </w:r>
      <w:r>
        <w:t xml:space="preserve"> </w:t>
      </w:r>
      <w:r>
        <w:t xml:space="preserve">telecom, healthcare, energy, industrial robotics, defence, and security. Research organisations</w:t>
      </w:r>
      <w:r>
        <w:t xml:space="preserve"> </w:t>
      </w:r>
      <w:r>
        <w:t xml:space="preserve">refers to the wider research and innovation ecosystem including Research and Technology</w:t>
      </w:r>
      <w:r>
        <w:t xml:space="preserve"> </w:t>
      </w:r>
      <w:r>
        <w:t xml:space="preserve">Organisations (RTOs), academia, and scientific associations. Public authorities encompass</w:t>
      </w:r>
      <w:r>
        <w:t xml:space="preserve"> </w:t>
      </w:r>
      <w:r>
        <w:t xml:space="preserve">national competent authorities in Member States and regions and the European Commission.</w:t>
      </w:r>
      <w:r>
        <w:br/>
      </w:r>
      <w:r>
        <w:t xml:space="preserve">Benefits to industry and research organisations</w:t>
      </w:r>
      <w:r>
        <w:t xml:space="preserve"> </w:t>
      </w:r>
      <w:r>
        <w:t xml:space="preserve">Industry and research organisations stand to benefit from enhanced regulatory predictability</w:t>
      </w:r>
      <w:r>
        <w:t xml:space="preserve"> </w:t>
      </w:r>
      <w:r>
        <w:t xml:space="preserve">through a clarified FoaK framework, accelerated permitting procedures, and the establishment of</w:t>
      </w:r>
      <w:r>
        <w:t xml:space="preserve"> </w:t>
      </w:r>
      <w:r>
        <w:t xml:space="preserve">a Chips Fund 2.0 targeting start-ups and scale-ups. These measures are designed to support</w:t>
      </w:r>
      <w:r>
        <w:t xml:space="preserve"> </w:t>
      </w:r>
      <w:r>
        <w:t xml:space="preserve">capacity expansion by large firms while facilitating technology diffusion from the world of</w:t>
      </w:r>
      <w:r>
        <w:t xml:space="preserve"> </w:t>
      </w:r>
      <w:r>
        <w:t xml:space="preserve">research to SMEs and the broader industry thus bridging the lab-to-fab gap. The introduction of</w:t>
      </w:r>
      <w:r>
        <w:t xml:space="preserve"> </w:t>
      </w:r>
      <w:r>
        <w:t xml:space="preserve">Strategic Projects and targeted demand-side measures would reduce investment risk for</w:t>
      </w:r>
      <w:r>
        <w:t xml:space="preserve"> </w:t>
      </w:r>
      <w:r>
        <w:t xml:space="preserve">advanced facilities, stimulate demand for specialised inputs, and improve access to design and</w:t>
      </w:r>
      <w:r>
        <w:t xml:space="preserve"> </w:t>
      </w:r>
      <w:r>
        <w:t xml:space="preserve">production capabilities. Proposed information-gathering measures would improve supply chain</w:t>
      </w:r>
      <w:r>
        <w:t xml:space="preserve"> </w:t>
      </w:r>
      <w:r>
        <w:t xml:space="preserve">visibility across the value chain.</w:t>
      </w:r>
      <w:r>
        <w:t xml:space="preserve"> </w:t>
      </w:r>
      <w:r>
        <w:t xml:space="preserve">Furthermore, an example EUR 40 billion investment in Strategic Projects is estimated to</w:t>
      </w:r>
      <w:r>
        <w:t xml:space="preserve"> </w:t>
      </w:r>
      <w:r>
        <w:t xml:space="preserve">generate EUR 6.6–11.5 billion in additional annual revenue for EU semiconductor</w:t>
      </w:r>
      <w:r>
        <w:t xml:space="preserve"> </w:t>
      </w:r>
      <w:r>
        <w:t xml:space="preserve">manufacturers. (see further detail in Annex 4).</w:t>
      </w:r>
      <w:r>
        <w:br/>
      </w:r>
      <w:r>
        <w:t xml:space="preserve">Demand-side measures are estimated to generate approximately EUR 0.35–0.46 billion in</w:t>
      </w:r>
      <w:r>
        <w:t xml:space="preserve"> </w:t>
      </w:r>
      <w:r>
        <w:t xml:space="preserve">additional design-related demand for EU fabless firms in the AI Gigafactory context, assuming</w:t>
      </w:r>
      <w:r>
        <w:t xml:space="preserve"> </w:t>
      </w:r>
      <w:r>
        <w:t xml:space="preserve">around 5% capture of the design value envelope, with further dynamic effects through scaling</w:t>
      </w:r>
      <w:r>
        <w:t xml:space="preserve"> </w:t>
      </w:r>
      <w:r>
        <w:t xml:space="preserve">and learning. Innovation procurement (PM9) provides SMEs and start-ups with anchor</w:t>
      </w:r>
      <w:r>
        <w:t xml:space="preserve"> </w:t>
      </w:r>
      <w:r>
        <w:t xml:space="preserve">customers, early revenues, and reference deployments: each euro of public demand is estimated</w:t>
      </w:r>
      <w:r>
        <w:t xml:space="preserve"> </w:t>
      </w:r>
      <w:r>
        <w:t xml:space="preserve">to generate persistent revenue effects of up to EUR 0.5 and to crowd in approximately EUR 0.2</w:t>
      </w:r>
      <w:r>
        <w:t xml:space="preserve"> </w:t>
      </w:r>
      <w:r>
        <w:t xml:space="preserve">of private investment.</w:t>
      </w:r>
      <w:r>
        <w:br/>
      </w:r>
      <w:r>
        <w:t xml:space="preserve">The proposed Business-to-Business Semiconductor Supply Chain Platform (PM5) delivers</w:t>
      </w:r>
      <w:r>
        <w:t xml:space="preserve"> </w:t>
      </w:r>
      <w:r>
        <w:t xml:space="preserve">aggregated supply chain intelligence that would otherwise be prohibitively costly for individual</w:t>
      </w:r>
      <w:r>
        <w:t xml:space="preserve"> </w:t>
      </w:r>
      <w:r>
        <w:t xml:space="preserve">firms to gather independently. Faster permitting (PM3) reduces delay-related capital costs by an</w:t>
      </w:r>
      <w:r>
        <w:t xml:space="preserve"> </w:t>
      </w:r>
      <w:r>
        <w:t xml:space="preserve">estimated EUR 625 million for a representative EUR 20 billion fab.</w:t>
      </w:r>
      <w:r>
        <w:t xml:space="preserve"> </w:t>
      </w:r>
      <w:r>
        <w:t xml:space="preserve">Beyond direct financial returns, end-users would benefit from enhanced Union-level</w:t>
      </w:r>
      <w:r>
        <w:t xml:space="preserve"> </w:t>
      </w:r>
      <w:r>
        <w:t xml:space="preserve">preparedness, particularly during emergency situations, through improved availability of crisis-</w:t>
      </w:r>
      <w:r>
        <w:t xml:space="preserve"> </w:t>
      </w:r>
      <w:r>
        <w:t xml:space="preserve">prone semiconductors and more robust supply chain coordination mechanisms.</w:t>
      </w:r>
    </w:p>
    <w:p>
      <w:pPr>
        <w:pStyle w:val="BodyText"/>
      </w:pPr>
      <w:r>
        <w:t xml:space="preserve">44</w:t>
      </w:r>
      <w:r>
        <w:t xml:space="preserve"> </w:t>
      </w:r>
      <w:r>
        <w:t xml:space="preserve">Costs and compliance burdens</w:t>
      </w:r>
      <w:r>
        <w:t xml:space="preserve"> </w:t>
      </w:r>
      <w:r>
        <w:t xml:space="preserve">Certain measures - particularly those aimed at supporting supply chain resilience - will also give</w:t>
      </w:r>
      <w:r>
        <w:t xml:space="preserve"> </w:t>
      </w:r>
      <w:r>
        <w:t xml:space="preserve">rise to compliance costs. Large firms face one-off onboarding costs for the Platform (PM5) of</w:t>
      </w:r>
      <w:r>
        <w:t xml:space="preserve"> </w:t>
      </w:r>
      <w:r>
        <w:t xml:space="preserve">approximately EUR 100,000 per firm, with recurrent annual costs of EUR 50,000. Across the</w:t>
      </w:r>
      <w:r>
        <w:t xml:space="preserve"> </w:t>
      </w:r>
      <w:r>
        <w:t xml:space="preserve">483 large firms in the EU semiconductor value chain, this corresponds to approximately a EUR</w:t>
      </w:r>
      <w:r>
        <w:t xml:space="preserve"> </w:t>
      </w:r>
      <w:r>
        <w:t xml:space="preserve">48 million one-off cost and EUR 24 million per year.</w:t>
      </w:r>
      <w:r>
        <w:br/>
      </w:r>
      <w:r>
        <w:t xml:space="preserve">Information requests (PM6) are estimated at up to 10 person-days per firm per request,</w:t>
      </w:r>
      <w:r>
        <w:t xml:space="preserve"> </w:t>
      </w:r>
      <w:r>
        <w:t xml:space="preserve">equivalent to EUR 2,782 per firm and up to EUR 1.34 million sector-wide per crisis request.</w:t>
      </w:r>
      <w:r>
        <w:br/>
      </w:r>
      <w:r>
        <w:t xml:space="preserve">Project reporting under PM8 and PM2 runs at 1–2% of project value per year; procurement</w:t>
      </w:r>
      <w:r>
        <w:t xml:space="preserve"> </w:t>
      </w:r>
      <w:r>
        <w:t xml:space="preserve">participation under PM9 at approximately 1.05% of contract value; and certification costs under</w:t>
      </w:r>
      <w:r>
        <w:t xml:space="preserve"> </w:t>
      </w:r>
      <w:r>
        <w:t xml:space="preserve">PM10 are incremental and largely absorbed within existing schemes.</w:t>
      </w:r>
      <w:r>
        <w:br/>
      </w:r>
      <w:r>
        <w:t xml:space="preserve">SMEs are fully exempt from reporting obligations, mitigating the risk of disproportionate</w:t>
      </w:r>
      <w:r>
        <w:t xml:space="preserve"> </w:t>
      </w:r>
      <w:r>
        <w:t xml:space="preserve">administrative burdens on smaller actors. Proposed information-gathering measures may</w:t>
      </w:r>
      <w:r>
        <w:t xml:space="preserve"> </w:t>
      </w:r>
      <w:r>
        <w:t xml:space="preserve">nonetheless result in additional obligations for SMEs unless proportionate mitigation</w:t>
      </w:r>
      <w:r>
        <w:t xml:space="preserve"> </w:t>
      </w:r>
      <w:r>
        <w:t xml:space="preserve">mechanisms are applied in practice.</w:t>
      </w:r>
      <w:r>
        <w:t xml:space="preserve"> </w:t>
      </w:r>
      <w:r>
        <w:t xml:space="preserve">Taken together, the costs associated with these measures are substantially outweighed by the</w:t>
      </w:r>
      <w:r>
        <w:t xml:space="preserve"> </w:t>
      </w:r>
      <w:r>
        <w:t xml:space="preserve">economic benefits brought by improved supply chain resilience.</w:t>
      </w:r>
      <w:r>
        <w:t xml:space="preserve"> </w:t>
      </w:r>
      <w:r>
        <w:t xml:space="preserve">Impacts on public authorities</w:t>
      </w:r>
      <w:r>
        <w:t xml:space="preserve"> </w:t>
      </w:r>
      <w:r>
        <w:t xml:space="preserve">For public authorities, Chips Act 2.0 clarifies the scope of permissible public support measures</w:t>
      </w:r>
      <w:r>
        <w:t xml:space="preserve"> </w:t>
      </w:r>
      <w:r>
        <w:t xml:space="preserve">and ensures that the current framework is compatible with the co-financing of Strategic Projects</w:t>
      </w:r>
      <w:r>
        <w:t xml:space="preserve"> </w:t>
      </w:r>
      <w:r>
        <w:t xml:space="preserve">from the Union budget. These changes are designed to foster more complementary and</w:t>
      </w:r>
      <w:r>
        <w:t xml:space="preserve"> </w:t>
      </w:r>
      <w:r>
        <w:t xml:space="preserve">strategically oriented investments across the Union. Member States would also benefit from a</w:t>
      </w:r>
      <w:r>
        <w:t xml:space="preserve"> </w:t>
      </w:r>
      <w:r>
        <w:t xml:space="preserve">strengthened Union-level crisis monitoring and preparedness mechanism, underpinned by a</w:t>
      </w:r>
      <w:r>
        <w:t xml:space="preserve"> </w:t>
      </w:r>
      <w:r>
        <w:t xml:space="preserve">dedicated governance structure to ensure coordination within the single market. National public</w:t>
      </w:r>
      <w:r>
        <w:t xml:space="preserve"> </w:t>
      </w:r>
      <w:r>
        <w:t xml:space="preserve">authorities are, however, expected to incur administrative and adjustment costs associated with</w:t>
      </w:r>
      <w:r>
        <w:t xml:space="preserve"> </w:t>
      </w:r>
      <w:r>
        <w:t xml:space="preserve">assessing applications for support measures.</w:t>
      </w:r>
      <w:r>
        <w:t xml:space="preserve"> </w:t>
      </w:r>
      <w:r>
        <w:t xml:space="preserve">At EU level, implementation of the preferred option requires a one-off investment of</w:t>
      </w:r>
      <w:r>
        <w:t xml:space="preserve"> </w:t>
      </w:r>
      <w:r>
        <w:t xml:space="preserve">approximately EUR 70 million to develop the Business-to-Business Semiconductor Supply</w:t>
      </w:r>
      <w:r>
        <w:t xml:space="preserve"> </w:t>
      </w:r>
      <w:r>
        <w:t xml:space="preserve">Chain Platform (PM5), alongside staffing of 19 FTEs (additional and redeployment) to</w:t>
      </w:r>
      <w:r>
        <w:t xml:space="preserve"> </w:t>
      </w:r>
      <w:r>
        <w:t xml:space="preserve">administer Strategic Projects, operate the Platform, oversee information requirements, and</w:t>
      </w:r>
      <w:r>
        <w:t xml:space="preserve"> </w:t>
      </w:r>
      <w:r>
        <w:t xml:space="preserve">manage innovation procurement. Here, total annual administrative costs for the Union are</w:t>
      </w:r>
      <w:r>
        <w:t xml:space="preserve"> </w:t>
      </w:r>
      <w:r>
        <w:t xml:space="preserve">approximately EUR 3 686 0002.</w:t>
      </w:r>
      <w:r>
        <w:t xml:space="preserve"> </w:t>
      </w:r>
      <w:r>
        <w:t xml:space="preserve">The proposed framework would, for the first time, allow the EU budget to directly co-fund</w:t>
      </w:r>
      <w:r>
        <w:t xml:space="preserve"> </w:t>
      </w:r>
      <w:r>
        <w:t xml:space="preserve">industrial-scale semiconductor manufacturing, design, and supply chain resilience activities,</w:t>
      </w:r>
      <w:r>
        <w:t xml:space="preserve"> </w:t>
      </w:r>
      <w:r>
        <w:t xml:space="preserve">unlocking a coordinated, cross-border investment pipeline that goes beyond the reach of the</w:t>
      </w:r>
      <w:r>
        <w:t xml:space="preserve"> </w:t>
      </w:r>
      <w:r>
        <w:t xml:space="preserve">current framework.</w:t>
      </w:r>
    </w:p>
    <w:p>
      <w:pPr>
        <w:pStyle w:val="BodyText"/>
      </w:pPr>
      <w:r>
        <w:t xml:space="preserve">2 Full Time Equivalents (FTEs) were established based on internal Commission analysis. The hourly wage for</w:t>
      </w:r>
      <w:r>
        <w:t xml:space="preserve"> </w:t>
      </w:r>
      <w:r>
        <w:t xml:space="preserve">Member States and businesses was estimated at EUR 29.4 /h. The European Commission costs per FTE are EUR</w:t>
      </w:r>
      <w:r>
        <w:t xml:space="preserve"> </w:t>
      </w:r>
      <w:r>
        <w:t xml:space="preserve">194 000/year.</w:t>
      </w:r>
    </w:p>
    <w:p>
      <w:pPr>
        <w:pStyle w:val="BodyText"/>
      </w:pPr>
      <w:r>
        <w:t xml:space="preserve">45</w:t>
      </w:r>
      <w:r>
        <w:t xml:space="preserve"> </w:t>
      </w:r>
      <w:r>
        <w:t xml:space="preserve">Enhanced coordination of public support through Strategic Projects would promote deeper</w:t>
      </w:r>
      <w:r>
        <w:t xml:space="preserve"> </w:t>
      </w:r>
      <w:r>
        <w:t xml:space="preserve">integration across design, manufacturing, and advanced packaging activities. Critically, access to</w:t>
      </w:r>
      <w:r>
        <w:t xml:space="preserve"> </w:t>
      </w:r>
      <w:r>
        <w:t xml:space="preserve">supply chain information outside of a crisis context would allow the Commission to identify</w:t>
      </w:r>
      <w:r>
        <w:t xml:space="preserve"> </w:t>
      </w:r>
      <w:r>
        <w:t xml:space="preserve">specific bottlenecks, dependencies, or disruptions before they reach crisis activation thresholds,</w:t>
      </w:r>
      <w:r>
        <w:t xml:space="preserve"> </w:t>
      </w:r>
      <w:r>
        <w:t xml:space="preserve">thereby shifting focus towards proactive anticipation and mitigation measures. The</w:t>
      </w:r>
      <w:r>
        <w:t xml:space="preserve"> </w:t>
      </w:r>
      <w:r>
        <w:t xml:space="preserve">aforementioned Platform and mandatory information tools (PM5, PM6) would give the</w:t>
      </w:r>
      <w:r>
        <w:t xml:space="preserve"> </w:t>
      </w:r>
      <w:r>
        <w:t xml:space="preserve">Commission an early-warning and crisis-response capability that currently does not exist. At the</w:t>
      </w:r>
      <w:r>
        <w:t xml:space="preserve"> </w:t>
      </w:r>
      <w:r>
        <w:t xml:space="preserve">same time, appropriate safeguards would be applied throughout to ensure strict protection of</w:t>
      </w:r>
      <w:r>
        <w:t xml:space="preserve"> </w:t>
      </w:r>
      <w:r>
        <w:t xml:space="preserve">business-confidential information, proportionality of requests, and full compliance with EU data</w:t>
      </w:r>
      <w:r>
        <w:t xml:space="preserve"> </w:t>
      </w:r>
      <w:r>
        <w:t xml:space="preserve">protection and competition rules.</w:t>
      </w:r>
      <w:r>
        <w:t xml:space="preserve"> </w:t>
      </w:r>
      <w:r>
        <w:t xml:space="preserve">For Member States, recurrent costs for accelerating permitting (PM3) and validation of</w:t>
      </w:r>
      <w:r>
        <w:t xml:space="preserve"> </w:t>
      </w:r>
      <w:r>
        <w:t xml:space="preserve">mandatory information submissions (PM5, PM6) are moderate and largely absorbable within</w:t>
      </w:r>
      <w:r>
        <w:t xml:space="preserve"> </w:t>
      </w:r>
      <w:r>
        <w:t xml:space="preserve">existing administrative structures.</w:t>
      </w:r>
      <w:r>
        <w:br/>
      </w:r>
      <w:r>
        <w:t xml:space="preserve">Impacts on society</w:t>
      </w:r>
      <w:r>
        <w:t xml:space="preserve"> </w:t>
      </w:r>
      <w:r>
        <w:t xml:space="preserve">Society at large stands to benefit from wider availability of supply of both leading-edge and</w:t>
      </w:r>
      <w:r>
        <w:t xml:space="preserve"> </w:t>
      </w:r>
      <w:r>
        <w:t xml:space="preserve">mainstream semiconductor technologies. Improved Union-level crisis preparedness would</w:t>
      </w:r>
      <w:r>
        <w:t xml:space="preserve"> </w:t>
      </w:r>
      <w:r>
        <w:t xml:space="preserve">benefit consumers and citizens directly, including through better continuity of essential services</w:t>
      </w:r>
      <w:r>
        <w:t xml:space="preserve"> </w:t>
      </w:r>
      <w:r>
        <w:t xml:space="preserve">such as healthcare, energy, communications, and defence during supply disruptions. Reduced</w:t>
      </w:r>
      <w:r>
        <w:t xml:space="preserve"> </w:t>
      </w:r>
      <w:r>
        <w:t xml:space="preserve">reliance on concentrated third-country supply chains lowers the Union’s exposure to geopolitical</w:t>
      </w:r>
      <w:r>
        <w:t xml:space="preserve"> </w:t>
      </w:r>
      <w:r>
        <w:t xml:space="preserve">coercion and supply weaponisation. Domestic sourcing criteria under PM10 reduce the risk of</w:t>
      </w:r>
      <w:r>
        <w:t xml:space="preserve"> </w:t>
      </w:r>
      <w:r>
        <w:t xml:space="preserve">embedded vulnerabilities in critical systems. Citizens would also benefit as workers, with the</w:t>
      </w:r>
      <w:r>
        <w:t xml:space="preserve"> </w:t>
      </w:r>
      <w:r>
        <w:t xml:space="preserve">creation of new high-skilled positions and increased labour mobility. Over time, a stronger EU</w:t>
      </w:r>
      <w:r>
        <w:t xml:space="preserve"> </w:t>
      </w:r>
      <w:r>
        <w:t xml:space="preserve">semiconductor ecosystem is expected to contribute to greater product choice, higher quality, and</w:t>
      </w:r>
      <w:r>
        <w:t xml:space="preserve"> </w:t>
      </w:r>
      <w:r>
        <w:t xml:space="preserve">more competitive pricing for all downstream users of semiconductor-enabled goods. No direct</w:t>
      </w:r>
      <w:r>
        <w:t xml:space="preserve"> </w:t>
      </w:r>
      <w:r>
        <w:t xml:space="preserve">costs to citizens are anticipated.</w:t>
      </w:r>
      <w:r>
        <w:br/>
      </w:r>
      <w:r>
        <w:t xml:space="preserve">Methodology</w:t>
      </w:r>
      <w:r>
        <w:t xml:space="preserve"> </w:t>
      </w:r>
      <w:r>
        <w:t xml:space="preserve">The assessment of impacts draws on multiple data sources, including the targeted stakeholder</w:t>
      </w:r>
      <w:r>
        <w:t xml:space="preserve"> </w:t>
      </w:r>
      <w:r>
        <w:t xml:space="preserve">consultation, comprising interviews and surveys, the open public consultation, the Call for</w:t>
      </w:r>
      <w:r>
        <w:t xml:space="preserve"> </w:t>
      </w:r>
      <w:r>
        <w:t xml:space="preserve">Evidence, and desk research. Where possible, impacts have been quantified on the basis of</w:t>
      </w:r>
      <w:r>
        <w:t xml:space="preserve"> </w:t>
      </w:r>
      <w:r>
        <w:t xml:space="preserve">available assessments or modelling. Where dedicated modelling was not feasible due to data or</w:t>
      </w:r>
      <w:r>
        <w:t xml:space="preserve"> </w:t>
      </w:r>
      <w:r>
        <w:t xml:space="preserve">tooling constraints, a qualitative assessment was carried out drawing on existing studies and</w:t>
      </w:r>
      <w:r>
        <w:t xml:space="preserve"> </w:t>
      </w:r>
      <w:r>
        <w:t xml:space="preserve">stakeholder input. Further details on the methodological approach, including detailed tables and</w:t>
      </w:r>
      <w:r>
        <w:t xml:space="preserve"> </w:t>
      </w:r>
      <w:r>
        <w:t xml:space="preserve">estimates, are provided in Annex 4.</w:t>
      </w:r>
      <w:r>
        <w:t xml:space="preserve"> </w:t>
      </w:r>
      <w:r>
        <w:t xml:space="preserve">2.</w:t>
      </w:r>
      <w:r>
        <w:t xml:space="preserve"> </w:t>
      </w:r>
      <w:r>
        <w:t xml:space="preserve">SUMMARY OF COSTS AND BENEFITS</w:t>
      </w:r>
      <w:r>
        <w:t xml:space="preserve"> </w:t>
      </w:r>
      <w:r>
        <w:t xml:space="preserve">I. Overview of Benefits (total for all provisions) – Preferred Option</w:t>
      </w:r>
      <w:r>
        <w:t xml:space="preserve"> </w:t>
      </w:r>
      <w:r>
        <w:t xml:space="preserve">Description</w:t>
      </w:r>
      <w:r>
        <w:t xml:space="preserve"> </w:t>
      </w:r>
      <w:r>
        <w:t xml:space="preserve">Amount</w:t>
      </w:r>
      <w:r>
        <w:t xml:space="preserve"> </w:t>
      </w:r>
      <w:r>
        <w:t xml:space="preserve">Comments</w:t>
      </w:r>
      <w:r>
        <w:t xml:space="preserve"> </w:t>
      </w:r>
      <w:r>
        <w:t xml:space="preserve">Direct benefits</w:t>
      </w:r>
      <w:r>
        <w:t xml:space="preserve"> </w:t>
      </w:r>
      <w:r>
        <w:t xml:space="preserve">Structural expansion and</w:t>
      </w:r>
      <w:r>
        <w:t xml:space="preserve"> </w:t>
      </w:r>
      <w:r>
        <w:t xml:space="preserve">rebalancing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EU</w:t>
      </w:r>
      <w:r>
        <w:t xml:space="preserve"> </w:t>
      </w:r>
      <w:r>
        <w:t xml:space="preserve">semiconductor</w:t>
      </w:r>
      <w:r>
        <w:t xml:space="preserve"> </w:t>
      </w:r>
      <w:r>
        <w:t xml:space="preserve">industrial</w:t>
      </w:r>
      <w:r>
        <w:t xml:space="preserve"> </w:t>
      </w:r>
      <w:r>
        <w:t xml:space="preserve">base</w:t>
      </w:r>
      <w:r>
        <w:t xml:space="preserve"> </w:t>
      </w:r>
      <w:r>
        <w:t xml:space="preserve">Qualitative</w:t>
      </w:r>
      <w:r>
        <w:t xml:space="preserve"> </w:t>
      </w:r>
      <w:r>
        <w:t xml:space="preserve">and</w:t>
      </w:r>
      <w:r>
        <w:t xml:space="preserve"> </w:t>
      </w:r>
      <w:r>
        <w:t xml:space="preserve">quantitative;</w:t>
      </w:r>
      <w:r>
        <w:t xml:space="preserve"> </w:t>
      </w:r>
      <w:r>
        <w:t xml:space="preserve">high strategic significance</w:t>
      </w:r>
      <w:r>
        <w:t xml:space="preserve"> </w:t>
      </w:r>
      <w:r>
        <w:t xml:space="preserve">EUR 6.6-11.5 billion additional</w:t>
      </w:r>
      <w:r>
        <w:t xml:space="preserve"> </w:t>
      </w:r>
      <w:r>
        <w:t xml:space="preserve">annual manufacturing revenue;</w:t>
      </w:r>
      <w:r>
        <w:t xml:space="preserve"> </w:t>
      </w:r>
      <w:r>
        <w:t xml:space="preserve">up to EUR 7-9 billion potential</w:t>
      </w:r>
      <w:r>
        <w:t xml:space="preserve"> </w:t>
      </w:r>
      <w:r>
        <w:t xml:space="preserve">design revenues</w:t>
      </w:r>
      <w:r>
        <w:t xml:space="preserve"> </w:t>
      </w:r>
      <w:r>
        <w:t xml:space="preserve">Assuming EUR 15 billion in public support, PO2 increases</w:t>
      </w:r>
      <w:r>
        <w:t xml:space="preserve"> </w:t>
      </w:r>
      <w:r>
        <w:t xml:space="preserve">EU</w:t>
      </w:r>
      <w:r>
        <w:t xml:space="preserve"> </w:t>
      </w:r>
      <w:r>
        <w:t xml:space="preserve">semiconductor</w:t>
      </w:r>
      <w:r>
        <w:t xml:space="preserve"> </w:t>
      </w:r>
      <w:r>
        <w:t xml:space="preserve">manufacturing</w:t>
      </w:r>
      <w:r>
        <w:t xml:space="preserve"> </w:t>
      </w:r>
      <w:r>
        <w:t xml:space="preserve">capacity</w:t>
      </w:r>
      <w:r>
        <w:t xml:space="preserve"> </w:t>
      </w:r>
      <w:r>
        <w:t xml:space="preserve">through</w:t>
      </w:r>
      <w:r>
        <w:t xml:space="preserve"> </w:t>
      </w:r>
      <w:r>
        <w:t xml:space="preserve">Strategic Projects, generating an estimated EUR 6.6–11.5</w:t>
      </w:r>
      <w:r>
        <w:t xml:space="preserve"> </w:t>
      </w:r>
      <w:r>
        <w:t xml:space="preserve">billion in additional annual revenue depending on the</w:t>
      </w:r>
      <w:r>
        <w:t xml:space="preserve"> </w:t>
      </w:r>
      <w:r>
        <w:t xml:space="preserve">technology mix. Furthermore, capacity expansion is</w:t>
      </w:r>
      <w:r>
        <w:t xml:space="preserve"> </w:t>
      </w:r>
      <w:r>
        <w:t xml:space="preserve">estimated at approximately 108,000 to 222,000 wafers per</w:t>
      </w:r>
    </w:p>
    <w:p>
      <w:pPr>
        <w:pStyle w:val="BodyText"/>
      </w:pPr>
      <w:r>
        <w:t xml:space="preserve">46</w:t>
      </w:r>
      <w:r>
        <w:t xml:space="preserve"> </w:t>
      </w:r>
      <w:r>
        <w:t xml:space="preserve">month.</w:t>
      </w:r>
      <w:r>
        <w:t xml:space="preserve"> </w:t>
      </w:r>
      <w:r>
        <w:t xml:space="preserve">In addition, expanded manufacturing capacity generates</w:t>
      </w:r>
      <w:r>
        <w:t xml:space="preserve"> </w:t>
      </w:r>
      <w:r>
        <w:t xml:space="preserve">recurring fiscal returns for Member States. Applying a</w:t>
      </w:r>
      <w:r>
        <w:t xml:space="preserve"> </w:t>
      </w:r>
      <w:r>
        <w:t xml:space="preserve">value-added ratio of 34% and an average fiscal capture rate</w:t>
      </w:r>
      <w:r>
        <w:t xml:space="preserve"> </w:t>
      </w:r>
      <w:r>
        <w:t xml:space="preserve">of 16.5%, annual direct tax revenues are estimated at EUR</w:t>
      </w:r>
      <w:r>
        <w:t xml:space="preserve"> </w:t>
      </w:r>
      <w:r>
        <w:t xml:space="preserve">380-662 million once full operational capacity is reached.</w:t>
      </w:r>
      <w:r>
        <w:t xml:space="preserve"> </w:t>
      </w:r>
      <w:r>
        <w:t xml:space="preserve">In parallel, demand-side measures such as innovation</w:t>
      </w:r>
      <w:r>
        <w:t xml:space="preserve"> </w:t>
      </w:r>
      <w:r>
        <w:t xml:space="preserve">procurement may in the short- term generate approximately</w:t>
      </w:r>
      <w:r>
        <w:t xml:space="preserve"> </w:t>
      </w:r>
      <w:r>
        <w:t xml:space="preserve">EUR 0.35–0.46 billion in additional design-related demand</w:t>
      </w:r>
      <w:r>
        <w:t xml:space="preserve"> </w:t>
      </w:r>
      <w:r>
        <w:t xml:space="preserve">for EU-based fabless semiconductor firms, with further</w:t>
      </w:r>
      <w:r>
        <w:t xml:space="preserve"> </w:t>
      </w:r>
      <w:r>
        <w:t xml:space="preserve">indirect benefits through learning effects, scaling and</w:t>
      </w:r>
      <w:r>
        <w:t xml:space="preserve"> </w:t>
      </w:r>
      <w:r>
        <w:t xml:space="preserve">improved investment conditions.</w:t>
      </w:r>
      <w:r>
        <w:t xml:space="preserve"> </w:t>
      </w:r>
      <w:r>
        <w:t xml:space="preserve">Main beneficiaries: EU industry (fabless firms, foundries,</w:t>
      </w:r>
      <w:r>
        <w:t xml:space="preserve"> </w:t>
      </w:r>
      <w:r>
        <w:t xml:space="preserve">end using industry), Member States.</w:t>
      </w:r>
      <w:r>
        <w:t xml:space="preserve"> </w:t>
      </w:r>
      <w:r>
        <w:t xml:space="preserve">Enhanced</w:t>
      </w:r>
      <w:r>
        <w:t xml:space="preserve"> </w:t>
      </w:r>
      <w:r>
        <w:t xml:space="preserve">investment</w:t>
      </w:r>
      <w:r>
        <w:t xml:space="preserve"> </w:t>
      </w:r>
      <w:r>
        <w:t xml:space="preserve">viability</w:t>
      </w:r>
      <w:r>
        <w:t xml:space="preserve"> </w:t>
      </w:r>
      <w:r>
        <w:t xml:space="preserve">and</w:t>
      </w:r>
      <w:r>
        <w:t xml:space="preserve"> </w:t>
      </w:r>
      <w:r>
        <w:t xml:space="preserve">capital</w:t>
      </w:r>
      <w:r>
        <w:t xml:space="preserve"> </w:t>
      </w:r>
      <w:r>
        <w:t xml:space="preserve">efficiency for large-scale</w:t>
      </w:r>
      <w:r>
        <w:t xml:space="preserve"> </w:t>
      </w:r>
      <w:r>
        <w:t xml:space="preserve">semiconductor projects</w:t>
      </w:r>
      <w:r>
        <w:t xml:space="preserve"> </w:t>
      </w:r>
      <w:r>
        <w:t xml:space="preserve">Quantitative</w:t>
      </w:r>
      <w:r>
        <w:t xml:space="preserve"> </w:t>
      </w:r>
      <w:r>
        <w:t xml:space="preserve">and</w:t>
      </w:r>
      <w:r>
        <w:t xml:space="preserve"> </w:t>
      </w:r>
      <w:r>
        <w:t xml:space="preserve">qualitative;</w:t>
      </w:r>
      <w:r>
        <w:t xml:space="preserve"> </w:t>
      </w:r>
      <w:r>
        <w:t xml:space="preserve">high significance</w:t>
      </w:r>
      <w:r>
        <w:t xml:space="preserve"> </w:t>
      </w:r>
      <w:r>
        <w:t xml:space="preserve">Indicative avoided delay costs of</w:t>
      </w:r>
      <w:r>
        <w:t xml:space="preserve"> </w:t>
      </w:r>
      <w:r>
        <w:t xml:space="preserve">~EUR 600–650 million per EUR</w:t>
      </w:r>
      <w:r>
        <w:t xml:space="preserve"> </w:t>
      </w:r>
      <w:r>
        <w:t xml:space="preserve">20 billion fab</w:t>
      </w:r>
      <w:r>
        <w:t xml:space="preserve"> </w:t>
      </w:r>
      <w:r>
        <w:t xml:space="preserve">Under PO2, EU co-funding, alignment of FoaK/IPF/OEF</w:t>
      </w:r>
      <w:r>
        <w:t xml:space="preserve"> </w:t>
      </w:r>
      <w:r>
        <w:t xml:space="preserve">procedures,</w:t>
      </w:r>
      <w:r>
        <w:t xml:space="preserve"> </w:t>
      </w:r>
      <w:r>
        <w:t xml:space="preserve">fast-track</w:t>
      </w:r>
      <w:r>
        <w:t xml:space="preserve"> </w:t>
      </w:r>
      <w:r>
        <w:t xml:space="preserve">permitting</w:t>
      </w:r>
      <w:r>
        <w:t xml:space="preserve"> </w:t>
      </w:r>
      <w:r>
        <w:t xml:space="preserve">and</w:t>
      </w:r>
      <w:r>
        <w:t xml:space="preserve"> </w:t>
      </w:r>
      <w:r>
        <w:t xml:space="preserve">demand-side</w:t>
      </w:r>
      <w:r>
        <w:t xml:space="preserve"> </w:t>
      </w:r>
      <w:r>
        <w:t xml:space="preserve">measures jointly improve the bankability of large-scale</w:t>
      </w:r>
      <w:r>
        <w:t xml:space="preserve"> </w:t>
      </w:r>
      <w:r>
        <w:t xml:space="preserve">semiconductor projects.</w:t>
      </w:r>
      <w:r>
        <w:t xml:space="preserve"> </w:t>
      </w:r>
      <w:r>
        <w:t xml:space="preserve">EU co-funding lowers the effective cost of capital, and</w:t>
      </w:r>
      <w:r>
        <w:t xml:space="preserve"> </w:t>
      </w:r>
      <w:r>
        <w:t xml:space="preserve">shortens time to break even. Demand-side instruments such</w:t>
      </w:r>
      <w:r>
        <w:t xml:space="preserve"> </w:t>
      </w:r>
      <w:r>
        <w:t xml:space="preserve">as innovation-oriented public procurement increase revenue</w:t>
      </w:r>
      <w:r>
        <w:t xml:space="preserve"> </w:t>
      </w:r>
      <w:r>
        <w:t xml:space="preserve">predictability. Empirical evidence suggests that each euro</w:t>
      </w:r>
      <w:r>
        <w:t xml:space="preserve"> </w:t>
      </w:r>
      <w:r>
        <w:t xml:space="preserve">of public demand can generate persistent revenue effects of</w:t>
      </w:r>
      <w:r>
        <w:t xml:space="preserve"> </w:t>
      </w:r>
      <w:r>
        <w:t xml:space="preserve">up to EUR 0.5 and crowd in approximately EUR 0.2 of</w:t>
      </w:r>
      <w:r>
        <w:t xml:space="preserve"> </w:t>
      </w:r>
      <w:r>
        <w:t xml:space="preserve">additional private investment.</w:t>
      </w:r>
      <w:r>
        <w:br/>
      </w:r>
      <w:r>
        <w:t xml:space="preserve">Streamlined and faster permitting further reduces delay-</w:t>
      </w:r>
      <w:r>
        <w:t xml:space="preserve"> </w:t>
      </w:r>
      <w:r>
        <w:t xml:space="preserve">related capital costs. Permitting and design phases in the</w:t>
      </w:r>
      <w:r>
        <w:t xml:space="preserve"> </w:t>
      </w:r>
      <w:r>
        <w:t xml:space="preserve">EU are on average around 7.5 months longer than in</w:t>
      </w:r>
      <w:r>
        <w:t xml:space="preserve"> </w:t>
      </w:r>
      <w:r>
        <w:t xml:space="preserve">leading Asian jurisdictions. Assuming that each year of</w:t>
      </w:r>
      <w:r>
        <w:t xml:space="preserve"> </w:t>
      </w:r>
      <w:r>
        <w:t xml:space="preserve">delay increases total project costs by approximately 5%,</w:t>
      </w:r>
      <w:r>
        <w:t xml:space="preserve"> </w:t>
      </w:r>
      <w:r>
        <w:t xml:space="preserve">this corresponds to an additional cost of around 3.1% of</w:t>
      </w:r>
      <w:r>
        <w:t xml:space="preserve"> </w:t>
      </w:r>
      <w:r>
        <w:t xml:space="preserve">total investment, or approximately EUR 625 million for a</w:t>
      </w:r>
      <w:r>
        <w:t xml:space="preserve"> </w:t>
      </w:r>
      <w:r>
        <w:t xml:space="preserve">representative EUR 20 billion advanced fabrication plant.</w:t>
      </w:r>
      <w:r>
        <w:t xml:space="preserve"> </w:t>
      </w:r>
      <w:r>
        <w:t xml:space="preserve">Earlier and more predictable utilisation of new facilities</w:t>
      </w:r>
      <w:r>
        <w:t xml:space="preserve"> </w:t>
      </w:r>
      <w:r>
        <w:t xml:space="preserve">enhances financial viability, particularly for specialised and</w:t>
      </w:r>
      <w:r>
        <w:t xml:space="preserve"> </w:t>
      </w:r>
      <w:r>
        <w:t xml:space="preserve">application-specific production lines.</w:t>
      </w:r>
      <w:r>
        <w:t xml:space="preserve"> </w:t>
      </w:r>
      <w:r>
        <w:t xml:space="preserve">Main beneficiaries: EU Industry (semiconductor investors),</w:t>
      </w:r>
      <w:r>
        <w:t xml:space="preserve"> </w:t>
      </w:r>
      <w:r>
        <w:t xml:space="preserve">Member States, regional authorities.</w:t>
      </w:r>
      <w:r>
        <w:t xml:space="preserve"> </w:t>
      </w:r>
      <w:r>
        <w:t xml:space="preserve">Enhanced</w:t>
      </w:r>
      <w:r>
        <w:t xml:space="preserve"> </w:t>
      </w:r>
      <w:r>
        <w:t xml:space="preserve">supply</w:t>
      </w:r>
      <w:r>
        <w:t xml:space="preserve"> </w:t>
      </w:r>
      <w:r>
        <w:t xml:space="preserve">chain</w:t>
      </w:r>
      <w:r>
        <w:t xml:space="preserve"> </w:t>
      </w:r>
      <w:r>
        <w:t xml:space="preserve">resilience</w:t>
      </w:r>
      <w:r>
        <w:t xml:space="preserve"> </w:t>
      </w:r>
      <w:r>
        <w:t xml:space="preserve">and</w:t>
      </w:r>
      <w:r>
        <w:t xml:space="preserve"> </w:t>
      </w:r>
      <w:r>
        <w:t xml:space="preserve">crisis</w:t>
      </w:r>
      <w:r>
        <w:t xml:space="preserve"> </w:t>
      </w:r>
      <w:r>
        <w:t xml:space="preserve">preparedness</w:t>
      </w:r>
      <w:r>
        <w:t xml:space="preserve"> </w:t>
      </w:r>
      <w:r>
        <w:t xml:space="preserve">Qualitative;</w:t>
      </w:r>
      <w:r>
        <w:t xml:space="preserve"> </w:t>
      </w:r>
      <w:r>
        <w:t xml:space="preserve">high</w:t>
      </w:r>
      <w:r>
        <w:t xml:space="preserve"> </w:t>
      </w:r>
      <w:r>
        <w:t xml:space="preserve">economic</w:t>
      </w:r>
      <w:r>
        <w:t xml:space="preserve"> </w:t>
      </w:r>
      <w:r>
        <w:t xml:space="preserve">significance</w:t>
      </w:r>
      <w:r>
        <w:t xml:space="preserve"> </w:t>
      </w:r>
      <w:r>
        <w:t xml:space="preserve">Up to EUR 1.53 trillion in</w:t>
      </w:r>
      <w:r>
        <w:t xml:space="preserve"> </w:t>
      </w:r>
      <w:r>
        <w:t xml:space="preserve">downstream production value</w:t>
      </w:r>
      <w:r>
        <w:t xml:space="preserve"> </w:t>
      </w:r>
      <w:r>
        <w:t xml:space="preserve">exposed in worst-case disruption</w:t>
      </w:r>
      <w:r>
        <w:t xml:space="preserve"> </w:t>
      </w:r>
      <w:r>
        <w:t xml:space="preserve">scenario</w:t>
      </w:r>
      <w:r>
        <w:t xml:space="preserve"> </w:t>
      </w:r>
      <w:r>
        <w:t xml:space="preserve">PO2 strengthens monitoring, demand stability and crisis</w:t>
      </w:r>
      <w:r>
        <w:t xml:space="preserve"> </w:t>
      </w:r>
      <w:r>
        <w:t xml:space="preserve">coordination</w:t>
      </w:r>
      <w:r>
        <w:t xml:space="preserve"> </w:t>
      </w:r>
      <w:r>
        <w:t xml:space="preserve">through</w:t>
      </w:r>
      <w:r>
        <w:t xml:space="preserve"> </w:t>
      </w:r>
      <w:r>
        <w:t xml:space="preserve">the</w:t>
      </w:r>
      <w:r>
        <w:t xml:space="preserve"> </w:t>
      </w:r>
      <w:r>
        <w:t xml:space="preserve">Business-to-Business</w:t>
      </w:r>
      <w:r>
        <w:t xml:space="preserve"> </w:t>
      </w:r>
      <w:r>
        <w:t xml:space="preserve">Semiconductor Supply Chain Platform. Improved visibility</w:t>
      </w:r>
      <w:r>
        <w:t xml:space="preserve"> </w:t>
      </w:r>
      <w:r>
        <w:t xml:space="preserve">of structural vulnerabilities enables earlier risk detection</w:t>
      </w:r>
      <w:r>
        <w:t xml:space="preserve"> </w:t>
      </w:r>
      <w:r>
        <w:t xml:space="preserve">and coordinated response, reducing the likelihood and</w:t>
      </w:r>
      <w:r>
        <w:t xml:space="preserve"> </w:t>
      </w:r>
      <w:r>
        <w:t xml:space="preserve">duration of supply bottlenecks.</w:t>
      </w:r>
      <w:r>
        <w:t xml:space="preserve"> </w:t>
      </w:r>
      <w:r>
        <w:t xml:space="preserve">In 2023, motor vehicles and transport equipment (EUR 934</w:t>
      </w:r>
      <w:r>
        <w:t xml:space="preserve"> </w:t>
      </w:r>
      <w:r>
        <w:t xml:space="preserve">billion) and machinery and equipment (EUR 600 billion)</w:t>
      </w:r>
      <w:r>
        <w:t xml:space="preserve"> </w:t>
      </w:r>
      <w:r>
        <w:t xml:space="preserve">together generated over EUR 1.53 trillion in production</w:t>
      </w:r>
      <w:r>
        <w:t xml:space="preserve"> </w:t>
      </w:r>
      <w:r>
        <w:t xml:space="preserve">value. In the absence of coordinated monitoring and</w:t>
      </w:r>
      <w:r>
        <w:t xml:space="preserve"> </w:t>
      </w:r>
      <w:r>
        <w:t xml:space="preserve">mitigation, this output remains exposed to semiconductor</w:t>
      </w:r>
    </w:p>
    <w:p>
      <w:pPr>
        <w:pStyle w:val="BodyText"/>
      </w:pPr>
      <w:r>
        <w:t xml:space="preserve">47</w:t>
      </w:r>
      <w:r>
        <w:t xml:space="preserve"> </w:t>
      </w:r>
      <w:r>
        <w:t xml:space="preserve">supply shocks.</w:t>
      </w:r>
      <w:r>
        <w:t xml:space="preserve"> </w:t>
      </w:r>
      <w:r>
        <w:t xml:space="preserve">PO2 safeguards the functioning of the Single Market</w:t>
      </w:r>
      <w:r>
        <w:t xml:space="preserve"> </w:t>
      </w:r>
      <w:r>
        <w:t xml:space="preserve">during crises by supporting the free flow and availability of</w:t>
      </w:r>
      <w:r>
        <w:t xml:space="preserve"> </w:t>
      </w:r>
      <w:r>
        <w:t xml:space="preserve">semiconductors needed by critical supply chains.</w:t>
      </w:r>
      <w:r>
        <w:t xml:space="preserve"> </w:t>
      </w:r>
      <w:r>
        <w:t xml:space="preserve">Main beneficiaries: End user industries, Member States.</w:t>
      </w:r>
      <w:r>
        <w:t xml:space="preserve"> </w:t>
      </w:r>
      <w:r>
        <w:t xml:space="preserve">Strengthened EU economic</w:t>
      </w:r>
      <w:r>
        <w:t xml:space="preserve"> </w:t>
      </w:r>
      <w:r>
        <w:t xml:space="preserve">security,</w:t>
      </w:r>
      <w:r>
        <w:t xml:space="preserve"> </w:t>
      </w:r>
      <w:r>
        <w:t xml:space="preserve">resilience</w:t>
      </w:r>
      <w:r>
        <w:t xml:space="preserve"> </w:t>
      </w:r>
      <w:r>
        <w:t xml:space="preserve">and</w:t>
      </w:r>
      <w:r>
        <w:t xml:space="preserve"> </w:t>
      </w:r>
      <w:r>
        <w:t xml:space="preserve">crisis management capacity</w:t>
      </w:r>
      <w:r>
        <w:t xml:space="preserve"> </w:t>
      </w:r>
      <w:r>
        <w:t xml:space="preserve">Qualitative; high strategic and</w:t>
      </w:r>
      <w:r>
        <w:t xml:space="preserve"> </w:t>
      </w:r>
      <w:r>
        <w:t xml:space="preserve">societal significance</w:t>
      </w:r>
      <w:r>
        <w:t xml:space="preserve"> </w:t>
      </w:r>
      <w:r>
        <w:t xml:space="preserve">By promoting dual semiconductor sourcing from domestic</w:t>
      </w:r>
      <w:r>
        <w:t xml:space="preserve"> </w:t>
      </w:r>
      <w:r>
        <w:t xml:space="preserve">undertakings, PO2 reduces the risk of embedded</w:t>
      </w:r>
      <w:r>
        <w:t xml:space="preserve"> </w:t>
      </w:r>
      <w:r>
        <w:t xml:space="preserve">vulnerabilities, malicious interference and geopolitical</w:t>
      </w:r>
      <w:r>
        <w:t xml:space="preserve"> </w:t>
      </w:r>
      <w:r>
        <w:t xml:space="preserve">coercion in critical systems. This enhances the integrity of</w:t>
      </w:r>
      <w:r>
        <w:t xml:space="preserve"> </w:t>
      </w:r>
      <w:r>
        <w:t xml:space="preserve">defence, telecommunications, healthcare, energy and</w:t>
      </w:r>
      <w:r>
        <w:t xml:space="preserve"> </w:t>
      </w:r>
      <w:r>
        <w:t xml:space="preserve">digital infrastructure.</w:t>
      </w:r>
      <w:r>
        <w:t xml:space="preserve"> </w:t>
      </w:r>
      <w:r>
        <w:t xml:space="preserve">Reduced reliance on externally concentrated supply chains</w:t>
      </w:r>
      <w:r>
        <w:t xml:space="preserve"> </w:t>
      </w:r>
      <w:r>
        <w:t xml:space="preserve">lowers exposure to supply weaponisation and strengthens</w:t>
      </w:r>
      <w:r>
        <w:t xml:space="preserve"> </w:t>
      </w:r>
      <w:r>
        <w:t xml:space="preserve">the EU’s strategic autonomy in vital technologies for</w:t>
      </w:r>
      <w:r>
        <w:t xml:space="preserve"> </w:t>
      </w:r>
      <w:r>
        <w:t xml:space="preserve">competitiveness, security and defence. .</w:t>
      </w:r>
      <w:r>
        <w:br/>
      </w:r>
      <w:r>
        <w:t xml:space="preserve">In severe disruption scenarios, improved semiconductor</w:t>
      </w:r>
      <w:r>
        <w:t xml:space="preserve"> </w:t>
      </w:r>
      <w:r>
        <w:t xml:space="preserve">availability may contribute to protecting public safety and</w:t>
      </w:r>
      <w:r>
        <w:t xml:space="preserve"> </w:t>
      </w:r>
      <w:r>
        <w:t xml:space="preserve">mitigating life-threatening risks.</w:t>
      </w:r>
      <w:r>
        <w:t xml:space="preserve"> </w:t>
      </w:r>
      <w:r>
        <w:t xml:space="preserve">Main beneficiaries: citizens, public authorities, end user</w:t>
      </w:r>
      <w:r>
        <w:t xml:space="preserve"> </w:t>
      </w:r>
      <w:r>
        <w:t xml:space="preserve">industries (e.g. defence and telecom sectors), and EU</w:t>
      </w:r>
      <w:r>
        <w:t xml:space="preserve"> </w:t>
      </w:r>
      <w:r>
        <w:t xml:space="preserve">industry in general.</w:t>
      </w:r>
      <w:r>
        <w:t xml:space="preserve"> </w:t>
      </w:r>
      <w:r>
        <w:t xml:space="preserve">Strengthened semiconductor</w:t>
      </w:r>
      <w:r>
        <w:t xml:space="preserve"> </w:t>
      </w:r>
      <w:r>
        <w:t xml:space="preserve">EU innovation ecosystem</w:t>
      </w:r>
      <w:r>
        <w:t xml:space="preserve"> </w:t>
      </w:r>
      <w:r>
        <w:t xml:space="preserve">and accelerated industrial</w:t>
      </w:r>
      <w:r>
        <w:t xml:space="preserve"> </w:t>
      </w:r>
      <w:r>
        <w:t xml:space="preserve">deployment</w:t>
      </w:r>
      <w:r>
        <w:t xml:space="preserve"> </w:t>
      </w:r>
      <w:r>
        <w:t xml:space="preserve">Qualitative; medium–high</w:t>
      </w:r>
      <w:r>
        <w:t xml:space="preserve"> </w:t>
      </w:r>
      <w:r>
        <w:t xml:space="preserve">significance</w:t>
      </w:r>
      <w:r>
        <w:t xml:space="preserve"> </w:t>
      </w:r>
      <w:r>
        <w:t xml:space="preserve">PO2 enhances R&amp;D and innovation outputs through</w:t>
      </w:r>
      <w:r>
        <w:t xml:space="preserve"> </w:t>
      </w:r>
      <w:r>
        <w:t xml:space="preserve">expanded pilot lines, a strengthened Chips Fund, and R&amp;D</w:t>
      </w:r>
      <w:r>
        <w:t xml:space="preserve"> </w:t>
      </w:r>
      <w:r>
        <w:t xml:space="preserve">components embedded within Strategic Projects. Increased</w:t>
      </w:r>
      <w:r>
        <w:t xml:space="preserve"> </w:t>
      </w:r>
      <w:r>
        <w:t xml:space="preserve">co-location of research and manufacturing improves</w:t>
      </w:r>
      <w:r>
        <w:t xml:space="preserve"> </w:t>
      </w:r>
      <w:r>
        <w:t xml:space="preserve">knowledge transfer, scale-up capacity and innovation</w:t>
      </w:r>
      <w:r>
        <w:t xml:space="preserve"> </w:t>
      </w:r>
      <w:r>
        <w:t xml:space="preserve">intensity across the value chain.</w:t>
      </w:r>
      <w:r>
        <w:t xml:space="preserve"> </w:t>
      </w:r>
      <w:r>
        <w:t xml:space="preserve">Innovation-oriented public procurement further stimulates</w:t>
      </w:r>
      <w:r>
        <w:t xml:space="preserve"> </w:t>
      </w:r>
      <w:r>
        <w:t xml:space="preserve">technological development. Empirical evidence (see Annex</w:t>
      </w:r>
      <w:r>
        <w:t xml:space="preserve"> </w:t>
      </w:r>
      <w:r>
        <w:t xml:space="preserve">4 Section 6) suggests that firms participating in such</w:t>
      </w:r>
      <w:r>
        <w:t xml:space="preserve"> </w:t>
      </w:r>
      <w:r>
        <w:t xml:space="preserve">procurement experience 10–20 percentage point higher</w:t>
      </w:r>
      <w:r>
        <w:t xml:space="preserve"> </w:t>
      </w:r>
      <w:r>
        <w:t xml:space="preserve">probabilities of product innovation and approximately 6</w:t>
      </w:r>
      <w:r>
        <w:t xml:space="preserve"> </w:t>
      </w:r>
      <w:r>
        <w:t xml:space="preserve">percentage point higher probabilities of process innovation</w:t>
      </w:r>
      <w:r>
        <w:t xml:space="preserve"> </w:t>
      </w:r>
      <w:r>
        <w:t xml:space="preserve">compared to otherwise similar firms.</w:t>
      </w:r>
      <w:r>
        <w:t xml:space="preserve"> </w:t>
      </w:r>
      <w:r>
        <w:t xml:space="preserve">Shorter and more secure design-to-fabrication cycles within</w:t>
      </w:r>
      <w:r>
        <w:t xml:space="preserve"> </w:t>
      </w:r>
      <w:r>
        <w:t xml:space="preserve">the EU reduce lead times, improve protection of sensitive</w:t>
      </w:r>
      <w:r>
        <w:t xml:space="preserve"> </w:t>
      </w:r>
      <w:r>
        <w:t xml:space="preserve">intellectual property and increase customer trust. This</w:t>
      </w:r>
      <w:r>
        <w:t xml:space="preserve"> </w:t>
      </w:r>
      <w:r>
        <w:t xml:space="preserve">particularly benefits SMEs and start-ups seeking to scale</w:t>
      </w:r>
      <w:r>
        <w:t xml:space="preserve"> </w:t>
      </w:r>
      <w:r>
        <w:t xml:space="preserve">innovative semiconductor solutions.</w:t>
      </w:r>
      <w:r>
        <w:t xml:space="preserve"> </w:t>
      </w:r>
      <w:r>
        <w:t xml:space="preserve">Main beneficiaries: universities, RTOs, EU Industry</w:t>
      </w:r>
      <w:r>
        <w:t xml:space="preserve"> </w:t>
      </w:r>
      <w:r>
        <w:t xml:space="preserve">(SMEs, start-ups, semiconductor firms).</w:t>
      </w:r>
      <w:r>
        <w:t xml:space="preserve"> </w:t>
      </w:r>
      <w:r>
        <w:t xml:space="preserve">Structural expansion and</w:t>
      </w:r>
      <w:r>
        <w:t xml:space="preserve"> </w:t>
      </w:r>
      <w:r>
        <w:t xml:space="preserve">rebalancing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EU</w:t>
      </w:r>
      <w:r>
        <w:t xml:space="preserve"> </w:t>
      </w:r>
      <w:r>
        <w:t xml:space="preserve">semiconductor</w:t>
      </w:r>
      <w:r>
        <w:t xml:space="preserve"> </w:t>
      </w:r>
      <w:r>
        <w:t xml:space="preserve">industrial</w:t>
      </w:r>
      <w:r>
        <w:t xml:space="preserve"> </w:t>
      </w:r>
      <w:r>
        <w:t xml:space="preserve">base</w:t>
      </w:r>
      <w:r>
        <w:t xml:space="preserve"> </w:t>
      </w:r>
      <w:r>
        <w:t xml:space="preserve">Qualitative</w:t>
      </w:r>
      <w:r>
        <w:t xml:space="preserve"> </w:t>
      </w:r>
      <w:r>
        <w:t xml:space="preserve">and</w:t>
      </w:r>
      <w:r>
        <w:t xml:space="preserve"> </w:t>
      </w:r>
      <w:r>
        <w:t xml:space="preserve">quantitative;</w:t>
      </w:r>
      <w:r>
        <w:t xml:space="preserve"> </w:t>
      </w:r>
      <w:r>
        <w:t xml:space="preserve">high strategic significance</w:t>
      </w:r>
      <w:r>
        <w:t xml:space="preserve"> </w:t>
      </w:r>
      <w:r>
        <w:t xml:space="preserve">EUR 6.6–11.5 billion additional</w:t>
      </w:r>
      <w:r>
        <w:t xml:space="preserve"> </w:t>
      </w:r>
      <w:r>
        <w:t xml:space="preserve">annual manufacturing revenue;</w:t>
      </w:r>
      <w:r>
        <w:t xml:space="preserve"> </w:t>
      </w:r>
      <w:r>
        <w:t xml:space="preserve">up to EUR 7–9 billion potential</w:t>
      </w:r>
      <w:r>
        <w:t xml:space="preserve"> </w:t>
      </w:r>
      <w:r>
        <w:t xml:space="preserve">design revenues</w:t>
      </w:r>
      <w:r>
        <w:t xml:space="preserve"> </w:t>
      </w:r>
      <w:r>
        <w:t xml:space="preserve">PO2 increases EU semiconductor manufacturing capacity</w:t>
      </w:r>
      <w:r>
        <w:t xml:space="preserve"> </w:t>
      </w:r>
      <w:r>
        <w:t xml:space="preserve">through Strategic Projects, generating an estimated EUR</w:t>
      </w:r>
      <w:r>
        <w:t xml:space="preserve"> </w:t>
      </w:r>
      <w:r>
        <w:t xml:space="preserve">6.6–11.5 billion in additional annual revenue depending on</w:t>
      </w:r>
      <w:r>
        <w:t xml:space="preserve"> </w:t>
      </w:r>
      <w:r>
        <w:t xml:space="preserve">the technology mix. With EUR 15 billion in public support,</w:t>
      </w:r>
      <w:r>
        <w:t xml:space="preserve"> </w:t>
      </w:r>
      <w:r>
        <w:t xml:space="preserve">capacity expansion is estimated at approximately 108,000</w:t>
      </w:r>
      <w:r>
        <w:t xml:space="preserve"> </w:t>
      </w:r>
      <w:r>
        <w:t xml:space="preserve">to 222,000 wafers per month, in comparison, under the</w:t>
      </w:r>
      <w:r>
        <w:t xml:space="preserve"> </w:t>
      </w:r>
      <w:r>
        <w:t xml:space="preserve">baseline conditions additional capacity of 321,500 wafers</w:t>
      </w:r>
    </w:p>
    <w:p>
      <w:pPr>
        <w:pStyle w:val="BodyText"/>
      </w:pPr>
      <w:r>
        <w:t xml:space="preserve">48</w:t>
      </w:r>
      <w:r>
        <w:t xml:space="preserve"> </w:t>
      </w:r>
      <w:r>
        <w:t xml:space="preserve">per month is announced to date (projections till 2030).</w:t>
      </w:r>
      <w:r>
        <w:t xml:space="preserve"> </w:t>
      </w:r>
      <w:r>
        <w:t xml:space="preserve">In addition, expanded manufacturing capacity generates</w:t>
      </w:r>
      <w:r>
        <w:t xml:space="preserve"> </w:t>
      </w:r>
      <w:r>
        <w:t xml:space="preserve">recurring fiscal returns for Member States. Applying a</w:t>
      </w:r>
      <w:r>
        <w:t xml:space="preserve"> </w:t>
      </w:r>
      <w:r>
        <w:t xml:space="preserve">value-added ratio of 34% and an average fiscal capture rate</w:t>
      </w:r>
      <w:r>
        <w:t xml:space="preserve"> </w:t>
      </w:r>
      <w:r>
        <w:t xml:space="preserve">of 16.5%, annual direct tax revenues are estimated at EUR</w:t>
      </w:r>
      <w:r>
        <w:t xml:space="preserve"> </w:t>
      </w:r>
      <w:r>
        <w:t xml:space="preserve">380–662 million should the aforementioned projects be</w:t>
      </w:r>
      <w:r>
        <w:t xml:space="preserve"> </w:t>
      </w:r>
      <w:r>
        <w:t xml:space="preserve">realised.</w:t>
      </w:r>
      <w:r>
        <w:t xml:space="preserve"> </w:t>
      </w:r>
      <w:r>
        <w:t xml:space="preserve">Main beneficiaries: EU industry (fabless firms, foundries,</w:t>
      </w:r>
      <w:r>
        <w:t xml:space="preserve"> </w:t>
      </w:r>
      <w:r>
        <w:t xml:space="preserve">end using industry), Member States.</w:t>
      </w:r>
      <w:r>
        <w:t xml:space="preserve"> </w:t>
      </w:r>
      <w:r>
        <w:t xml:space="preserve">Enhanced</w:t>
      </w:r>
      <w:r>
        <w:t xml:space="preserve"> </w:t>
      </w:r>
      <w:r>
        <w:t xml:space="preserve">investment</w:t>
      </w:r>
      <w:r>
        <w:t xml:space="preserve"> </w:t>
      </w:r>
      <w:r>
        <w:t xml:space="preserve">viability</w:t>
      </w:r>
      <w:r>
        <w:t xml:space="preserve"> </w:t>
      </w:r>
      <w:r>
        <w:t xml:space="preserve">and</w:t>
      </w:r>
      <w:r>
        <w:t xml:space="preserve"> </w:t>
      </w:r>
      <w:r>
        <w:t xml:space="preserve">capital</w:t>
      </w:r>
      <w:r>
        <w:t xml:space="preserve"> </w:t>
      </w:r>
      <w:r>
        <w:t xml:space="preserve">efficiency for large-scale</w:t>
      </w:r>
      <w:r>
        <w:t xml:space="preserve"> </w:t>
      </w:r>
      <w:r>
        <w:t xml:space="preserve">semiconductor projects</w:t>
      </w:r>
      <w:r>
        <w:t xml:space="preserve"> </w:t>
      </w:r>
      <w:r>
        <w:t xml:space="preserve">Quantitative</w:t>
      </w:r>
      <w:r>
        <w:t xml:space="preserve"> </w:t>
      </w:r>
      <w:r>
        <w:t xml:space="preserve">and</w:t>
      </w:r>
      <w:r>
        <w:t xml:space="preserve"> </w:t>
      </w:r>
      <w:r>
        <w:t xml:space="preserve">qualitative;</w:t>
      </w:r>
      <w:r>
        <w:t xml:space="preserve"> </w:t>
      </w:r>
      <w:r>
        <w:t xml:space="preserve">high significance</w:t>
      </w:r>
      <w:r>
        <w:t xml:space="preserve"> </w:t>
      </w:r>
      <w:r>
        <w:t xml:space="preserve">Indicative avoided delay costs of</w:t>
      </w:r>
      <w:r>
        <w:t xml:space="preserve"> </w:t>
      </w:r>
      <w:r>
        <w:t xml:space="preserve">~EUR 600–650 million per EUR</w:t>
      </w:r>
      <w:r>
        <w:t xml:space="preserve"> </w:t>
      </w:r>
      <w:r>
        <w:t xml:space="preserve">20 billion fab</w:t>
      </w:r>
      <w:r>
        <w:t xml:space="preserve"> </w:t>
      </w:r>
      <w:r>
        <w:t xml:space="preserve">Under PO2, EU co-funding, alignment of FOAK/IPF/OEF</w:t>
      </w:r>
      <w:r>
        <w:t xml:space="preserve"> </w:t>
      </w:r>
      <w:r>
        <w:t xml:space="preserve">procedures,</w:t>
      </w:r>
      <w:r>
        <w:t xml:space="preserve"> </w:t>
      </w:r>
      <w:r>
        <w:t xml:space="preserve">fast-track</w:t>
      </w:r>
      <w:r>
        <w:t xml:space="preserve"> </w:t>
      </w:r>
      <w:r>
        <w:t xml:space="preserve">permitting</w:t>
      </w:r>
      <w:r>
        <w:t xml:space="preserve"> </w:t>
      </w:r>
      <w:r>
        <w:t xml:space="preserve">and</w:t>
      </w:r>
      <w:r>
        <w:t xml:space="preserve"> </w:t>
      </w:r>
      <w:r>
        <w:t xml:space="preserve">demand-side</w:t>
      </w:r>
      <w:r>
        <w:t xml:space="preserve"> </w:t>
      </w:r>
      <w:r>
        <w:t xml:space="preserve">measures jointly improve the bankability of large</w:t>
      </w:r>
      <w:r>
        <w:t xml:space="preserve"> </w:t>
      </w:r>
      <w:r>
        <w:t xml:space="preserve">semiconductor projects.</w:t>
      </w:r>
      <w:r>
        <w:t xml:space="preserve"> </w:t>
      </w:r>
      <w:r>
        <w:t xml:space="preserve">EU co-funding lowers the effective cost of capital,</w:t>
      </w:r>
      <w:r>
        <w:t xml:space="preserve"> </w:t>
      </w:r>
      <w:r>
        <w:t xml:space="preserve">stabilises expected utilisation rates and shortens time to</w:t>
      </w:r>
      <w:r>
        <w:t xml:space="preserve"> </w:t>
      </w:r>
      <w:r>
        <w:t xml:space="preserve">break even. Demand-side instruments such as innovation-</w:t>
      </w:r>
      <w:r>
        <w:t xml:space="preserve"> </w:t>
      </w:r>
      <w:r>
        <w:t xml:space="preserve">oriented</w:t>
      </w:r>
      <w:r>
        <w:t xml:space="preserve"> </w:t>
      </w:r>
      <w:r>
        <w:t xml:space="preserve">public</w:t>
      </w:r>
      <w:r>
        <w:t xml:space="preserve"> </w:t>
      </w:r>
      <w:r>
        <w:t xml:space="preserve">procurement</w:t>
      </w:r>
      <w:r>
        <w:t xml:space="preserve"> </w:t>
      </w:r>
      <w:r>
        <w:t xml:space="preserve">increase</w:t>
      </w:r>
      <w:r>
        <w:t xml:space="preserve"> </w:t>
      </w:r>
      <w:r>
        <w:t xml:space="preserve">revenue</w:t>
      </w:r>
      <w:r>
        <w:t xml:space="preserve"> </w:t>
      </w:r>
      <w:r>
        <w:t xml:space="preserve">predictability. Empirical evidence suggests that each euro</w:t>
      </w:r>
      <w:r>
        <w:t xml:space="preserve"> </w:t>
      </w:r>
      <w:r>
        <w:t xml:space="preserve">of public demand can generate persistent revenue effects of</w:t>
      </w:r>
      <w:r>
        <w:t xml:space="preserve"> </w:t>
      </w:r>
      <w:r>
        <w:t xml:space="preserve">up to EUR 0.5 and crowd in approximately EUR 0.2 of</w:t>
      </w:r>
      <w:r>
        <w:t xml:space="preserve"> </w:t>
      </w:r>
      <w:r>
        <w:t xml:space="preserve">additional private investment.</w:t>
      </w:r>
      <w:r>
        <w:br/>
      </w:r>
      <w:r>
        <w:t xml:space="preserve">Streamlined and faster permitting further reduces delay-</w:t>
      </w:r>
      <w:r>
        <w:t xml:space="preserve"> </w:t>
      </w:r>
      <w:r>
        <w:t xml:space="preserve">related capital costs. Permitting and design phases in the</w:t>
      </w:r>
      <w:r>
        <w:t xml:space="preserve"> </w:t>
      </w:r>
      <w:r>
        <w:t xml:space="preserve">EU are on average around 7.5 months longer than in</w:t>
      </w:r>
      <w:r>
        <w:t xml:space="preserve"> </w:t>
      </w:r>
      <w:r>
        <w:t xml:space="preserve">leading Asian jurisdictions. Assuming that each year of</w:t>
      </w:r>
      <w:r>
        <w:t xml:space="preserve"> </w:t>
      </w:r>
      <w:r>
        <w:t xml:space="preserve">delay increases total project costs by approximately 5%,</w:t>
      </w:r>
      <w:r>
        <w:t xml:space="preserve"> </w:t>
      </w:r>
      <w:r>
        <w:t xml:space="preserve">this corresponds to an additional cost of around 3.1% of</w:t>
      </w:r>
      <w:r>
        <w:t xml:space="preserve"> </w:t>
      </w:r>
      <w:r>
        <w:t xml:space="preserve">total investment, or approximately EUR 625 million for a</w:t>
      </w:r>
      <w:r>
        <w:t xml:space="preserve"> </w:t>
      </w:r>
      <w:r>
        <w:t xml:space="preserve">representative EUR 20 billion advanced fabrication plant.</w:t>
      </w:r>
      <w:r>
        <w:t xml:space="preserve"> </w:t>
      </w:r>
      <w:r>
        <w:t xml:space="preserve">Main beneficiaries: EU Industry (semiconductor investors),</w:t>
      </w:r>
      <w:r>
        <w:t xml:space="preserve"> </w:t>
      </w:r>
      <w:r>
        <w:t xml:space="preserve">Member States, regional authorities.</w:t>
      </w:r>
      <w:r>
        <w:t xml:space="preserve"> </w:t>
      </w:r>
      <w:r>
        <w:t xml:space="preserve">Indirect benefits</w:t>
      </w:r>
      <w:r>
        <w:t xml:space="preserve"> </w:t>
      </w:r>
      <w:r>
        <w:t xml:space="preserve">Job</w:t>
      </w:r>
      <w:r>
        <w:t xml:space="preserve"> </w:t>
      </w:r>
      <w:r>
        <w:t xml:space="preserve">creation</w:t>
      </w:r>
      <w:r>
        <w:t xml:space="preserve"> </w:t>
      </w:r>
      <w:r>
        <w:t xml:space="preserve">across</w:t>
      </w:r>
      <w:r>
        <w:t xml:space="preserve"> </w:t>
      </w:r>
      <w:r>
        <w:t xml:space="preserve">the</w:t>
      </w:r>
      <w:r>
        <w:t xml:space="preserve"> </w:t>
      </w:r>
      <w:r>
        <w:t xml:space="preserve">semiconductor value chain</w:t>
      </w:r>
      <w:r>
        <w:t xml:space="preserve"> </w:t>
      </w:r>
      <w:r>
        <w:t xml:space="preserve">Around 4,700 to 7,300 direct</w:t>
      </w:r>
      <w:r>
        <w:t xml:space="preserve"> </w:t>
      </w:r>
      <w:r>
        <w:t xml:space="preserve">jobs</w:t>
      </w:r>
      <w:r>
        <w:br/>
      </w:r>
      <w:r>
        <w:t xml:space="preserve">Approximately 10,000 to 36,500</w:t>
      </w:r>
      <w:r>
        <w:t xml:space="preserve"> </w:t>
      </w:r>
      <w:r>
        <w:t xml:space="preserve">indirect and induced jobs</w:t>
      </w:r>
      <w:r>
        <w:t xml:space="preserve"> </w:t>
      </w:r>
      <w:r>
        <w:t xml:space="preserve">Employment grows due to construction, operation of new</w:t>
      </w:r>
      <w:r>
        <w:t xml:space="preserve"> </w:t>
      </w:r>
      <w:r>
        <w:t xml:space="preserve">fabs, supply chain expansion, and design-centred SME</w:t>
      </w:r>
      <w:r>
        <w:t xml:space="preserve"> </w:t>
      </w:r>
      <w:r>
        <w:t xml:space="preserve">activity. Stabilised supply reduces disruption-related job</w:t>
      </w:r>
      <w:r>
        <w:t xml:space="preserve"> </w:t>
      </w:r>
      <w:r>
        <w:t xml:space="preserve">losses in dependent industries</w:t>
      </w:r>
      <w:r>
        <w:t xml:space="preserve"> </w:t>
      </w:r>
      <w:r>
        <w:t xml:space="preserve">Strategic Projects are estimated to create around 4,700 to</w:t>
      </w:r>
      <w:r>
        <w:t xml:space="preserve"> </w:t>
      </w:r>
      <w:r>
        <w:t xml:space="preserve">7,300 direct jobs, depending on the technology mix (3).</w:t>
      </w:r>
      <w:r>
        <w:t xml:space="preserve"> </w:t>
      </w:r>
      <w:r>
        <w:t xml:space="preserve">Applying conservative employment multipliers consistent</w:t>
      </w:r>
      <w:r>
        <w:t xml:space="preserve"> </w:t>
      </w:r>
      <w:r>
        <w:t xml:space="preserve">with open and globalised value chains, this corresponds to</w:t>
      </w:r>
      <w:r>
        <w:t xml:space="preserve"> </w:t>
      </w:r>
      <w:r>
        <w:t xml:space="preserve">approximately 10,000 to 36,500 indirect and induced</w:t>
      </w:r>
      <w:r>
        <w:t xml:space="preserve"> </w:t>
      </w:r>
      <w:r>
        <w:t xml:space="preserve">jobs. Higher employment outcomes are associated with</w:t>
      </w:r>
      <w:r>
        <w:t xml:space="preserve"> </w:t>
      </w:r>
      <w:r>
        <w:t xml:space="preserve">capacity expansion following the current wafer mix, while</w:t>
      </w:r>
      <w:r>
        <w:t xml:space="preserve"> </w:t>
      </w:r>
      <w:r>
        <w:t xml:space="preserve">leading-edge manufacturing delivers fewer but more</w:t>
      </w:r>
      <w:r>
        <w:t xml:space="preserve"> </w:t>
      </w:r>
      <w:r>
        <w:t xml:space="preserve">capital- and skill-intensive direct jobs.</w:t>
      </w:r>
      <w:r>
        <w:t xml:space="preserve"> </w:t>
      </w:r>
      <w:r>
        <w:t xml:space="preserve">Main beneficiaries: workers, regional labour markets.</w:t>
      </w:r>
    </w:p>
    <w:p>
      <w:pPr>
        <w:pStyle w:val="Compact"/>
        <w:numPr>
          <w:ilvl w:val="0"/>
          <w:numId w:val="1001"/>
        </w:numPr>
      </w:pPr>
      <w:r>
        <w:t xml:space="preserve">Assuming public support of EUR 15 billion from the Union and Member States</w:t>
      </w:r>
    </w:p>
    <w:p>
      <w:pPr>
        <w:pStyle w:val="FirstParagraph"/>
      </w:pPr>
      <w:r>
        <w:t xml:space="preserve">49</w:t>
      </w:r>
      <w:r>
        <w:t xml:space="preserve"> </w:t>
      </w:r>
      <w:r>
        <w:t xml:space="preserve">Broader</w:t>
      </w:r>
      <w:r>
        <w:t xml:space="preserve"> </w:t>
      </w:r>
      <w:r>
        <w:t xml:space="preserve">economic</w:t>
      </w:r>
      <w:r>
        <w:t xml:space="preserve"> </w:t>
      </w:r>
      <w:r>
        <w:t xml:space="preserve">spillovers</w:t>
      </w:r>
      <w:r>
        <w:br/>
      </w:r>
      <w:r>
        <w:t xml:space="preserve">Qualitative</w:t>
      </w:r>
      <w:r>
        <w:t xml:space="preserve"> </w:t>
      </w:r>
      <w:r>
        <w:t xml:space="preserve">and</w:t>
      </w:r>
      <w:r>
        <w:t xml:space="preserve"> </w:t>
      </w:r>
      <w:r>
        <w:t xml:space="preserve">quantitative;</w:t>
      </w:r>
      <w:r>
        <w:t xml:space="preserve"> </w:t>
      </w:r>
      <w:r>
        <w:t xml:space="preserve">medium–high significance</w:t>
      </w:r>
    </w:p>
    <w:p>
      <w:pPr>
        <w:pStyle w:val="BodyText"/>
      </w:pPr>
      <w:r>
        <w:t xml:space="preserve">Investment in semiconductor capacity generates wider</w:t>
      </w:r>
      <w:r>
        <w:t xml:space="preserve"> </w:t>
      </w:r>
      <w:r>
        <w:t xml:space="preserve">spillovers across the value chain, including for equipment</w:t>
      </w:r>
      <w:r>
        <w:t xml:space="preserve"> </w:t>
      </w:r>
      <w:r>
        <w:t xml:space="preserve">manufacturers, materials suppliers, engineering services</w:t>
      </w:r>
      <w:r>
        <w:t xml:space="preserve"> </w:t>
      </w:r>
      <w:r>
        <w:t xml:space="preserve">and other specialised suppliers. Regional economies benefit</w:t>
      </w:r>
      <w:r>
        <w:t xml:space="preserve"> </w:t>
      </w:r>
      <w:r>
        <w:t xml:space="preserve">from clustering effects, technology diffusion and increased</w:t>
      </w:r>
      <w:r>
        <w:t xml:space="preserve"> </w:t>
      </w:r>
      <w:r>
        <w:t xml:space="preserve">productivity in downstream sectors.</w:t>
      </w:r>
      <w:r>
        <w:t xml:space="preserve"> </w:t>
      </w:r>
      <w:r>
        <w:t xml:space="preserve">Over time, these spillovers contribute to sustained value</w:t>
      </w:r>
      <w:r>
        <w:t xml:space="preserve"> </w:t>
      </w:r>
      <w:r>
        <w:t xml:space="preserve">creation and tax revenues beyond the directly supported</w:t>
      </w:r>
      <w:r>
        <w:t xml:space="preserve"> </w:t>
      </w:r>
      <w:r>
        <w:t xml:space="preserve">projects.</w:t>
      </w:r>
      <w:r>
        <w:t xml:space="preserve"> </w:t>
      </w:r>
      <w:r>
        <w:t xml:space="preserve">Main beneficiaries: Member States, upstream and</w:t>
      </w:r>
      <w:r>
        <w:t xml:space="preserve"> </w:t>
      </w:r>
      <w:r>
        <w:t xml:space="preserve">downstream industries.</w:t>
      </w:r>
    </w:p>
    <w:p>
      <w:pPr>
        <w:pStyle w:val="BodyText"/>
      </w:pPr>
      <w:r>
        <w:t xml:space="preserve">Administrative cost savings related to the ‘one in, one out’ approach</w:t>
      </w:r>
      <w:r>
        <w:t xml:space="preserve"> </w:t>
      </w:r>
      <w:r>
        <w:t xml:space="preserve">Administrative cost savings</w:t>
      </w:r>
      <w:r>
        <w:t xml:space="preserve"> </w:t>
      </w:r>
      <w:r>
        <w:t xml:space="preserve">due to the Strategic Projects</w:t>
      </w:r>
      <w:r>
        <w:t xml:space="preserve"> </w:t>
      </w:r>
      <w:r>
        <w:t xml:space="preserve">(simplification effects)</w:t>
      </w:r>
      <w:r>
        <w:t xml:space="preserve"> </w:t>
      </w:r>
      <w:r>
        <w:t xml:space="preserve">Qualitative</w:t>
      </w:r>
      <w:r>
        <w:t xml:space="preserve"> </w:t>
      </w:r>
      <w:r>
        <w:t xml:space="preserve">(administrative</w:t>
      </w:r>
      <w:r>
        <w:t xml:space="preserve"> </w:t>
      </w:r>
      <w:r>
        <w:t xml:space="preserve">efficiency gain)</w:t>
      </w:r>
      <w:r>
        <w:t xml:space="preserve"> </w:t>
      </w:r>
      <w:r>
        <w:t xml:space="preserve">Semiconductor firms and national authorities benefit from</w:t>
      </w:r>
      <w:r>
        <w:t xml:space="preserve"> </w:t>
      </w:r>
      <w:r>
        <w:t xml:space="preserve">reduced duplication of administrative steps when compared</w:t>
      </w:r>
      <w:r>
        <w:t xml:space="preserve"> </w:t>
      </w:r>
      <w:r>
        <w:t xml:space="preserve">to fragmented national processes under the baseline.</w:t>
      </w:r>
      <w:r>
        <w:t xml:space="preserve"> </w:t>
      </w:r>
      <w:r>
        <w:t xml:space="preserve">Strategic Projects create a coordinated EU-level project</w:t>
      </w:r>
      <w:r>
        <w:t xml:space="preserve"> </w:t>
      </w:r>
      <w:r>
        <w:t xml:space="preserve">pipeline,</w:t>
      </w:r>
      <w:r>
        <w:t xml:space="preserve"> </w:t>
      </w:r>
      <w:r>
        <w:t xml:space="preserve">simplifying</w:t>
      </w:r>
      <w:r>
        <w:t xml:space="preserve"> </w:t>
      </w:r>
      <w:r>
        <w:t xml:space="preserve">interactions</w:t>
      </w:r>
      <w:r>
        <w:t xml:space="preserve"> </w:t>
      </w:r>
      <w:r>
        <w:t xml:space="preserve">and</w:t>
      </w:r>
      <w:r>
        <w:t xml:space="preserve"> </w:t>
      </w:r>
      <w:r>
        <w:t xml:space="preserve">streamlining</w:t>
      </w:r>
      <w:r>
        <w:t xml:space="preserve"> </w:t>
      </w:r>
      <w:r>
        <w:t xml:space="preserve">procedural handling for a select number of projects that</w:t>
      </w:r>
      <w:r>
        <w:t xml:space="preserve"> </w:t>
      </w:r>
      <w:r>
        <w:t xml:space="preserve">qualify as Strategic Projects.</w:t>
      </w:r>
      <w:r>
        <w:t xml:space="preserve"> </w:t>
      </w:r>
      <w:r>
        <w:t xml:space="preserve">Main beneficiaries: EU industry, public authorities.</w:t>
      </w:r>
      <w:r>
        <w:t xml:space="preserve"> </w:t>
      </w:r>
      <w:r>
        <w:t xml:space="preserve">Administrative cost savings</w:t>
      </w:r>
      <w:r>
        <w:t xml:space="preserve"> </w:t>
      </w:r>
      <w:r>
        <w:t xml:space="preserve">due to faster and more</w:t>
      </w:r>
      <w:r>
        <w:t xml:space="preserve"> </w:t>
      </w:r>
      <w:r>
        <w:t xml:space="preserve">predictable</w:t>
      </w:r>
      <w:r>
        <w:t xml:space="preserve"> </w:t>
      </w:r>
      <w:r>
        <w:t xml:space="preserve">permitting</w:t>
      </w:r>
      <w:r>
        <w:t xml:space="preserve"> </w:t>
      </w:r>
      <w:r>
        <w:t xml:space="preserve">processes</w:t>
      </w:r>
      <w:r>
        <w:t xml:space="preserve"> </w:t>
      </w:r>
      <w:r>
        <w:t xml:space="preserve">Qualitative</w:t>
      </w:r>
      <w:r>
        <w:t xml:space="preserve"> </w:t>
      </w:r>
      <w:r>
        <w:t xml:space="preserve">(reduced</w:t>
      </w:r>
      <w:r>
        <w:t xml:space="preserve"> </w:t>
      </w:r>
      <w:r>
        <w:t xml:space="preserve">administrative effort)</w:t>
      </w:r>
      <w:r>
        <w:t xml:space="preserve"> </w:t>
      </w:r>
      <w:r>
        <w:t xml:space="preserve">Firms benefit from fewer iterative exchanges with</w:t>
      </w:r>
      <w:r>
        <w:t xml:space="preserve"> </w:t>
      </w:r>
      <w:r>
        <w:t xml:space="preserve">permitting authorities and clearer procedural timelines.</w:t>
      </w:r>
      <w:r>
        <w:t xml:space="preserve"> </w:t>
      </w:r>
      <w:r>
        <w:t xml:space="preserve">While not removing obligations, PO2 reduces the time and</w:t>
      </w:r>
      <w:r>
        <w:t xml:space="preserve"> </w:t>
      </w:r>
      <w:r>
        <w:t xml:space="preserve">administrative</w:t>
      </w:r>
      <w:r>
        <w:t xml:space="preserve"> </w:t>
      </w:r>
      <w:r>
        <w:t xml:space="preserve">workload</w:t>
      </w:r>
      <w:r>
        <w:t xml:space="preserve"> </w:t>
      </w:r>
      <w:r>
        <w:t xml:space="preserve">associated</w:t>
      </w:r>
      <w:r>
        <w:t xml:space="preserve"> </w:t>
      </w:r>
      <w:r>
        <w:t xml:space="preserve">with</w:t>
      </w:r>
      <w:r>
        <w:t xml:space="preserve"> </w:t>
      </w:r>
      <w:r>
        <w:t xml:space="preserve">managing</w:t>
      </w:r>
      <w:r>
        <w:t xml:space="preserve"> </w:t>
      </w:r>
      <w:r>
        <w:t xml:space="preserve">complex investment dossiers.</w:t>
      </w:r>
      <w:r>
        <w:t xml:space="preserve"> </w:t>
      </w:r>
      <w:r>
        <w:t xml:space="preserve">Main beneficiaries: EU industry, public authorities.</w:t>
      </w:r>
      <w:r>
        <w:t xml:space="preserve"> </w:t>
      </w:r>
      <w:r>
        <w:t xml:space="preserve">Administrative cost savings</w:t>
      </w:r>
      <w:r>
        <w:t xml:space="preserve"> </w:t>
      </w:r>
      <w:r>
        <w:t xml:space="preserve">due to reduced ad hoc crisis</w:t>
      </w:r>
      <w:r>
        <w:t xml:space="preserve"> </w:t>
      </w:r>
      <w:r>
        <w:t xml:space="preserve">information requests</w:t>
      </w:r>
      <w:r>
        <w:t xml:space="preserve"> </w:t>
      </w:r>
      <w:r>
        <w:t xml:space="preserve">Qualitative</w:t>
      </w:r>
      <w:r>
        <w:t xml:space="preserve"> </w:t>
      </w:r>
      <w:r>
        <w:t xml:space="preserve">(reduction</w:t>
      </w:r>
      <w:r>
        <w:t xml:space="preserve"> </w:t>
      </w:r>
      <w:r>
        <w:t xml:space="preserve">of</w:t>
      </w:r>
      <w:r>
        <w:t xml:space="preserve"> </w:t>
      </w:r>
      <w:r>
        <w:t xml:space="preserve">repeated, urgent data calls)</w:t>
      </w:r>
      <w:r>
        <w:t xml:space="preserve"> </w:t>
      </w:r>
      <w:r>
        <w:t xml:space="preserve">Through the Business-to-Business Semiconductor Supply</w:t>
      </w:r>
      <w:r>
        <w:t xml:space="preserve"> </w:t>
      </w:r>
      <w:r>
        <w:t xml:space="preserve">Chain Platform, companies and national authorities face</w:t>
      </w:r>
      <w:r>
        <w:t xml:space="preserve"> </w:t>
      </w:r>
      <w:r>
        <w:t xml:space="preserve">fewer uncoordinated, last-minute requests. The structured,</w:t>
      </w:r>
      <w:r>
        <w:t xml:space="preserve"> </w:t>
      </w:r>
      <w:r>
        <w:t xml:space="preserve">recurrent mechanism replaces fragmented information</w:t>
      </w:r>
      <w:r>
        <w:t xml:space="preserve"> </w:t>
      </w:r>
      <w:r>
        <w:t xml:space="preserve">demands that currently generate high administrative</w:t>
      </w:r>
      <w:r>
        <w:t xml:space="preserve"> </w:t>
      </w:r>
      <w:r>
        <w:t xml:space="preserve">burden.</w:t>
      </w:r>
      <w:r>
        <w:t xml:space="preserve"> </w:t>
      </w:r>
      <w:r>
        <w:t xml:space="preserve">Main beneficiaries: EU industry, public authorities.</w:t>
      </w:r>
    </w:p>
    <w:p>
      <w:pPr>
        <w:pStyle w:val="BodyText"/>
      </w:pPr>
      <w:r>
        <w:t xml:space="preserve">50</w:t>
      </w:r>
      <w:r>
        <w:t xml:space="preserve"> </w:t>
      </w:r>
      <w:r>
        <w:t xml:space="preserve">II. Overview of costs – Preferred option</w:t>
      </w:r>
    </w:p>
    <w:p>
      <w:pPr>
        <w:pStyle w:val="BodyText"/>
      </w:pPr>
      <w:r>
        <w:t xml:space="preserve">Citizens/Consumers</w:t>
      </w:r>
      <w:r>
        <w:t xml:space="preserve"> </w:t>
      </w:r>
      <w:r>
        <w:t xml:space="preserve">Businesses</w:t>
      </w:r>
      <w:r>
        <w:t xml:space="preserve"> </w:t>
      </w:r>
      <w:r>
        <w:t xml:space="preserve">Administrations</w:t>
      </w:r>
      <w:r>
        <w:t xml:space="preserve"> </w:t>
      </w:r>
      <w:r>
        <w:t xml:space="preserve">One-off</w:t>
      </w:r>
      <w:r>
        <w:t xml:space="preserve"> </w:t>
      </w:r>
      <w:r>
        <w:t xml:space="preserve">Recurrent</w:t>
      </w:r>
      <w:r>
        <w:t xml:space="preserve"> </w:t>
      </w:r>
      <w:r>
        <w:t xml:space="preserve">One-off</w:t>
      </w:r>
      <w:r>
        <w:t xml:space="preserve"> </w:t>
      </w:r>
      <w:r>
        <w:t xml:space="preserve">Recurrent</w:t>
      </w:r>
      <w:r>
        <w:t xml:space="preserve"> </w:t>
      </w:r>
      <w:r>
        <w:t xml:space="preserve">One-off</w:t>
      </w:r>
      <w:r>
        <w:t xml:space="preserve"> </w:t>
      </w:r>
      <w:r>
        <w:t xml:space="preserve">Recurrent</w:t>
      </w:r>
      <w:r>
        <w:t xml:space="preserve"> </w:t>
      </w:r>
      <w:r>
        <w:t xml:space="preserve">Action</w:t>
      </w:r>
      <w:r>
        <w:t xml:space="preserve"> </w:t>
      </w:r>
      <w:r>
        <w:t xml:space="preserve">(a)</w:t>
      </w:r>
      <w:r>
        <w:br/>
      </w:r>
      <w:r>
        <w:t xml:space="preserve">Direct adjustment</w:t>
      </w:r>
      <w:r>
        <w:t xml:space="preserve"> </w:t>
      </w:r>
      <w:r>
        <w:t xml:space="preserve">costs</w:t>
      </w:r>
      <w:r>
        <w:t xml:space="preserve"> </w:t>
      </w:r>
      <w:r>
        <w:t xml:space="preserve">None</w:t>
      </w:r>
      <w:r>
        <w:t xml:space="preserve"> </w:t>
      </w:r>
      <w:r>
        <w:t xml:space="preserve">None</w:t>
      </w:r>
      <w:r>
        <w:t xml:space="preserve"> </w:t>
      </w:r>
      <w:r>
        <w:t xml:space="preserve">None</w:t>
      </w:r>
      <w:r>
        <w:t xml:space="preserve"> </w:t>
      </w:r>
      <w:r>
        <w:t xml:space="preserve">None</w:t>
      </w:r>
      <w:r>
        <w:t xml:space="preserve"> </w:t>
      </w:r>
      <w:r>
        <w:t xml:space="preserve">Administrative capacity</w:t>
      </w:r>
      <w:r>
        <w:t xml:space="preserve"> </w:t>
      </w:r>
      <w:r>
        <w:t xml:space="preserve">upgrades for accelerated</w:t>
      </w:r>
      <w:r>
        <w:t xml:space="preserve"> </w:t>
      </w:r>
      <w:r>
        <w:t xml:space="preserve">permitting (PM3)</w:t>
      </w:r>
      <w:r>
        <w:t xml:space="preserve"> </w:t>
      </w:r>
      <w:r>
        <w:t xml:space="preserve">•</w:t>
      </w:r>
      <w:r>
        <w:t xml:space="preserve"> </w:t>
      </w:r>
      <w:r>
        <w:t xml:space="preserve">Expected to be largely</w:t>
      </w:r>
      <w:r>
        <w:t xml:space="preserve"> </w:t>
      </w:r>
      <w:r>
        <w:t xml:space="preserve">absorbed within</w:t>
      </w:r>
      <w:r>
        <w:t xml:space="preserve"> </w:t>
      </w:r>
      <w:r>
        <w:t xml:space="preserve">existing structures</w:t>
      </w:r>
      <w:r>
        <w:t xml:space="preserve"> </w:t>
      </w:r>
      <w:r>
        <w:t xml:space="preserve">•</w:t>
      </w:r>
      <w:r>
        <w:t xml:space="preserve"> </w:t>
      </w:r>
      <w:r>
        <w:t xml:space="preserve">Includes: temporary</w:t>
      </w:r>
      <w:r>
        <w:t xml:space="preserve"> </w:t>
      </w:r>
      <w:r>
        <w:t xml:space="preserve">staff reinforcement,</w:t>
      </w:r>
      <w:r>
        <w:t xml:space="preserve"> </w:t>
      </w:r>
      <w:r>
        <w:t xml:space="preserve">digitalisation of</w:t>
      </w:r>
      <w:r>
        <w:t xml:space="preserve"> </w:t>
      </w:r>
      <w:r>
        <w:t xml:space="preserve">permitting procedures,</w:t>
      </w:r>
      <w:r>
        <w:t xml:space="preserve"> </w:t>
      </w:r>
      <w:r>
        <w:t xml:space="preserve">streamlining and</w:t>
      </w:r>
      <w:r>
        <w:t xml:space="preserve"> </w:t>
      </w:r>
      <w:r>
        <w:t xml:space="preserve">planning workflows.</w:t>
      </w:r>
      <w:r>
        <w:t xml:space="preserve"> </w:t>
      </w:r>
      <w:r>
        <w:t xml:space="preserve">Establishment of governance</w:t>
      </w:r>
      <w:r>
        <w:t xml:space="preserve"> </w:t>
      </w:r>
      <w:r>
        <w:t xml:space="preserve">and procedural systems for</w:t>
      </w:r>
      <w:r>
        <w:t xml:space="preserve"> </w:t>
      </w:r>
      <w:r>
        <w:t xml:space="preserve">Strategic Projects (PM8)</w:t>
      </w:r>
      <w:r>
        <w:t xml:space="preserve"> </w:t>
      </w:r>
      <w:r>
        <w:t xml:space="preserve">•</w:t>
      </w:r>
      <w:r>
        <w:t xml:space="preserve"> </w:t>
      </w:r>
      <w:r>
        <w:t xml:space="preserve">Costs related to the</w:t>
      </w:r>
      <w:r>
        <w:t xml:space="preserve"> </w:t>
      </w:r>
      <w:r>
        <w:t xml:space="preserve">development of</w:t>
      </w:r>
      <w:r>
        <w:t xml:space="preserve"> </w:t>
      </w:r>
      <w:r>
        <w:t xml:space="preserve">selection procedures,</w:t>
      </w:r>
      <w:r>
        <w:t xml:space="preserve"> </w:t>
      </w:r>
      <w:r>
        <w:t xml:space="preserve">evaluation criteria,</w:t>
      </w:r>
      <w:r>
        <w:t xml:space="preserve"> </w:t>
      </w:r>
      <w:r>
        <w:t xml:space="preserve">monitoring</w:t>
      </w:r>
      <w:r>
        <w:t xml:space="preserve"> </w:t>
      </w:r>
      <w:r>
        <w:t xml:space="preserve">frameworks, reporting</w:t>
      </w:r>
      <w:r>
        <w:t xml:space="preserve"> </w:t>
      </w:r>
      <w:r>
        <w:t xml:space="preserve">templates etc..</w:t>
      </w:r>
      <w:r>
        <w:br/>
      </w:r>
      <w:r>
        <w:t xml:space="preserve">Platform development and</w:t>
      </w:r>
      <w:r>
        <w:t xml:space="preserve"> </w:t>
      </w:r>
      <w:r>
        <w:t xml:space="preserve">initial IT infrastructure</w:t>
      </w:r>
      <w:r>
        <w:t xml:space="preserve"> </w:t>
      </w:r>
      <w:r>
        <w:t xml:space="preserve">(PM5)</w:t>
      </w:r>
      <w:r>
        <w:t xml:space="preserve"> </w:t>
      </w:r>
      <w:r>
        <w:t xml:space="preserve">•</w:t>
      </w:r>
      <w:r>
        <w:t xml:space="preserve"> </w:t>
      </w:r>
      <w:r>
        <w:t xml:space="preserve">EUR 70 million for</w:t>
      </w:r>
      <w:r>
        <w:t xml:space="preserve"> </w:t>
      </w:r>
      <w:r>
        <w:t xml:space="preserve">EU-level/Member State co-</w:t>
      </w:r>
      <w:r>
        <w:t xml:space="preserve"> </w:t>
      </w:r>
      <w:r>
        <w:t xml:space="preserve">funding for Strategic Projects</w:t>
      </w:r>
      <w:r>
        <w:t xml:space="preserve"> </w:t>
      </w:r>
      <w:r>
        <w:t xml:space="preserve">(PM8)</w:t>
      </w:r>
      <w:r>
        <w:br/>
      </w:r>
      <w:r>
        <w:t xml:space="preserve">•</w:t>
      </w:r>
      <w:r>
        <w:t xml:space="preserve"> </w:t>
      </w:r>
      <w:r>
        <w:t xml:space="preserve">Requires Union and Member</w:t>
      </w:r>
      <w:r>
        <w:t xml:space="preserve"> </w:t>
      </w:r>
      <w:r>
        <w:t xml:space="preserve">States contributions of at</w:t>
      </w:r>
      <w:r>
        <w:t xml:space="preserve"> </w:t>
      </w:r>
      <w:r>
        <w:t xml:space="preserve">least EUR 15 billion to co-</w:t>
      </w:r>
      <w:r>
        <w:t xml:space="preserve"> </w:t>
      </w:r>
      <w:r>
        <w:t xml:space="preserve">fund Strategic Projects of</w:t>
      </w:r>
      <w:r>
        <w:t xml:space="preserve"> </w:t>
      </w:r>
      <w:r>
        <w:t xml:space="preserve">importance to Europe’s</w:t>
      </w:r>
      <w:r>
        <w:t xml:space="preserve"> </w:t>
      </w:r>
      <w:r>
        <w:t xml:space="preserve">technological sovereignty,</w:t>
      </w:r>
      <w:r>
        <w:t xml:space="preserve"> </w:t>
      </w:r>
      <w:r>
        <w:t xml:space="preserve">including leading-edge fabs,</w:t>
      </w:r>
      <w:r>
        <w:t xml:space="preserve"> </w:t>
      </w:r>
      <w:r>
        <w:t xml:space="preserve">packaging hubs, design</w:t>
      </w:r>
      <w:r>
        <w:t xml:space="preserve"> </w:t>
      </w:r>
      <w:r>
        <w:t xml:space="preserve">facilities and supply chain</w:t>
      </w:r>
      <w:r>
        <w:t xml:space="preserve"> </w:t>
      </w:r>
      <w:r>
        <w:t xml:space="preserve">resilience investments.</w:t>
      </w:r>
    </w:p>
    <w:p>
      <w:pPr>
        <w:pStyle w:val="BodyText"/>
      </w:pPr>
      <w:r>
        <w:t xml:space="preserve">51</w:t>
      </w:r>
      <w:r>
        <w:t xml:space="preserve"> </w:t>
      </w:r>
      <w:r>
        <w:t xml:space="preserve">platform setup and</w:t>
      </w:r>
      <w:r>
        <w:t xml:space="preserve"> </w:t>
      </w:r>
      <w:r>
        <w:t xml:space="preserve">development which</w:t>
      </w:r>
      <w:r>
        <w:t xml:space="preserve"> </w:t>
      </w:r>
      <w:r>
        <w:t xml:space="preserve">includes the</w:t>
      </w:r>
      <w:r>
        <w:t xml:space="preserve"> </w:t>
      </w:r>
      <w:r>
        <w:t xml:space="preserve">development and</w:t>
      </w:r>
      <w:r>
        <w:t xml:space="preserve"> </w:t>
      </w:r>
      <w:r>
        <w:t xml:space="preserve">deployment of the</w:t>
      </w:r>
      <w:r>
        <w:t xml:space="preserve"> </w:t>
      </w:r>
      <w:r>
        <w:t xml:space="preserve">platform and IT</w:t>
      </w:r>
      <w:r>
        <w:t xml:space="preserve"> </w:t>
      </w:r>
      <w:r>
        <w:t xml:space="preserve">infrastructure, security</w:t>
      </w:r>
      <w:r>
        <w:t xml:space="preserve"> </w:t>
      </w:r>
      <w:r>
        <w:t xml:space="preserve">infrastructure and</w:t>
      </w:r>
      <w:r>
        <w:t xml:space="preserve"> </w:t>
      </w:r>
      <w:r>
        <w:t xml:space="preserve">interoperability tools.</w:t>
      </w:r>
      <w:r>
        <w:t xml:space="preserve"> </w:t>
      </w:r>
      <w:r>
        <w:t xml:space="preserve">Direct</w:t>
      </w:r>
      <w:r>
        <w:t xml:space="preserve"> </w:t>
      </w:r>
      <w:r>
        <w:t xml:space="preserve">administrative</w:t>
      </w:r>
      <w:r>
        <w:t xml:space="preserve"> </w:t>
      </w:r>
      <w:r>
        <w:t xml:space="preserve">costs (to the ‘one</w:t>
      </w:r>
      <w:r>
        <w:t xml:space="preserve"> </w:t>
      </w:r>
      <w:r>
        <w:t xml:space="preserve">in, one out’</w:t>
      </w:r>
      <w:r>
        <w:t xml:space="preserve"> </w:t>
      </w:r>
      <w:r>
        <w:t xml:space="preserve">approach)</w:t>
      </w:r>
      <w:r>
        <w:t xml:space="preserve"> </w:t>
      </w:r>
      <w:r>
        <w:t xml:space="preserve">None</w:t>
      </w:r>
      <w:r>
        <w:t xml:space="preserve"> </w:t>
      </w:r>
      <w:r>
        <w:t xml:space="preserve">None</w:t>
      </w:r>
      <w:r>
        <w:t xml:space="preserve"> </w:t>
      </w:r>
      <w:r>
        <w:t xml:space="preserve">Technical IT integration</w:t>
      </w:r>
      <w:r>
        <w:t xml:space="preserve"> </w:t>
      </w:r>
      <w:r>
        <w:t xml:space="preserve">with the Business-to-</w:t>
      </w:r>
      <w:r>
        <w:t xml:space="preserve"> </w:t>
      </w:r>
      <w:r>
        <w:t xml:space="preserve">Business Platform (PM5)</w:t>
      </w:r>
      <w:r>
        <w:t xml:space="preserve"> </w:t>
      </w:r>
      <w:r>
        <w:t xml:space="preserve">•</w:t>
      </w:r>
      <w:r>
        <w:t xml:space="preserve"> </w:t>
      </w:r>
      <w:r>
        <w:t xml:space="preserve">Voluntary cost for</w:t>
      </w:r>
      <w:r>
        <w:t xml:space="preserve"> </w:t>
      </w:r>
      <w:r>
        <w:t xml:space="preserve">large companies</w:t>
      </w:r>
      <w:r>
        <w:t xml:space="preserve"> </w:t>
      </w:r>
      <w:r>
        <w:t xml:space="preserve">themselves would be</w:t>
      </w:r>
      <w:r>
        <w:t xml:space="preserve"> </w:t>
      </w:r>
      <w:r>
        <w:t xml:space="preserve">~€ 100K for the initial</w:t>
      </w:r>
      <w:r>
        <w:t xml:space="preserve"> </w:t>
      </w:r>
      <w:r>
        <w:t xml:space="preserve">year (4)</w:t>
      </w:r>
      <w:r>
        <w:t xml:space="preserve"> </w:t>
      </w:r>
      <w:r>
        <w:t xml:space="preserve">Administrative onboarding</w:t>
      </w:r>
      <w:r>
        <w:t xml:space="preserve"> </w:t>
      </w:r>
      <w:r>
        <w:t xml:space="preserve">and integration with the</w:t>
      </w:r>
      <w:r>
        <w:t xml:space="preserve"> </w:t>
      </w:r>
      <w:r>
        <w:t xml:space="preserve">Platform (PM5)</w:t>
      </w:r>
      <w:r>
        <w:t xml:space="preserve"> </w:t>
      </w:r>
      <w:r>
        <w:t xml:space="preserve">•</w:t>
      </w:r>
      <w:r>
        <w:t xml:space="preserve"> </w:t>
      </w:r>
      <w:r>
        <w:t xml:space="preserve">Voluntary low-</w:t>
      </w:r>
      <w:r>
        <w:t xml:space="preserve"> </w:t>
      </w:r>
      <w:r>
        <w:t xml:space="preserve">medium cost of circa</w:t>
      </w:r>
      <w:r>
        <w:t xml:space="preserve"> </w:t>
      </w:r>
      <w:r>
        <w:t xml:space="preserve">3 person-days which</w:t>
      </w:r>
      <w:r>
        <w:t xml:space="preserve"> </w:t>
      </w:r>
      <w:r>
        <w:t xml:space="preserve">are required to</w:t>
      </w:r>
      <w:r>
        <w:t xml:space="preserve"> </w:t>
      </w:r>
      <w:r>
        <w:t xml:space="preserve">establish compliance</w:t>
      </w:r>
      <w:r>
        <w:t xml:space="preserve"> </w:t>
      </w:r>
      <w:r>
        <w:t xml:space="preserve">with new regulatory</w:t>
      </w:r>
      <w:r>
        <w:t xml:space="preserve"> </w:t>
      </w:r>
      <w:r>
        <w:t xml:space="preserve">obligations. Involves</w:t>
      </w:r>
      <w:r>
        <w:t xml:space="preserve"> </w:t>
      </w:r>
      <w:r>
        <w:t xml:space="preserve">account creation,</w:t>
      </w:r>
      <w:r>
        <w:t xml:space="preserve"> </w:t>
      </w:r>
      <w:r>
        <w:t xml:space="preserve">Mandatory disclosures of</w:t>
      </w:r>
      <w:r>
        <w:t xml:space="preserve"> </w:t>
      </w:r>
      <w:r>
        <w:t xml:space="preserve">supply chain vulnerabilities</w:t>
      </w:r>
      <w:r>
        <w:t xml:space="preserve"> </w:t>
      </w:r>
      <w:r>
        <w:t xml:space="preserve">based on qualitative</w:t>
      </w:r>
      <w:r>
        <w:t xml:space="preserve"> </w:t>
      </w:r>
      <w:r>
        <w:t xml:space="preserve">assessment (PM6)</w:t>
      </w:r>
      <w:r>
        <w:t xml:space="preserve"> </w:t>
      </w:r>
      <w:r>
        <w:t xml:space="preserve">•</w:t>
      </w:r>
      <w:r>
        <w:t xml:space="preserve"> </w:t>
      </w:r>
      <w:r>
        <w:t xml:space="preserve">Approximately 10</w:t>
      </w:r>
      <w:r>
        <w:t xml:space="preserve"> </w:t>
      </w:r>
      <w:r>
        <w:t xml:space="preserve">person-days are</w:t>
      </w:r>
      <w:r>
        <w:t xml:space="preserve"> </w:t>
      </w:r>
      <w:r>
        <w:t xml:space="preserve">required for large firms</w:t>
      </w:r>
      <w:r>
        <w:t xml:space="preserve"> </w:t>
      </w:r>
      <w:r>
        <w:t xml:space="preserve">for reporting (5). Which</w:t>
      </w:r>
      <w:r>
        <w:t xml:space="preserve"> </w:t>
      </w:r>
      <w:r>
        <w:t xml:space="preserve">can be translated into</w:t>
      </w:r>
      <w:r>
        <w:t xml:space="preserve"> </w:t>
      </w:r>
      <w:r>
        <w:t xml:space="preserve">EUR 2782, per year (6)</w:t>
      </w:r>
      <w:r>
        <w:br/>
      </w:r>
      <w:r>
        <w:t xml:space="preserve">In the case of anticipated</w:t>
      </w:r>
      <w:r>
        <w:t xml:space="preserve"> </w:t>
      </w:r>
      <w:r>
        <w:t xml:space="preserve">crisis and assuming all</w:t>
      </w:r>
      <w:r>
        <w:t xml:space="preserve"> </w:t>
      </w:r>
      <w:r>
        <w:t xml:space="preserve">companies are requested to</w:t>
      </w:r>
      <w:r>
        <w:t xml:space="preserve"> </w:t>
      </w:r>
      <w:r>
        <w:t xml:space="preserve">submit data the total effort</w:t>
      </w:r>
      <w:r>
        <w:t xml:space="preserve"> </w:t>
      </w:r>
      <w:r>
        <w:t xml:space="preserve">might cost up to EUR 1.34</w:t>
      </w:r>
      <w:r>
        <w:t xml:space="preserve"> </w:t>
      </w:r>
      <w:r>
        <w:t xml:space="preserve">million per request across</w:t>
      </w:r>
      <w:r>
        <w:t xml:space="preserve"> </w:t>
      </w:r>
      <w:r>
        <w:t xml:space="preserve">the entire value chain in</w:t>
      </w:r>
      <w:r>
        <w:t xml:space="preserve"> </w:t>
      </w:r>
      <w:r>
        <w:t xml:space="preserve">Europe.</w:t>
      </w:r>
      <w:r>
        <w:t xml:space="preserve"> </w:t>
      </w:r>
      <w:r>
        <w:t xml:space="preserve">Annual Platform operational</w:t>
      </w:r>
      <w:r>
        <w:t xml:space="preserve"> </w:t>
      </w:r>
      <w:r>
        <w:t xml:space="preserve">None</w:t>
      </w:r>
      <w:r>
        <w:t xml:space="preserve"> </w:t>
      </w:r>
      <w:r>
        <w:t xml:space="preserve">Processing and validating</w:t>
      </w:r>
      <w:r>
        <w:t xml:space="preserve"> </w:t>
      </w:r>
      <w:r>
        <w:t xml:space="preserve">mandatory information</w:t>
      </w:r>
      <w:r>
        <w:t xml:space="preserve"> </w:t>
      </w:r>
      <w:r>
        <w:t xml:space="preserve">submissions (PM5, PM6)</w:t>
      </w:r>
      <w:r>
        <w:t xml:space="preserve"> </w:t>
      </w:r>
      <w:r>
        <w:t xml:space="preserve">•</w:t>
      </w:r>
      <w:r>
        <w:t xml:space="preserve"> </w:t>
      </w:r>
      <w:r>
        <w:t xml:space="preserve">Moderate costs to sustain the</w:t>
      </w:r>
      <w:r>
        <w:t xml:space="preserve"> </w:t>
      </w:r>
      <w:r>
        <w:t xml:space="preserve">capacity of the Commission</w:t>
      </w:r>
      <w:r>
        <w:t xml:space="preserve"> </w:t>
      </w:r>
      <w:r>
        <w:t xml:space="preserve">and national competent</w:t>
      </w:r>
      <w:r>
        <w:t xml:space="preserve"> </w:t>
      </w:r>
      <w:r>
        <w:t xml:space="preserve">authorities to review,</w:t>
      </w:r>
      <w:r>
        <w:t xml:space="preserve"> </w:t>
      </w:r>
      <w:r>
        <w:t xml:space="preserve">classify, and validate firm-</w:t>
      </w:r>
      <w:r>
        <w:t xml:space="preserve"> </w:t>
      </w:r>
      <w:r>
        <w:t xml:space="preserve">level vulnerability data on a</w:t>
      </w:r>
      <w:r>
        <w:t xml:space="preserve"> </w:t>
      </w:r>
      <w:r>
        <w:t xml:space="preserve">continuous basis.</w:t>
      </w:r>
      <w:r>
        <w:t xml:space="preserve"> </w:t>
      </w:r>
      <w:r>
        <w:t xml:space="preserve">Administrative coordination under</w:t>
      </w:r>
      <w:r>
        <w:t xml:space="preserve"> </w:t>
      </w:r>
      <w:r>
        <w:t xml:space="preserve">the Platform (PM5).</w:t>
      </w:r>
      <w:r>
        <w:br/>
      </w:r>
      <w:r>
        <w:t xml:space="preserve">•</w:t>
      </w:r>
      <w:r>
        <w:t xml:space="preserve"> </w:t>
      </w:r>
      <w:r>
        <w:t xml:space="preserve">Low-medium cost for regular</w:t>
      </w:r>
      <w:r>
        <w:t xml:space="preserve"> </w:t>
      </w:r>
      <w:r>
        <w:t xml:space="preserve">coordination between</w:t>
      </w:r>
      <w:r>
        <w:t xml:space="preserve"> </w:t>
      </w:r>
      <w:r>
        <w:t xml:space="preserve">Member States and the</w:t>
      </w:r>
      <w:r>
        <w:t xml:space="preserve"> </w:t>
      </w:r>
      <w:r>
        <w:t xml:space="preserve">Commission to manage</w:t>
      </w:r>
      <w:r>
        <w:t xml:space="preserve"> </w:t>
      </w:r>
      <w:r>
        <w:t xml:space="preserve">queries, update procedures,</w:t>
      </w:r>
      <w:r>
        <w:t xml:space="preserve"> </w:t>
      </w:r>
      <w:r>
        <w:t xml:space="preserve">and issue formal information</w:t>
      </w:r>
    </w:p>
    <w:p>
      <w:pPr>
        <w:pStyle w:val="Compact"/>
        <w:numPr>
          <w:ilvl w:val="0"/>
          <w:numId w:val="1002"/>
        </w:numPr>
      </w:pPr>
      <w:r>
        <w:t xml:space="preserve">Estimation from the Supply chain Working Group of the Industrial Alliance on Processors and Semiconductor Technologies</w:t>
      </w:r>
    </w:p>
    <w:p>
      <w:pPr>
        <w:pStyle w:val="Compact"/>
        <w:numPr>
          <w:ilvl w:val="0"/>
          <w:numId w:val="1002"/>
        </w:numPr>
      </w:pPr>
      <w:r>
        <w:t xml:space="preserve">Reporting obligations</w:t>
      </w:r>
    </w:p>
    <w:p>
      <w:pPr>
        <w:pStyle w:val="Compact"/>
        <w:numPr>
          <w:ilvl w:val="0"/>
          <w:numId w:val="1002"/>
        </w:numPr>
      </w:pPr>
      <w:r>
        <w:t xml:space="preserve">Assuming an annual salary of a supply chain analyst of EUR 60k.</w:t>
      </w:r>
    </w:p>
    <w:p>
      <w:pPr>
        <w:pStyle w:val="FirstParagraph"/>
      </w:pPr>
      <w:r>
        <w:t xml:space="preserve">52</w:t>
      </w:r>
      <w:r>
        <w:t xml:space="preserve"> </w:t>
      </w:r>
      <w:r>
        <w:t xml:space="preserve">internal procedural</w:t>
      </w:r>
      <w:r>
        <w:t xml:space="preserve"> </w:t>
      </w:r>
      <w:r>
        <w:t xml:space="preserve">setup, and alignment</w:t>
      </w:r>
      <w:r>
        <w:t xml:space="preserve"> </w:t>
      </w:r>
      <w:r>
        <w:t xml:space="preserve">of data formats.</w:t>
      </w:r>
      <w:r>
        <w:t xml:space="preserve"> </w:t>
      </w:r>
      <w:r>
        <w:t xml:space="preserve">participation costs (PM5)</w:t>
      </w:r>
      <w:r>
        <w:t xml:space="preserve"> </w:t>
      </w:r>
      <w:r>
        <w:t xml:space="preserve">•</w:t>
      </w:r>
      <w:r>
        <w:t xml:space="preserve"> </w:t>
      </w:r>
      <w:r>
        <w:t xml:space="preserve">The cost for the large</w:t>
      </w:r>
      <w:r>
        <w:t xml:space="preserve"> </w:t>
      </w:r>
      <w:r>
        <w:t xml:space="preserve">companies themselves</w:t>
      </w:r>
      <w:r>
        <w:t xml:space="preserve"> </w:t>
      </w:r>
      <w:r>
        <w:t xml:space="preserve">would be ~€ 50K for</w:t>
      </w:r>
      <w:r>
        <w:t xml:space="preserve"> </w:t>
      </w:r>
      <w:r>
        <w:t xml:space="preserve">the yearly operations.</w:t>
      </w:r>
      <w:r>
        <w:t xml:space="preserve"> </w:t>
      </w:r>
      <w:r>
        <w:t xml:space="preserve">(7)</w:t>
      </w:r>
      <w:r>
        <w:t xml:space="preserve"> </w:t>
      </w:r>
      <w:r>
        <w:t xml:space="preserve">•</w:t>
      </w:r>
      <w:r>
        <w:t xml:space="preserve"> </w:t>
      </w:r>
      <w:r>
        <w:t xml:space="preserve">The cost covers</w:t>
      </w:r>
      <w:r>
        <w:t xml:space="preserve"> </w:t>
      </w:r>
      <w:r>
        <w:t xml:space="preserve">ongoing data sharing;</w:t>
      </w:r>
      <w:r>
        <w:t xml:space="preserve"> </w:t>
      </w:r>
      <w:r>
        <w:t xml:space="preserve">system maintenance;</w:t>
      </w:r>
      <w:r>
        <w:t xml:space="preserve"> </w:t>
      </w:r>
      <w:r>
        <w:t xml:space="preserve">and internal monitoring</w:t>
      </w:r>
      <w:r>
        <w:t xml:space="preserve"> </w:t>
      </w:r>
      <w:r>
        <w:t xml:space="preserve">alignment.</w:t>
      </w:r>
      <w:r>
        <w:br/>
      </w:r>
      <w:r>
        <w:t xml:space="preserve">Administrative reporting</w:t>
      </w:r>
      <w:r>
        <w:t xml:space="preserve"> </w:t>
      </w:r>
      <w:r>
        <w:t xml:space="preserve">linked to Strategic Projects</w:t>
      </w:r>
      <w:r>
        <w:t xml:space="preserve"> </w:t>
      </w:r>
      <w:r>
        <w:t xml:space="preserve">and FoaK (PM8, PM2)</w:t>
      </w:r>
      <w:r>
        <w:t xml:space="preserve"> </w:t>
      </w:r>
      <w:r>
        <w:t xml:space="preserve">•</w:t>
      </w:r>
      <w:r>
        <w:t xml:space="preserve"> </w:t>
      </w:r>
      <w:r>
        <w:t xml:space="preserve">1–3 FTE/year,</w:t>
      </w:r>
      <w:r>
        <w:t xml:space="preserve"> </w:t>
      </w:r>
      <w:r>
        <w:t xml:space="preserve">corresponding to 1-2%</w:t>
      </w:r>
      <w:r>
        <w:t xml:space="preserve"> </w:t>
      </w:r>
      <w:r>
        <w:t xml:space="preserve">of the project value</w:t>
      </w:r>
      <w:r>
        <w:t xml:space="preserve"> </w:t>
      </w:r>
      <w:r>
        <w:t xml:space="preserve">(8).Here, cost includes</w:t>
      </w:r>
      <w:r>
        <w:t xml:space="preserve"> </w:t>
      </w:r>
      <w:r>
        <w:t xml:space="preserve">monitoring reports,</w:t>
      </w:r>
      <w:r>
        <w:t xml:space="preserve"> </w:t>
      </w:r>
      <w:r>
        <w:t xml:space="preserve">compliance</w:t>
      </w:r>
      <w:r>
        <w:t xml:space="preserve"> </w:t>
      </w:r>
      <w:r>
        <w:t xml:space="preserve">documentation, EU-</w:t>
      </w:r>
      <w:r>
        <w:t xml:space="preserve"> </w:t>
      </w:r>
      <w:r>
        <w:t xml:space="preserve">level coordination</w:t>
      </w:r>
      <w:r>
        <w:t xml:space="preserve"> </w:t>
      </w:r>
      <w:r>
        <w:t xml:space="preserve">reporting</w:t>
      </w:r>
      <w:r>
        <w:t xml:space="preserve"> </w:t>
      </w:r>
      <w:r>
        <w:t xml:space="preserve">Administrative participation</w:t>
      </w:r>
      <w:r>
        <w:t xml:space="preserve"> </w:t>
      </w:r>
      <w:r>
        <w:t xml:space="preserve">costs under innovation</w:t>
      </w:r>
      <w:r>
        <w:t xml:space="preserve"> </w:t>
      </w:r>
      <w:r>
        <w:t xml:space="preserve">requests.</w:t>
      </w:r>
      <w:r>
        <w:t xml:space="preserve"> </w:t>
      </w:r>
      <w:r>
        <w:t xml:space="preserve">Administrative reporting and</w:t>
      </w:r>
      <w:r>
        <w:t xml:space="preserve"> </w:t>
      </w:r>
      <w:r>
        <w:t xml:space="preserve">coordination for Strategic Projects</w:t>
      </w:r>
      <w:r>
        <w:t xml:space="preserve"> </w:t>
      </w:r>
      <w:r>
        <w:t xml:space="preserve">(PM8)</w:t>
      </w:r>
      <w:r>
        <w:t xml:space="preserve"> </w:t>
      </w:r>
      <w:r>
        <w:t xml:space="preserve">•</w:t>
      </w:r>
      <w:r>
        <w:t xml:space="preserve"> </w:t>
      </w:r>
      <w:r>
        <w:t xml:space="preserve">12 FTEs at EU level to</w:t>
      </w:r>
      <w:r>
        <w:t xml:space="preserve"> </w:t>
      </w:r>
      <w:r>
        <w:t xml:space="preserve">supervise Strategic Projects</w:t>
      </w:r>
      <w:r>
        <w:t xml:space="preserve"> </w:t>
      </w:r>
      <w:r>
        <w:t xml:space="preserve">which covers administrative</w:t>
      </w:r>
      <w:r>
        <w:t xml:space="preserve"> </w:t>
      </w:r>
      <w:r>
        <w:t xml:space="preserve">(non-fiscal) tasks such as</w:t>
      </w:r>
      <w:r>
        <w:t xml:space="preserve"> </w:t>
      </w:r>
      <w:r>
        <w:t xml:space="preserve">monitoring, reporting,</w:t>
      </w:r>
      <w:r>
        <w:t xml:space="preserve"> </w:t>
      </w:r>
      <w:r>
        <w:t xml:space="preserve">compliance checks, and</w:t>
      </w:r>
      <w:r>
        <w:t xml:space="preserve"> </w:t>
      </w:r>
      <w:r>
        <w:t xml:space="preserve">cross-border coordination</w:t>
      </w:r>
      <w:r>
        <w:t xml:space="preserve"> </w:t>
      </w:r>
      <w:r>
        <w:t xml:space="preserve">linked to Strategic Projects</w:t>
      </w:r>
      <w:r>
        <w:t xml:space="preserve"> </w:t>
      </w:r>
      <w:r>
        <w:t xml:space="preserve">(11).</w:t>
      </w:r>
      <w:r>
        <w:t xml:space="preserve"> </w:t>
      </w:r>
      <w:r>
        <w:t xml:space="preserve">•</w:t>
      </w:r>
      <w:r>
        <w:t xml:space="preserve"> </w:t>
      </w:r>
      <w:r>
        <w:t xml:space="preserve">Total costs: EUR 2 328 000</w:t>
      </w:r>
      <w:r>
        <w:t xml:space="preserve"> </w:t>
      </w:r>
      <w:r>
        <w:t xml:space="preserve">Increased administrative burden</w:t>
      </w:r>
      <w:r>
        <w:t xml:space="preserve"> </w:t>
      </w:r>
      <w:r>
        <w:t xml:space="preserve">from demand-side instruments</w:t>
      </w:r>
      <w:r>
        <w:t xml:space="preserve"> </w:t>
      </w:r>
      <w:r>
        <w:t xml:space="preserve">(PM9)</w:t>
      </w:r>
      <w:r>
        <w:br/>
      </w:r>
      <w:r>
        <w:t xml:space="preserve">Medium cost to the EU and</w:t>
      </w:r>
      <w:r>
        <w:t xml:space="preserve"> </w:t>
      </w:r>
      <w:r>
        <w:t xml:space="preserve">other administrations for the</w:t>
      </w:r>
      <w:r>
        <w:t xml:space="preserve"> </w:t>
      </w:r>
      <w:r>
        <w:t xml:space="preserve">administration of innovation</w:t>
      </w:r>
      <w:r>
        <w:t xml:space="preserve"> </w:t>
      </w:r>
      <w:r>
        <w:t xml:space="preserve">procurement, early-stage</w:t>
      </w:r>
      <w:r>
        <w:t xml:space="preserve"> </w:t>
      </w:r>
      <w:r>
        <w:t xml:space="preserve">offtake programmes and</w:t>
      </w:r>
      <w:r>
        <w:t xml:space="preserve"> </w:t>
      </w:r>
      <w:r>
        <w:t xml:space="preserve">Chip Innovation Partnerships</w:t>
      </w:r>
      <w:r>
        <w:t xml:space="preserve"> </w:t>
      </w:r>
      <w:r>
        <w:t xml:space="preserve">requires additional staffing</w:t>
      </w:r>
      <w:r>
        <w:t xml:space="preserve"> </w:t>
      </w:r>
      <w:r>
        <w:t xml:space="preserve">and contracting capacity.</w:t>
      </w:r>
    </w:p>
    <w:p>
      <w:pPr>
        <w:pStyle w:val="Compact"/>
        <w:numPr>
          <w:ilvl w:val="0"/>
          <w:numId w:val="1003"/>
        </w:numPr>
      </w:pPr>
      <w:r>
        <w:t xml:space="preserve">Estimation from the Supply chain Working Group of the Industrial Alliance on Processors and Semiconductor Technologies</w:t>
      </w:r>
    </w:p>
    <w:p>
      <w:pPr>
        <w:pStyle w:val="Compact"/>
        <w:numPr>
          <w:ilvl w:val="0"/>
          <w:numId w:val="1003"/>
        </w:numPr>
      </w:pPr>
      <w:r>
        <w:t xml:space="preserve">The administrative burden observed in Horizon Europe projects (typically estimated at 6–10% of project budgets) is used as a reference point; this roughly corresponds to approximately 0.5–1</w:t>
      </w:r>
      <w:r>
        <w:t xml:space="preserve"> </w:t>
      </w:r>
      <w:r>
        <w:t xml:space="preserve">full-time equivalent (FTE) of administrative effort per project per year. IPCEI reporting and compliance obligations are assumed to require approximately two to three times higher effort than</w:t>
      </w:r>
      <w:r>
        <w:t xml:space="preserve"> </w:t>
      </w:r>
      <w:r>
        <w:t xml:space="preserve">Horizon Europe projects, reflecting additional State aid requirements, dual reporting to national and EU authorities, and longer monitoring periods. This implies an estimated administrative effort in</w:t>
      </w:r>
      <w:r>
        <w:t xml:space="preserve"> </w:t>
      </w:r>
      <w:r>
        <w:t xml:space="preserve">the order of 1–3 FTE per year for a typical IPCEI participant. When scaled to the substantially larger investment volumes of IPCEI projects, this level of effort corresponds to only a small fraction of</w:t>
      </w:r>
      <w:r>
        <w:t xml:space="preserve"> </w:t>
      </w:r>
      <w:r>
        <w:t xml:space="preserve">total project budgets (typically around or below 1–2%). These figures should be interpreted as indicative.</w:t>
      </w:r>
    </w:p>
    <w:p>
      <w:pPr>
        <w:pStyle w:val="FirstParagraph"/>
      </w:pPr>
      <w:r>
        <w:t xml:space="preserve">53</w:t>
      </w:r>
      <w:r>
        <w:t xml:space="preserve"> </w:t>
      </w:r>
      <w:r>
        <w:t xml:space="preserve">procurement (PM9)</w:t>
      </w:r>
      <w:r>
        <w:t xml:space="preserve"> </w:t>
      </w:r>
      <w:r>
        <w:t xml:space="preserve">•</w:t>
      </w:r>
      <w:r>
        <w:t xml:space="preserve"> </w:t>
      </w:r>
      <w:r>
        <w:t xml:space="preserve">Approx. 1.05% of</w:t>
      </w:r>
      <w:r>
        <w:t xml:space="preserve"> </w:t>
      </w:r>
      <w:r>
        <w:t xml:space="preserve">contract value (9), (10)</w:t>
      </w:r>
      <w:r>
        <w:t xml:space="preserve"> </w:t>
      </w:r>
      <w:r>
        <w:t xml:space="preserve">which includes: bid</w:t>
      </w:r>
      <w:r>
        <w:t xml:space="preserve"> </w:t>
      </w:r>
      <w:r>
        <w:t xml:space="preserve">preparation,</w:t>
      </w:r>
      <w:r>
        <w:t xml:space="preserve"> </w:t>
      </w:r>
      <w:r>
        <w:t xml:space="preserve">compliance</w:t>
      </w:r>
      <w:r>
        <w:t xml:space="preserve"> </w:t>
      </w:r>
      <w:r>
        <w:t xml:space="preserve">documentation.</w:t>
      </w:r>
    </w:p>
    <w:p>
      <w:pPr>
        <w:pStyle w:val="BodyText"/>
      </w:pPr>
      <w:r>
        <w:t xml:space="preserve">Operating the Business-to-</w:t>
      </w:r>
      <w:r>
        <w:t xml:space="preserve"> </w:t>
      </w:r>
      <w:r>
        <w:t xml:space="preserve">Business Platform (PM5)</w:t>
      </w:r>
      <w:r>
        <w:t xml:space="preserve"> </w:t>
      </w:r>
      <w:r>
        <w:t xml:space="preserve">•</w:t>
      </w:r>
      <w:r>
        <w:t xml:space="preserve"> </w:t>
      </w:r>
      <w:r>
        <w:t xml:space="preserve">EU-level cost of 6 FTEs for</w:t>
      </w:r>
      <w:r>
        <w:t xml:space="preserve"> </w:t>
      </w:r>
      <w:r>
        <w:t xml:space="preserve">monitoring, analysis and</w:t>
      </w:r>
      <w:r>
        <w:t xml:space="preserve"> </w:t>
      </w:r>
      <w:r>
        <w:t xml:space="preserve">crisis preparedness</w:t>
      </w:r>
      <w:r>
        <w:t xml:space="preserve"> </w:t>
      </w:r>
      <w:r>
        <w:t xml:space="preserve">functions; handling the</w:t>
      </w:r>
      <w:r>
        <w:t xml:space="preserve"> </w:t>
      </w:r>
      <w:r>
        <w:t xml:space="preserve">RFI’s; additional IT</w:t>
      </w:r>
      <w:r>
        <w:t xml:space="preserve"> </w:t>
      </w:r>
      <w:r>
        <w:t xml:space="preserve">maintenance and security</w:t>
      </w:r>
      <w:r>
        <w:t xml:space="preserve"> </w:t>
      </w:r>
      <w:r>
        <w:t xml:space="preserve">costs.</w:t>
      </w:r>
      <w:r>
        <w:t xml:space="preserve"> </w:t>
      </w:r>
      <w:r>
        <w:t xml:space="preserve">•</w:t>
      </w:r>
      <w:r>
        <w:t xml:space="preserve"> </w:t>
      </w:r>
      <w:r>
        <w:t xml:space="preserve">Total costs: EUR 1 164 000</w:t>
      </w:r>
    </w:p>
    <w:p>
      <w:pPr>
        <w:pStyle w:val="BodyText"/>
      </w:pPr>
      <w:r>
        <w:t xml:space="preserve">Direct regulatory</w:t>
      </w:r>
      <w:r>
        <w:t xml:space="preserve"> </w:t>
      </w:r>
      <w:r>
        <w:t xml:space="preserve">fees and charges</w:t>
      </w:r>
      <w:r>
        <w:t xml:space="preserve"> </w:t>
      </w:r>
      <w:r>
        <w:t xml:space="preserve">None</w:t>
      </w:r>
      <w:r>
        <w:t xml:space="preserve"> </w:t>
      </w:r>
      <w:r>
        <w:t xml:space="preserve">None</w:t>
      </w:r>
      <w:r>
        <w:t xml:space="preserve"> </w:t>
      </w:r>
      <w:r>
        <w:t xml:space="preserve">None</w:t>
      </w:r>
      <w:r>
        <w:t xml:space="preserve"> </w:t>
      </w:r>
      <w:r>
        <w:t xml:space="preserve">None</w:t>
      </w:r>
      <w:r>
        <w:t xml:space="preserve"> </w:t>
      </w:r>
      <w:r>
        <w:t xml:space="preserve">None</w:t>
      </w:r>
      <w:r>
        <w:t xml:space="preserve"> </w:t>
      </w:r>
      <w:r>
        <w:t xml:space="preserve">None</w:t>
      </w:r>
      <w:r>
        <w:t xml:space="preserve"> </w:t>
      </w:r>
      <w:r>
        <w:t xml:space="preserve">Direct</w:t>
      </w:r>
      <w:r>
        <w:t xml:space="preserve"> </w:t>
      </w:r>
      <w:r>
        <w:t xml:space="preserve">enforcement costs None</w:t>
      </w:r>
      <w:r>
        <w:t xml:space="preserve"> </w:t>
      </w:r>
      <w:r>
        <w:t xml:space="preserve">None</w:t>
      </w:r>
      <w:r>
        <w:t xml:space="preserve"> </w:t>
      </w:r>
      <w:r>
        <w:t xml:space="preserve">None</w:t>
      </w:r>
      <w:r>
        <w:t xml:space="preserve"> </w:t>
      </w:r>
      <w:r>
        <w:t xml:space="preserve">Adaptation of production</w:t>
      </w:r>
      <w:r>
        <w:t xml:space="preserve"> </w:t>
      </w:r>
      <w:r>
        <w:t xml:space="preserve">processes to meet</w:t>
      </w:r>
      <w:r>
        <w:t xml:space="preserve"> </w:t>
      </w:r>
      <w:r>
        <w:t xml:space="preserve">technological and resilience</w:t>
      </w:r>
      <w:r>
        <w:t xml:space="preserve"> </w:t>
      </w:r>
      <w:r>
        <w:t xml:space="preserve">requirements in Strategic</w:t>
      </w:r>
      <w:r>
        <w:t xml:space="preserve"> </w:t>
      </w:r>
      <w:r>
        <w:t xml:space="preserve">Projects (PM8)</w:t>
      </w:r>
      <w:r>
        <w:t xml:space="preserve"> </w:t>
      </w:r>
      <w:r>
        <w:t xml:space="preserve">•</w:t>
      </w:r>
      <w:r>
        <w:t xml:space="preserve"> </w:t>
      </w:r>
      <w:r>
        <w:t xml:space="preserve">Costs likely to be</w:t>
      </w:r>
      <w:r>
        <w:t xml:space="preserve"> </w:t>
      </w:r>
      <w:r>
        <w:t xml:space="preserve">negligible as the</w:t>
      </w:r>
      <w:r>
        <w:t xml:space="preserve"> </w:t>
      </w:r>
      <w:r>
        <w:t xml:space="preserve">Strategic Projects’</w:t>
      </w:r>
      <w:r>
        <w:t xml:space="preserve"> </w:t>
      </w:r>
      <w:r>
        <w:t xml:space="preserve">designation is only for</w:t>
      </w:r>
      <w:r>
        <w:t xml:space="preserve"> </w:t>
      </w:r>
      <w:r>
        <w:t xml:space="preserve">projects meeting the</w:t>
      </w:r>
      <w:r>
        <w:t xml:space="preserve"> </w:t>
      </w:r>
      <w:r>
        <w:t xml:space="preserve">criteria at the moment</w:t>
      </w:r>
      <w:r>
        <w:t xml:space="preserve"> </w:t>
      </w:r>
      <w:r>
        <w:t xml:space="preserve">of application. .</w:t>
      </w:r>
    </w:p>
    <w:p>
      <w:pPr>
        <w:pStyle w:val="BodyText"/>
      </w:pPr>
      <w:r>
        <w:t xml:space="preserve">Oversight of mandatory</w:t>
      </w:r>
      <w:r>
        <w:t xml:space="preserve"> </w:t>
      </w:r>
      <w:r>
        <w:t xml:space="preserve">information requirements (PM5,</w:t>
      </w:r>
      <w:r>
        <w:t xml:space="preserve"> </w:t>
      </w:r>
      <w:r>
        <w:t xml:space="preserve">PM6).</w:t>
      </w:r>
      <w:r>
        <w:br/>
      </w:r>
      <w:r>
        <w:t xml:space="preserve">•</w:t>
      </w:r>
      <w:r>
        <w:t xml:space="preserve"> </w:t>
      </w:r>
      <w:r>
        <w:t xml:space="preserve">Approximately 2 FTEs for</w:t>
      </w:r>
      <w:r>
        <w:t xml:space="preserve"> </w:t>
      </w:r>
      <w:r>
        <w:t xml:space="preserve">the Commission and</w:t>
      </w:r>
      <w:r>
        <w:t xml:space="preserve"> </w:t>
      </w:r>
      <w:r>
        <w:t xml:space="preserve">Member States to review</w:t>
      </w:r>
      <w:r>
        <w:t xml:space="preserve"> </w:t>
      </w:r>
      <w:r>
        <w:t xml:space="preserve">compliance, validate data,</w:t>
      </w:r>
      <w:r>
        <w:t xml:space="preserve"> </w:t>
      </w:r>
      <w:r>
        <w:t xml:space="preserve">flag inconsistencies.</w:t>
      </w:r>
    </w:p>
    <w:p>
      <w:pPr>
        <w:pStyle w:val="BodyText"/>
      </w:pPr>
      <w:r>
        <w:t xml:space="preserve">(11)In the current Chips JU, 18 FTEs supervise a budget of around EUR 4.175 billion EU funding.</w:t>
      </w:r>
      <w:r>
        <w:br/>
      </w:r>
      <w:r>
        <w:t xml:space="preserve">(9) PwC, London Economics, &amp; Ecorys. (2011). Public procurement in Europe: Cost and effectiveness. European Commission, Directorate-General for Enterprise and Industry.</w:t>
      </w:r>
      <w:r>
        <w:t xml:space="preserve"> </w:t>
      </w:r>
      <w:r>
        <w:t xml:space="preserve">(10) Rodionova, Y., Balaeva, O., Yakovlev, A., &amp; Esaulov, D. (2018). Public procurement transaction costs: A country-level assessment. Public Sector Studies, 20(4), 66–81.</w:t>
      </w:r>
    </w:p>
    <w:p>
      <w:pPr>
        <w:pStyle w:val="BodyText"/>
      </w:pPr>
      <w:r>
        <w:t xml:space="preserve">54</w:t>
      </w:r>
    </w:p>
    <w:p>
      <w:pPr>
        <w:pStyle w:val="BodyText"/>
      </w:pPr>
      <w:r>
        <w:t xml:space="preserve">Indirect costs</w:t>
      </w:r>
      <w:r>
        <w:t xml:space="preserve"> </w:t>
      </w:r>
      <w:r>
        <w:t xml:space="preserve">Opportunity</w:t>
      </w:r>
      <w:r>
        <w:t xml:space="preserve"> </w:t>
      </w:r>
      <w:r>
        <w:t xml:space="preserve">cost of public</w:t>
      </w:r>
      <w:r>
        <w:t xml:space="preserve"> </w:t>
      </w:r>
      <w:r>
        <w:t xml:space="preserve">money being</w:t>
      </w:r>
      <w:r>
        <w:t xml:space="preserve"> </w:t>
      </w:r>
      <w:r>
        <w:t xml:space="preserve">directed</w:t>
      </w:r>
      <w:r>
        <w:t xml:space="preserve"> </w:t>
      </w:r>
      <w:r>
        <w:t xml:space="preserve">elsewhere</w:t>
      </w:r>
      <w:r>
        <w:t xml:space="preserve"> </w:t>
      </w:r>
      <w:r>
        <w:t xml:space="preserve">None</w:t>
      </w:r>
      <w:r>
        <w:t xml:space="preserve"> </w:t>
      </w:r>
      <w:r>
        <w:t xml:space="preserve">Opportunity cost of capital</w:t>
      </w:r>
      <w:r>
        <w:t xml:space="preserve"> </w:t>
      </w:r>
      <w:r>
        <w:t xml:space="preserve">allocation</w:t>
      </w:r>
      <w:r>
        <w:t xml:space="preserve"> </w:t>
      </w:r>
      <w:r>
        <w:t xml:space="preserve">•</w:t>
      </w:r>
      <w:r>
        <w:t xml:space="preserve"> </w:t>
      </w:r>
      <w:r>
        <w:t xml:space="preserve">Firms may decide to</w:t>
      </w:r>
      <w:r>
        <w:t xml:space="preserve"> </w:t>
      </w:r>
      <w:r>
        <w:t xml:space="preserve">redirect investment</w:t>
      </w:r>
      <w:r>
        <w:t xml:space="preserve"> </w:t>
      </w:r>
      <w:r>
        <w:t xml:space="preserve">away from other</w:t>
      </w:r>
      <w:r>
        <w:t xml:space="preserve"> </w:t>
      </w:r>
      <w:r>
        <w:t xml:space="preserve">activities to invest in</w:t>
      </w:r>
      <w:r>
        <w:t xml:space="preserve"> </w:t>
      </w:r>
      <w:r>
        <w:t xml:space="preserve">Strategic Projects.</w:t>
      </w:r>
      <w:r>
        <w:t xml:space="preserve"> </w:t>
      </w:r>
      <w:r>
        <w:t xml:space="preserve">Increased competition for</w:t>
      </w:r>
      <w:r>
        <w:t xml:space="preserve"> </w:t>
      </w:r>
      <w:r>
        <w:t xml:space="preserve">skilled labour</w:t>
      </w:r>
      <w:r>
        <w:t xml:space="preserve"> </w:t>
      </w:r>
      <w:r>
        <w:t xml:space="preserve">•</w:t>
      </w:r>
      <w:r>
        <w:t xml:space="preserve"> </w:t>
      </w:r>
      <w:r>
        <w:t xml:space="preserve">Strategic Projects</w:t>
      </w:r>
      <w:r>
        <w:t xml:space="preserve"> </w:t>
      </w:r>
      <w:r>
        <w:t xml:space="preserve">intensify demand for</w:t>
      </w:r>
      <w:r>
        <w:t xml:space="preserve"> </w:t>
      </w:r>
      <w:r>
        <w:t xml:space="preserve">technicians, engineers,</w:t>
      </w:r>
      <w:r>
        <w:t xml:space="preserve"> </w:t>
      </w:r>
      <w:r>
        <w:t xml:space="preserve">and specialised</w:t>
      </w:r>
      <w:r>
        <w:t xml:space="preserve"> </w:t>
      </w:r>
      <w:r>
        <w:t xml:space="preserve">operators, increasing</w:t>
      </w:r>
      <w:r>
        <w:t xml:space="preserve"> </w:t>
      </w:r>
      <w:r>
        <w:t xml:space="preserve">hiring and wage</w:t>
      </w:r>
      <w:r>
        <w:t xml:space="preserve"> </w:t>
      </w:r>
      <w:r>
        <w:t xml:space="preserve">pressures.</w:t>
      </w:r>
      <w:r>
        <w:t xml:space="preserve"> </w:t>
      </w:r>
      <w:r>
        <w:t xml:space="preserve">None</w:t>
      </w:r>
      <w:r>
        <w:t xml:space="preserve"> </w:t>
      </w:r>
      <w:r>
        <w:t xml:space="preserve">Long-term fiscal exposure from</w:t>
      </w:r>
      <w:r>
        <w:t xml:space="preserve"> </w:t>
      </w:r>
      <w:r>
        <w:t xml:space="preserve">Strategic Projects (PM8)</w:t>
      </w:r>
      <w:r>
        <w:br/>
      </w:r>
      <w:r>
        <w:t xml:space="preserve">•</w:t>
      </w:r>
      <w:r>
        <w:t xml:space="preserve"> </w:t>
      </w:r>
      <w:r>
        <w:t xml:space="preserve">High costs which, despite</w:t>
      </w:r>
      <w:r>
        <w:t xml:space="preserve"> </w:t>
      </w:r>
      <w:r>
        <w:t xml:space="preserve">being classified as investment</w:t>
      </w:r>
      <w:r>
        <w:t xml:space="preserve"> </w:t>
      </w:r>
      <w:r>
        <w:t xml:space="preserve">expenditure, generate</w:t>
      </w:r>
      <w:r>
        <w:t xml:space="preserve"> </w:t>
      </w:r>
      <w:r>
        <w:t xml:space="preserve">significant fiscal pressure.</w:t>
      </w:r>
      <w:r>
        <w:t xml:space="preserve"> </w:t>
      </w:r>
      <w:r>
        <w:t xml:space="preserve">Transitional dual-system</w:t>
      </w:r>
      <w:r>
        <w:t xml:space="preserve"> </w:t>
      </w:r>
      <w:r>
        <w:t xml:space="preserve">administrative burden (PM5,</w:t>
      </w:r>
      <w:r>
        <w:t xml:space="preserve"> </w:t>
      </w:r>
      <w:r>
        <w:t xml:space="preserve">PM6)</w:t>
      </w:r>
      <w:r>
        <w:t xml:space="preserve"> </w:t>
      </w:r>
      <w:r>
        <w:t xml:space="preserve">•</w:t>
      </w:r>
      <w:r>
        <w:t xml:space="preserve"> </w:t>
      </w:r>
      <w:r>
        <w:t xml:space="preserve">Low-medium (and</w:t>
      </w:r>
      <w:r>
        <w:t xml:space="preserve"> </w:t>
      </w:r>
      <w:r>
        <w:t xml:space="preserve">diminishing) cost. Until the</w:t>
      </w:r>
      <w:r>
        <w:t xml:space="preserve"> </w:t>
      </w:r>
      <w:r>
        <w:t xml:space="preserve">Platform and governance</w:t>
      </w:r>
      <w:r>
        <w:t xml:space="preserve"> </w:t>
      </w:r>
      <w:r>
        <w:t xml:space="preserve">system reach maturity, public</w:t>
      </w:r>
      <w:r>
        <w:t xml:space="preserve"> </w:t>
      </w:r>
      <w:r>
        <w:t xml:space="preserve">administrations handle both</w:t>
      </w:r>
      <w:r>
        <w:t xml:space="preserve"> </w:t>
      </w:r>
      <w:r>
        <w:t xml:space="preserve">legacy crisis tools and new</w:t>
      </w:r>
      <w:r>
        <w:t xml:space="preserve"> </w:t>
      </w:r>
      <w:r>
        <w:t xml:space="preserve">mechanisms.</w:t>
      </w:r>
    </w:p>
    <w:p>
      <w:pPr>
        <w:pStyle w:val="BodyText"/>
      </w:pPr>
      <w:r>
        <w:t xml:space="preserve">55</w:t>
      </w:r>
    </w:p>
    <w:p>
      <w:pPr>
        <w:pStyle w:val="Compact"/>
        <w:numPr>
          <w:ilvl w:val="0"/>
          <w:numId w:val="1004"/>
        </w:numPr>
      </w:pPr>
      <w:r>
        <w:t xml:space="preserve">Application of the ‘one in, one out’ approach – Preferred option(s)</w:t>
      </w:r>
      <w:r>
        <w:t xml:space="preserve"> </w:t>
      </w:r>
      <w:r>
        <w:t xml:space="preserve">[M€]</w:t>
      </w:r>
      <w:r>
        <w:t xml:space="preserve"> </w:t>
      </w:r>
      <w:r>
        <w:t xml:space="preserve">One-off</w:t>
      </w:r>
      <w:r>
        <w:t xml:space="preserve"> </w:t>
      </w:r>
      <w:r>
        <w:t xml:space="preserve">(annualised total net present value over the</w:t>
      </w:r>
      <w:r>
        <w:t xml:space="preserve"> </w:t>
      </w:r>
      <w:r>
        <w:t xml:space="preserve">relevant period)</w:t>
      </w:r>
      <w:r>
        <w:t xml:space="preserve"> </w:t>
      </w:r>
      <w:r>
        <w:t xml:space="preserve">Recurrent</w:t>
      </w:r>
      <w:r>
        <w:t xml:space="preserve"> </w:t>
      </w:r>
      <w:r>
        <w:t xml:space="preserve">(nominal values per year)</w:t>
      </w:r>
    </w:p>
    <w:p>
      <w:pPr>
        <w:pStyle w:val="FirstParagraph"/>
      </w:pPr>
      <w:r>
        <w:t xml:space="preserve">Total</w:t>
      </w:r>
      <w:r>
        <w:t xml:space="preserve"> </w:t>
      </w:r>
      <w:r>
        <w:t xml:space="preserve">Industry and enterprises</w:t>
      </w:r>
      <w:r>
        <w:t xml:space="preserve"> </w:t>
      </w:r>
      <w:r>
        <w:t xml:space="preserve">New administrative burdens (INs)</w:t>
      </w:r>
    </w:p>
    <w:p>
      <w:pPr>
        <w:pStyle w:val="BodyText"/>
      </w:pPr>
      <w:r>
        <w:t xml:space="preserve">Mandatory disclosures of supply chain</w:t>
      </w:r>
      <w:r>
        <w:t xml:space="preserve"> </w:t>
      </w:r>
      <w:r>
        <w:t xml:space="preserve">vulnerabilities.</w:t>
      </w:r>
      <w:r>
        <w:br/>
      </w:r>
      <w:r>
        <w:t xml:space="preserve">•</w:t>
      </w:r>
      <w:r>
        <w:t xml:space="preserve"> </w:t>
      </w:r>
      <w:r>
        <w:t xml:space="preserve">Medium-low cost expected, estimated</w:t>
      </w:r>
      <w:r>
        <w:t xml:space="preserve"> </w:t>
      </w:r>
      <w:r>
        <w:t xml:space="preserve">at up to 10 person-days/year for large</w:t>
      </w:r>
      <w:r>
        <w:t xml:space="preserve"> </w:t>
      </w:r>
      <w:r>
        <w:t xml:space="preserve">firms (benchmarked to costs of</w:t>
      </w:r>
      <w:r>
        <w:t xml:space="preserve"> </w:t>
      </w:r>
      <w:r>
        <w:t xml:space="preserve">reporting) per request. Can be translated</w:t>
      </w:r>
      <w:r>
        <w:t xml:space="preserve"> </w:t>
      </w:r>
      <w:r>
        <w:t xml:space="preserve">into EUR 2783 cost per request (12).</w:t>
      </w:r>
      <w:r>
        <w:br/>
      </w:r>
      <w:r>
        <w:t xml:space="preserve">The additional administrative costs</w:t>
      </w:r>
      <w:r>
        <w:t xml:space="preserve"> </w:t>
      </w:r>
      <w:r>
        <w:t xml:space="preserve">for businesses likely will not exceed</w:t>
      </w:r>
      <w:r>
        <w:t xml:space="preserve"> </w:t>
      </w:r>
      <w:r>
        <w:t xml:space="preserve">0.1 FTE.</w:t>
      </w:r>
      <w:r>
        <w:br/>
      </w:r>
      <w:r>
        <w:t xml:space="preserve">Removed administrative burdens</w:t>
      </w:r>
      <w:r>
        <w:t xml:space="preserve"> </w:t>
      </w:r>
      <w:r>
        <w:t xml:space="preserve">(OUTs)</w:t>
      </w:r>
    </w:p>
    <w:p>
      <w:pPr>
        <w:pStyle w:val="BodyText"/>
      </w:pPr>
      <w:r>
        <w:t xml:space="preserve">Simplification from Strategic Projects</w:t>
      </w:r>
      <w:r>
        <w:t xml:space="preserve"> </w:t>
      </w:r>
      <w:r>
        <w:t xml:space="preserve">•</w:t>
      </w:r>
      <w:r>
        <w:t xml:space="preserve"> </w:t>
      </w:r>
      <w:r>
        <w:t xml:space="preserve">Reduced duplication of administrative</w:t>
      </w:r>
      <w:r>
        <w:t xml:space="preserve"> </w:t>
      </w:r>
      <w:r>
        <w:t xml:space="preserve">steps during initial project preparation.</w:t>
      </w:r>
      <w:r>
        <w:t xml:space="preserve"> </w:t>
      </w:r>
      <w:r>
        <w:t xml:space="preserve">•</w:t>
      </w:r>
      <w:r>
        <w:t xml:space="preserve"> </w:t>
      </w:r>
      <w:r>
        <w:t xml:space="preserve">Clearer EU-level project pipeline</w:t>
      </w:r>
      <w:r>
        <w:t xml:space="preserve"> </w:t>
      </w:r>
      <w:r>
        <w:t xml:space="preserve">reduces time spent identifying relevant</w:t>
      </w:r>
      <w:r>
        <w:t xml:space="preserve"> </w:t>
      </w:r>
      <w:r>
        <w:t xml:space="preserve">authorities and procedures.</w:t>
      </w:r>
      <w:r>
        <w:t xml:space="preserve"> </w:t>
      </w:r>
      <w:r>
        <w:t xml:space="preserve">Faster and more predictable permitting</w:t>
      </w:r>
      <w:r>
        <w:t xml:space="preserve"> </w:t>
      </w:r>
      <w:r>
        <w:t xml:space="preserve">procedures</w:t>
      </w:r>
      <w:r>
        <w:t xml:space="preserve"> </w:t>
      </w:r>
      <w:r>
        <w:t xml:space="preserve">•</w:t>
      </w:r>
      <w:r>
        <w:t xml:space="preserve"> </w:t>
      </w:r>
      <w:r>
        <w:t xml:space="preserve">Fewer iterative exchanges with</w:t>
      </w:r>
      <w:r>
        <w:t xml:space="preserve"> 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Assuming an annual salary of a supply chain analyst of EUR 60k.</w:t>
      </w:r>
    </w:p>
    <w:p>
      <w:pPr>
        <w:pStyle w:val="FirstParagraph"/>
      </w:pPr>
      <w:r>
        <w:t xml:space="preserve">56</w:t>
      </w:r>
      <w:r>
        <w:t xml:space="preserve"> </w:t>
      </w:r>
      <w:r>
        <w:t xml:space="preserve">permitting authorities. Assuming that</w:t>
      </w:r>
      <w:r>
        <w:t xml:space="preserve"> </w:t>
      </w:r>
      <w:r>
        <w:t xml:space="preserve">delays add around 5% of total project</w:t>
      </w:r>
      <w:r>
        <w:t xml:space="preserve"> </w:t>
      </w:r>
      <w:r>
        <w:t xml:space="preserve">value per year, a 7.5-month delay</w:t>
      </w:r>
      <w:r>
        <w:t xml:space="preserve"> </w:t>
      </w:r>
      <w:r>
        <w:t xml:space="preserve">(about 0.625 years) translates into a cost</w:t>
      </w:r>
      <w:r>
        <w:t xml:space="preserve"> </w:t>
      </w:r>
      <w:r>
        <w:t xml:space="preserve">penalty of approximately 3.1% of</w:t>
      </w:r>
      <w:r>
        <w:t xml:space="preserve"> </w:t>
      </w:r>
      <w:r>
        <w:t xml:space="preserve">project value. In Taiwan, these phases</w:t>
      </w:r>
      <w:r>
        <w:t xml:space="preserve"> </w:t>
      </w:r>
      <w:r>
        <w:t xml:space="preserve">typically take between 6 and 13 months,</w:t>
      </w:r>
      <w:r>
        <w:t xml:space="preserve"> </w:t>
      </w:r>
      <w:r>
        <w:t xml:space="preserve">whereas in the EU they usually require</w:t>
      </w:r>
      <w:r>
        <w:t xml:space="preserve"> </w:t>
      </w:r>
      <w:r>
        <w:t xml:space="preserve">16 to 18 months (13). This implies that</w:t>
      </w:r>
      <w:r>
        <w:t xml:space="preserve"> </w:t>
      </w:r>
      <w:r>
        <w:t xml:space="preserve">permitting and design in the EU are</w:t>
      </w:r>
      <w:r>
        <w:t xml:space="preserve"> </w:t>
      </w:r>
      <w:r>
        <w:t xml:space="preserve">approximately 3 to 10 months longer</w:t>
      </w:r>
      <w:r>
        <w:t xml:space="preserve"> </w:t>
      </w:r>
      <w:r>
        <w:t xml:space="preserve">than in Taiwan. Using midpoint</w:t>
      </w:r>
      <w:r>
        <w:t xml:space="preserve"> </w:t>
      </w:r>
      <w:r>
        <w:t xml:space="preserve">estimates, (14) the average amounts to</w:t>
      </w:r>
      <w:r>
        <w:t xml:space="preserve"> </w:t>
      </w:r>
      <w:r>
        <w:t xml:space="preserve">roughly 7.5 months additional time.</w:t>
      </w:r>
      <w:r>
        <w:t xml:space="preserve"> </w:t>
      </w:r>
      <w:r>
        <w:t xml:space="preserve">As set out in Annex 3, und the</w:t>
      </w:r>
      <w:r>
        <w:t xml:space="preserve"> </w:t>
      </w:r>
      <w:r>
        <w:t xml:space="preserve">assumption that each year of delay adds</w:t>
      </w:r>
      <w:r>
        <w:t xml:space="preserve"> </w:t>
      </w:r>
      <w:r>
        <w:t xml:space="preserve">around 5 % of total project value (15),</w:t>
      </w:r>
      <w:r>
        <w:t xml:space="preserve"> </w:t>
      </w:r>
      <w:r>
        <w:t xml:space="preserve">this implies an additional cost</w:t>
      </w:r>
      <w:r>
        <w:t xml:space="preserve"> </w:t>
      </w:r>
      <w:r>
        <w:t xml:space="preserve">equivalent to 3.125 % of overall</w:t>
      </w:r>
      <w:r>
        <w:t xml:space="preserve"> </w:t>
      </w:r>
      <w:r>
        <w:t xml:space="preserve">investment. For a representative EUR</w:t>
      </w:r>
      <w:r>
        <w:t xml:space="preserve"> </w:t>
      </w:r>
      <w:r>
        <w:t xml:space="preserve">20 billion advanced semiconductor</w:t>
      </w:r>
      <w:r>
        <w:t xml:space="preserve"> </w:t>
      </w:r>
      <w:r>
        <w:t xml:space="preserve">fabrication plant, this corresponds to</w:t>
      </w:r>
      <w:r>
        <w:t xml:space="preserve"> </w:t>
      </w:r>
      <w:r>
        <w:t xml:space="preserve">roughly EUR 625 million in additional</w:t>
      </w:r>
      <w:r>
        <w:t xml:space="preserve"> </w:t>
      </w:r>
      <w:r>
        <w:t xml:space="preserve">expenditure</w:t>
      </w:r>
      <w:r>
        <w:t xml:space="preserve"> </w:t>
      </w:r>
      <w:r>
        <w:t xml:space="preserve">•</w:t>
      </w:r>
      <w:r>
        <w:t xml:space="preserve"> </w:t>
      </w:r>
      <w:r>
        <w:t xml:space="preserve">Smoother administrative handling of</w:t>
      </w:r>
      <w:r>
        <w:t xml:space="preserve"> </w:t>
      </w:r>
      <w:r>
        <w:t xml:space="preserve">investment dossiers throughout project</w:t>
      </w:r>
      <w:r>
        <w:t xml:space="preserve"> </w:t>
      </w:r>
      <w:r>
        <w:t xml:space="preserve">lifecycle.</w:t>
      </w:r>
      <w:r>
        <w:t xml:space="preserve"> </w:t>
      </w:r>
      <w:r>
        <w:t xml:space="preserve">Fewer ad hoc crisis-related information requests</w:t>
      </w:r>
      <w:r>
        <w:t xml:space="preserve"> </w:t>
      </w:r>
      <w:r>
        <w:t xml:space="preserve">•</w:t>
      </w:r>
      <w:r>
        <w:t xml:space="preserve"> </w:t>
      </w:r>
      <w:r>
        <w:t xml:space="preserve">Companies no longer need to respond to</w:t>
      </w:r>
      <w:r>
        <w:t xml:space="preserve"> </w:t>
      </w:r>
      <w:r>
        <w:t xml:space="preserve">urgent, unstructured, duplicative</w:t>
      </w:r>
    </w:p>
    <w:p>
      <w:pPr>
        <w:pStyle w:val="Compact"/>
        <w:numPr>
          <w:ilvl w:val="0"/>
          <w:numId w:val="1006"/>
        </w:numPr>
      </w:pPr>
      <w:r>
        <w:t xml:space="preserve">Figure 16 - Average duration of projects for building wafer fabs (Source: Exyte, 2025)</w:t>
      </w:r>
    </w:p>
    <w:p>
      <w:pPr>
        <w:pStyle w:val="Compact"/>
        <w:numPr>
          <w:ilvl w:val="0"/>
          <w:numId w:val="1006"/>
        </w:numPr>
      </w:pPr>
      <w:r>
        <w:t xml:space="preserve">Around 9.5 months for Taiwan and 17 months for the EU</w:t>
      </w:r>
    </w:p>
    <w:p>
      <w:pPr>
        <w:pStyle w:val="Compact"/>
        <w:numPr>
          <w:ilvl w:val="0"/>
          <w:numId w:val="1006"/>
        </w:numPr>
      </w:pPr>
      <w:r>
        <w:t xml:space="preserve">https://www.csis.org/analysis/streamlining-permitting-process-fab-construction</w:t>
      </w:r>
    </w:p>
    <w:p>
      <w:pPr>
        <w:pStyle w:val="FirstParagraph"/>
      </w:pPr>
      <w:r>
        <w:t xml:space="preserve">57</w:t>
      </w:r>
      <w:r>
        <w:t xml:space="preserve"> </w:t>
      </w:r>
      <w:r>
        <w:t xml:space="preserve">requests from multiple authorities</w:t>
      </w:r>
      <w:r>
        <w:t xml:space="preserve"> </w:t>
      </w:r>
      <w:r>
        <w:t xml:space="preserve">during disruptions.</w:t>
      </w:r>
      <w:r>
        <w:t xml:space="preserve"> </w:t>
      </w:r>
      <w:r>
        <w:t xml:space="preserve">Partial outsourcing of market-intelligence</w:t>
      </w:r>
      <w:r>
        <w:t xml:space="preserve"> </w:t>
      </w:r>
      <w:r>
        <w:t xml:space="preserve">activities</w:t>
      </w:r>
    </w:p>
    <w:p>
      <w:pPr>
        <w:pStyle w:val="BodyText"/>
      </w:pPr>
      <w:r>
        <w:t xml:space="preserve">Net administrative burdens*</w:t>
      </w:r>
      <w:r>
        <w:t xml:space="preserve"> </w:t>
      </w:r>
      <w:r>
        <w:t xml:space="preserve">One-off cost for onboarding and integration</w:t>
      </w:r>
      <w:r>
        <w:t xml:space="preserve"> </w:t>
      </w:r>
      <w:r>
        <w:t xml:space="preserve">with the Business-to-Business Supply Chain</w:t>
      </w:r>
      <w:r>
        <w:t xml:space="preserve"> </w:t>
      </w:r>
      <w:r>
        <w:t xml:space="preserve">Platform is not offset by any one-off</w:t>
      </w:r>
      <w:r>
        <w:t xml:space="preserve"> </w:t>
      </w:r>
      <w:r>
        <w:t xml:space="preserve">benefits.</w:t>
      </w:r>
      <w:r>
        <w:br/>
      </w:r>
      <w:r>
        <w:t xml:space="preserve">Small net administrative burden, as mandatory</w:t>
      </w:r>
      <w:r>
        <w:t xml:space="preserve"> </w:t>
      </w:r>
      <w:r>
        <w:t xml:space="preserve">disclosures are largely offset by simplification</w:t>
      </w:r>
      <w:r>
        <w:t xml:space="preserve"> </w:t>
      </w:r>
      <w:r>
        <w:t xml:space="preserve">gains (permitting, crisis data calls, reduced</w:t>
      </w:r>
      <w:r>
        <w:t xml:space="preserve"> </w:t>
      </w:r>
      <w:r>
        <w:t xml:space="preserve">monitoring needs).</w:t>
      </w:r>
      <w:r>
        <w:t xml:space="preserve"> </w:t>
      </w:r>
      <w:r>
        <w:t xml:space="preserve">Adjustment costs**</w:t>
      </w:r>
    </w:p>
    <w:p>
      <w:pPr>
        <w:pStyle w:val="BodyText"/>
      </w:pPr>
      <w:r>
        <w:t xml:space="preserve">•</w:t>
      </w:r>
      <w:r>
        <w:t xml:space="preserve"> </w:t>
      </w:r>
      <w:r>
        <w:t xml:space="preserve">Companies no longer need to respond to</w:t>
      </w:r>
      <w:r>
        <w:t xml:space="preserve"> </w:t>
      </w:r>
      <w:r>
        <w:t xml:space="preserve">urgent, unstructured, duplicative requests</w:t>
      </w:r>
      <w:r>
        <w:t xml:space="preserve"> </w:t>
      </w:r>
      <w:r>
        <w:t xml:space="preserve">from multiple authorities during</w:t>
      </w:r>
      <w:r>
        <w:t xml:space="preserve"> </w:t>
      </w:r>
      <w:r>
        <w:t xml:space="preserve">disruptions.</w:t>
      </w:r>
      <w:r>
        <w:t xml:space="preserve"> </w:t>
      </w:r>
      <w:r>
        <w:t xml:space="preserve">•</w:t>
      </w:r>
      <w:r>
        <w:t xml:space="preserve"> </w:t>
      </w:r>
      <w:r>
        <w:t xml:space="preserve">Firms (especially SMEs) rely on</w:t>
      </w:r>
      <w:r>
        <w:t xml:space="preserve"> </w:t>
      </w:r>
      <w:r>
        <w:t xml:space="preserve">aggregated insights from the Business-to-</w:t>
      </w:r>
      <w:r>
        <w:t xml:space="preserve"> </w:t>
      </w:r>
      <w:r>
        <w:t xml:space="preserve">Business Platform, reducing time spent on</w:t>
      </w:r>
      <w:r>
        <w:t xml:space="preserve"> </w:t>
      </w:r>
      <w:r>
        <w:t xml:space="preserve">internal analysis and monitoring tasks.</w:t>
      </w:r>
    </w:p>
    <w:p>
      <w:pPr>
        <w:pStyle w:val="BodyText"/>
      </w:pPr>
      <w:r>
        <w:t xml:space="preserve">Public administrations (European Commission and Member States)</w:t>
      </w:r>
      <w:r>
        <w:t xml:space="preserve"> </w:t>
      </w:r>
      <w:r>
        <w:t xml:space="preserve">New administrative burdens (INs)</w:t>
      </w:r>
      <w:r>
        <w:t xml:space="preserve"> </w:t>
      </w:r>
      <w:r>
        <w:t xml:space="preserve">None</w:t>
      </w:r>
      <w:r>
        <w:t xml:space="preserve"> </w:t>
      </w:r>
      <w:r>
        <w:t xml:space="preserve">Processing and validating mandatory information</w:t>
      </w:r>
      <w:r>
        <w:t xml:space="preserve"> </w:t>
      </w:r>
      <w:r>
        <w:t xml:space="preserve">submissions.</w:t>
      </w:r>
      <w:r>
        <w:br/>
      </w:r>
      <w:r>
        <w:t xml:space="preserve">•</w:t>
      </w:r>
      <w:r>
        <w:t xml:space="preserve"> </w:t>
      </w:r>
      <w:r>
        <w:t xml:space="preserve">Moderate cost for national competent</w:t>
      </w:r>
      <w:r>
        <w:t xml:space="preserve"> </w:t>
      </w:r>
      <w:r>
        <w:t xml:space="preserve">authorities who must review, classify, and</w:t>
      </w:r>
      <w:r>
        <w:t xml:space="preserve"> </w:t>
      </w:r>
      <w:r>
        <w:t xml:space="preserve">validate firm-level vulnerability data on a</w:t>
      </w:r>
      <w:r>
        <w:t xml:space="preserve"> </w:t>
      </w:r>
      <w:r>
        <w:t xml:space="preserve">continuous basis.</w:t>
      </w:r>
    </w:p>
    <w:p>
      <w:pPr>
        <w:pStyle w:val="BodyText"/>
      </w:pPr>
      <w:r>
        <w:t xml:space="preserve">Recurrent administrative coordination under the</w:t>
      </w:r>
      <w:r>
        <w:t xml:space="preserve"> </w:t>
      </w:r>
      <w:r>
        <w:t xml:space="preserve">Platform..</w:t>
      </w:r>
      <w:r>
        <w:br/>
      </w:r>
      <w:r>
        <w:t xml:space="preserve">•</w:t>
      </w:r>
      <w:r>
        <w:t xml:space="preserve"> </w:t>
      </w:r>
      <w:r>
        <w:t xml:space="preserve">Low to moderate costs for public</w:t>
      </w:r>
    </w:p>
    <w:p>
      <w:pPr>
        <w:pStyle w:val="BodyText"/>
      </w:pPr>
      <w:r>
        <w:t xml:space="preserve">58</w:t>
      </w:r>
      <w:r>
        <w:t xml:space="preserve"> </w:t>
      </w:r>
      <w:r>
        <w:t xml:space="preserve">authorities due to regular coordination</w:t>
      </w:r>
      <w:r>
        <w:t xml:space="preserve"> </w:t>
      </w:r>
      <w:r>
        <w:t xml:space="preserve">between Member States and the</w:t>
      </w:r>
      <w:r>
        <w:t xml:space="preserve"> </w:t>
      </w:r>
      <w:r>
        <w:t xml:space="preserve">Commission to manage queries, update</w:t>
      </w:r>
      <w:r>
        <w:t xml:space="preserve"> </w:t>
      </w:r>
      <w:r>
        <w:t xml:space="preserve">procedures, and issue formal information</w:t>
      </w:r>
      <w:r>
        <w:t xml:space="preserve"> </w:t>
      </w:r>
      <w:r>
        <w:t xml:space="preserve">requests.</w:t>
      </w:r>
    </w:p>
    <w:p>
      <w:pPr>
        <w:pStyle w:val="BodyText"/>
      </w:pPr>
      <w:r>
        <w:t xml:space="preserve">Administrative reporting and coordination for</w:t>
      </w:r>
      <w:r>
        <w:t xml:space="preserve"> </w:t>
      </w:r>
      <w:r>
        <w:t xml:space="preserve">Strategic Projects</w:t>
      </w:r>
      <w:r>
        <w:t xml:space="preserve"> </w:t>
      </w:r>
      <w:r>
        <w:t xml:space="preserve">•</w:t>
      </w:r>
      <w:r>
        <w:t xml:space="preserve"> </w:t>
      </w:r>
      <w:r>
        <w:t xml:space="preserve">Moderate costs covering administrative</w:t>
      </w:r>
      <w:r>
        <w:t xml:space="preserve"> </w:t>
      </w:r>
      <w:r>
        <w:t xml:space="preserve">(non-fiscal) tasks such as monitoring,</w:t>
      </w:r>
      <w:r>
        <w:t xml:space="preserve"> </w:t>
      </w:r>
      <w:r>
        <w:t xml:space="preserve">reporting, compliance checks, and cross-</w:t>
      </w:r>
      <w:r>
        <w:t xml:space="preserve"> </w:t>
      </w:r>
      <w:r>
        <w:t xml:space="preserve">border coordination linked to Strategic</w:t>
      </w:r>
      <w:r>
        <w:t xml:space="preserve"> </w:t>
      </w:r>
      <w:r>
        <w:t xml:space="preserve">Projects.</w:t>
      </w:r>
    </w:p>
    <w:p>
      <w:pPr>
        <w:pStyle w:val="BodyText"/>
      </w:pPr>
      <w:r>
        <w:t xml:space="preserve">Increased administrative burden from demand-</w:t>
      </w:r>
      <w:r>
        <w:t xml:space="preserve"> </w:t>
      </w:r>
      <w:r>
        <w:t xml:space="preserve">side instruments.</w:t>
      </w:r>
      <w:r>
        <w:br/>
      </w:r>
      <w:r>
        <w:t xml:space="preserve">•</w:t>
      </w:r>
      <w:r>
        <w:t xml:space="preserve"> </w:t>
      </w:r>
      <w:r>
        <w:t xml:space="preserve">Moderate cost for the Commission in the</w:t>
      </w:r>
      <w:r>
        <w:t xml:space="preserve"> </w:t>
      </w:r>
      <w:r>
        <w:t xml:space="preserve">administration of innovation procurement,</w:t>
      </w:r>
      <w:r>
        <w:t xml:space="preserve"> </w:t>
      </w:r>
      <w:r>
        <w:t xml:space="preserve">early-stage offtake programmes requires</w:t>
      </w:r>
      <w:r>
        <w:t xml:space="preserve"> </w:t>
      </w:r>
      <w:r>
        <w:t xml:space="preserve">additional</w:t>
      </w:r>
      <w:r>
        <w:t xml:space="preserve"> </w:t>
      </w:r>
      <w:r>
        <w:t xml:space="preserve">staffing</w:t>
      </w:r>
      <w:r>
        <w:t xml:space="preserve"> </w:t>
      </w:r>
      <w:r>
        <w:t xml:space="preserve">and</w:t>
      </w:r>
      <w:r>
        <w:t xml:space="preserve"> </w:t>
      </w:r>
      <w:r>
        <w:t xml:space="preserve">contracting</w:t>
      </w:r>
      <w:r>
        <w:t xml:space="preserve"> </w:t>
      </w:r>
      <w:r>
        <w:t xml:space="preserve">capacity.</w:t>
      </w:r>
      <w:r>
        <w:t xml:space="preserve"> </w:t>
      </w:r>
      <w:r>
        <w:t xml:space="preserve">Removed administrative burdens</w:t>
      </w:r>
      <w:r>
        <w:t xml:space="preserve"> </w:t>
      </w:r>
      <w:r>
        <w:t xml:space="preserve">(OUTs)</w:t>
      </w:r>
      <w:r>
        <w:t xml:space="preserve"> </w:t>
      </w:r>
      <w:r>
        <w:t xml:space="preserve">None</w:t>
      </w:r>
      <w:r>
        <w:t xml:space="preserve"> </w:t>
      </w:r>
      <w:r>
        <w:t xml:space="preserve">Simplification due to Strategic Projects</w:t>
      </w:r>
      <w:r>
        <w:t xml:space="preserve"> </w:t>
      </w:r>
      <w:r>
        <w:t xml:space="preserve">•</w:t>
      </w:r>
      <w:r>
        <w:t xml:space="preserve"> </w:t>
      </w:r>
      <w:r>
        <w:t xml:space="preserve">Reduced duplication of administrative</w:t>
      </w:r>
      <w:r>
        <w:t xml:space="preserve"> </w:t>
      </w:r>
      <w:r>
        <w:t xml:space="preserve">steps during initial project preparation</w:t>
      </w:r>
      <w:r>
        <w:t xml:space="preserve"> </w:t>
      </w:r>
      <w:r>
        <w:t xml:space="preserve">Reduced ad hoc crisis information requests</w:t>
      </w:r>
      <w:r>
        <w:t xml:space="preserve"> </w:t>
      </w:r>
      <w:r>
        <w:t xml:space="preserve">•</w:t>
      </w:r>
      <w:r>
        <w:t xml:space="preserve"> </w:t>
      </w:r>
      <w:r>
        <w:t xml:space="preserve">Member States receive a steady stream</w:t>
      </w:r>
      <w:r>
        <w:t xml:space="preserve"> </w:t>
      </w:r>
      <w:r>
        <w:t xml:space="preserve">of structured, standardised data and</w:t>
      </w:r>
      <w:r>
        <w:t xml:space="preserve"> </w:t>
      </w:r>
      <w:r>
        <w:t xml:space="preserve">fewer emergency data calls need to be</w:t>
      </w:r>
      <w:r>
        <w:t xml:space="preserve"> </w:t>
      </w:r>
      <w:r>
        <w:t xml:space="preserve">issued to industry. National competent</w:t>
      </w:r>
      <w:r>
        <w:t xml:space="preserve"> </w:t>
      </w:r>
      <w:r>
        <w:t xml:space="preserve">authorities benefit from centralised</w:t>
      </w:r>
      <w:r>
        <w:t xml:space="preserve"> </w:t>
      </w:r>
      <w:r>
        <w:t xml:space="preserve">Administrations would incur a</w:t>
      </w:r>
      <w:r>
        <w:t xml:space="preserve"> </w:t>
      </w:r>
      <w:r>
        <w:t xml:space="preserve">moderate recurrent cost from</w:t>
      </w:r>
      <w:r>
        <w:t xml:space="preserve"> </w:t>
      </w:r>
      <w:r>
        <w:t xml:space="preserve">processing mandatory information,</w:t>
      </w:r>
      <w:r>
        <w:t xml:space="preserve"> </w:t>
      </w:r>
      <w:r>
        <w:t xml:space="preserve">coordinating the Platform, fulfilling</w:t>
      </w:r>
      <w:r>
        <w:t xml:space="preserve"> </w:t>
      </w:r>
      <w:r>
        <w:t xml:space="preserve">Strategic Project reporting tasks, and</w:t>
      </w:r>
      <w:r>
        <w:t xml:space="preserve"> </w:t>
      </w:r>
      <w:r>
        <w:t xml:space="preserve">administering demand-side</w:t>
      </w:r>
      <w:r>
        <w:t xml:space="preserve"> </w:t>
      </w:r>
      <w:r>
        <w:t xml:space="preserve">instruments.</w:t>
      </w:r>
    </w:p>
    <w:p>
      <w:pPr>
        <w:pStyle w:val="BodyText"/>
      </w:pPr>
      <w:r>
        <w:t xml:space="preserve">59</w:t>
      </w:r>
      <w:r>
        <w:t xml:space="preserve"> </w:t>
      </w:r>
      <w:r>
        <w:t xml:space="preserve">information flows, reducing the need to</w:t>
      </w:r>
      <w:r>
        <w:t xml:space="preserve"> </w:t>
      </w:r>
      <w:r>
        <w:t xml:space="preserve">run parallel national reporting channels.</w:t>
      </w:r>
      <w:r>
        <w:t xml:space="preserve"> </w:t>
      </w:r>
      <w:r>
        <w:t xml:space="preserve">The shared EU governance framework</w:t>
      </w:r>
      <w:r>
        <w:t xml:space="preserve"> </w:t>
      </w:r>
      <w:r>
        <w:t xml:space="preserve">lowers duplication across Member</w:t>
      </w:r>
      <w:r>
        <w:t xml:space="preserve"> </w:t>
      </w:r>
      <w:r>
        <w:t xml:space="preserve">States,</w:t>
      </w:r>
      <w:r>
        <w:t xml:space="preserve"> </w:t>
      </w:r>
      <w:r>
        <w:t xml:space="preserve">especially</w:t>
      </w:r>
      <w:r>
        <w:t xml:space="preserve"> </w:t>
      </w:r>
      <w:r>
        <w:t xml:space="preserve">for</w:t>
      </w:r>
      <w:r>
        <w:t xml:space="preserve"> </w:t>
      </w:r>
      <w:r>
        <w:t xml:space="preserve">cross-border</w:t>
      </w:r>
      <w:r>
        <w:t xml:space="preserve"> </w:t>
      </w:r>
      <w:r>
        <w:t xml:space="preserve">projects.</w:t>
      </w:r>
      <w:r>
        <w:t xml:space="preserve"> </w:t>
      </w:r>
      <w:r>
        <w:t xml:space="preserve">Streamlined</w:t>
      </w:r>
      <w:r>
        <w:t xml:space="preserve"> </w:t>
      </w:r>
      <w:r>
        <w:t xml:space="preserve">information</w:t>
      </w:r>
      <w:r>
        <w:t xml:space="preserve"> </w:t>
      </w:r>
      <w:r>
        <w:t xml:space="preserve">exchange</w:t>
      </w:r>
      <w:r>
        <w:t xml:space="preserve"> </w:t>
      </w:r>
      <w:r>
        <w:t xml:space="preserve">among</w:t>
      </w:r>
      <w:r>
        <w:t xml:space="preserve"> </w:t>
      </w:r>
      <w:r>
        <w:t xml:space="preserve">Member States</w:t>
      </w:r>
      <w:r>
        <w:t xml:space="preserve"> </w:t>
      </w:r>
      <w:r>
        <w:t xml:space="preserve">•</w:t>
      </w:r>
      <w:r>
        <w:t xml:space="preserve"> </w:t>
      </w:r>
      <w:r>
        <w:t xml:space="preserve">Centralised Platform removes the need</w:t>
      </w:r>
      <w:r>
        <w:t xml:space="preserve"> </w:t>
      </w:r>
      <w:r>
        <w:t xml:space="preserve">for parallel national reporting channels.</w:t>
      </w:r>
      <w:r>
        <w:t xml:space="preserve"> </w:t>
      </w:r>
      <w:r>
        <w:t xml:space="preserve">•</w:t>
      </w:r>
      <w:r>
        <w:t xml:space="preserve"> </w:t>
      </w:r>
      <w:r>
        <w:t xml:space="preserve">Less duplication in sharing and</w:t>
      </w:r>
      <w:r>
        <w:t xml:space="preserve"> </w:t>
      </w:r>
      <w:r>
        <w:t xml:space="preserve">validating supply chain intelligence</w:t>
      </w:r>
      <w:r>
        <w:t xml:space="preserve"> </w:t>
      </w:r>
      <w:r>
        <w:t xml:space="preserve">across borders.</w:t>
      </w:r>
      <w:r>
        <w:t xml:space="preserve"> </w:t>
      </w:r>
      <w:r>
        <w:t xml:space="preserve">More predictable permitting processes</w:t>
      </w:r>
      <w:r>
        <w:t xml:space="preserve"> </w:t>
      </w:r>
      <w:r>
        <w:t xml:space="preserve">•</w:t>
      </w:r>
      <w:r>
        <w:t xml:space="preserve"> </w:t>
      </w:r>
      <w:r>
        <w:t xml:space="preserve">Clearer permitting pathways reduce</w:t>
      </w:r>
      <w:r>
        <w:t xml:space="preserve"> </w:t>
      </w:r>
      <w:r>
        <w:t xml:space="preserve">back-and-forth between national</w:t>
      </w:r>
      <w:r>
        <w:t xml:space="preserve"> </w:t>
      </w:r>
      <w:r>
        <w:t xml:space="preserve">authorities and firms.</w:t>
      </w:r>
      <w:r>
        <w:t xml:space="preserve"> </w:t>
      </w:r>
      <w:r>
        <w:t xml:space="preserve">Net administrative burdens*</w:t>
      </w:r>
      <w:r>
        <w:t xml:space="preserve"> </w:t>
      </w:r>
      <w:r>
        <w:t xml:space="preserve">None</w:t>
      </w:r>
      <w:r>
        <w:t xml:space="preserve"> </w:t>
      </w:r>
      <w:r>
        <w:t xml:space="preserve">Moderate net burden, partly offset by structural</w:t>
      </w:r>
      <w:r>
        <w:t xml:space="preserve"> </w:t>
      </w:r>
      <w:r>
        <w:t xml:space="preserve">simplifications.</w:t>
      </w:r>
    </w:p>
    <w:p>
      <w:pPr>
        <w:pStyle w:val="BodyText"/>
      </w:pPr>
      <w:r>
        <w:t xml:space="preserve">Adjustment costs**</w:t>
      </w:r>
    </w:p>
    <w:p>
      <w:pPr>
        <w:pStyle w:val="BodyText"/>
      </w:pPr>
      <w:r>
        <w:t xml:space="preserve">Total administrative burdens***</w:t>
      </w:r>
    </w:p>
    <w:p>
      <w:pPr>
        <w:pStyle w:val="BodyText"/>
      </w:pPr>
      <w:r>
        <w:t xml:space="preserve">(</w:t>
      </w:r>
      <w:r>
        <w:rPr>
          <w:i/>
          <w:iCs/>
        </w:rPr>
        <w:t xml:space="preserve">) Net administrative burdens = INs – OUTs;</w:t>
      </w:r>
      <w:r>
        <w:br/>
      </w:r>
      <w:r>
        <w:rPr>
          <w:i/>
          <w:iCs/>
        </w:rPr>
        <w:t xml:space="preserve">(</w:t>
      </w:r>
      <w:r>
        <w:rPr>
          <w:b/>
          <w:bCs/>
          <w:i/>
          <w:iCs/>
        </w:rPr>
        <w:t xml:space="preserve">) Adjustment costs falling under the scope of the OIOO approach are the same as reported in Table 2 above. Non-annualised values;</w:t>
      </w:r>
      <w:r>
        <w:br/>
      </w:r>
      <w:r>
        <w:rPr>
          <w:b/>
          <w:bCs/>
          <w:i/>
          <w:iCs/>
        </w:rPr>
        <w:t xml:space="preserve">(</w:t>
      </w:r>
      <w:r>
        <w:t xml:space="preserve">) Total administrative burdens = Net administrative burdens for businesses + net administrative burdens for citizens</w:t>
      </w:r>
    </w:p>
    <w:p>
      <w:pPr>
        <w:pStyle w:val="BodyText"/>
      </w:pPr>
      <w:r>
        <w:t xml:space="preserve">60</w:t>
      </w:r>
      <w:r>
        <w:t xml:space="preserve"> </w:t>
      </w:r>
      <w:r>
        <w:t xml:space="preserve">3.</w:t>
      </w:r>
      <w:r>
        <w:t xml:space="preserve"> </w:t>
      </w:r>
      <w:r>
        <w:t xml:space="preserve">RELEVANT SUSTAINABLE DEVELOPMENT GOALS</w:t>
      </w:r>
    </w:p>
    <w:p>
      <w:pPr>
        <w:pStyle w:val="Compact"/>
        <w:numPr>
          <w:ilvl w:val="0"/>
          <w:numId w:val="1007"/>
        </w:numPr>
      </w:pPr>
      <w:r>
        <w:t xml:space="preserve">Overview of relevant Sustainable Development Goals – Preferred Option(s)</w:t>
      </w:r>
      <w:r>
        <w:t xml:space="preserve"> </w:t>
      </w:r>
      <w:r>
        <w:t xml:space="preserve">Relevant SDG</w:t>
      </w:r>
      <w:r>
        <w:t xml:space="preserve"> </w:t>
      </w:r>
      <w:r>
        <w:t xml:space="preserve">Expected progress towards the Goal</w:t>
      </w:r>
      <w:r>
        <w:t xml:space="preserve"> </w:t>
      </w:r>
      <w:r>
        <w:t xml:space="preserve">Comments</w:t>
      </w:r>
      <w:r>
        <w:t xml:space="preserve"> </w:t>
      </w:r>
      <w:r>
        <w:t xml:space="preserve">SDG 4: Quality education</w:t>
      </w:r>
      <w:r>
        <w:t xml:space="preserve"> </w:t>
      </w:r>
      <w:r>
        <w:t xml:space="preserve">Chips Act 2.0 will result in an increase in training</w:t>
      </w:r>
      <w:r>
        <w:t xml:space="preserve"> </w:t>
      </w:r>
      <w:r>
        <w:t xml:space="preserve">opportunities</w:t>
      </w:r>
      <w:r>
        <w:t xml:space="preserve"> </w:t>
      </w:r>
      <w:r>
        <w:t xml:space="preserve">for</w:t>
      </w:r>
      <w:r>
        <w:t xml:space="preserve"> </w:t>
      </w:r>
      <w:r>
        <w:t xml:space="preserve">enhancing</w:t>
      </w:r>
      <w:r>
        <w:t xml:space="preserve"> </w:t>
      </w:r>
      <w:r>
        <w:t xml:space="preserve">digital</w:t>
      </w:r>
      <w:r>
        <w:t xml:space="preserve"> </w:t>
      </w:r>
      <w:r>
        <w:t xml:space="preserve">skills,</w:t>
      </w:r>
      <w:r>
        <w:t xml:space="preserve"> </w:t>
      </w:r>
      <w:r>
        <w:t xml:space="preserve">particularly those related to semiconductor</w:t>
      </w:r>
      <w:r>
        <w:t xml:space="preserve"> </w:t>
      </w:r>
      <w:r>
        <w:t xml:space="preserve">technologies,</w:t>
      </w:r>
      <w:r>
        <w:t xml:space="preserve"> </w:t>
      </w:r>
      <w:r>
        <w:t xml:space="preserve">thus</w:t>
      </w:r>
      <w:r>
        <w:t xml:space="preserve"> </w:t>
      </w:r>
      <w:r>
        <w:t xml:space="preserve">contributing</w:t>
      </w:r>
      <w:r>
        <w:t xml:space="preserve"> </w:t>
      </w:r>
      <w:r>
        <w:t xml:space="preserve">to</w:t>
      </w:r>
      <w:r>
        <w:t xml:space="preserve"> </w:t>
      </w:r>
      <w:r>
        <w:t xml:space="preserve">quality</w:t>
      </w:r>
      <w:r>
        <w:t xml:space="preserve"> </w:t>
      </w:r>
      <w:r>
        <w:t xml:space="preserve">education and lifelong learning.</w:t>
      </w:r>
    </w:p>
    <w:p>
      <w:pPr>
        <w:pStyle w:val="FirstParagraph"/>
      </w:pPr>
      <w:r>
        <w:t xml:space="preserve">SDG 8: Decent work and</w:t>
      </w:r>
      <w:r>
        <w:t xml:space="preserve"> </w:t>
      </w:r>
      <w:r>
        <w:t xml:space="preserve">economic growth</w:t>
      </w:r>
      <w:r>
        <w:t xml:space="preserve"> </w:t>
      </w:r>
      <w:r>
        <w:t xml:space="preserve">Chips Act 2.0 would contribute to the sustainable</w:t>
      </w:r>
      <w:r>
        <w:t xml:space="preserve"> </w:t>
      </w:r>
      <w:r>
        <w:t xml:space="preserve">development goal of decent work and economic</w:t>
      </w:r>
      <w:r>
        <w:t xml:space="preserve"> </w:t>
      </w:r>
      <w:r>
        <w:t xml:space="preserve">growth by ensuring a well-functioning Single</w:t>
      </w:r>
      <w:r>
        <w:t xml:space="preserve"> </w:t>
      </w:r>
      <w:r>
        <w:t xml:space="preserve">Market in times of crisis and therefore mitigate</w:t>
      </w:r>
      <w:r>
        <w:t xml:space="preserve"> </w:t>
      </w:r>
      <w:r>
        <w:t xml:space="preserve">severe economic repercussions through loss of</w:t>
      </w:r>
      <w:r>
        <w:t xml:space="preserve"> </w:t>
      </w:r>
      <w:r>
        <w:t xml:space="preserve">business</w:t>
      </w:r>
      <w:r>
        <w:t xml:space="preserve"> </w:t>
      </w:r>
      <w:r>
        <w:t xml:space="preserve">opportunities</w:t>
      </w:r>
      <w:r>
        <w:t xml:space="preserve"> </w:t>
      </w:r>
      <w:r>
        <w:t xml:space="preserve">and</w:t>
      </w:r>
      <w:r>
        <w:t xml:space="preserve"> </w:t>
      </w:r>
      <w:r>
        <w:t xml:space="preserve">crisis-related</w:t>
      </w:r>
      <w:r>
        <w:t xml:space="preserve"> </w:t>
      </w:r>
      <w:r>
        <w:t xml:space="preserve">redundancies.</w:t>
      </w:r>
    </w:p>
    <w:p>
      <w:pPr>
        <w:pStyle w:val="BodyText"/>
      </w:pPr>
      <w:r>
        <w:t xml:space="preserve">It is expected that this initiative will result in an</w:t>
      </w:r>
      <w:r>
        <w:t xml:space="preserve"> </w:t>
      </w:r>
      <w:r>
        <w:t xml:space="preserve">increase in employment due to the spurring of</w:t>
      </w:r>
      <w:r>
        <w:t xml:space="preserve"> </w:t>
      </w:r>
      <w:r>
        <w:t xml:space="preserve">additional</w:t>
      </w:r>
      <w:r>
        <w:t xml:space="preserve"> </w:t>
      </w:r>
      <w:r>
        <w:t xml:space="preserve">chip</w:t>
      </w:r>
      <w:r>
        <w:t xml:space="preserve"> </w:t>
      </w:r>
      <w:r>
        <w:t xml:space="preserve">design</w:t>
      </w:r>
      <w:r>
        <w:t xml:space="preserve"> </w:t>
      </w:r>
      <w:r>
        <w:t xml:space="preserve">and</w:t>
      </w:r>
      <w:r>
        <w:t xml:space="preserve"> </w:t>
      </w:r>
      <w:r>
        <w:t xml:space="preserve">manufacturing</w:t>
      </w:r>
      <w:r>
        <w:t xml:space="preserve"> </w:t>
      </w:r>
      <w:r>
        <w:t xml:space="preserve">capacities in the EU and the increase in SMEs</w:t>
      </w:r>
      <w:r>
        <w:t xml:space="preserve"> </w:t>
      </w:r>
      <w:r>
        <w:t xml:space="preserve">and startups thanks to a renewed Chips Fund.</w:t>
      </w:r>
    </w:p>
    <w:p>
      <w:pPr>
        <w:pStyle w:val="BodyText"/>
      </w:pPr>
      <w:r>
        <w:t xml:space="preserve">SDG 9: Industry, innovation</w:t>
      </w:r>
      <w:r>
        <w:t xml:space="preserve"> </w:t>
      </w:r>
      <w:r>
        <w:t xml:space="preserve">and infrastructure</w:t>
      </w:r>
      <w:r>
        <w:t xml:space="preserve"> </w:t>
      </w:r>
      <w:r>
        <w:t xml:space="preserve">Chips Act 2.0 is expected to increase the number</w:t>
      </w:r>
      <w:r>
        <w:t xml:space="preserve"> </w:t>
      </w:r>
      <w:r>
        <w:t xml:space="preserve">of semiconductor facilities and support the</w:t>
      </w:r>
      <w:r>
        <w:t xml:space="preserve"> </w:t>
      </w:r>
      <w:r>
        <w:t xml:space="preserve">development of next generation semiconductor</w:t>
      </w:r>
      <w:r>
        <w:t xml:space="preserve"> </w:t>
      </w:r>
      <w:r>
        <w:t xml:space="preserve">technologies in Europe.</w:t>
      </w:r>
    </w:p>
    <w:p>
      <w:pPr>
        <w:pStyle w:val="BodyText"/>
      </w:pPr>
      <w:r>
        <w:t xml:space="preserve">61</w:t>
      </w:r>
    </w:p>
    <w:p>
      <w:pPr>
        <w:pStyle w:val="BodyText"/>
      </w:pPr>
      <w:r>
        <w:t xml:space="preserve">ANNEX 4: ANALYTICAL METHODS</w:t>
      </w:r>
      <w:r>
        <w:t xml:space="preserve"> </w:t>
      </w:r>
      <w:r>
        <w:t xml:space="preserve">1.</w:t>
      </w:r>
      <w:r>
        <w:t xml:space="preserve"> </w:t>
      </w:r>
      <w:r>
        <w:t xml:space="preserve">MODELLING ECONOMIC IMPACTS</w:t>
      </w:r>
      <w:r>
        <w:t xml:space="preserve"> </w:t>
      </w:r>
      <w:r>
        <w:t xml:space="preserve">1.1.</w:t>
      </w:r>
      <w:r>
        <w:t xml:space="preserve"> </w:t>
      </w:r>
      <w:r>
        <w:t xml:space="preserve">EU semiconductor market size estimation</w:t>
      </w:r>
      <w:r>
        <w:t xml:space="preserve"> </w:t>
      </w:r>
      <w:r>
        <w:t xml:space="preserve">1.1.1. Establishing a starting point for BAU scenario</w:t>
      </w:r>
      <w:r>
        <w:t xml:space="preserve"> </w:t>
      </w:r>
      <w:r>
        <w:t xml:space="preserve">This section establishes the baseline for the market size of Europe’s semiconductor industry by</w:t>
      </w:r>
      <w:r>
        <w:t xml:space="preserve"> </w:t>
      </w:r>
      <w:r>
        <w:t xml:space="preserve">quantifying the total revenue generated by firms headquartered within the EU27 in 2023. The</w:t>
      </w:r>
      <w:r>
        <w:t xml:space="preserve"> </w:t>
      </w:r>
      <w:r>
        <w:t xml:space="preserve">analysis draws on the IDC 2030 Semiconductor Market and Global Value Chain Study, which</w:t>
      </w:r>
      <w:r>
        <w:t xml:space="preserve"> </w:t>
      </w:r>
      <w:r>
        <w:t xml:space="preserve">provides harmonised data across the principal value chain segments and global regions. In this</w:t>
      </w:r>
      <w:r>
        <w:t xml:space="preserve"> </w:t>
      </w:r>
      <w:r>
        <w:t xml:space="preserve">section we focus only on devices, for overall value chain analysis refer to the sections below.</w:t>
      </w:r>
      <w:r>
        <w:t xml:space="preserve"> </w:t>
      </w:r>
      <w:r>
        <w:t xml:space="preserve">The IDC dataset reports industry revenues at market (transaction) prices. Consequently, the</w:t>
      </w:r>
      <w:r>
        <w:t xml:space="preserve"> </w:t>
      </w:r>
      <w:r>
        <w:t xml:space="preserve">figures represent the economic activity of semiconductor firms based in the EU27. Within this</w:t>
      </w:r>
      <w:r>
        <w:t xml:space="preserve"> </w:t>
      </w:r>
      <w:r>
        <w:t xml:space="preserve">device-focused perspective (chip-level), Europe generated EUR 50.52 billion in</w:t>
      </w:r>
      <w:r>
        <w:t xml:space="preserve"> </w:t>
      </w:r>
      <w:r>
        <w:t xml:space="preserve">semiconductor device revenues in 2023. This mostly reflects the activity of Europe’s major</w:t>
      </w:r>
      <w:r>
        <w:t xml:space="preserve"> </w:t>
      </w:r>
      <w:r>
        <w:t xml:space="preserve">integrated device manufacturers (IDMs), including Infineon, NXP and STMicroelectronics,</w:t>
      </w:r>
      <w:r>
        <w:t xml:space="preserve"> </w:t>
      </w:r>
      <w:r>
        <w:t xml:space="preserve">whose portfolios span automotive, industrial, power and application-specific devices.</w:t>
      </w:r>
      <w:r>
        <w:t xml:space="preserve"> </w:t>
      </w:r>
      <w:r>
        <w:t xml:space="preserve">To provide further granularity, Table 1 presents the device-level composition of semiconductor</w:t>
      </w:r>
      <w:r>
        <w:t xml:space="preserve"> </w:t>
      </w:r>
      <w:r>
        <w:t xml:space="preserve">revenues in the EU27 in 2023. This breakdown will serve as the basis for modelling differential</w:t>
      </w:r>
      <w:r>
        <w:t xml:space="preserve"> </w:t>
      </w:r>
      <w:r>
        <w:t xml:space="preserve">growth dynamics, as each device type follows a distinct global demand and pricing trajectory.</w:t>
      </w:r>
      <w:r>
        <w:t xml:space="preserve"> </w:t>
      </w:r>
      <w:r>
        <w:t xml:space="preserve">Table 1. EU27 semiconductor revenue by device category, 2023 (EUR million and %</w:t>
      </w:r>
      <w:r>
        <w:t xml:space="preserve"> </w:t>
      </w:r>
      <w:r>
        <w:t xml:space="preserve">share). Source: IDC 2030 study reporting.</w:t>
      </w:r>
      <w:r>
        <w:br/>
      </w:r>
      <w:r>
        <w:t xml:space="preserve">Device category</w:t>
      </w:r>
      <w:r>
        <w:t xml:space="preserve"> </w:t>
      </w:r>
      <w:r>
        <w:t xml:space="preserve">2023 revenue (EUR million)</w:t>
      </w:r>
      <w:r>
        <w:t xml:space="preserve"> </w:t>
      </w:r>
      <w:r>
        <w:t xml:space="preserve">Share of total EU</w:t>
      </w:r>
      <w:r>
        <w:t xml:space="preserve"> </w:t>
      </w:r>
      <w:r>
        <w:t xml:space="preserve">semiconductor revenue (%)</w:t>
      </w:r>
      <w:r>
        <w:t xml:space="preserve"> </w:t>
      </w:r>
      <w:r>
        <w:t xml:space="preserve">(16)</w:t>
      </w:r>
      <w:r>
        <w:t xml:space="preserve"> </w:t>
      </w:r>
      <w:r>
        <w:t xml:space="preserve">Application-specific (ASIC,</w:t>
      </w:r>
      <w:r>
        <w:t xml:space="preserve"> </w:t>
      </w:r>
      <w:r>
        <w:t xml:space="preserve">ASSP, etc.)</w:t>
      </w:r>
      <w:r>
        <w:t xml:space="preserve"> </w:t>
      </w:r>
      <w:r>
        <w:t xml:space="preserve">14 871</w:t>
      </w:r>
      <w:r>
        <w:t xml:space="preserve"> </w:t>
      </w:r>
      <w:r>
        <w:t xml:space="preserve">29.4</w:t>
      </w:r>
      <w:r>
        <w:t xml:space="preserve"> </w:t>
      </w:r>
      <w:r>
        <w:t xml:space="preserve">Micro-components (MCUs,</w:t>
      </w:r>
      <w:r>
        <w:t xml:space="preserve"> </w:t>
      </w:r>
      <w:r>
        <w:t xml:space="preserve">MPUs, DSPs)</w:t>
      </w:r>
      <w:r>
        <w:t xml:space="preserve"> </w:t>
      </w:r>
      <w:r>
        <w:t xml:space="preserve">12 691</w:t>
      </w:r>
      <w:r>
        <w:t xml:space="preserve"> </w:t>
      </w:r>
      <w:r>
        <w:t xml:space="preserve">25.1</w:t>
      </w:r>
      <w:r>
        <w:t xml:space="preserve"> </w:t>
      </w:r>
      <w:r>
        <w:t xml:space="preserve">Discretes, sensors, actuators</w:t>
      </w:r>
      <w:r>
        <w:t xml:space="preserve"> </w:t>
      </w:r>
      <w:r>
        <w:t xml:space="preserve">12 239</w:t>
      </w:r>
      <w:r>
        <w:t xml:space="preserve"> </w:t>
      </w:r>
      <w:r>
        <w:t xml:space="preserve">24.2</w:t>
      </w:r>
      <w:r>
        <w:t xml:space="preserve"> </w:t>
      </w:r>
      <w:r>
        <w:t xml:space="preserve">Analogue</w:t>
      </w:r>
      <w:r>
        <w:t xml:space="preserve"> </w:t>
      </w:r>
      <w:r>
        <w:t xml:space="preserve">6 441</w:t>
      </w:r>
      <w:r>
        <w:t xml:space="preserve"> </w:t>
      </w:r>
      <w:r>
        <w:t xml:space="preserve">12.7</w:t>
      </w:r>
      <w:r>
        <w:t xml:space="preserve"> </w:t>
      </w:r>
      <w:r>
        <w:t xml:space="preserve">Optoelectronics</w:t>
      </w:r>
      <w:r>
        <w:t xml:space="preserve"> </w:t>
      </w:r>
      <w:r>
        <w:t xml:space="preserve">2 611</w:t>
      </w:r>
      <w:r>
        <w:t xml:space="preserve"> </w:t>
      </w:r>
      <w:r>
        <w:t xml:space="preserve">5.2</w:t>
      </w:r>
      <w:r>
        <w:t xml:space="preserve"> </w:t>
      </w:r>
      <w:r>
        <w:t xml:space="preserve">Memory</w:t>
      </w:r>
      <w:r>
        <w:t xml:space="preserve"> </w:t>
      </w:r>
      <w:r>
        <w:t xml:space="preserve">1 460</w:t>
      </w:r>
      <w:r>
        <w:t xml:space="preserve"> </w:t>
      </w:r>
      <w:r>
        <w:t xml:space="preserve">2.9</w:t>
      </w:r>
      <w:r>
        <w:t xml:space="preserve"> </w:t>
      </w:r>
      <w:r>
        <w:t xml:space="preserve">Logic</w:t>
      </w:r>
      <w:r>
        <w:t xml:space="preserve"> </w:t>
      </w:r>
      <w:r>
        <w:t xml:space="preserve">204</w:t>
      </w:r>
      <w:r>
        <w:t xml:space="preserve"> </w:t>
      </w:r>
      <w:r>
        <w:t xml:space="preserve">0.4</w:t>
      </w:r>
      <w:r>
        <w:t xml:space="preserve"> </w:t>
      </w:r>
      <w:r>
        <w:t xml:space="preserve">Total</w:t>
      </w:r>
      <w:r>
        <w:t xml:space="preserve"> </w:t>
      </w:r>
      <w:r>
        <w:t xml:space="preserve">50 518</w:t>
      </w:r>
      <w:r>
        <w:t xml:space="preserve"> </w:t>
      </w:r>
      <w:r>
        <w:t xml:space="preserve">100.0</w:t>
      </w:r>
      <w:r>
        <w:t xml:space="preserve"> </w:t>
      </w:r>
      <w:r>
        <w:t xml:space="preserve">The device-level composition confirms that Europe’s semiconductor industry is dominated by</w:t>
      </w:r>
      <w:r>
        <w:t xml:space="preserve"> </w:t>
      </w:r>
      <w:r>
        <w:t xml:space="preserve">mainstream semiconductors, i.e. in the application-specific devices, micro component, and</w:t>
      </w:r>
      <w:r>
        <w:t xml:space="preserve"> </w:t>
      </w:r>
      <w:r>
        <w:t xml:space="preserve">analogue market segments. Together these 3 categories account for nearly 80% of total</w:t>
      </w:r>
      <w:r>
        <w:t xml:space="preserve"> </w:t>
      </w:r>
      <w:r>
        <w:t xml:space="preserve">semiconductor manufacturing revenue in Europe. These areas align closely with Europe’s</w:t>
      </w:r>
    </w:p>
    <w:p>
      <w:pPr>
        <w:pStyle w:val="Compact"/>
        <w:numPr>
          <w:ilvl w:val="0"/>
          <w:numId w:val="1008"/>
        </w:numPr>
      </w:pPr>
      <w:r>
        <w:t xml:space="preserve">Includes revenues generated in production capacity outside the EU by European semiconductor firms.</w:t>
      </w:r>
    </w:p>
    <w:p>
      <w:pPr>
        <w:pStyle w:val="FirstParagraph"/>
      </w:pPr>
      <w:r>
        <w:t xml:space="preserve">62</w:t>
      </w:r>
      <w:r>
        <w:t xml:space="preserve"> </w:t>
      </w:r>
      <w:r>
        <w:t xml:space="preserve">comparative advantages in automotive, industrial, and power electronics. Memory and logic</w:t>
      </w:r>
      <w:r>
        <w:t xml:space="preserve"> </w:t>
      </w:r>
      <w:r>
        <w:t xml:space="preserve">represent marginal shares (below 4% combined), whereas globally these two market</w:t>
      </w:r>
      <w:r>
        <w:t xml:space="preserve"> </w:t>
      </w:r>
      <w:r>
        <w:t xml:space="preserve">segments represent the bulk of revenue growth in the coming decade, driven by artificial</w:t>
      </w:r>
      <w:r>
        <w:t xml:space="preserve"> </w:t>
      </w:r>
      <w:r>
        <w:t xml:space="preserve">intelligence.</w:t>
      </w:r>
      <w:r>
        <w:t xml:space="preserve"> </w:t>
      </w:r>
      <w:r>
        <w:t xml:space="preserve">This product structure is critical for later-stage modelling, as different device types exhibit</w:t>
      </w:r>
      <w:r>
        <w:t xml:space="preserve"> </w:t>
      </w:r>
      <w:r>
        <w:t xml:space="preserve">distinct price elasticity, innovation cycles, and capital intensity. For instance:</w:t>
      </w:r>
      <w:r>
        <w:t xml:space="preserve"> </w:t>
      </w:r>
      <w:r>
        <w:t xml:space="preserve">• Analogue and power devices have stable long-run demand linked to electrification and</w:t>
      </w:r>
      <w:r>
        <w:t xml:space="preserve"> </w:t>
      </w:r>
      <w:r>
        <w:t xml:space="preserve">automotive transition, but lower revenue growth per wafer.</w:t>
      </w:r>
      <w:r>
        <w:t xml:space="preserve"> </w:t>
      </w:r>
      <w:r>
        <w:t xml:space="preserve">• Micro-components and application-specific devices capture system-level integration</w:t>
      </w:r>
      <w:r>
        <w:t xml:space="preserve"> </w:t>
      </w:r>
      <w:r>
        <w:t xml:space="preserve">gains and drive mid-range revenue growth.</w:t>
      </w:r>
      <w:r>
        <w:t xml:space="preserve"> </w:t>
      </w:r>
      <w:r>
        <w:t xml:space="preserve">• Logic and memory, while minor in EU output, tend to experience high global price</w:t>
      </w:r>
      <w:r>
        <w:t xml:space="preserve"> </w:t>
      </w:r>
      <w:r>
        <w:t xml:space="preserve">volatility and cyclical dynamics that are more visible in the more mature and</w:t>
      </w:r>
      <w:r>
        <w:t xml:space="preserve"> </w:t>
      </w:r>
      <w:r>
        <w:t xml:space="preserve">commoditised segments, particularly older-generation logic and memory.</w:t>
      </w:r>
    </w:p>
    <w:p>
      <w:pPr>
        <w:pStyle w:val="BodyText"/>
      </w:pPr>
      <w:r>
        <w:t xml:space="preserve">1.1.2. Modelling the BAU scenario</w:t>
      </w:r>
      <w:r>
        <w:t xml:space="preserve"> </w:t>
      </w:r>
      <w:r>
        <w:t xml:space="preserve">The modelling draws primarily on IDC’s 2023–2030 forecast series,(17) which captures verified</w:t>
      </w:r>
      <w:r>
        <w:t xml:space="preserve"> </w:t>
      </w:r>
      <w:r>
        <w:t xml:space="preserve">investment pipelines, corporate announcements, and regional growth expectations. The dataset</w:t>
      </w:r>
      <w:r>
        <w:t xml:space="preserve"> </w:t>
      </w:r>
      <w:r>
        <w:t xml:space="preserve">reflects both global market recovery after the 2022 downturn and strong European capital</w:t>
      </w:r>
      <w:r>
        <w:t xml:space="preserve"> </w:t>
      </w:r>
      <w:r>
        <w:t xml:space="preserve">formation driven by public subsidies and private investment in new fabs and equipment capacity.</w:t>
      </w:r>
      <w:r>
        <w:t xml:space="preserve"> </w:t>
      </w:r>
      <w:r>
        <w:t xml:space="preserve">According to IDC, EU27 device revenues are expected to reach EUR 85.073 billion by 2030,</w:t>
      </w:r>
      <w:r>
        <w:t xml:space="preserve"> </w:t>
      </w:r>
      <w:r>
        <w:t xml:space="preserve">corresponding to a compound annual growth rate (CAGR) of 7.7 % over the period 2023–2030.</w:t>
      </w:r>
      <w:r>
        <w:t xml:space="preserve"> </w:t>
      </w:r>
      <w:r>
        <w:t xml:space="preserve">This IDC forecast forms the baseline from which the post-2030 device projections are</w:t>
      </w:r>
      <w:r>
        <w:t xml:space="preserve"> </w:t>
      </w:r>
      <w:r>
        <w:t xml:space="preserve">developed. This is below the global CAGR of 8.75% and well below the US CAGR of</w:t>
      </w:r>
      <w:r>
        <w:t xml:space="preserve"> </w:t>
      </w:r>
      <w:r>
        <w:t xml:space="preserve">10.6%.</w:t>
      </w:r>
      <w:r>
        <w:br/>
      </w:r>
      <w:r>
        <w:t xml:space="preserve">This lagging growth rate is understandable when considering that Europe does not have</w:t>
      </w:r>
      <w:r>
        <w:t xml:space="preserve"> </w:t>
      </w:r>
      <w:r>
        <w:t xml:space="preserve">significant players in AI which is the key driver of growth in the broader industry. (18)</w:t>
      </w:r>
      <w:r>
        <w:t xml:space="preserve"> </w:t>
      </w:r>
      <w:r>
        <w:t xml:space="preserve">Furthermore, European companies do not benefit from the price-setting capacity of foundries</w:t>
      </w:r>
      <w:r>
        <w:t xml:space="preserve"> </w:t>
      </w:r>
      <w:r>
        <w:t xml:space="preserve">active in the 7nm and below process nodes typical of AI chips. (19)</w:t>
      </w:r>
      <w:r>
        <w:br/>
      </w:r>
      <w:r>
        <w:t xml:space="preserve">This AI boom is not volume-driven, unlike past cycles, but price-driven, fuelled by steep</w:t>
      </w:r>
      <w:r>
        <w:t xml:space="preserve"> </w:t>
      </w:r>
      <w:r>
        <w:t xml:space="preserve">increases in average selling prices (ASPs) for AI devices (20). Industry growth therefore</w:t>
      </w:r>
      <w:r>
        <w:t xml:space="preserve"> </w:t>
      </w:r>
      <w:r>
        <w:t xml:space="preserve">reflects two dynamics: one driven by AI logic and AI memory inflation, and another covering</w:t>
      </w:r>
      <w:r>
        <w:t xml:space="preserve"> </w:t>
      </w:r>
      <w:r>
        <w:t xml:space="preserve">mature nodes, automotive, and analogue devices which is growing more slowly</w:t>
      </w:r>
      <w:r>
        <w:t xml:space="preserve"> </w:t>
      </w:r>
      <w:r>
        <w:t xml:space="preserve">Europe’s semiconductor industry is largely absent from AI-intensive segments. Its industrial</w:t>
      </w:r>
      <w:r>
        <w:t xml:space="preserve"> </w:t>
      </w:r>
      <w:r>
        <w:t xml:space="preserve">base is concentrated in analogue, power, microcontroller, and application-specific</w:t>
      </w:r>
      <w:r>
        <w:t xml:space="preserve"> </w:t>
      </w:r>
      <w:r>
        <w:t xml:space="preserve">semiconductors, which are vital for automotive, energy, and industrial systems but do not benefit</w:t>
      </w:r>
    </w:p>
    <w:p>
      <w:pPr>
        <w:pStyle w:val="Compact"/>
        <w:numPr>
          <w:ilvl w:val="0"/>
          <w:numId w:val="1009"/>
        </w:numPr>
      </w:pPr>
      <w:r>
        <w:t xml:space="preserve">IDC, Semiconductors market data by feature size, sector and region, CNECT/2022/MVP/0084 – Second Interim</w:t>
      </w:r>
      <w:r>
        <w:t xml:space="preserve"> </w:t>
      </w:r>
      <w:r>
        <w:t xml:space="preserve">Report</w:t>
      </w:r>
    </w:p>
    <w:p>
      <w:pPr>
        <w:pStyle w:val="Compact"/>
        <w:numPr>
          <w:ilvl w:val="0"/>
          <w:numId w:val="1009"/>
        </w:numPr>
      </w:pPr>
      <w:r>
        <w:t xml:space="preserve">IBS Global Semiconductor Industry Service, May 2025</w:t>
      </w:r>
    </w:p>
    <w:p>
      <w:pPr>
        <w:pStyle w:val="Compact"/>
        <w:numPr>
          <w:ilvl w:val="0"/>
          <w:numId w:val="1009"/>
        </w:numPr>
      </w:pPr>
      <w:r>
        <w:t xml:space="preserve">Future Horizons - The Global Semiconductor Monthly Report December 2025</w:t>
      </w:r>
    </w:p>
    <w:p>
      <w:pPr>
        <w:pStyle w:val="Compact"/>
        <w:numPr>
          <w:ilvl w:val="0"/>
          <w:numId w:val="1009"/>
        </w:numPr>
      </w:pPr>
      <w:r>
        <w:t xml:space="preserve">EE Times Europe (2025), “The Recovery Base Is Fragile, Future Horizons’ Penn Says”, 15 April 2025, available at</w:t>
      </w:r>
      <w:r>
        <w:t xml:space="preserve"> </w:t>
      </w:r>
      <w:r>
        <w:t xml:space="preserve">https://www.eetimes.eu/the-recovery-base-is-fragile-future-horizons-penn-says/.</w:t>
      </w:r>
    </w:p>
    <w:p>
      <w:pPr>
        <w:pStyle w:val="FirstParagraph"/>
      </w:pPr>
      <w:r>
        <w:t xml:space="preserve">63</w:t>
      </w:r>
      <w:r>
        <w:t xml:space="preserve"> </w:t>
      </w:r>
      <w:r>
        <w:t xml:space="preserve">from AI-driven ASP inflation. In fact, the automotive and industrial applications end-market</w:t>
      </w:r>
      <w:r>
        <w:t xml:space="preserve"> </w:t>
      </w:r>
      <w:r>
        <w:t xml:space="preserve">represent 70% of the EU’s semiconductor revenues. (21)</w:t>
      </w:r>
      <w:r>
        <w:t xml:space="preserve"> </w:t>
      </w:r>
      <w:r>
        <w:t xml:space="preserve">Therefore, the figure by IDC on the EU’s growth is in line with the expectation that Europe’s</w:t>
      </w:r>
      <w:r>
        <w:t xml:space="preserve"> </w:t>
      </w:r>
      <w:r>
        <w:t xml:space="preserve">revenue trajectory will lag global averages beyond 2030 for structural reasons i.e. Europe’s</w:t>
      </w:r>
      <w:r>
        <w:t xml:space="preserve"> </w:t>
      </w:r>
      <w:r>
        <w:t xml:space="preserve">specialisation lies in mature nodes, notably analogue, power, and automotive semiconductors.</w:t>
      </w:r>
      <w:r>
        <w:t xml:space="preserve"> </w:t>
      </w:r>
      <w:r>
        <w:t xml:space="preserve">These generate lower value added and grow more slowly in value than advanced logic and</w:t>
      </w:r>
      <w:r>
        <w:t xml:space="preserve"> </w:t>
      </w:r>
      <w:r>
        <w:t xml:space="preserve">memory, where both demand and average selling prices are structurally higher. With AI-related</w:t>
      </w:r>
      <w:r>
        <w:t xml:space="preserve"> </w:t>
      </w:r>
      <w:r>
        <w:t xml:space="preserve">products potentially reaching around 70 % of the global market by 2030, this divergence implies</w:t>
      </w:r>
      <w:r>
        <w:t xml:space="preserve"> </w:t>
      </w:r>
      <w:r>
        <w:t xml:space="preserve">that Europe’s growth could lag the global average more markedly.</w:t>
      </w:r>
      <w:r>
        <w:t xml:space="preserve"> </w:t>
      </w:r>
      <w:r>
        <w:t xml:space="preserve">Given these structural conditions, Europe’s semiconductor device revenues under the BAU</w:t>
      </w:r>
      <w:r>
        <w:t xml:space="preserve"> </w:t>
      </w:r>
      <w:r>
        <w:t xml:space="preserve">scenario are expected to grow in line with global foundry demand for mature and mid-range</w:t>
      </w:r>
      <w:r>
        <w:t xml:space="preserve"> </w:t>
      </w:r>
      <w:r>
        <w:t xml:space="preserve">technology nodes.</w:t>
      </w:r>
      <w:r>
        <w:t xml:space="preserve"> </w:t>
      </w:r>
      <w:r>
        <w:t xml:space="preserve">Projections from IBS (International Business Strategies) indicate that, between 2030 and 2035,</w:t>
      </w:r>
      <w:r>
        <w:t xml:space="preserve"> </w:t>
      </w:r>
      <w:r>
        <w:t xml:space="preserve">foundry revenues at technology nodes of 40 nm and above are expected to grow at annual rates</w:t>
      </w:r>
      <w:r>
        <w:t xml:space="preserve"> </w:t>
      </w:r>
      <w:r>
        <w:t xml:space="preserve">ranging from negative 1.5 % to positive 7.5 % growth, depending on the node size, with most</w:t>
      </w:r>
      <w:r>
        <w:t xml:space="preserve"> </w:t>
      </w:r>
      <w:r>
        <w:t xml:space="preserve">mature nodes clustering around at least 5 % (Table 2). This shows a clear divide in market</w:t>
      </w:r>
      <w:r>
        <w:t xml:space="preserve"> </w:t>
      </w:r>
      <w:r>
        <w:t xml:space="preserve">growth for both advanced technology and mature nodes.</w:t>
      </w:r>
      <w:r>
        <w:t xml:space="preserve"> </w:t>
      </w:r>
      <w:r>
        <w:t xml:space="preserve">Table 2. Global Foundry market growth by technology node. Source: IBS Analysis of Global</w:t>
      </w:r>
      <w:r>
        <w:t xml:space="preserve"> </w:t>
      </w:r>
      <w:r>
        <w:t xml:space="preserve">Foundry Market, December 2025.</w:t>
      </w:r>
      <w:r>
        <w:t xml:space="preserve"> </w:t>
      </w:r>
      <w:r>
        <w:t xml:space="preserve">Node</w:t>
      </w:r>
      <w:r>
        <w:t xml:space="preserve"> </w:t>
      </w:r>
      <w:r>
        <w:t xml:space="preserve">Growth rate around 2030–2035 (%)</w:t>
      </w:r>
      <w:r>
        <w:t xml:space="preserve"> </w:t>
      </w:r>
      <w:r>
        <w:t xml:space="preserve">45/40 nm</w:t>
      </w:r>
      <w:r>
        <w:t xml:space="preserve"> </w:t>
      </w:r>
      <w:r>
        <w:t xml:space="preserve">~6.25 – 6.72</w:t>
      </w:r>
      <w:r>
        <w:t xml:space="preserve"> </w:t>
      </w:r>
      <w:r>
        <w:t xml:space="preserve">65 nm</w:t>
      </w:r>
      <w:r>
        <w:t xml:space="preserve"> </w:t>
      </w:r>
      <w:r>
        <w:t xml:space="preserve">~5,46 – 7.54</w:t>
      </w:r>
      <w:r>
        <w:t xml:space="preserve"> </w:t>
      </w:r>
      <w:r>
        <w:t xml:space="preserve">90 nm</w:t>
      </w:r>
      <w:r>
        <w:t xml:space="preserve"> </w:t>
      </w:r>
      <w:r>
        <w:t xml:space="preserve">~(1.5) negative growth</w:t>
      </w:r>
      <w:r>
        <w:t xml:space="preserve"> </w:t>
      </w:r>
      <w:r>
        <w:t xml:space="preserve">130 nm</w:t>
      </w:r>
      <w:r>
        <w:t xml:space="preserve"> </w:t>
      </w:r>
      <w:r>
        <w:t xml:space="preserve">~5.60 – 5.78</w:t>
      </w:r>
      <w:r>
        <w:t xml:space="preserve"> </w:t>
      </w:r>
      <w:r>
        <w:t xml:space="preserve">180 nm</w:t>
      </w:r>
      <w:r>
        <w:t xml:space="preserve"> </w:t>
      </w:r>
      <w:r>
        <w:t xml:space="preserve">~5.29 – 5.59</w:t>
      </w:r>
      <w:r>
        <w:t xml:space="preserve"> </w:t>
      </w:r>
      <w:r>
        <w:t xml:space="preserve">250 nm</w:t>
      </w:r>
      <w:r>
        <w:t xml:space="preserve"> </w:t>
      </w:r>
      <w:r>
        <w:t xml:space="preserve">~6.27 – 6.67</w:t>
      </w:r>
      <w:r>
        <w:t xml:space="preserve"> </w:t>
      </w:r>
      <w:r>
        <w:t xml:space="preserve">Reflecting the EU’s current wafer mix, which remains concentrated in these mature nodes and</w:t>
      </w:r>
      <w:r>
        <w:t xml:space="preserve"> </w:t>
      </w:r>
      <w:r>
        <w:t xml:space="preserve">has limited exposure to leading-edge (the AI-driven market segments), the BAU projection</w:t>
      </w:r>
      <w:r>
        <w:t xml:space="preserve"> </w:t>
      </w:r>
      <w:r>
        <w:t xml:space="preserve">applies an average long-run revenue growth rate of approximately 5% per year for EU27</w:t>
      </w:r>
      <w:r>
        <w:t xml:space="preserve"> </w:t>
      </w:r>
      <w:r>
        <w:t xml:space="preserve">semiconductor device revenues over 2030–2035. This rate lies below the global average but is</w:t>
      </w:r>
      <w:r>
        <w:t xml:space="preserve"> </w:t>
      </w:r>
      <w:r>
        <w:t xml:space="preserve">consistent with the projected growth dynamics of the technology nodes most relevant to the</w:t>
      </w:r>
      <w:r>
        <w:t xml:space="preserve"> </w:t>
      </w:r>
      <w:r>
        <w:t xml:space="preserve">European manufacturing base.</w:t>
      </w:r>
      <w:r>
        <w:t xml:space="preserve"> </w:t>
      </w:r>
      <w:r>
        <w:t xml:space="preserve">Table 3. Assumptions for the revenue growth model. Source: Compiled by the authors.</w:t>
      </w:r>
      <w:r>
        <w:br/>
      </w:r>
      <w:r>
        <w:t xml:space="preserve">Parameter</w:t>
      </w:r>
      <w:r>
        <w:t xml:space="preserve"> </w:t>
      </w:r>
      <w:r>
        <w:t xml:space="preserve">Global market</w:t>
      </w:r>
      <w:r>
        <w:t xml:space="preserve"> </w:t>
      </w:r>
      <w:r>
        <w:t xml:space="preserve">Europe (BAU)</w:t>
      </w:r>
      <w:r>
        <w:t xml:space="preserve"> </w:t>
      </w:r>
      <w:r>
        <w:t xml:space="preserve">Comment</w:t>
      </w:r>
      <w:r>
        <w:t xml:space="preserve"> </w:t>
      </w:r>
      <w:r>
        <w:t xml:space="preserve">2030–2035</w:t>
      </w:r>
      <w:r>
        <w:t xml:space="preserve"> </w:t>
      </w:r>
      <w:r>
        <w:t xml:space="preserve">CAGR</w:t>
      </w:r>
      <w:r>
        <w:t xml:space="preserve"> </w:t>
      </w:r>
      <w:r>
        <w:t xml:space="preserve">~9 %</w:t>
      </w:r>
      <w:r>
        <w:t xml:space="preserve"> </w:t>
      </w:r>
      <w:r>
        <w:t xml:space="preserve">(including all node</w:t>
      </w:r>
      <w:r>
        <w:t xml:space="preserve"> </w:t>
      </w:r>
      <w:r>
        <w:t xml:space="preserve">sizes) (22)</w:t>
      </w:r>
      <w:r>
        <w:t xml:space="preserve"> </w:t>
      </w:r>
      <w:r>
        <w:t xml:space="preserve">5%</w:t>
      </w:r>
      <w:r>
        <w:t xml:space="preserve"> </w:t>
      </w:r>
      <w:r>
        <w:t xml:space="preserve">Adjusted for limited</w:t>
      </w:r>
      <w:r>
        <w:t xml:space="preserve"> </w:t>
      </w:r>
      <w:r>
        <w:t xml:space="preserve">exposure to AI-driven</w:t>
      </w:r>
      <w:r>
        <w:t xml:space="preserve"> </w:t>
      </w:r>
      <w:r>
        <w:t xml:space="preserve">growth and mature</w:t>
      </w:r>
    </w:p>
    <w:p>
      <w:pPr>
        <w:pStyle w:val="Compact"/>
        <w:numPr>
          <w:ilvl w:val="0"/>
          <w:numId w:val="1010"/>
        </w:numPr>
      </w:pPr>
      <w:r>
        <w:t xml:space="preserve">IDC, Semiconductors market data by feature size, sector and region, CNECT/2022/MVP/0084 – Second Interim</w:t>
      </w:r>
      <w:r>
        <w:t xml:space="preserve"> </w:t>
      </w:r>
      <w:r>
        <w:t xml:space="preserve">Report</w:t>
      </w:r>
    </w:p>
    <w:p>
      <w:pPr>
        <w:pStyle w:val="Compact"/>
        <w:numPr>
          <w:ilvl w:val="0"/>
          <w:numId w:val="1010"/>
        </w:numPr>
      </w:pPr>
      <w:r>
        <w:t xml:space="preserve">IBS, Global Semiconductor Industry Service, Analysis of Foundry Market, December 2025.</w:t>
      </w:r>
    </w:p>
    <w:p>
      <w:pPr>
        <w:pStyle w:val="FirstParagraph"/>
      </w:pPr>
      <w:r>
        <w:t xml:space="preserve">64</w:t>
      </w:r>
      <w:r>
        <w:t xml:space="preserve"> </w:t>
      </w:r>
      <w:r>
        <w:t xml:space="preserve">product mix</w:t>
      </w:r>
      <w:r>
        <w:t xml:space="preserve"> </w:t>
      </w:r>
      <w:r>
        <w:t xml:space="preserve">Growth</w:t>
      </w:r>
      <w:r>
        <w:t xml:space="preserve"> </w:t>
      </w:r>
      <w:r>
        <w:t xml:space="preserve">driver</w:t>
      </w:r>
      <w:r>
        <w:t xml:space="preserve"> </w:t>
      </w:r>
      <w:r>
        <w:t xml:space="preserve">AI logic, HBM,</w:t>
      </w:r>
      <w:r>
        <w:t xml:space="preserve"> </w:t>
      </w:r>
      <w:r>
        <w:t xml:space="preserve">accelerators</w:t>
      </w:r>
      <w:r>
        <w:t xml:space="preserve"> </w:t>
      </w:r>
      <w:r>
        <w:t xml:space="preserve">Automotive, power,</w:t>
      </w:r>
      <w:r>
        <w:t xml:space="preserve"> </w:t>
      </w:r>
      <w:r>
        <w:t xml:space="preserve">industrial</w:t>
      </w:r>
      <w:r>
        <w:t xml:space="preserve"> </w:t>
      </w:r>
      <w:r>
        <w:t xml:space="preserve">semiconductors</w:t>
      </w:r>
      <w:r>
        <w:t xml:space="preserve"> </w:t>
      </w:r>
      <w:r>
        <w:t xml:space="preserve">ASP divergence</w:t>
      </w:r>
      <w:r>
        <w:t xml:space="preserve"> </w:t>
      </w:r>
      <w:r>
        <w:t xml:space="preserve">Relative</w:t>
      </w:r>
      <w:r>
        <w:t xml:space="preserve"> </w:t>
      </w:r>
      <w:r>
        <w:t xml:space="preserve">global share</w:t>
      </w:r>
      <w:r>
        <w:t xml:space="preserve"> </w:t>
      </w:r>
      <w:r>
        <w:t xml:space="preserve">Concentration in Asia</w:t>
      </w:r>
      <w:r>
        <w:t xml:space="preserve"> </w:t>
      </w:r>
      <w:r>
        <w:t xml:space="preserve">and US</w:t>
      </w:r>
      <w:r>
        <w:t xml:space="preserve"> </w:t>
      </w:r>
      <w:r>
        <w:t xml:space="preserve">Stable at 8–9 % (23)</w:t>
      </w:r>
      <w:r>
        <w:t xml:space="preserve"> </w:t>
      </w:r>
      <w:r>
        <w:t xml:space="preserve">No structural capacity</w:t>
      </w:r>
      <w:r>
        <w:t xml:space="preserve"> </w:t>
      </w:r>
      <w:r>
        <w:t xml:space="preserve">shift expected</w:t>
      </w:r>
      <w:r>
        <w:t xml:space="preserve"> </w:t>
      </w:r>
      <w:r>
        <w:t xml:space="preserve">Key risks</w:t>
      </w:r>
      <w:r>
        <w:t xml:space="preserve"> </w:t>
      </w:r>
      <w:r>
        <w:t xml:space="preserve">AI-cycle volatility,</w:t>
      </w:r>
      <w:r>
        <w:t xml:space="preserve"> </w:t>
      </w:r>
      <w:r>
        <w:t xml:space="preserve">trade barriers, CAPEX</w:t>
      </w:r>
      <w:r>
        <w:t xml:space="preserve"> </w:t>
      </w:r>
      <w:r>
        <w:t xml:space="preserve">constraints</w:t>
      </w:r>
      <w:r>
        <w:t xml:space="preserve"> </w:t>
      </w:r>
      <w:r>
        <w:t xml:space="preserve">Energy prices, project</w:t>
      </w:r>
      <w:r>
        <w:t xml:space="preserve"> </w:t>
      </w:r>
      <w:r>
        <w:t xml:space="preserve">delays, limited AI</w:t>
      </w:r>
      <w:r>
        <w:t xml:space="preserve"> </w:t>
      </w:r>
      <w:r>
        <w:t xml:space="preserve">participation</w:t>
      </w:r>
      <w:r>
        <w:t xml:space="preserve"> </w:t>
      </w:r>
      <w:r>
        <w:t xml:space="preserve">Structural, not cyclical</w:t>
      </w:r>
      <w:r>
        <w:t xml:space="preserve"> </w:t>
      </w:r>
      <w:r>
        <w:t xml:space="preserve">Using the IDC 2030 device value of EUR 85.073 billion, the following projections are obtained:</w:t>
      </w:r>
      <w:r>
        <w:t xml:space="preserve"> </w:t>
      </w:r>
      <w:r>
        <w:t xml:space="preserve">-</w:t>
      </w:r>
      <w:r>
        <w:t xml:space="preserve"> </w:t>
      </w:r>
      <w:r>
        <w:t xml:space="preserve">5% CAGR → 85.1×(1.05)5≈85.1×1.276≈EUR 108.6 billion</w:t>
      </w:r>
      <w:r>
        <w:t xml:space="preserve"> </w:t>
      </w:r>
      <w:r>
        <w:t xml:space="preserve">Therefore, under the BAU, EU27 device revenues increase from EUR 85.1 billion in 2030 to</w:t>
      </w:r>
      <w:r>
        <w:t xml:space="preserve"> </w:t>
      </w:r>
      <w:r>
        <w:t xml:space="preserve">approximately EUR 108.6 billion in 2035. Furthermore, over the full 2023–2035 period, the</w:t>
      </w:r>
      <w:r>
        <w:t xml:space="preserve"> </w:t>
      </w:r>
      <w:r>
        <w:t xml:space="preserve">EU27 semiconductor device segment is therefore projected to grow from EUR 50.5 billion to</w:t>
      </w:r>
      <w:r>
        <w:t xml:space="preserve"> </w:t>
      </w:r>
      <w:r>
        <w:t xml:space="preserve">around EUR 108.6 billion. This corresponds to a cumulative increase of roughly 115 % and an</w:t>
      </w:r>
      <w:r>
        <w:t xml:space="preserve"> </w:t>
      </w:r>
      <w:r>
        <w:t xml:space="preserve">implied average annual growth rate of approximately 6.6%. This shows a deceleration of the</w:t>
      </w:r>
      <w:r>
        <w:t xml:space="preserve"> </w:t>
      </w:r>
      <w:r>
        <w:t xml:space="preserve">European revenue growth, from the period 2025-2030 (7.7%) to the period 2030-2035 (5%),</w:t>
      </w:r>
      <w:r>
        <w:t xml:space="preserve"> </w:t>
      </w:r>
      <w:r>
        <w:t xml:space="preserve">where the importance of AI and leading-edge manufacturing will become more prominent.</w:t>
      </w:r>
      <w:r>
        <w:t xml:space="preserve"> </w:t>
      </w:r>
      <w:r>
        <w:t xml:space="preserve">1.2.</w:t>
      </w:r>
      <w:r>
        <w:t xml:space="preserve"> </w:t>
      </w:r>
      <w:r>
        <w:t xml:space="preserve">EU Semiconductor manufacturing capacity estimation</w:t>
      </w:r>
      <w:r>
        <w:t xml:space="preserve"> </w:t>
      </w:r>
      <w:r>
        <w:t xml:space="preserve">1.2.1. Establishing a starting point for BAU scenario</w:t>
      </w:r>
      <w:r>
        <w:t xml:space="preserve"> </w:t>
      </w:r>
      <w:r>
        <w:t xml:space="preserve">The below estimate reflects Europe’s physical potential to manufacture semiconductor</w:t>
      </w:r>
      <w:r>
        <w:t xml:space="preserve"> </w:t>
      </w:r>
      <w:r>
        <w:t xml:space="preserve">wafers in front-end fabs, but it does not indicate how much is actually produced, nor the</w:t>
      </w:r>
      <w:r>
        <w:t xml:space="preserve"> </w:t>
      </w:r>
      <w:r>
        <w:t xml:space="preserve">revenue or value chain contributions of other semiconductor segments.</w:t>
      </w:r>
      <w:r>
        <w:t xml:space="preserve"> </w:t>
      </w:r>
      <w:r>
        <w:t xml:space="preserve">Data anchors</w:t>
      </w:r>
      <w:r>
        <w:t xml:space="preserve"> </w:t>
      </w:r>
      <w:r>
        <w:t xml:space="preserve">Global installed capacity, 2023: 29.6 million wpm (wafers per month – 200 mm-equivalent).</w:t>
      </w:r>
      <w:r>
        <w:t xml:space="preserve"> </w:t>
      </w:r>
      <w:r>
        <w:t xml:space="preserve">Source: SEMI World Fab Forecast release of 2 January 2024 (24)202 (25). The IDC report also</w:t>
      </w:r>
      <w:r>
        <w:t xml:space="preserve"> </w:t>
      </w:r>
      <w:r>
        <w:t xml:space="preserve">states that all manufacturing currently located in the EU is at mature nodes (≥ 40 nm) and that no</w:t>
      </w:r>
      <w:r>
        <w:t xml:space="preserve"> </w:t>
      </w:r>
      <w:r>
        <w:t xml:space="preserve">advanced or leading-edge manufacturing is available in the region.</w:t>
      </w:r>
    </w:p>
    <w:p>
      <w:pPr>
        <w:pStyle w:val="BodyText"/>
      </w:pPr>
      <w:r>
        <w:t xml:space="preserve">The EU27 share (8.1 %)26 is applied to SEMI’s global installed capacity:</w:t>
      </w:r>
      <w:r>
        <w:t xml:space="preserve"> </w:t>
      </w:r>
      <w:r>
        <w:t xml:space="preserve">29.6 million wspm × 0.081 = 2.40 million wpm (200 mm-equivalent)</w:t>
      </w:r>
      <w:r>
        <w:t xml:space="preserve"> </w:t>
      </w:r>
      <w:r>
        <w:t xml:space="preserve">IDC expresses all manufacturing capacity in 300mm-equivalent units.</w:t>
      </w:r>
      <w:r>
        <w:t xml:space="preserve"> </w:t>
      </w:r>
      <w:r>
        <w:t xml:space="preserve">Wafer-size normalisation follows surface-area ratios:</w:t>
      </w:r>
    </w:p>
    <w:p>
      <w:pPr>
        <w:pStyle w:val="Compact"/>
        <w:numPr>
          <w:ilvl w:val="0"/>
          <w:numId w:val="1011"/>
        </w:numPr>
      </w:pPr>
      <w:r>
        <w:t xml:space="preserve">Europe’s recent revenue share has shown short-term volatility due to downturns in automotive and industrial semiconductors,</w:t>
      </w:r>
      <w:r>
        <w:t xml:space="preserve"> </w:t>
      </w:r>
      <w:r>
        <w:t xml:space="preserve">although its medium-term structural share typically remains within the 10–12 % range.</w:t>
      </w:r>
      <w:r>
        <w:br/>
      </w:r>
    </w:p>
    <w:p>
      <w:pPr>
        <w:pStyle w:val="Compact"/>
        <w:numPr>
          <w:ilvl w:val="0"/>
          <w:numId w:val="1011"/>
        </w:numPr>
      </w:pPr>
      <w:r>
        <w:t xml:space="preserve">SEMI (2024). Global Semiconductor Capacity Projected to Reach Record-High 30 Million Wafers per Month in 2024, SEMI</w:t>
      </w:r>
      <w:r>
        <w:t xml:space="preserve"> </w:t>
      </w:r>
      <w:r>
        <w:t xml:space="preserve">Reports. Press release, 2 January 2024. SEMI, Milpitas, CA. Available at: https://www.semi.org/en/news-media-press-</w:t>
      </w:r>
      <w:r>
        <w:t xml:space="preserve"> </w:t>
      </w:r>
      <w:r>
        <w:t xml:space="preserve">releases/semi-press-releases/global-semiconductor-capacity-projected-to-reach-record-high-30-million-wafers-per-month-in-</w:t>
      </w:r>
      <w:r>
        <w:t xml:space="preserve"> </w:t>
      </w:r>
      <w:r>
        <w:t xml:space="preserve">2024-semi-reports [Accessed: October 2, 2025].</w:t>
      </w:r>
    </w:p>
    <w:p>
      <w:pPr>
        <w:pStyle w:val="Compact"/>
        <w:numPr>
          <w:ilvl w:val="0"/>
          <w:numId w:val="1011"/>
        </w:numPr>
      </w:pPr>
      <w:r>
        <w:t xml:space="preserve">IDC, Semiconductors market data by feature size, sector and region, CNECT/2022/MVP/0084 – Second Interim Report</w:t>
      </w:r>
    </w:p>
    <w:p>
      <w:pPr>
        <w:pStyle w:val="Compact"/>
        <w:numPr>
          <w:ilvl w:val="0"/>
          <w:numId w:val="1011"/>
        </w:numPr>
      </w:pPr>
      <w:r>
        <w:t xml:space="preserve">IDC, Semiconductors market data by feature size, sector and region, CNECT/2022/MVP/0084 – Second Interim Report</w:t>
      </w:r>
    </w:p>
    <w:p>
      <w:pPr>
        <w:pStyle w:val="FirstParagraph"/>
      </w:pPr>
      <w:r>
        <w:t xml:space="preserve">65</w:t>
      </w:r>
      <w:r>
        <w:t xml:space="preserve"> </w:t>
      </w:r>
      <w:r>
        <w:t xml:space="preserve">• Surface area of a 200 mm wafer: π × 100²</w:t>
      </w:r>
      <w:r>
        <w:t xml:space="preserve"> </w:t>
      </w:r>
      <w:r>
        <w:t xml:space="preserve">• Surface area of a 300 mm wafer: π × 150²</w:t>
      </w:r>
      <w:r>
        <w:t xml:space="preserve"> </w:t>
      </w:r>
      <w:r>
        <w:t xml:space="preserve">• Surface Ratio: 200 mm / 300 mm wafer = 4/9 ≈ 0.444</w:t>
      </w:r>
      <w:r>
        <w:t xml:space="preserve"> </w:t>
      </w:r>
      <w:r>
        <w:t xml:space="preserve">Therefore: 2.40 million wspm × 0.444 ≈1.07 million wpm (300mm-equivalent)</w:t>
      </w:r>
      <w:r>
        <w:t xml:space="preserve"> </w:t>
      </w:r>
      <w:r>
        <w:t xml:space="preserve">1.2.2. Modelling the BAU scenario</w:t>
      </w:r>
      <w:r>
        <w:t xml:space="preserve"> </w:t>
      </w:r>
      <w:r>
        <w:t xml:space="preserve">The BAU scenario is anchored in a documented 2023 baseline and projected forward on that</w:t>
      </w:r>
      <w:r>
        <w:t xml:space="preserve"> </w:t>
      </w:r>
      <w:r>
        <w:t xml:space="preserve">basis. Capacity projections are drawn from the IDC Semiconductor Fab database, which</w:t>
      </w:r>
      <w:r>
        <w:t xml:space="preserve"> </w:t>
      </w:r>
      <w:r>
        <w:t xml:space="preserve">provides estimates of global and EU27 production capacity expressed in 300mm (12”) wafer</w:t>
      </w:r>
      <w:r>
        <w:t xml:space="preserve"> </w:t>
      </w:r>
      <w:r>
        <w:t xml:space="preserve">starts per month equivalents. As the dataset extends only to 2030, projections to 2035, the end of</w:t>
      </w:r>
      <w:r>
        <w:t xml:space="preserve"> </w:t>
      </w:r>
      <w:r>
        <w:t xml:space="preserve">the next MFF, are derived by applying global production trends to the EU context..</w:t>
      </w:r>
      <w:r>
        <w:t xml:space="preserve"> </w:t>
      </w:r>
      <w:r>
        <w:t xml:space="preserve">Pipeline used in BAU</w:t>
      </w:r>
      <w:r>
        <w:br/>
      </w:r>
      <w:r>
        <w:t xml:space="preserve">The construction of the BAU scenario relies on projections from the IDC Semiconductor Fab</w:t>
      </w:r>
      <w:r>
        <w:t xml:space="preserve"> </w:t>
      </w:r>
      <w:r>
        <w:t xml:space="preserve">database. The figures in the table below reflect new projects that have already been announced</w:t>
      </w:r>
      <w:r>
        <w:t xml:space="preserve"> </w:t>
      </w:r>
      <w:r>
        <w:t xml:space="preserve">(see Table 4).</w:t>
      </w:r>
    </w:p>
    <w:p>
      <w:pPr>
        <w:pStyle w:val="BodyText"/>
      </w:pPr>
      <w:r>
        <w:t xml:space="preserve">Table 4. Projected new fab capacity resulting from the announced projects. Source: IDC</w:t>
      </w:r>
      <w:r>
        <w:t xml:space="preserve"> </w:t>
      </w:r>
      <w:r>
        <w:t xml:space="preserve">Semiconductor Fab database.</w:t>
      </w:r>
      <w:r>
        <w:t xml:space="preserve"> </w:t>
      </w:r>
      <w:r>
        <w:t xml:space="preserve">Product Type</w:t>
      </w:r>
      <w:r>
        <w:t xml:space="preserve"> </w:t>
      </w:r>
      <w:r>
        <w:t xml:space="preserve">2023</w:t>
      </w:r>
      <w:r>
        <w:t xml:space="preserve"> </w:t>
      </w:r>
      <w:r>
        <w:t xml:space="preserve">2024</w:t>
      </w:r>
      <w:r>
        <w:t xml:space="preserve"> </w:t>
      </w:r>
      <w:r>
        <w:t xml:space="preserve">2025</w:t>
      </w:r>
      <w:r>
        <w:t xml:space="preserve"> </w:t>
      </w:r>
      <w:r>
        <w:t xml:space="preserve">2026</w:t>
      </w:r>
      <w:r>
        <w:t xml:space="preserve"> </w:t>
      </w:r>
      <w:r>
        <w:t xml:space="preserve">2027</w:t>
      </w:r>
      <w:r>
        <w:t xml:space="preserve"> </w:t>
      </w:r>
      <w:r>
        <w:t xml:space="preserve">2028</w:t>
      </w:r>
      <w:r>
        <w:t xml:space="preserve"> </w:t>
      </w:r>
      <w:r>
        <w:t xml:space="preserve">2029</w:t>
      </w:r>
      <w:r>
        <w:t xml:space="preserve"> </w:t>
      </w:r>
      <w:r>
        <w:t xml:space="preserve">2030</w:t>
      </w:r>
      <w:r>
        <w:t xml:space="preserve"> </w:t>
      </w:r>
      <w:r>
        <w:t xml:space="preserve">Total</w:t>
      </w:r>
      <w:r>
        <w:t xml:space="preserve"> </w:t>
      </w:r>
      <w:r>
        <w:t xml:space="preserve">MEMs</w:t>
      </w:r>
    </w:p>
    <w:p>
      <w:pPr>
        <w:pStyle w:val="BodyText"/>
      </w:pPr>
      <w:r>
        <w:t xml:space="preserve">14,000</w:t>
      </w:r>
      <w:r>
        <w:t xml:space="preserve"> </w:t>
      </w:r>
      <w:r>
        <w:t xml:space="preserve">14,000</w:t>
      </w:r>
      <w:r>
        <w:t xml:space="preserve"> </w:t>
      </w:r>
      <w:r>
        <w:t xml:space="preserve">Analog/Mixed</w:t>
      </w:r>
      <w:r>
        <w:t xml:space="preserve"> </w:t>
      </w:r>
      <w:r>
        <w:t xml:space="preserve">Signal</w:t>
      </w:r>
    </w:p>
    <w:p>
      <w:pPr>
        <w:pStyle w:val="BodyText"/>
      </w:pPr>
      <w:r>
        <w:t xml:space="preserve">6,700</w:t>
      </w:r>
    </w:p>
    <w:p>
      <w:pPr>
        <w:pStyle w:val="BodyText"/>
      </w:pPr>
      <w:r>
        <w:t xml:space="preserve">48,000</w:t>
      </w:r>
    </w:p>
    <w:p>
      <w:pPr>
        <w:pStyle w:val="BodyText"/>
      </w:pPr>
      <w:r>
        <w:t xml:space="preserve">54,700</w:t>
      </w:r>
      <w:r>
        <w:t xml:space="preserve"> </w:t>
      </w:r>
      <w:r>
        <w:t xml:space="preserve">Discrete (incl. </w:t>
      </w:r>
      <w:r>
        <w:t xml:space="preserve"> </w:t>
      </w:r>
      <w:r>
        <w:t xml:space="preserve">power)</w:t>
      </w:r>
    </w:p>
    <w:p>
      <w:pPr>
        <w:pStyle w:val="BodyText"/>
      </w:pPr>
      <w:r>
        <w:t xml:space="preserve">50,000</w:t>
      </w:r>
      <w:r>
        <w:t xml:space="preserve"> </w:t>
      </w:r>
      <w:r>
        <w:t xml:space="preserve">20,000</w:t>
      </w:r>
      <w:r>
        <w:t xml:space="preserve"> </w:t>
      </w:r>
      <w:r>
        <w:t xml:space="preserve">48,000</w:t>
      </w:r>
    </w:p>
    <w:p>
      <w:pPr>
        <w:pStyle w:val="BodyText"/>
      </w:pPr>
      <w:r>
        <w:t xml:space="preserve">28,900</w:t>
      </w:r>
      <w:r>
        <w:t xml:space="preserve"> </w:t>
      </w:r>
      <w:r>
        <w:t xml:space="preserve">146,900</w:t>
      </w:r>
      <w:r>
        <w:t xml:space="preserve"> </w:t>
      </w:r>
      <w:r>
        <w:t xml:space="preserve">Foundry</w:t>
      </w:r>
    </w:p>
    <w:p>
      <w:pPr>
        <w:pStyle w:val="BodyText"/>
      </w:pPr>
      <w:r>
        <w:t xml:space="preserve">9,200</w:t>
      </w:r>
    </w:p>
    <w:p>
      <w:pPr>
        <w:pStyle w:val="BodyText"/>
      </w:pPr>
      <w:r>
        <w:t xml:space="preserve">9,200</w:t>
      </w:r>
      <w:r>
        <w:t xml:space="preserve"> </w:t>
      </w:r>
      <w:r>
        <w:t xml:space="preserve">Logic</w:t>
      </w:r>
      <w:r>
        <w:t xml:space="preserve"> </w:t>
      </w:r>
      <w:r>
        <w:t xml:space="preserve">35,000</w:t>
      </w:r>
    </w:p>
    <w:p>
      <w:pPr>
        <w:pStyle w:val="BodyText"/>
      </w:pPr>
      <w:r>
        <w:t xml:space="preserve">21,700</w:t>
      </w:r>
    </w:p>
    <w:p>
      <w:pPr>
        <w:pStyle w:val="BodyText"/>
      </w:pPr>
      <w:r>
        <w:t xml:space="preserve">40,000</w:t>
      </w:r>
    </w:p>
    <w:p>
      <w:pPr>
        <w:pStyle w:val="BodyText"/>
      </w:pPr>
      <w:r>
        <w:t xml:space="preserve">96,700</w:t>
      </w:r>
      <w:r>
        <w:t xml:space="preserve"> </w:t>
      </w:r>
      <w:r>
        <w:t xml:space="preserve">EU27 total</w:t>
      </w:r>
      <w:r>
        <w:t xml:space="preserve"> </w:t>
      </w:r>
      <w:r>
        <w:t xml:space="preserve">35,000</w:t>
      </w:r>
      <w:r>
        <w:t xml:space="preserve"> </w:t>
      </w:r>
      <w:r>
        <w:t xml:space="preserve">0</w:t>
      </w:r>
      <w:r>
        <w:t xml:space="preserve"> </w:t>
      </w:r>
      <w:r>
        <w:t xml:space="preserve">56,700</w:t>
      </w:r>
      <w:r>
        <w:t xml:space="preserve"> </w:t>
      </w:r>
      <w:r>
        <w:t xml:space="preserve">41,700</w:t>
      </w:r>
      <w:r>
        <w:t xml:space="preserve"> </w:t>
      </w:r>
      <w:r>
        <w:t xml:space="preserve">105,200</w:t>
      </w:r>
      <w:r>
        <w:t xml:space="preserve"> </w:t>
      </w:r>
      <w:r>
        <w:t xml:space="preserve">40,000</w:t>
      </w:r>
      <w:r>
        <w:t xml:space="preserve"> </w:t>
      </w:r>
      <w:r>
        <w:t xml:space="preserve">0</w:t>
      </w:r>
      <w:r>
        <w:t xml:space="preserve"> </w:t>
      </w:r>
      <w:r>
        <w:t xml:space="preserve">42,900</w:t>
      </w:r>
      <w:r>
        <w:t xml:space="preserve"> </w:t>
      </w:r>
      <w:r>
        <w:t xml:space="preserve">321,500</w:t>
      </w:r>
    </w:p>
    <w:p>
      <w:pPr>
        <w:pStyle w:val="BodyText"/>
      </w:pPr>
      <w:r>
        <w:t xml:space="preserve">Based on announced and already committed semiconductor manufacturing projects in Europe,</w:t>
      </w:r>
      <w:r>
        <w:t xml:space="preserve"> </w:t>
      </w:r>
      <w:r>
        <w:t xml:space="preserve">the EU’s installed wafer fabrication capacity is projected to rise from approximately 1.07</w:t>
      </w:r>
      <w:r>
        <w:t xml:space="preserve"> </w:t>
      </w:r>
      <w:r>
        <w:t xml:space="preserve">million wafers per month (12-inch, 300 mm equivalent) in 2023 to over 1.39 million by</w:t>
      </w:r>
      <w:r>
        <w:t xml:space="preserve"> </w:t>
      </w:r>
      <w:r>
        <w:t xml:space="preserve">2030. This represents an overall increase of about 30%, corresponding to an average annual</w:t>
      </w:r>
      <w:r>
        <w:t xml:space="preserve"> </w:t>
      </w:r>
      <w:r>
        <w:t xml:space="preserve">growth rate of 3.9% in capacity. These figures cover only projects that are publicly announced</w:t>
      </w:r>
      <w:r>
        <w:t xml:space="preserve"> </w:t>
      </w:r>
      <w:r>
        <w:t xml:space="preserve">and sufficiently advanced to be included in the business-as-usual (BAU) scenario. They do not</w:t>
      </w:r>
      <w:r>
        <w:t xml:space="preserve"> </w:t>
      </w:r>
      <w:r>
        <w:t xml:space="preserve">take into account potential future investments or investments currently under scrutiny for State</w:t>
      </w:r>
      <w:r>
        <w:t xml:space="preserve"> </w:t>
      </w:r>
      <w:r>
        <w:t xml:space="preserve">aid. The estimate therefore provides a conservative baseline for Europe’s manufacturing capacity</w:t>
      </w:r>
      <w:r>
        <w:t xml:space="preserve"> </w:t>
      </w:r>
      <w:r>
        <w:t xml:space="preserve">under existing commitments.</w:t>
      </w:r>
      <w:r>
        <w:br/>
      </w:r>
      <w:r>
        <w:t xml:space="preserve">The fastest market expansion is anticipated in leading-edge segments, where EU-headquartered</w:t>
      </w:r>
      <w:r>
        <w:t xml:space="preserve"> </w:t>
      </w:r>
      <w:r>
        <w:t xml:space="preserve">players have limited presence. In this segment, growth in manufacturing capacity is expected to</w:t>
      </w:r>
      <w:r>
        <w:t xml:space="preserve"> </w:t>
      </w:r>
      <w:r>
        <w:t xml:space="preserve">be more limited in Europe than in other world regions. Furthermore, any such increase is likely</w:t>
      </w:r>
      <w:r>
        <w:t xml:space="preserve"> </w:t>
      </w:r>
      <w:r>
        <w:t xml:space="preserve">to serve an IDM model rather than operate as an open foundry.</w:t>
      </w:r>
      <w:r>
        <w:t xml:space="preserve"> </w:t>
      </w:r>
      <w:r>
        <w:t xml:space="preserve">In line with these findings, this BAU model assumes that all announced and already funded</w:t>
      </w:r>
      <w:r>
        <w:t xml:space="preserve"> </w:t>
      </w:r>
      <w:r>
        <w:t xml:space="preserve">projects determine Europe’s capacity growth up to 2030, which is already represented in the IDC</w:t>
      </w:r>
    </w:p>
    <w:p>
      <w:pPr>
        <w:pStyle w:val="BodyText"/>
      </w:pPr>
      <w:r>
        <w:t xml:space="preserve">66</w:t>
      </w:r>
      <w:r>
        <w:t xml:space="preserve"> </w:t>
      </w:r>
      <w:r>
        <w:t xml:space="preserve">projections data. After 2030, capacity increases are assumed to result from incremental</w:t>
      </w:r>
      <w:r>
        <w:t xml:space="preserve"> </w:t>
      </w:r>
      <w:r>
        <w:t xml:space="preserve">brownfield expansion, tool upgrades, and new projects yet to be announced. To represent</w:t>
      </w:r>
      <w:r>
        <w:t xml:space="preserve"> </w:t>
      </w:r>
      <w:r>
        <w:t xml:space="preserve">this trend, and in line with the manufacturing vs. revenue growth over the period 2023-</w:t>
      </w:r>
      <w:r>
        <w:t xml:space="preserve"> </w:t>
      </w:r>
      <w:r>
        <w:t xml:space="preserve">2030 summarised in the previous paragraph, scenarios of organic growth factors of +2 %,</w:t>
      </w:r>
      <w:r>
        <w:t xml:space="preserve"> </w:t>
      </w:r>
      <w:r>
        <w:t xml:space="preserve">+3 %, and +4 % per year are envisaged from 2031 onwards to the 2030 installed capacity</w:t>
      </w:r>
      <w:r>
        <w:t xml:space="preserve"> </w:t>
      </w:r>
      <w:r>
        <w:t xml:space="preserve">level of 1 391 500 wafers per month (300 mm equivalent), in order to determine the</w:t>
      </w:r>
      <w:r>
        <w:t xml:space="preserve"> </w:t>
      </w:r>
      <w:r>
        <w:t xml:space="preserve">manufacturing capacity by 2035 (Table 5).</w:t>
      </w:r>
      <w:r>
        <w:t xml:space="preserve"> </w:t>
      </w:r>
      <w:r>
        <w:t xml:space="preserve">Table 5. Projection of Europe’s manufacturing capacity following the organic growth assumption.</w:t>
      </w:r>
      <w:r>
        <w:t xml:space="preserve"> </w:t>
      </w:r>
      <w:r>
        <w:t xml:space="preserve">Source: prepared by the authors.</w:t>
      </w:r>
      <w:r>
        <w:br/>
      </w:r>
      <w:r>
        <w:t xml:space="preserve">Year</w:t>
      </w:r>
      <w:r>
        <w:t xml:space="preserve"> </w:t>
      </w:r>
      <w:r>
        <w:t xml:space="preserve">Known project path</w:t>
      </w:r>
      <w:r>
        <w:t xml:space="preserve"> </w:t>
      </w:r>
      <w:r>
        <w:t xml:space="preserve">+2 % p.a.</w:t>
      </w:r>
      <w:r>
        <w:t xml:space="preserve"> </w:t>
      </w:r>
      <w:r>
        <w:t xml:space="preserve">+3 % p.a.</w:t>
      </w:r>
      <w:r>
        <w:t xml:space="preserve"> </w:t>
      </w:r>
      <w:r>
        <w:t xml:space="preserve">+4 % p.a.</w:t>
      </w:r>
      <w:r>
        <w:t xml:space="preserve"> </w:t>
      </w:r>
      <w:r>
        <w:t xml:space="preserve">2031</w:t>
      </w:r>
      <w:r>
        <w:t xml:space="preserve"> </w:t>
      </w:r>
      <w:r>
        <w:t xml:space="preserve">1,391,500</w:t>
      </w:r>
      <w:r>
        <w:t xml:space="preserve"> </w:t>
      </w:r>
      <w:r>
        <w:t xml:space="preserve">1,419,330</w:t>
      </w:r>
      <w:r>
        <w:t xml:space="preserve"> </w:t>
      </w:r>
      <w:r>
        <w:t xml:space="preserve">1,433,245</w:t>
      </w:r>
      <w:r>
        <w:t xml:space="preserve"> </w:t>
      </w:r>
      <w:r>
        <w:t xml:space="preserve">1,447,160</w:t>
      </w:r>
      <w:r>
        <w:t xml:space="preserve"> </w:t>
      </w:r>
      <w:r>
        <w:t xml:space="preserve">2032</w:t>
      </w:r>
      <w:r>
        <w:t xml:space="preserve"> </w:t>
      </w:r>
      <w:r>
        <w:t xml:space="preserve">1,391,500</w:t>
      </w:r>
      <w:r>
        <w:t xml:space="preserve"> </w:t>
      </w:r>
      <w:r>
        <w:t xml:space="preserve">1,447,717</w:t>
      </w:r>
      <w:r>
        <w:t xml:space="preserve"> </w:t>
      </w:r>
      <w:r>
        <w:t xml:space="preserve">1,476,242</w:t>
      </w:r>
      <w:r>
        <w:t xml:space="preserve"> </w:t>
      </w:r>
      <w:r>
        <w:t xml:space="preserve">1,505,046</w:t>
      </w:r>
      <w:r>
        <w:t xml:space="preserve"> </w:t>
      </w:r>
      <w:r>
        <w:t xml:space="preserve">2033</w:t>
      </w:r>
      <w:r>
        <w:t xml:space="preserve"> </w:t>
      </w:r>
      <w:r>
        <w:t xml:space="preserve">1,391,500</w:t>
      </w:r>
      <w:r>
        <w:t xml:space="preserve"> </w:t>
      </w:r>
      <w:r>
        <w:t xml:space="preserve">1,476,671</w:t>
      </w:r>
      <w:r>
        <w:t xml:space="preserve"> </w:t>
      </w:r>
      <w:r>
        <w:t xml:space="preserve">1,520,530</w:t>
      </w:r>
      <w:r>
        <w:t xml:space="preserve"> </w:t>
      </w:r>
      <w:r>
        <w:t xml:space="preserve">1,565,248</w:t>
      </w:r>
      <w:r>
        <w:t xml:space="preserve"> </w:t>
      </w:r>
      <w:r>
        <w:t xml:space="preserve">2034</w:t>
      </w:r>
      <w:r>
        <w:t xml:space="preserve"> </w:t>
      </w:r>
      <w:r>
        <w:t xml:space="preserve">1,391,500</w:t>
      </w:r>
      <w:r>
        <w:t xml:space="preserve"> </w:t>
      </w:r>
      <w:r>
        <w:t xml:space="preserve">1,506,204</w:t>
      </w:r>
      <w:r>
        <w:t xml:space="preserve"> </w:t>
      </w:r>
      <w:r>
        <w:t xml:space="preserve">1,566,146</w:t>
      </w:r>
      <w:r>
        <w:t xml:space="preserve"> </w:t>
      </w:r>
      <w:r>
        <w:t xml:space="preserve">1,627,858</w:t>
      </w:r>
      <w:r>
        <w:t xml:space="preserve"> </w:t>
      </w:r>
      <w:r>
        <w:t xml:space="preserve">2035</w:t>
      </w:r>
      <w:r>
        <w:t xml:space="preserve"> </w:t>
      </w:r>
      <w:r>
        <w:t xml:space="preserve">1,391,500</w:t>
      </w:r>
      <w:r>
        <w:t xml:space="preserve"> </w:t>
      </w:r>
      <w:r>
        <w:t xml:space="preserve">1,536,328</w:t>
      </w:r>
      <w:r>
        <w:t xml:space="preserve"> </w:t>
      </w:r>
      <w:r>
        <w:t xml:space="preserve">1,613,130</w:t>
      </w:r>
      <w:r>
        <w:t xml:space="preserve"> </w:t>
      </w:r>
      <w:r>
        <w:t xml:space="preserve">1,692,973</w:t>
      </w:r>
      <w:r>
        <w:t xml:space="preserve"> </w:t>
      </w:r>
      <w:r>
        <w:t xml:space="preserve">The projection based on announced and committed projects indicates an installed manufacturing</w:t>
      </w:r>
      <w:r>
        <w:t xml:space="preserve"> </w:t>
      </w:r>
      <w:r>
        <w:t xml:space="preserve">capacity of about 1.39 million wafers per month (300 mm equivalent) by 2030, representing an</w:t>
      </w:r>
      <w:r>
        <w:t xml:space="preserve"> </w:t>
      </w:r>
      <w:r>
        <w:t xml:space="preserve">overall increase of approximately 30 % compared with 2023.</w:t>
      </w:r>
      <w:r>
        <w:t xml:space="preserve"> </w:t>
      </w:r>
      <w:r>
        <w:t xml:space="preserve">When an organic growth factor of +2–4 % per year is applied from 2030 onwards to capture</w:t>
      </w:r>
      <w:r>
        <w:t xml:space="preserve"> </w:t>
      </w:r>
      <w:r>
        <w:t xml:space="preserve">incremental brownfield expansions and future, as yet unannounced, projects, the model yields</w:t>
      </w:r>
      <w:r>
        <w:t xml:space="preserve"> </w:t>
      </w:r>
      <w:r>
        <w:t xml:space="preserve">2035 capacity range of roughly 1.54–1.69 million wafers per month. This corresponds to an</w:t>
      </w:r>
      <w:r>
        <w:t xml:space="preserve"> </w:t>
      </w:r>
      <w:r>
        <w:t xml:space="preserve">additional 10–22 % increase beyond the level implied by the current investment pipeline.</w:t>
      </w:r>
      <w:r>
        <w:t xml:space="preserve"> </w:t>
      </w:r>
      <w:r>
        <w:t xml:space="preserve">Hence, given all the above assumptions hold, under the business-as-usual (BAU) scenario,</w:t>
      </w:r>
      <w:r>
        <w:t xml:space="preserve"> </w:t>
      </w:r>
      <w:r>
        <w:t xml:space="preserve">Europe’s installed semiconductor manufacturing capacity is expected to reach at least 1.39</w:t>
      </w:r>
      <w:r>
        <w:t xml:space="preserve"> </w:t>
      </w:r>
      <w:r>
        <w:t xml:space="preserve">million wafers per month by 2030, and between 1.54 and 1.69 million by 2035.</w:t>
      </w:r>
      <w:r>
        <w:t xml:space="preserve"> </w:t>
      </w:r>
      <w:r>
        <w:t xml:space="preserve">1.3.</w:t>
      </w:r>
      <w:r>
        <w:t xml:space="preserve"> </w:t>
      </w:r>
      <w:r>
        <w:t xml:space="preserve">EU positioning in the global value chain and EU value chain strength and</w:t>
      </w:r>
      <w:r>
        <w:t xml:space="preserve"> </w:t>
      </w:r>
      <w:r>
        <w:t xml:space="preserve">resilience</w:t>
      </w:r>
      <w:r>
        <w:t xml:space="preserve"> </w:t>
      </w:r>
      <w:r>
        <w:t xml:space="preserve">The integrated circuit (IC) or chip is, in broad terms, an amalgamation of transistors, which can</w:t>
      </w:r>
      <w:r>
        <w:t xml:space="preserve"> </w:t>
      </w:r>
      <w:r>
        <w:t xml:space="preserve">serve as either an electronically controlled switch or as a signal amplifier to perform a given</w:t>
      </w:r>
      <w:r>
        <w:t xml:space="preserve"> </w:t>
      </w:r>
      <w:r>
        <w:t xml:space="preserve">function. Since the invention of the IC in the 1950s, a central driver of the semiconductor</w:t>
      </w:r>
      <w:r>
        <w:t xml:space="preserve"> </w:t>
      </w:r>
      <w:r>
        <w:t xml:space="preserve">industry is the continuous push to increase the number of transistors that can be integrated onto a</w:t>
      </w:r>
      <w:r>
        <w:t xml:space="preserve"> </w:t>
      </w:r>
      <w:r>
        <w:t xml:space="preserve">single chip, either through the classical approach of transistor miniaturisation or more recently</w:t>
      </w:r>
      <w:r>
        <w:t xml:space="preserve"> </w:t>
      </w:r>
      <w:r>
        <w:t xml:space="preserve">through innovative packaging techniques such as chiplet architectures or three-dimensional</w:t>
      </w:r>
      <w:r>
        <w:t xml:space="preserve"> </w:t>
      </w:r>
      <w:r>
        <w:t xml:space="preserve">integration.</w:t>
      </w:r>
      <w:r>
        <w:t xml:space="preserve"> </w:t>
      </w:r>
      <w:r>
        <w:t xml:space="preserve">This trend has been made possible by the division of the industry into highly specialised</w:t>
      </w:r>
      <w:r>
        <w:t xml:space="preserve"> </w:t>
      </w:r>
      <w:r>
        <w:t xml:space="preserve">segments along the value chain, ranging from design and equipment manufacturing to</w:t>
      </w:r>
      <w:r>
        <w:t xml:space="preserve"> </w:t>
      </w:r>
      <w:r>
        <w:t xml:space="preserve">fabrication, packaging and testing. No single region controls all stages and firms operate through</w:t>
      </w:r>
      <w:r>
        <w:t xml:space="preserve"> </w:t>
      </w:r>
      <w:r>
        <w:t xml:space="preserve">complex, internationally dispersed networks that maximise expertise, efficiency and scale within</w:t>
      </w:r>
      <w:r>
        <w:t xml:space="preserve"> </w:t>
      </w:r>
      <w:r>
        <w:t xml:space="preserve">complementary but independent production stages. In fact, the semiconductor industry is a direct</w:t>
      </w:r>
    </w:p>
    <w:p>
      <w:pPr>
        <w:pStyle w:val="BodyText"/>
      </w:pPr>
      <w:r>
        <w:t xml:space="preserve">67</w:t>
      </w:r>
      <w:r>
        <w:t xml:space="preserve"> </w:t>
      </w:r>
      <w:r>
        <w:t xml:space="preserve">result of globalisation, with a chip travelling over 50,000 km and crossing international borders</w:t>
      </w:r>
      <w:r>
        <w:t xml:space="preserve"> </w:t>
      </w:r>
      <w:r>
        <w:t xml:space="preserve">over 70 times before reaching the end-customer (27). While globalisation and interdependence</w:t>
      </w:r>
      <w:r>
        <w:t xml:space="preserve"> </w:t>
      </w:r>
      <w:r>
        <w:t xml:space="preserve">have enabled rapid innovation, they have also created structural vulnerabilities, as disruptions in</w:t>
      </w:r>
      <w:r>
        <w:t xml:space="preserve"> </w:t>
      </w:r>
      <w:r>
        <w:t xml:space="preserve">any segment or geography can ripple across the entire ecosystem.</w:t>
      </w:r>
      <w:r>
        <w:br/>
      </w:r>
      <w:r>
        <w:t xml:space="preserve">Figure 14 shows the many stages of semiconductor production, that go from manufacturing</w:t>
      </w:r>
      <w:r>
        <w:t xml:space="preserve"> </w:t>
      </w:r>
      <w:r>
        <w:t xml:space="preserve">equipment, Intellectual Property (IP) to Electronic Design Automation (EDA) tools to raw</w:t>
      </w:r>
      <w:r>
        <w:t xml:space="preserve"> </w:t>
      </w:r>
      <w:r>
        <w:t xml:space="preserve">materials to the design and manufacturing of semiconductors including final assembly, test and</w:t>
      </w:r>
      <w:r>
        <w:t xml:space="preserve"> </w:t>
      </w:r>
      <w:r>
        <w:t xml:space="preserve">packaging.</w:t>
      </w:r>
      <w:r>
        <w:t xml:space="preserve"> </w:t>
      </w:r>
      <w:r>
        <w:t xml:space="preserve">The EU’s position in the semiconductor value chain is strongest in upstream segments,</w:t>
      </w:r>
      <w:r>
        <w:t xml:space="preserve"> </w:t>
      </w:r>
      <w:r>
        <w:t xml:space="preserve">particularly in manufacturing equipment and advanced materials. In lithography, ASML and its</w:t>
      </w:r>
      <w:r>
        <w:t xml:space="preserve"> </w:t>
      </w:r>
      <w:r>
        <w:t xml:space="preserve">key suppliers, including Zeiss and Trumpf, form a globally indispensable cluster. The Union also</w:t>
      </w:r>
      <w:r>
        <w:t xml:space="preserve"> </w:t>
      </w:r>
      <w:r>
        <w:t xml:space="preserve">hosts major players in back-end equipment such as Besi, EV Group, and SÜSS MicroTec, and is</w:t>
      </w:r>
      <w:r>
        <w:t xml:space="preserve"> </w:t>
      </w:r>
      <w:r>
        <w:t xml:space="preserve">home to leading producers of specialty chemicals including BASF, Merck, and Solvay, alongside</w:t>
      </w:r>
      <w:r>
        <w:t xml:space="preserve"> </w:t>
      </w:r>
      <w:r>
        <w:t xml:space="preserve">substrate manufacturers such as Siltronic and Soitec. The EU’s research landscape further</w:t>
      </w:r>
      <w:r>
        <w:t xml:space="preserve"> </w:t>
      </w:r>
      <w:r>
        <w:t xml:space="preserve">reinforces these strengths with institutions such as IMEC, CEA-Leti, Fraunhofer, VTT, Tyndall,</w:t>
      </w:r>
      <w:r>
        <w:t xml:space="preserve"> </w:t>
      </w:r>
      <w:r>
        <w:t xml:space="preserve">and SAL contributing to advanced expertise across multiple semiconductor technology domains.</w:t>
      </w:r>
      <w:r>
        <w:t xml:space="preserve"> </w:t>
      </w:r>
      <w:r>
        <w:t xml:space="preserve">Figure 14 - Semiconductor supply chain and leader companies by segment (28)</w:t>
      </w:r>
    </w:p>
    <w:p>
      <w:pPr>
        <w:pStyle w:val="BodyText"/>
      </w:pPr>
      <w:r>
        <w:t xml:space="preserve">The EU also maintains a solid base of integrated device manufacturers (IDMs) that design and</w:t>
      </w:r>
      <w:r>
        <w:t xml:space="preserve"> </w:t>
      </w:r>
      <w:r>
        <w:t xml:space="preserve">fabricate their own chips. Key firms include STMicroelectronics, Infineon, and NXP, followed</w:t>
      </w:r>
      <w:r>
        <w:t xml:space="preserve"> </w:t>
      </w:r>
      <w:r>
        <w:t xml:space="preserve">by Bosch, ams-Osram, and Elmos. Although the EU accounted for around 8% of global wafer-</w:t>
      </w:r>
      <w:r>
        <w:t xml:space="preserve"> </w:t>
      </w:r>
      <w:r>
        <w:t xml:space="preserve">fabrication capacity in 2023, its production is concentrated in relatively mature nodes for power</w:t>
      </w:r>
      <w:r>
        <w:t xml:space="preserve"> </w:t>
      </w:r>
      <w:r>
        <w:t xml:space="preserve">electronics, microcontrollers, sensors, and other application-specific chips serving sectors such</w:t>
      </w:r>
      <w:r>
        <w:t xml:space="preserve"> </w:t>
      </w:r>
      <w:r>
        <w:t xml:space="preserve">as automotive, industrial automation, and consumer appliances rather than in leading-edge</w:t>
      </w:r>
      <w:r>
        <w:t xml:space="preserve"> </w:t>
      </w:r>
      <w:r>
        <w:t xml:space="preserve">nodes. The latter can be found in applications such as smartphones, high-performance</w:t>
      </w:r>
    </w:p>
    <w:p>
      <w:pPr>
        <w:pStyle w:val="Compact"/>
        <w:numPr>
          <w:ilvl w:val="0"/>
          <w:numId w:val="1012"/>
        </w:numPr>
      </w:pPr>
      <w:r>
        <w:t xml:space="preserve">Chip Production’s Ecological Footprint: Mapping Climate and Environmental Impact</w:t>
      </w:r>
    </w:p>
    <w:p>
      <w:pPr>
        <w:pStyle w:val="Compact"/>
        <w:numPr>
          <w:ilvl w:val="0"/>
          <w:numId w:val="1012"/>
        </w:numPr>
      </w:pPr>
      <w:r>
        <w:t xml:space="preserve">Cerutti, I. and Nardo, M., Semiconductors in the EU, Publications Office of the European Union, Luxembourg, 2023,</w:t>
      </w:r>
      <w:r>
        <w:t xml:space="preserve"> </w:t>
      </w:r>
      <w:r>
        <w:t xml:space="preserve">doi:10.2760/038299, JRC133850.</w:t>
      </w:r>
    </w:p>
    <w:p>
      <w:pPr>
        <w:pStyle w:val="FirstParagraph"/>
      </w:pPr>
      <w:r>
        <w:t xml:space="preserve">68</w:t>
      </w:r>
      <w:r>
        <w:t xml:space="preserve"> </w:t>
      </w:r>
      <w:r>
        <w:t xml:space="preserve">computing, AI applications, 5G/6G infrastructure, or data centres. These advanced chips are</w:t>
      </w:r>
      <w:r>
        <w:t xml:space="preserve"> </w:t>
      </w:r>
      <w:r>
        <w:t xml:space="preserve">almost all manufactured in Taiwan (for logic chips) and Korea (memory chips) (29). Since 2025,</w:t>
      </w:r>
      <w:r>
        <w:t xml:space="preserve"> </w:t>
      </w:r>
      <w:r>
        <w:t xml:space="preserve">the US has secured its own leading-edge production capacity (30), with Japan expected to follow</w:t>
      </w:r>
      <w:r>
        <w:t xml:space="preserve"> </w:t>
      </w:r>
      <w:r>
        <w:t xml:space="preserve">soon (31). This is primarily because leading-edge chips are concentrated in applications such as</w:t>
      </w:r>
      <w:r>
        <w:t xml:space="preserve"> </w:t>
      </w:r>
      <w:r>
        <w:t xml:space="preserve">smartphones, high-performance computing, and data centres, sectors in which the EU has a</w:t>
      </w:r>
      <w:r>
        <w:t xml:space="preserve"> </w:t>
      </w:r>
      <w:r>
        <w:t xml:space="preserve">relatively limited industrial footprint. Currently, foundries fabricating at the leading edge are</w:t>
      </w:r>
      <w:r>
        <w:t xml:space="preserve"> </w:t>
      </w:r>
      <w:r>
        <w:t xml:space="preserve">largely based in Taiwan and South Korea, with the US ramping up its capacity. The EU has</w:t>
      </w:r>
      <w:r>
        <w:t xml:space="preserve"> </w:t>
      </w:r>
      <w:r>
        <w:t xml:space="preserve">limited leading-edge capacity with Intel in Leixlip, Ireland, that is currently reserved for Intel’s</w:t>
      </w:r>
      <w:r>
        <w:t xml:space="preserve"> </w:t>
      </w:r>
      <w:r>
        <w:t xml:space="preserve">internal purposes and is not serving as an open foundry.</w:t>
      </w:r>
      <w:r>
        <w:t xml:space="preserve"> </w:t>
      </w:r>
      <w:r>
        <w:t xml:space="preserve">What remains limited in the EU is a comprehensive chip design ecosystem that includes both</w:t>
      </w:r>
      <w:r>
        <w:t xml:space="preserve"> </w:t>
      </w:r>
      <w:r>
        <w:t xml:space="preserve">fabless design firms and large-scale foundries. Fabless companies, which design chips but</w:t>
      </w:r>
      <w:r>
        <w:t xml:space="preserve"> </w:t>
      </w:r>
      <w:r>
        <w:t xml:space="preserve">outsource their manufacturing, generate roughly half of global chip revenues, yet the EU</w:t>
      </w:r>
      <w:r>
        <w:t xml:space="preserve"> </w:t>
      </w:r>
      <w:r>
        <w:t xml:space="preserve">accounts for less than 1% of fabless revenues. The leading software tools and IP blocks needed</w:t>
      </w:r>
      <w:r>
        <w:t xml:space="preserve"> </w:t>
      </w:r>
      <w:r>
        <w:t xml:space="preserve">to design chips are of US origin. The EU, lacking globally leading fabless “design houses”</w:t>
      </w:r>
      <w:r>
        <w:t xml:space="preserve"> </w:t>
      </w:r>
      <w:r>
        <w:t xml:space="preserve">comparable to the major players in the US and Asia, misses the dense combination of big design</w:t>
      </w:r>
      <w:r>
        <w:t xml:space="preserve"> </w:t>
      </w:r>
      <w:r>
        <w:t xml:space="preserve">firms and open foundries that underpins advanced chips leadership elsewhere.</w:t>
      </w:r>
      <w:r>
        <w:br/>
      </w:r>
      <w:r>
        <w:t xml:space="preserve">As a result, the semiconductor value chain remains highly concentrated across a few global</w:t>
      </w:r>
      <w:r>
        <w:t xml:space="preserve"> </w:t>
      </w:r>
      <w:r>
        <w:t xml:space="preserve">regions, and the EU’s role, while critical upstream, depends on external partners for several</w:t>
      </w:r>
      <w:r>
        <w:t xml:space="preserve"> </w:t>
      </w:r>
      <w:r>
        <w:t xml:space="preserve">downstream and high-volume manufacturing stages, including for AI chips. The US and several</w:t>
      </w:r>
      <w:r>
        <w:t xml:space="preserve"> </w:t>
      </w:r>
      <w:r>
        <w:t xml:space="preserve">East Asian economies retain leading positions in chip design and leading-edge digital chip</w:t>
      </w:r>
      <w:r>
        <w:t xml:space="preserve"> </w:t>
      </w:r>
      <w:r>
        <w:t xml:space="preserve">manufacturing, while Taiwan and South Korea account for the majority of global leading-edge</w:t>
      </w:r>
      <w:r>
        <w:t xml:space="preserve"> </w:t>
      </w:r>
      <w:r>
        <w:t xml:space="preserve">wafer fabrication capacity. Japan remains a key supplier of essential materials and precision</w:t>
      </w:r>
      <w:r>
        <w:t xml:space="preserve"> </w:t>
      </w:r>
      <w:r>
        <w:t xml:space="preserve">components. Assembly, packaging, and testing activities are largely concentrated in China and</w:t>
      </w:r>
      <w:r>
        <w:t xml:space="preserve"> </w:t>
      </w:r>
      <w:r>
        <w:t xml:space="preserve">Southeast Asia, where significant high-volume back-end capacity has developed.</w:t>
      </w:r>
      <w:r>
        <w:br/>
      </w:r>
      <w:r>
        <w:t xml:space="preserve">OECD (2025) (32) explains that the semiconductor (chips) value chain can be broadly structured</w:t>
      </w:r>
      <w:r>
        <w:t xml:space="preserve"> </w:t>
      </w:r>
      <w:r>
        <w:t xml:space="preserve">into three principal stages: design, wafer fabrication, and assembly, testing, and packaging</w:t>
      </w:r>
      <w:r>
        <w:t xml:space="preserve"> </w:t>
      </w:r>
      <w:r>
        <w:t xml:space="preserve">(ATP). Each stage relies on specific inputs including wafers, manufacturing equipment, and</w:t>
      </w:r>
      <w:r>
        <w:t xml:space="preserve"> </w:t>
      </w:r>
      <w:r>
        <w:t xml:space="preserve">specialised materials provided by dedicated suppliers, and all are characterised by a strong</w:t>
      </w:r>
      <w:r>
        <w:t xml:space="preserve"> </w:t>
      </w:r>
      <w:r>
        <w:t xml:space="preserve">dependence on research and development (R&amp;D) to sustain technological progress and</w:t>
      </w:r>
      <w:r>
        <w:t xml:space="preserve"> </w:t>
      </w:r>
      <w:r>
        <w:t xml:space="preserve">competitiveness. The three stages can be further described as:</w:t>
      </w:r>
      <w:r>
        <w:br/>
      </w:r>
      <w:r>
        <w:t xml:space="preserve">•</w:t>
      </w:r>
      <w:r>
        <w:t xml:space="preserve"> </w:t>
      </w:r>
      <w:r>
        <w:t xml:space="preserve">Chip design is skill- and research-intensive, and increasingly capital-intensive, due to</w:t>
      </w:r>
      <w:r>
        <w:t xml:space="preserve"> </w:t>
      </w:r>
      <w:r>
        <w:t xml:space="preserve">the significant cost of electronic design automation (EDA) tools, intellectual property</w:t>
      </w:r>
      <w:r>
        <w:t xml:space="preserve"> </w:t>
      </w:r>
      <w:r>
        <w:t xml:space="preserve">(IP) blocks, verification environments and prototype testing. The complexity of state-of-</w:t>
      </w:r>
      <w:r>
        <w:t xml:space="preserve"> </w:t>
      </w:r>
      <w:r>
        <w:t xml:space="preserve">the-art designs requires substantial upfront investment and contributes to high barriers to</w:t>
      </w:r>
      <w:r>
        <w:t xml:space="preserve"> </w:t>
      </w:r>
      <w:r>
        <w:t xml:space="preserve">entry.</w:t>
      </w:r>
      <w:r>
        <w:t xml:space="preserve"> </w:t>
      </w:r>
      <w:r>
        <w:t xml:space="preserve">•</w:t>
      </w:r>
      <w:r>
        <w:t xml:space="preserve"> </w:t>
      </w:r>
      <w:r>
        <w:t xml:space="preserve">Wafer fabrication (front-end manufacturing) is capital-intensive, requiring advanced</w:t>
      </w:r>
      <w:r>
        <w:t xml:space="preserve"> </w:t>
      </w:r>
      <w:r>
        <w:t xml:space="preserve">equipment, cleanroom facilities, and economies of scale. It is also rooted in decades of</w:t>
      </w:r>
      <w:r>
        <w:t xml:space="preserve"> </w:t>
      </w:r>
      <w:r>
        <w:t xml:space="preserve">accumulated experience and high R&amp;D expenditure, which explains why the sector is</w:t>
      </w:r>
    </w:p>
    <w:p>
      <w:pPr>
        <w:pStyle w:val="Compact"/>
        <w:numPr>
          <w:ilvl w:val="0"/>
          <w:numId w:val="1013"/>
        </w:numPr>
      </w:pPr>
      <w:r>
        <w:t xml:space="preserve">https://www.oecd.org/content/dam/oecd/en/publications/reports/2025/12/the-chip-landscape_27ef5d87/02dbd028-en.pdf</w:t>
      </w:r>
      <w:r>
        <w:br/>
      </w:r>
    </w:p>
    <w:p>
      <w:pPr>
        <w:pStyle w:val="Compact"/>
        <w:numPr>
          <w:ilvl w:val="0"/>
          <w:numId w:val="1013"/>
        </w:numPr>
      </w:pPr>
      <w:r>
        <w:t xml:space="preserve">TSMC begins producing 4-nanometer chips in Arizona, Raimondo says | Reuters</w:t>
      </w:r>
    </w:p>
    <w:p>
      <w:pPr>
        <w:pStyle w:val="Compact"/>
        <w:numPr>
          <w:ilvl w:val="0"/>
          <w:numId w:val="1013"/>
        </w:numPr>
      </w:pPr>
      <w:r>
        <w:t xml:space="preserve">Rapidus Achieves Significant Milestone at its State-of-the-Art Foundry with Prototyping of Leading-Edge 2nm GAA</w:t>
      </w:r>
      <w:r>
        <w:t xml:space="preserve"> </w:t>
      </w:r>
      <w:r>
        <w:t xml:space="preserve">Transistors First prototypes successfully demonstrate electrical characteristics as the company continues to hit targets leading up</w:t>
      </w:r>
      <w:r>
        <w:t xml:space="preserve"> </w:t>
      </w:r>
      <w:r>
        <w:t xml:space="preserve">to 2027 mass-production - </w:t>
      </w:r>
      <w:r>
        <w:rPr>
          <w:rFonts w:hint="eastAsia"/>
        </w:rPr>
        <w:t xml:space="preserve">Rapidus株式会社</w:t>
      </w:r>
    </w:p>
    <w:p>
      <w:pPr>
        <w:pStyle w:val="Compact"/>
        <w:numPr>
          <w:ilvl w:val="0"/>
          <w:numId w:val="1013"/>
        </w:numPr>
      </w:pPr>
      <w:r>
        <w:t xml:space="preserve">OECD. (2025). Mapping the semiconductor value chain: Working towards identifying dependencies and vulnerabilities</w:t>
      </w:r>
      <w:r>
        <w:t xml:space="preserve"> </w:t>
      </w:r>
      <w:r>
        <w:t xml:space="preserve">(OECD Science, Technology and Industry Policy Papers No. 182). OECD Publishing.</w:t>
      </w:r>
    </w:p>
    <w:p>
      <w:pPr>
        <w:pStyle w:val="FirstParagraph"/>
      </w:pPr>
      <w:r>
        <w:t xml:space="preserve">69</w:t>
      </w:r>
      <w:r>
        <w:t xml:space="preserve"> </w:t>
      </w:r>
      <w:r>
        <w:t xml:space="preserve">highly concentrated and why catching up is particularly difficult for late entrants.</w:t>
      </w:r>
      <w:r>
        <w:t xml:space="preserve"> </w:t>
      </w:r>
      <w:r>
        <w:t xml:space="preserve">Sustaining competitiveness at leading-edge process nodes requires continuous</w:t>
      </w:r>
      <w:r>
        <w:t xml:space="preserve"> </w:t>
      </w:r>
      <w:r>
        <w:t xml:space="preserve">innovation, with firms such as Intel illustrating the challenges associated with keeping</w:t>
      </w:r>
      <w:r>
        <w:t xml:space="preserve"> </w:t>
      </w:r>
      <w:r>
        <w:t xml:space="preserve">pace with rapid innovation cycles.</w:t>
      </w:r>
      <w:r>
        <w:t xml:space="preserve"> </w:t>
      </w:r>
      <w:r>
        <w:t xml:space="preserve">•</w:t>
      </w:r>
      <w:r>
        <w:t xml:space="preserve"> </w:t>
      </w:r>
      <w:r>
        <w:t xml:space="preserve">Assembly, Test, and Packaging (ATP) (back-end manufacturing) is labour-intensive</w:t>
      </w:r>
      <w:r>
        <w:t xml:space="preserve"> </w:t>
      </w:r>
      <w:r>
        <w:t xml:space="preserve">and less automated, providing lower added value compared to the first two stages.</w:t>
      </w:r>
      <w:r>
        <w:t xml:space="preserve"> </w:t>
      </w:r>
      <w:r>
        <w:t xml:space="preserve">However, advances in heterogeneous integration and 2.5D/3D packaging have turned</w:t>
      </w:r>
      <w:r>
        <w:t xml:space="preserve"> </w:t>
      </w:r>
      <w:r>
        <w:t xml:space="preserve">ATP into an important source of differentiation in performance, energy efficiency and</w:t>
      </w:r>
      <w:r>
        <w:t xml:space="preserve"> </w:t>
      </w:r>
      <w:r>
        <w:t xml:space="preserve">miniaturisation. Moreover, advanced packaging requires close integration between front-</w:t>
      </w:r>
      <w:r>
        <w:t xml:space="preserve"> </w:t>
      </w:r>
      <w:r>
        <w:t xml:space="preserve">end and back-end processes, reinforcing interdependencies across the value chain.</w:t>
      </w:r>
      <w:r>
        <w:br/>
      </w:r>
      <w:r>
        <w:t xml:space="preserve">Figure 15. The Illustration of the chips value chain. Source: OECD, 2025.</w:t>
      </w:r>
    </w:p>
    <w:p>
      <w:pPr>
        <w:pStyle w:val="BodyText"/>
      </w:pPr>
      <w:r>
        <w:t xml:space="preserve">As illustrated in the figure above, the principal value chain stages are supported by upstream</w:t>
      </w:r>
      <w:r>
        <w:t xml:space="preserve"> </w:t>
      </w:r>
      <w:r>
        <w:t xml:space="preserve">segments such as chemicals and raw materials, wafers and substrates, and semiconductor</w:t>
      </w:r>
      <w:r>
        <w:t xml:space="preserve"> </w:t>
      </w:r>
      <w:r>
        <w:t xml:space="preserve">manufacturing equipment. The produced and packaged chips are then ready for downstream</w:t>
      </w:r>
      <w:r>
        <w:t xml:space="preserve"> </w:t>
      </w:r>
      <w:r>
        <w:t xml:space="preserve">integration and end-use applications.</w:t>
      </w:r>
    </w:p>
    <w:p>
      <w:pPr>
        <w:pStyle w:val="BodyText"/>
      </w:pPr>
      <w:r>
        <w:t xml:space="preserve">70</w:t>
      </w:r>
    </w:p>
    <w:p>
      <w:pPr>
        <w:pStyle w:val="BodyText"/>
      </w:pPr>
      <w:r>
        <w:t xml:space="preserve">1.3.1. Detailed analysis of semiconductor value chain</w:t>
      </w:r>
      <w:r>
        <w:t xml:space="preserve"> </w:t>
      </w:r>
      <w:r>
        <w:t xml:space="preserve">1.3.1.1 Electronic Design Automation</w:t>
      </w:r>
      <w:r>
        <w:br/>
      </w:r>
      <w:r>
        <w:t xml:space="preserve">Figure 16. EDA vendors market share 2024 Source: IDC</w:t>
      </w:r>
    </w:p>
    <w:p>
      <w:pPr>
        <w:pStyle w:val="BodyText"/>
      </w:pPr>
      <w:r>
        <w:t xml:space="preserve">Electronic Design Automation (EDA) tools are the software tools used to design chips. The</w:t>
      </w:r>
      <w:r>
        <w:t xml:space="preserve"> </w:t>
      </w:r>
      <w:r>
        <w:t xml:space="preserve">EDA Market is dominated by three vendors i.e. Synopsys (US), Cadence (US), and Siemens</w:t>
      </w:r>
      <w:r>
        <w:t xml:space="preserve"> </w:t>
      </w:r>
      <w:r>
        <w:t xml:space="preserve">EDA (EU). Data from 2024 shows that together they hold a market share north of 75%, the</w:t>
      </w:r>
      <w:r>
        <w:t xml:space="preserve"> </w:t>
      </w:r>
      <w:r>
        <w:t xml:space="preserve">acquisition of Ansys by Synopsys in 2025 takes this up to 80%.(33)</w:t>
      </w:r>
      <w:r>
        <w:br/>
      </w:r>
      <w:r>
        <w:t xml:space="preserve">Design automation software is not delivered as a single application but as an integrated suite of</w:t>
      </w:r>
      <w:r>
        <w:t xml:space="preserve"> </w:t>
      </w:r>
      <w:r>
        <w:t xml:space="preserve">specialised tools that, taken together, constitute the end-to-end “design flow” required to develop</w:t>
      </w:r>
      <w:r>
        <w:t xml:space="preserve"> </w:t>
      </w:r>
      <w:r>
        <w:t xml:space="preserve">an integrated circuit. This flow spans multiple stages and abstraction levels, including (i) front-</w:t>
      </w:r>
      <w:r>
        <w:t xml:space="preserve"> </w:t>
      </w:r>
      <w:r>
        <w:t xml:space="preserve">end design and verification (RTL development, simulation, formal verification, and static</w:t>
      </w:r>
      <w:r>
        <w:t xml:space="preserve"> </w:t>
      </w:r>
      <w:r>
        <w:t xml:space="preserve">checks), (ii) synthesis (translation of RTL into a gate-level netlist under timing, power and area</w:t>
      </w:r>
      <w:r>
        <w:t xml:space="preserve"> </w:t>
      </w:r>
      <w:r>
        <w:t xml:space="preserve">constraints), (iii) physical implementation (floorplanning, placement, clock-tree synthesis,</w:t>
      </w:r>
      <w:r>
        <w:t xml:space="preserve"> </w:t>
      </w:r>
      <w:r>
        <w:t xml:space="preserve">routing, and iterative optimisation), and (iv) sign-off analysis and physical verification (static</w:t>
      </w:r>
      <w:r>
        <w:t xml:space="preserve"> </w:t>
      </w:r>
      <w:r>
        <w:t xml:space="preserve">timing analysis with extracted parasitics across Process, Voltage, Temperature (PVT) corners,</w:t>
      </w:r>
      <w:r>
        <w:t xml:space="preserve"> </w:t>
      </w:r>
      <w:r>
        <w:t xml:space="preserve">signal-integrity analysis, power-integrity and reliability checks such as IR drop and</w:t>
      </w:r>
      <w:r>
        <w:t xml:space="preserve"> </w:t>
      </w:r>
      <w:r>
        <w:t xml:space="preserve">electromigration, and rule-deck-based ‘Design Rule Check’/’Layout versus Schematic’). The</w:t>
      </w:r>
      <w:r>
        <w:t xml:space="preserve"> </w:t>
      </w:r>
      <w:r>
        <w:t xml:space="preserve">outputs of each stage are used as inputs to subsequent stages; as a result, effective operation</w:t>
      </w:r>
      <w:r>
        <w:t xml:space="preserve"> </w:t>
      </w:r>
      <w:r>
        <w:t xml:space="preserve">depends on consistent constraints, compatible data models, and tight interoperability across</w:t>
      </w:r>
      <w:r>
        <w:t xml:space="preserve"> </w:t>
      </w:r>
      <w:r>
        <w:t xml:space="preserve">tools. In practice, the design process is iterative rather than linear, with repeated loops between</w:t>
      </w:r>
      <w:r>
        <w:t xml:space="preserve"> </w:t>
      </w:r>
      <w:r>
        <w:t xml:space="preserve">implementation and sign-off to resolve violations and converge on manufacturable results.</w:t>
      </w:r>
      <w:r>
        <w:t xml:space="preserve"> </w:t>
      </w:r>
      <w:r>
        <w:t xml:space="preserve">In practice, as attested by their market share, the three vendors exert total dominance over the</w:t>
      </w:r>
      <w:r>
        <w:t xml:space="preserve"> </w:t>
      </w:r>
      <w:r>
        <w:t xml:space="preserve">Western semiconductor design tool market since the remaining 20% is primarily held by</w:t>
      </w:r>
      <w:r>
        <w:t xml:space="preserve"> </w:t>
      </w:r>
      <w:r>
        <w:t xml:space="preserve">Empyrean Technology that is a China based EDA vendor. Empyrean targets Chinese companies</w:t>
      </w:r>
    </w:p>
    <w:p>
      <w:pPr>
        <w:pStyle w:val="Compact"/>
        <w:numPr>
          <w:ilvl w:val="0"/>
          <w:numId w:val="1014"/>
        </w:numPr>
      </w:pPr>
      <w:r>
        <w:t xml:space="preserve">Market share also considers revenues generated from simulation software.</w:t>
      </w:r>
      <w:r>
        <w:br/>
      </w:r>
      <w:r>
        <w:t xml:space="preserve">32%</w:t>
      </w:r>
      <w:r>
        <w:t xml:space="preserve"> </w:t>
      </w:r>
      <w:r>
        <w:t xml:space="preserve">5%</w:t>
      </w:r>
      <w:r>
        <w:t xml:space="preserve"> </w:t>
      </w:r>
      <w:r>
        <w:t xml:space="preserve">30%</w:t>
      </w:r>
      <w:r>
        <w:t xml:space="preserve"> </w:t>
      </w:r>
      <w:r>
        <w:t xml:space="preserve">17%</w:t>
      </w:r>
      <w:r>
        <w:t xml:space="preserve"> </w:t>
      </w:r>
      <w:r>
        <w:t xml:space="preserve">15%</w:t>
      </w:r>
      <w:r>
        <w:t xml:space="preserve"> </w:t>
      </w:r>
      <w:r>
        <w:t xml:space="preserve">1%</w:t>
      </w:r>
      <w:r>
        <w:t xml:space="preserve"> </w:t>
      </w:r>
      <w:r>
        <w:t xml:space="preserve">Synopsys (US)</w:t>
      </w:r>
      <w:r>
        <w:t xml:space="preserve"> </w:t>
      </w:r>
      <w:r>
        <w:t xml:space="preserve">ANSYS (US)</w:t>
      </w:r>
      <w:r>
        <w:t xml:space="preserve"> </w:t>
      </w:r>
      <w:r>
        <w:t xml:space="preserve">Cadence (US)</w:t>
      </w:r>
      <w:r>
        <w:t xml:space="preserve"> </w:t>
      </w:r>
      <w:r>
        <w:t xml:space="preserve">Other</w:t>
      </w:r>
      <w:r>
        <w:t xml:space="preserve"> </w:t>
      </w:r>
      <w:r>
        <w:t xml:space="preserve">Siemens EDA (EU)</w:t>
      </w:r>
      <w:r>
        <w:t xml:space="preserve"> </w:t>
      </w:r>
      <w:r>
        <w:t xml:space="preserve">Empyrean (PRC)</w:t>
      </w:r>
    </w:p>
    <w:p>
      <w:pPr>
        <w:pStyle w:val="FirstParagraph"/>
      </w:pPr>
      <w:r>
        <w:t xml:space="preserve">71</w:t>
      </w:r>
      <w:r>
        <w:t xml:space="preserve"> </w:t>
      </w:r>
      <w:r>
        <w:t xml:space="preserve">and is still catching up to the big three. Considering its Chinese ownership it also presents clear</w:t>
      </w:r>
      <w:r>
        <w:t xml:space="preserve"> </w:t>
      </w:r>
      <w:r>
        <w:t xml:space="preserve">economic security risks and is not a viable substitute for the three main vendors.</w:t>
      </w:r>
      <w:r>
        <w:br/>
      </w:r>
      <w:r>
        <w:t xml:space="preserve">The rest of the market share is split amongst smaller companies that cannot offer a complete</w:t>
      </w:r>
      <w:r>
        <w:t xml:space="preserve"> </w:t>
      </w:r>
      <w:r>
        <w:t xml:space="preserve">suite of tools for the development of chips, many of whom aspire to eventually be acquired by</w:t>
      </w:r>
      <w:r>
        <w:t xml:space="preserve"> </w:t>
      </w:r>
      <w:r>
        <w:t xml:space="preserve">one of the big three. Some open-source alternatives are emerging, although these are not suitable</w:t>
      </w:r>
      <w:r>
        <w:t xml:space="preserve"> </w:t>
      </w:r>
      <w:r>
        <w:t xml:space="preserve">for serious commercial chip designs and may only be reliably used for very mature technologies.</w:t>
      </w:r>
      <w:r>
        <w:br/>
      </w:r>
      <w:r>
        <w:t xml:space="preserve">1.3.1.2 Materials</w:t>
      </w:r>
      <w:r>
        <w:t xml:space="preserve"> </w:t>
      </w:r>
      <w:r>
        <w:t xml:space="preserve">1.3.1.2.1</w:t>
      </w:r>
      <w:r>
        <w:t xml:space="preserve"> </w:t>
      </w:r>
      <w:r>
        <w:t xml:space="preserve">Critical raw materials</w:t>
      </w:r>
      <w:r>
        <w:t xml:space="preserve"> </w:t>
      </w:r>
      <w:r>
        <w:t xml:space="preserve">The raw materials required for semiconductor manufacturing span almost the entire periodic</w:t>
      </w:r>
      <w:r>
        <w:t xml:space="preserve"> </w:t>
      </w:r>
      <w:r>
        <w:t xml:space="preserve">table and range from silicon, which is relatively abundant, to rare earth elements. According to</w:t>
      </w:r>
      <w:r>
        <w:t xml:space="preserve"> </w:t>
      </w:r>
      <w:r>
        <w:t xml:space="preserve">analysis by ZVEI, over the last thirty years the number of elements used in the semiconductor</w:t>
      </w:r>
      <w:r>
        <w:t xml:space="preserve"> </w:t>
      </w:r>
      <w:r>
        <w:t xml:space="preserve">industry has quadrupled. (34)</w:t>
      </w:r>
      <w:r>
        <w:t xml:space="preserve"> </w:t>
      </w:r>
      <w:r>
        <w:t xml:space="preserve">Figure 17. Elements used in the semiconductor industry, where coloured elements denote</w:t>
      </w:r>
      <w:r>
        <w:t xml:space="preserve"> </w:t>
      </w:r>
      <w:r>
        <w:t xml:space="preserve">use. Source: ZVEI(35).</w:t>
      </w:r>
    </w:p>
    <w:p>
      <w:pPr>
        <w:pStyle w:val="BodyText"/>
      </w:pPr>
      <w:r>
        <w:t xml:space="preserve">Key examples here include gallium (Ga) and germanium (Ge). These are metals that are not</w:t>
      </w:r>
      <w:r>
        <w:t xml:space="preserve"> </w:t>
      </w:r>
      <w:r>
        <w:t xml:space="preserve">found naturally. They are instead formed, usually as a by-product of the refineries of other</w:t>
      </w:r>
      <w:r>
        <w:t xml:space="preserve"> </w:t>
      </w:r>
      <w:r>
        <w:t xml:space="preserve">metals. Ge is formed as by-product of zinc and Ga is a by-product of processing bauxite and zinc</w:t>
      </w:r>
      <w:r>
        <w:t xml:space="preserve"> </w:t>
      </w:r>
      <w:r>
        <w:t xml:space="preserve">ores.</w:t>
      </w:r>
    </w:p>
    <w:p>
      <w:pPr>
        <w:pStyle w:val="Compact"/>
        <w:numPr>
          <w:ilvl w:val="0"/>
          <w:numId w:val="1015"/>
        </w:numPr>
      </w:pPr>
      <w:r>
        <w:t xml:space="preserve">Semiconductor-Strategy-for-Germany-and-Europe.pdf</w:t>
      </w:r>
    </w:p>
    <w:p>
      <w:pPr>
        <w:pStyle w:val="Compact"/>
        <w:numPr>
          <w:ilvl w:val="0"/>
          <w:numId w:val="1015"/>
        </w:numPr>
      </w:pPr>
      <w:r>
        <w:t xml:space="preserve">Semiconductor-Strategy-for-Germany-and-Europe | ZVEI Light blue indicates elements in use in the 1980s; Dark blue</w:t>
      </w:r>
      <w:r>
        <w:t xml:space="preserve"> </w:t>
      </w:r>
      <w:r>
        <w:t xml:space="preserve">indicates elements in use in the 1990s; Light red indicates elements in use in the 2000s; Dark red indicates elements in use in the</w:t>
      </w:r>
      <w:r>
        <w:t xml:space="preserve"> </w:t>
      </w:r>
      <w:r>
        <w:t xml:space="preserve">2010s.</w:t>
      </w:r>
    </w:p>
    <w:p>
      <w:pPr>
        <w:pStyle w:val="FirstParagraph"/>
      </w:pPr>
      <w:r>
        <w:t xml:space="preserve">72</w:t>
      </w:r>
      <w:r>
        <w:t xml:space="preserve"> </w:t>
      </w:r>
      <w:r>
        <w:t xml:space="preserve">35% of the gallium used in the EU is being refined in Germany, however raw gallium originates</w:t>
      </w:r>
      <w:r>
        <w:t xml:space="preserve"> </w:t>
      </w:r>
      <w:r>
        <w:t xml:space="preserve">from China, which holds 94% of the world’s production. (36)</w:t>
      </w:r>
      <w:r>
        <w:t xml:space="preserve"> </w:t>
      </w:r>
      <w:r>
        <w:t xml:space="preserve">For Gallium (Ga) it is known that about 70% of the material imported to the EU is used to</w:t>
      </w:r>
      <w:r>
        <w:t xml:space="preserve"> </w:t>
      </w:r>
      <w:r>
        <w:t xml:space="preserve">produce integrated circuits, 25% for lighting applications (mostly LED technology) and the rest</w:t>
      </w:r>
      <w:r>
        <w:t xml:space="preserve"> </w:t>
      </w:r>
      <w:r>
        <w:t xml:space="preserve">for photovoltaic technology. In the US the shares of Ga consumption are similar (74% for ICs,</w:t>
      </w:r>
      <w:r>
        <w:t xml:space="preserve"> </w:t>
      </w:r>
      <w:r>
        <w:t xml:space="preserve">the rest for LEDs and specific solar cells). However, increasingly Gallium is also being used in</w:t>
      </w:r>
      <w:r>
        <w:t xml:space="preserve"> </w:t>
      </w:r>
      <w:r>
        <w:t xml:space="preserve">power electronics.</w:t>
      </w:r>
      <w:r>
        <w:br/>
      </w:r>
      <w:r>
        <w:t xml:space="preserve">For Germanium (Ge) the main producer is China with 79% of world production followed by</w:t>
      </w:r>
      <w:r>
        <w:t xml:space="preserve"> </w:t>
      </w:r>
      <w:r>
        <w:t xml:space="preserve">United States (16%) and United Kingdom (3%). The main uses of Germanium in the EU are</w:t>
      </w:r>
      <w:r>
        <w:t xml:space="preserve"> </w:t>
      </w:r>
      <w:r>
        <w:t xml:space="preserve">infrared optics 52%, optical fibres 23% and satellite solar cells 12%. Ge supply appears to be</w:t>
      </w:r>
      <w:r>
        <w:t xml:space="preserve"> </w:t>
      </w:r>
      <w:r>
        <w:t xml:space="preserve">less of an issue as diversification of sources is simpler compared to Gallium.</w:t>
      </w:r>
      <w:r>
        <w:br/>
      </w:r>
      <w:r>
        <w:t xml:space="preserve">Gallium is used in the industry mainly to make compound semiconductors, crucial for RF,</w:t>
      </w:r>
      <w:r>
        <w:t xml:space="preserve"> </w:t>
      </w:r>
      <w:r>
        <w:t xml:space="preserve">power and optoelectronics. Gallium Arsenide (GaAs) and Indium Gallium Arsenide (InGaAs)</w:t>
      </w:r>
      <w:r>
        <w:t xml:space="preserve"> </w:t>
      </w:r>
      <w:r>
        <w:t xml:space="preserve">are some of the most widely used and researched III-V compound semiconductors. For example,</w:t>
      </w:r>
      <w:r>
        <w:t xml:space="preserve"> </w:t>
      </w:r>
      <w:r>
        <w:t xml:space="preserve">Gallium arsenide (GaAs) is used for high-frequency RF chips, especially power amplifiers</w:t>
      </w:r>
      <w:r>
        <w:t xml:space="preserve"> </w:t>
      </w:r>
      <w:r>
        <w:t xml:space="preserve">and low-noise components in wireless communications. Gallium nitride (GaN) is used for</w:t>
      </w:r>
      <w:r>
        <w:t xml:space="preserve"> </w:t>
      </w:r>
      <w:r>
        <w:t xml:space="preserve">high-power and high-voltage devices, including power conversion (e.g., chargers, data-centre</w:t>
      </w:r>
      <w:r>
        <w:t xml:space="preserve"> </w:t>
      </w:r>
      <w:r>
        <w:t xml:space="preserve">power supplies) and RF power devices (e.g., telecom infrastructure). Importantly, GaN is a</w:t>
      </w:r>
      <w:r>
        <w:t xml:space="preserve"> </w:t>
      </w:r>
      <w:r>
        <w:t xml:space="preserve">potential substitute for Silicon Carbide (SiC) in next generation power devices. Gallium-based</w:t>
      </w:r>
      <w:r>
        <w:t xml:space="preserve"> </w:t>
      </w:r>
      <w:r>
        <w:t xml:space="preserve">optoelectronics is used in LEDs and laser diodes, since these materials emit light efficiently.</w:t>
      </w:r>
      <w:r>
        <w:t xml:space="preserve"> </w:t>
      </w:r>
      <w:r>
        <w:t xml:space="preserve">Germanium is used in semiconductors mainly in three areas. For example, SiGe (silicon–</w:t>
      </w:r>
      <w:r>
        <w:t xml:space="preserve"> </w:t>
      </w:r>
      <w:r>
        <w:t xml:space="preserve">germanium) chips are widely used for high-frequency analogue/RF (e.g., telecoms, radar,</w:t>
      </w:r>
      <w:r>
        <w:t xml:space="preserve"> </w:t>
      </w:r>
      <w:r>
        <w:t xml:space="preserve">automotive sensing) since it improves transistor performance. Germanium is also crucial for</w:t>
      </w:r>
      <w:r>
        <w:t xml:space="preserve"> </w:t>
      </w:r>
      <w:r>
        <w:t xml:space="preserve">silicon photonics and is used for on-chip photodetectors for fibre-optic wavelengths.</w:t>
      </w:r>
      <w:r>
        <w:t xml:space="preserve"> </w:t>
      </w:r>
      <w:r>
        <w:t xml:space="preserve">Additionally, this compound has been used as growth material for transistors contacts since at</w:t>
      </w:r>
      <w:r>
        <w:t xml:space="preserve"> </w:t>
      </w:r>
      <w:r>
        <w:t xml:space="preserve">least the 28nm technology node and as channel material for the 5nm node (37), making it a</w:t>
      </w:r>
      <w:r>
        <w:t xml:space="preserve"> </w:t>
      </w:r>
      <w:r>
        <w:t xml:space="preserve">strategically critical element in leading edge technologies. Europe’s Umicore is a large player in</w:t>
      </w:r>
      <w:r>
        <w:t xml:space="preserve"> </w:t>
      </w:r>
      <w:r>
        <w:t xml:space="preserve">both Germanium and Gallium refining and recycling.</w:t>
      </w:r>
    </w:p>
    <w:p>
      <w:pPr>
        <w:pStyle w:val="Compact"/>
        <w:numPr>
          <w:ilvl w:val="0"/>
          <w:numId w:val="1016"/>
        </w:numPr>
      </w:pPr>
      <w:r>
        <w:t xml:space="preserve">Cerutti, I., &amp; Nardo, M. (2023). Semiconductors in the EU: State of play, future trends and vulnerabilities of the</w:t>
      </w:r>
      <w:r>
        <w:t xml:space="preserve"> </w:t>
      </w:r>
      <w:r>
        <w:t xml:space="preserve">semiconductor supply chain (JRC133850, EUR 31625 EN). Luxembourg: Publications Office of the European Union.</w:t>
      </w:r>
      <w:r>
        <w:t xml:space="preserve"> </w:t>
      </w:r>
      <w:r>
        <w:t xml:space="preserve">https://doi.org/10.2760/038299</w:t>
      </w:r>
    </w:p>
    <w:p>
      <w:pPr>
        <w:pStyle w:val="Compact"/>
        <w:numPr>
          <w:ilvl w:val="0"/>
          <w:numId w:val="1016"/>
        </w:numPr>
      </w:pPr>
      <w:r>
        <w:t xml:space="preserve">The channel is the “active” part of a transistor and this was the first time a channel was not made in pure Silicon.</w:t>
      </w:r>
      <w:r>
        <w:t xml:space="preserve"> </w:t>
      </w:r>
      <w:r>
        <w:t xml:space="preserve">https://fuse.wikichip.org/news/3398/tsmc-details-5-nm/</w:t>
      </w:r>
    </w:p>
    <w:p>
      <w:pPr>
        <w:pStyle w:val="FirstParagraph"/>
      </w:pPr>
      <w:r>
        <w:t xml:space="preserve">73</w:t>
      </w:r>
      <w:r>
        <w:t xml:space="preserve"> </w:t>
      </w:r>
      <w:r>
        <w:t xml:space="preserve">Figure 18. Critical raw materials in the semiconductor industry. Source: McKinsey</w:t>
      </w:r>
    </w:p>
    <w:p>
      <w:pPr>
        <w:pStyle w:val="BodyText"/>
      </w:pPr>
      <w:r>
        <w:t xml:space="preserve">The examples of gallium and germanium are crucial since Chinese dominance over these</w:t>
      </w:r>
      <w:r>
        <w:t xml:space="preserve"> </w:t>
      </w:r>
      <w:r>
        <w:t xml:space="preserve">materials have resulted in the introduction of export controls on gallium and germanium (and</w:t>
      </w:r>
      <w:r>
        <w:t xml:space="preserve"> </w:t>
      </w:r>
      <w:r>
        <w:t xml:space="preserve">related compounds) from 1 August 2023, (38) requiring exporters to obtain licences. The measure</w:t>
      </w:r>
      <w:r>
        <w:t xml:space="preserve"> </w:t>
      </w:r>
      <w:r>
        <w:t xml:space="preserve">is widely understood to be part of ongoing geopolitical rivalries and trade confrontation and is</w:t>
      </w:r>
      <w:r>
        <w:t xml:space="preserve"> </w:t>
      </w:r>
      <w:r>
        <w:t xml:space="preserve">viewed as a response to the tightening of restrictions on China’s access to advanced</w:t>
      </w:r>
      <w:r>
        <w:t xml:space="preserve"> </w:t>
      </w:r>
      <w:r>
        <w:t xml:space="preserve">semiconductor manufacturing equipment and know-how, including lithography-related controls.</w:t>
      </w:r>
      <w:r>
        <w:t xml:space="preserve"> </w:t>
      </w:r>
      <w:r>
        <w:t xml:space="preserve">These export controls have resulted in prices for these raw materials to increase by around 20%.</w:t>
      </w:r>
      <w:r>
        <w:t xml:space="preserve"> </w:t>
      </w:r>
      <w:r>
        <w:t xml:space="preserve">(39)</w:t>
      </w:r>
      <w:r>
        <w:br/>
      </w:r>
      <w:r>
        <w:t xml:space="preserve">1.3.1.2.2</w:t>
      </w:r>
      <w:r>
        <w:t xml:space="preserve"> </w:t>
      </w:r>
      <w:r>
        <w:t xml:space="preserve">Compound semiconductor Substrates/Epiwafers</w:t>
      </w:r>
      <w:r>
        <w:t xml:space="preserve"> </w:t>
      </w:r>
      <w:r>
        <w:t xml:space="preserve">The compound semiconductor substrate supply chain is highly concentrated and regionally</w:t>
      </w:r>
      <w:r>
        <w:t xml:space="preserve"> </w:t>
      </w:r>
      <w:r>
        <w:t xml:space="preserve">segmented, with leading players clustered in a small number of countries and individual firms</w:t>
      </w:r>
      <w:r>
        <w:t xml:space="preserve"> </w:t>
      </w:r>
      <w:r>
        <w:t xml:space="preserve">specialising by material type.</w:t>
      </w:r>
      <w:r>
        <w:br/>
      </w:r>
      <w:r>
        <w:t xml:space="preserve">The Yole Intelligence mapping of leading players worldwide in compound semiconductor</w:t>
      </w:r>
      <w:r>
        <w:t xml:space="preserve"> </w:t>
      </w:r>
      <w:r>
        <w:t xml:space="preserve">substrates highlights that Europe’s visible footprint in substrates is relatively narrow, with</w:t>
      </w:r>
      <w:r>
        <w:t xml:space="preserve"> </w:t>
      </w:r>
      <w:r>
        <w:t xml:space="preserve">Freiberger Compound Materials (EU) identified for GaAs and InP substrate, both elements</w:t>
      </w:r>
      <w:r>
        <w:t xml:space="preserve"> </w:t>
      </w:r>
      <w:r>
        <w:t xml:space="preserve">crucial for the photonics industry. A larger share of the global supplier base sits in the United</w:t>
      </w:r>
      <w:r>
        <w:t xml:space="preserve"> </w:t>
      </w:r>
      <w:r>
        <w:t xml:space="preserve">States (e.g., Wolfspeed, Coherent/II-VI, SK siltron CSS, AXT) and East Asia, including</w:t>
      </w:r>
      <w:r>
        <w:t xml:space="preserve"> </w:t>
      </w:r>
      <w:r>
        <w:t xml:space="preserve">Japan (e.g., Sumitomo Electric, Resonac, SiCrystal (ROHM group), JX Nippon Mining &amp;</w:t>
      </w:r>
      <w:r>
        <w:t xml:space="preserve"> </w:t>
      </w:r>
      <w:r>
        <w:t xml:space="preserve">Metals), China (e.g., SICC, Tankeblue, Vital), and Taiwan (e.g., GlobalWafers, Hermes-</w:t>
      </w:r>
      <w:r>
        <w:t xml:space="preserve"> </w:t>
      </w:r>
      <w:r>
        <w:t xml:space="preserve">Epitek). (40)</w:t>
      </w:r>
      <w:r>
        <w:br/>
      </w:r>
      <w:r>
        <w:t xml:space="preserve">However, Europe’s exposure in SiC substrates is partially mitigated by the growing vertical</w:t>
      </w:r>
      <w:r>
        <w:t xml:space="preserve"> </w:t>
      </w:r>
      <w:r>
        <w:t xml:space="preserve">integration of certain IDMs. In particular, STMicroelectronics is building in-house SiC</w:t>
      </w:r>
      <w:r>
        <w:t xml:space="preserve"> </w:t>
      </w:r>
      <w:r>
        <w:t xml:space="preserve">substrate capacity in Catania (Italy) within its vertically integrated “Silicon Carbide Campus”,</w:t>
      </w:r>
      <w:r>
        <w:t xml:space="preserve"> </w:t>
      </w:r>
      <w:r>
        <w:t xml:space="preserve">supported by a EUR 2 billion Italian state-aid measure approved under the EU Chips Act</w:t>
      </w:r>
    </w:p>
    <w:p>
      <w:pPr>
        <w:pStyle w:val="Compact"/>
        <w:numPr>
          <w:ilvl w:val="0"/>
          <w:numId w:val="1017"/>
        </w:numPr>
      </w:pPr>
      <w:r>
        <w:t xml:space="preserve">Yole, Status of the Compound Semiconductor Industry 2024</w:t>
      </w:r>
    </w:p>
    <w:p>
      <w:pPr>
        <w:pStyle w:val="Compact"/>
        <w:numPr>
          <w:ilvl w:val="0"/>
          <w:numId w:val="1017"/>
        </w:numPr>
      </w:pPr>
      <w:r>
        <w:t xml:space="preserve">Yole, Status of the Compound Semiconductor Industry 2024</w:t>
      </w:r>
    </w:p>
    <w:p>
      <w:pPr>
        <w:pStyle w:val="Compact"/>
        <w:numPr>
          <w:ilvl w:val="0"/>
          <w:numId w:val="1017"/>
        </w:numPr>
      </w:pPr>
      <w:r>
        <w:t xml:space="preserve">Yole, Status of the Compound Semiconductor Industry 2024</w:t>
      </w:r>
    </w:p>
    <w:p>
      <w:pPr>
        <w:pStyle w:val="FirstParagraph"/>
      </w:pPr>
      <w:r>
        <w:t xml:space="preserve">74</w:t>
      </w:r>
      <w:r>
        <w:t xml:space="preserve"> </w:t>
      </w:r>
      <w:r>
        <w:t xml:space="preserve">framework. In addition, onsemi is expanding SiC-related capacity at Rožnov (Czechia),</w:t>
      </w:r>
      <w:r>
        <w:t xml:space="preserve"> </w:t>
      </w:r>
      <w:r>
        <w:t xml:space="preserve">backed by a €450 million Czech state-aid measure likewise approved in line with the</w:t>
      </w:r>
      <w:r>
        <w:t xml:space="preserve"> </w:t>
      </w:r>
      <w:r>
        <w:t xml:space="preserve">objectives of the Chips Act. (41)</w:t>
      </w:r>
      <w:r>
        <w:t xml:space="preserve"> </w:t>
      </w:r>
      <w:r>
        <w:t xml:space="preserve">Therefore, while Europe does not have significant substrate suppliers, it has significant substrate</w:t>
      </w:r>
      <w:r>
        <w:t xml:space="preserve"> </w:t>
      </w:r>
      <w:r>
        <w:t xml:space="preserve">manufacturing cability as part of vertically integrated IDMs.</w:t>
      </w:r>
      <w:r>
        <w:t xml:space="preserve"> </w:t>
      </w:r>
      <w:r>
        <w:t xml:space="preserve">The epiwafer segment sits immediately downstream of substrates. Here, suppliers take a base</w:t>
      </w:r>
      <w:r>
        <w:t xml:space="preserve"> </w:t>
      </w:r>
      <w:r>
        <w:t xml:space="preserve">substrate (e.g., SiC, GaAs, InP, GaN-on-SiC) and grow epitaxial layers that determine device</w:t>
      </w:r>
      <w:r>
        <w:t xml:space="preserve"> </w:t>
      </w:r>
      <w:r>
        <w:t xml:space="preserve">performance. This step is a critical dependency point since epitaxy is highly process-sensitive</w:t>
      </w:r>
      <w:r>
        <w:t xml:space="preserve"> </w:t>
      </w:r>
      <w:r>
        <w:t xml:space="preserve">and qualification-heavy, making supplier switching slow and costly.</w:t>
      </w:r>
      <w:r>
        <w:t xml:space="preserve"> </w:t>
      </w:r>
      <w:r>
        <w:t xml:space="preserve">Based on Yole Intelligence’s mapping of leading epiwafer players, the EU’s identifiable</w:t>
      </w:r>
      <w:r>
        <w:t xml:space="preserve"> </w:t>
      </w:r>
      <w:r>
        <w:t xml:space="preserve">merchant epiwafer footprint includes Soitec (France) and Azur Space (Germany), alongside</w:t>
      </w:r>
      <w:r>
        <w:t xml:space="preserve"> </w:t>
      </w:r>
      <w:r>
        <w:t xml:space="preserve">smaller specialised actors (e.g., Allos for uLED GaN-related activity). In contrast, a substantial</w:t>
      </w:r>
      <w:r>
        <w:t xml:space="preserve"> </w:t>
      </w:r>
      <w:r>
        <w:t xml:space="preserve">portion of global capability is concentrated outside the EU, particularly in Japan (e.g.,</w:t>
      </w:r>
      <w:r>
        <w:t xml:space="preserve"> </w:t>
      </w:r>
      <w:r>
        <w:t xml:space="preserve">Sumitomo Electric and other major materials houses), Taiwan (a dense epiwafer ecosystem</w:t>
      </w:r>
      <w:r>
        <w:t xml:space="preserve"> </w:t>
      </w:r>
      <w:r>
        <w:t xml:space="preserve">spanning several III–V platforms), the United States (e.g. Wolfspeed), and China (Enkris</w:t>
      </w:r>
      <w:r>
        <w:t xml:space="preserve"> </w:t>
      </w:r>
      <w:r>
        <w:t xml:space="preserve">Semiconductor, Epiworld), with suppliers covering SiC, GaN variants (GaN-on-Si, GaN-on-</w:t>
      </w:r>
      <w:r>
        <w:t xml:space="preserve"> </w:t>
      </w:r>
      <w:r>
        <w:t xml:space="preserve">SiC, GaN-on-sapphire), and GaAs/InP platforms. (42)</w:t>
      </w:r>
      <w:r>
        <w:br/>
      </w:r>
      <w:r>
        <w:t xml:space="preserve">1.3.1.3 Ultra-high-purity process gases and chemicals</w:t>
      </w:r>
      <w:r>
        <w:br/>
      </w:r>
      <w:r>
        <w:t xml:space="preserve">1.3.1.3.1</w:t>
      </w:r>
      <w:r>
        <w:t xml:space="preserve"> </w:t>
      </w:r>
      <w:r>
        <w:t xml:space="preserve">Gases</w:t>
      </w:r>
      <w:r>
        <w:t xml:space="preserve"> </w:t>
      </w:r>
      <w:r>
        <w:t xml:space="preserve">Europe’s semiconductor manufacturing ecosystem depends on a broad set of ultra-high-purity</w:t>
      </w:r>
      <w:r>
        <w:t xml:space="preserve"> </w:t>
      </w:r>
      <w:r>
        <w:t xml:space="preserve">process gases and precursors that enable thin-film deposition, patterning (etch), doping, chamber</w:t>
      </w:r>
      <w:r>
        <w:t xml:space="preserve"> </w:t>
      </w:r>
      <w:r>
        <w:t xml:space="preserve">cleaning, and surface/interface treatments, including lithography-support gases used for</w:t>
      </w:r>
      <w:r>
        <w:t xml:space="preserve"> </w:t>
      </w:r>
      <w:r>
        <w:t xml:space="preserve">scanner/track purging and post-lithography resist processing. While several baseline gases</w:t>
      </w:r>
      <w:r>
        <w:t xml:space="preserve"> </w:t>
      </w:r>
      <w:r>
        <w:t xml:space="preserve">remain manufactured within Europe, the EU is structurally dependent on external supply for</w:t>
      </w:r>
      <w:r>
        <w:t xml:space="preserve"> </w:t>
      </w:r>
      <w:r>
        <w:t xml:space="preserve">many of the most critical electronics specialty gases. This dependency is significant because</w:t>
      </w:r>
      <w:r>
        <w:t xml:space="preserve"> </w:t>
      </w:r>
      <w:r>
        <w:t xml:space="preserve">semiconductor production is serial and qualification-bound: the absence of a single qualified</w:t>
      </w:r>
      <w:r>
        <w:t xml:space="preserve"> </w:t>
      </w:r>
      <w:r>
        <w:t xml:space="preserve">molecule at the required purity, packaging, and delivery specification can halt an entire process</w:t>
      </w:r>
      <w:r>
        <w:t xml:space="preserve"> </w:t>
      </w:r>
      <w:r>
        <w:t xml:space="preserve">module and disrupt the operations of a whole fab.</w:t>
      </w:r>
      <w:r>
        <w:t xml:space="preserve"> </w:t>
      </w:r>
      <w:r>
        <w:t xml:space="preserve">1.3.1.3.1.1 Gases manufactured within Europe and principal functions</w:t>
      </w:r>
      <w:r>
        <w:t xml:space="preserve"> </w:t>
      </w:r>
      <w:r>
        <w:t xml:space="preserve">European production continues to cover a subset of widely used enabling gases, primarily</w:t>
      </w:r>
      <w:r>
        <w:t xml:space="preserve"> </w:t>
      </w:r>
      <w:r>
        <w:t xml:space="preserve">supporting deposition, etch, and process conditioning. These include ammonia (NH₃) for nitride</w:t>
      </w:r>
      <w:r>
        <w:t xml:space="preserve"> </w:t>
      </w:r>
      <w:r>
        <w:t xml:space="preserve">deposition and nitridation; chlorine (Cl₂) and hydrogen chloride (HCl) for etch, cleaning, and</w:t>
      </w:r>
      <w:r>
        <w:t xml:space="preserve"> </w:t>
      </w:r>
      <w:r>
        <w:t xml:space="preserve">epitaxy process control; nitrous oxide (N₂O) and nitric oxide (NO) for oxide/oxynitride</w:t>
      </w:r>
      <w:r>
        <w:t xml:space="preserve"> </w:t>
      </w:r>
      <w:r>
        <w:t xml:space="preserve">formation and interface engineering; and sulphur hexafluoride (SF₆) for silicon etch (including</w:t>
      </w:r>
      <w:r>
        <w:t xml:space="preserve"> </w:t>
      </w:r>
      <w:r>
        <w:t xml:space="preserve">isotropic and MEMS applications). In addition, certain hydrocarbons (CH₄, C₂H₄, C₃H₈, C₃H₆)</w:t>
      </w:r>
      <w:r>
        <w:t xml:space="preserve"> </w:t>
      </w:r>
      <w:r>
        <w:t xml:space="preserve">are used as carbon sources for specialised films (e.g., hardmasks and carbon-doped layers), while</w:t>
      </w:r>
      <w:r>
        <w:t xml:space="preserve"> </w:t>
      </w:r>
      <w:r>
        <w:t xml:space="preserve">CO and SO₂ may appear in niche plasma or surface-chemistry contexts. Overall, domestic</w:t>
      </w:r>
      <w:r>
        <w:t xml:space="preserve"> </w:t>
      </w:r>
      <w:r>
        <w:t xml:space="preserve">availability exists for several important gases; however, these are often comparatively</w:t>
      </w:r>
    </w:p>
    <w:p>
      <w:pPr>
        <w:pStyle w:val="Compact"/>
        <w:numPr>
          <w:ilvl w:val="0"/>
          <w:numId w:val="1018"/>
        </w:numPr>
      </w:pPr>
      <w:r>
        <w:t xml:space="preserve">Commission approves €450 million Czech State aid for Onsemi’s new semiconductor manufacturing facili</w:t>
      </w:r>
    </w:p>
    <w:p>
      <w:pPr>
        <w:pStyle w:val="Compact"/>
        <w:numPr>
          <w:ilvl w:val="0"/>
          <w:numId w:val="1018"/>
        </w:numPr>
      </w:pPr>
      <w:r>
        <w:t xml:space="preserve">Yole, Status of the Compound Semiconductor Industry 2024</w:t>
      </w:r>
    </w:p>
    <w:p>
      <w:pPr>
        <w:pStyle w:val="FirstParagraph"/>
      </w:pPr>
      <w:r>
        <w:t xml:space="preserve">75</w:t>
      </w:r>
      <w:r>
        <w:t xml:space="preserve"> </w:t>
      </w:r>
      <w:r>
        <w:t xml:space="preserve">standardised and, in many cases, less distinctive for advanced-node capability than gasses for</w:t>
      </w:r>
      <w:r>
        <w:t xml:space="preserve"> </w:t>
      </w:r>
      <w:r>
        <w:t xml:space="preserve">dopants, high-value deposition precursors, and critical etch/clean.</w:t>
      </w:r>
      <w:r>
        <w:t xml:space="preserve"> </w:t>
      </w:r>
      <w:r>
        <w:t xml:space="preserve">1.3.1.3.1.2 Gases predominantly sourced from outside Europe and principal</w:t>
      </w:r>
      <w:r>
        <w:t xml:space="preserve"> </w:t>
      </w:r>
      <w:r>
        <w:t xml:space="preserve">functions</w:t>
      </w:r>
      <w:r>
        <w:t xml:space="preserve"> </w:t>
      </w:r>
      <w:r>
        <w:t xml:space="preserve">Europe’s most material external dependencies are concentrated on molecules that are tightly</w:t>
      </w:r>
      <w:r>
        <w:t xml:space="preserve"> </w:t>
      </w:r>
      <w:r>
        <w:t xml:space="preserve">coupled to transistor formation, materials integration, and equipment availability:</w:t>
      </w:r>
      <w:r>
        <w:t xml:space="preserve"> </w:t>
      </w:r>
      <w:r>
        <w:t xml:space="preserve">• Dopant gases and diffusion sources: arsine (AsH₃), phosphine (PH₃), diborane (B₂H₆) and</w:t>
      </w:r>
      <w:r>
        <w:t xml:space="preserve"> </w:t>
      </w:r>
      <w:r>
        <w:t xml:space="preserve">related boron chemistries (BBr₃, BF₃), as well as POCl₃, underpin formation of n-type</w:t>
      </w:r>
      <w:r>
        <w:t xml:space="preserve"> </w:t>
      </w:r>
      <w:r>
        <w:t xml:space="preserve">and p-type regions and diffusion processes. (43) These inputs are not readily substitutable;</w:t>
      </w:r>
      <w:r>
        <w:t xml:space="preserve"> </w:t>
      </w:r>
      <w:r>
        <w:t xml:space="preserve">alternative sourcing typically requires extensive requalification and may present yield</w:t>
      </w:r>
      <w:r>
        <w:t xml:space="preserve"> </w:t>
      </w:r>
      <w:r>
        <w:t xml:space="preserve">and reliability risk.</w:t>
      </w:r>
      <w:r>
        <w:t xml:space="preserve"> </w:t>
      </w:r>
      <w:r>
        <w:t xml:space="preserve">• Deposition precursors: silane (SiH₄), (44) disilane (Si₂H₆), chlorosilanes (DCS/TCS) and</w:t>
      </w:r>
      <w:r>
        <w:t xml:space="preserve"> </w:t>
      </w:r>
      <w:r>
        <w:t xml:space="preserve">SiCl₄, tetraethyl orthosilicate (TEOS), trimethylsilane (TMS), germane (GeH₄) and WF₆</w:t>
      </w:r>
      <w:r>
        <w:t xml:space="preserve"> </w:t>
      </w:r>
      <w:r>
        <w:t xml:space="preserve">enable deposition of key silicon, dielectric, SiGe/Ge, and tungsten films. Disruption can</w:t>
      </w:r>
      <w:r>
        <w:t xml:space="preserve"> </w:t>
      </w:r>
      <w:r>
        <w:t xml:space="preserve">halt deposition modules and create cascading effects on work-in-progress wafers and</w:t>
      </w:r>
      <w:r>
        <w:t xml:space="preserve"> </w:t>
      </w:r>
      <w:r>
        <w:t xml:space="preserve">cycle time.</w:t>
      </w:r>
      <w:r>
        <w:t xml:space="preserve"> </w:t>
      </w:r>
      <w:r>
        <w:t xml:space="preserve">• Etch and chamber-clean gases: HF (oxide removal), HBr (anisotropic silicon/polysilicon</w:t>
      </w:r>
      <w:r>
        <w:t xml:space="preserve"> </w:t>
      </w:r>
      <w:r>
        <w:t xml:space="preserve">etch), NF₃ (remote plasma cleaning), F₂/ClF₃ (aggressive cleaning/fluorination), and</w:t>
      </w:r>
      <w:r>
        <w:t xml:space="preserve"> </w:t>
      </w:r>
      <w:r>
        <w:t xml:space="preserve">multiple fluorocarbon/PFC/HFC gases (e.g., CF₄, CHF₃, C₂F₆, C₃F₈, C₄F₈, C₄F₆, C₅F₈,</w:t>
      </w:r>
      <w:r>
        <w:t xml:space="preserve"> </w:t>
      </w:r>
      <w:r>
        <w:t xml:space="preserve">CH₃F, CH₂F₂) are essential for pattern transfer, selectivity/profile control, and</w:t>
      </w:r>
      <w:r>
        <w:t xml:space="preserve"> </w:t>
      </w:r>
      <w:r>
        <w:t xml:space="preserve">maintaining tool uptime.</w:t>
      </w:r>
      <w:r>
        <w:t xml:space="preserve"> </w:t>
      </w:r>
      <w:r>
        <w:t xml:space="preserve">• Reliability/passivation inputs: deuterium (D₂) supports selected passivation and anneal</w:t>
      </w:r>
      <w:r>
        <w:t xml:space="preserve"> </w:t>
      </w:r>
      <w:r>
        <w:t xml:space="preserve">processes; substitutability constraints may manifest through yield or reliability</w:t>
      </w:r>
      <w:r>
        <w:t xml:space="preserve"> </w:t>
      </w:r>
      <w:r>
        <w:t xml:space="preserve">qualification impacts even where immediate production continues.</w:t>
      </w:r>
      <w:r>
        <w:t xml:space="preserve"> </w:t>
      </w:r>
      <w:r>
        <w:t xml:space="preserve">Furthermore, when considering the upstream sources of these gases, more than 50% of the</w:t>
      </w:r>
      <w:r>
        <w:t xml:space="preserve"> </w:t>
      </w:r>
      <w:r>
        <w:t xml:space="preserve">Union’s electronics speciality gases are heavily dependent on China.</w:t>
      </w:r>
      <w:r>
        <w:br/>
      </w:r>
      <w:r>
        <w:t xml:space="preserve">1.3.1.3.1.3 Structural characteristics of the dependency</w:t>
      </w:r>
      <w:r>
        <w:t xml:space="preserve"> </w:t>
      </w:r>
      <w:r>
        <w:t xml:space="preserve">These dependencies are amplified by: (i) the serial nature of wafer fabrication (a blocked step</w:t>
      </w:r>
      <w:r>
        <w:t xml:space="preserve"> </w:t>
      </w:r>
      <w:r>
        <w:t xml:space="preserve">halts downstream processing); (ii) qualification constraints (purity, impurity profile, packaging,</w:t>
      </w:r>
      <w:r>
        <w:t xml:space="preserve"> </w:t>
      </w:r>
      <w:r>
        <w:t xml:space="preserve">and delivery stability are part of the specification);(45) and (iii) limited substitutability,</w:t>
      </w:r>
      <w:r>
        <w:t xml:space="preserve"> </w:t>
      </w:r>
      <w:r>
        <w:t xml:space="preserve">particularly for dopants and advanced deposition precursors;</w:t>
      </w:r>
      <w:r>
        <w:t xml:space="preserve"> </w:t>
      </w:r>
      <w:r>
        <w:t xml:space="preserve">External dependence for dopants, critical deposition precursors, and etch/clean chemistries,</w:t>
      </w:r>
      <w:r>
        <w:t xml:space="preserve"> </w:t>
      </w:r>
      <w:r>
        <w:t xml:space="preserve">combined with qualification-bound production, creates a high risk profile. Even where Europe</w:t>
      </w:r>
      <w:r>
        <w:t xml:space="preserve"> </w:t>
      </w:r>
      <w:r>
        <w:t xml:space="preserve">retains domestic production of several baseline gases, disruption affecting externally sourced</w:t>
      </w:r>
      <w:r>
        <w:t xml:space="preserve"> </w:t>
      </w:r>
      <w:r>
        <w:t xml:space="preserve">molecules on the critical path is likely to result in discontinued outcomes: module stoppages, tool</w:t>
      </w:r>
    </w:p>
    <w:p>
      <w:pPr>
        <w:pStyle w:val="BodyText"/>
      </w:pPr>
      <w:r>
        <w:t xml:space="preserve">(43)Chemicals Used in the Electronics Industry | OECD</w:t>
      </w:r>
      <w:r>
        <w:br/>
      </w:r>
      <w:r>
        <w:t xml:space="preserve">(44) Silane | Air Liquide</w:t>
      </w:r>
      <w:r>
        <w:br/>
      </w:r>
      <w:r>
        <w:t xml:space="preserve">(45) For semiconductor process gases, the applicable specification extends well beyond a nominal purity value (for example,</w:t>
      </w:r>
      <w:r>
        <w:t xml:space="preserve"> </w:t>
      </w:r>
      <w:r>
        <w:t xml:space="preserve">99.9999%). In practice, device manufacturers and equipment suppliers jointly qualify the gas as an integrated package,</w:t>
      </w:r>
      <w:r>
        <w:t xml:space="preserve"> </w:t>
      </w:r>
      <w:r>
        <w:t xml:space="preserve">encompassing its detailed impurity profile, cylinder and valve materials, packaging configuration, and the performance of the</w:t>
      </w:r>
      <w:r>
        <w:t xml:space="preserve"> </w:t>
      </w:r>
      <w:r>
        <w:t xml:space="preserve">associated delivery hardware. Any change in supplier, production site, or even cylinder type typically necessitates requalification,</w:t>
      </w:r>
      <w:r>
        <w:t xml:space="preserve"> </w:t>
      </w:r>
      <w:r>
        <w:t xml:space="preserve">a process that can require several weeks to months and entails significant engineering effort and test-wafer consumption.</w:t>
      </w:r>
    </w:p>
    <w:p>
      <w:pPr>
        <w:pStyle w:val="BodyText"/>
      </w:pPr>
      <w:r>
        <w:t xml:space="preserve">76</w:t>
      </w:r>
      <w:r>
        <w:t xml:space="preserve"> </w:t>
      </w:r>
      <w:r>
        <w:t xml:space="preserve">downtime, cycle-time extension, and potential yield degradation, with cascading effects across</w:t>
      </w:r>
      <w:r>
        <w:t xml:space="preserve"> </w:t>
      </w:r>
      <w:r>
        <w:t xml:space="preserve">the European semiconductor value chain and downstream industrial users.</w:t>
      </w:r>
      <w:r>
        <w:t xml:space="preserve"> </w:t>
      </w:r>
      <w:r>
        <w:t xml:space="preserve">1.3.1.3.2</w:t>
      </w:r>
      <w:r>
        <w:t xml:space="preserve"> </w:t>
      </w:r>
      <w:r>
        <w:t xml:space="preserve">Chemicals</w:t>
      </w:r>
      <w:r>
        <w:t xml:space="preserve"> </w:t>
      </w:r>
      <w:r>
        <w:t xml:space="preserve">Semiconductor fabs rely on ultra-high-purity chemicals at every step, including cleaning acids</w:t>
      </w:r>
      <w:r>
        <w:t xml:space="preserve"> </w:t>
      </w:r>
      <w:r>
        <w:t xml:space="preserve">(hydrofluoric acid, hydrochloric acid, sulphuric acid), bases (ammonium hydroxide), oxidisers</w:t>
      </w:r>
      <w:r>
        <w:t xml:space="preserve"> </w:t>
      </w:r>
      <w:r>
        <w:t xml:space="preserve">(hydrogen peroxide), solvents (isopropyl alcohol), etch and deposition chemistries, and</w:t>
      </w:r>
      <w:r>
        <w:t xml:space="preserve"> </w:t>
      </w:r>
      <w:r>
        <w:t xml:space="preserve">Chemical-Mechanical Planarisation (CMP) slurries used to polish wafers between layers. These</w:t>
      </w:r>
      <w:r>
        <w:t xml:space="preserve"> </w:t>
      </w:r>
      <w:r>
        <w:t xml:space="preserve">inputs must meet tight purity specifications and are qualified to specific tools and recipes,</w:t>
      </w:r>
      <w:r>
        <w:t xml:space="preserve"> </w:t>
      </w:r>
      <w:r>
        <w:t xml:space="preserve">therefore shortages or quality issues can halt production and are not quickly solved by switching</w:t>
      </w:r>
      <w:r>
        <w:t xml:space="preserve"> </w:t>
      </w:r>
      <w:r>
        <w:t xml:space="preserve">supplier.</w:t>
      </w:r>
      <w:r>
        <w:br/>
      </w:r>
      <w:r>
        <w:t xml:space="preserve">This section will focus on photoresists since these chemicals are a pronounced dependency. This</w:t>
      </w:r>
      <w:r>
        <w:t xml:space="preserve"> </w:t>
      </w:r>
      <w:r>
        <w:t xml:space="preserve">is due to the fact that the supply base for high-end resists is very concentrated and switching</w:t>
      </w:r>
      <w:r>
        <w:t xml:space="preserve"> </w:t>
      </w:r>
      <w:r>
        <w:t xml:space="preserve">costs are higher, with requalification often required and limited near-term alternatives are</w:t>
      </w:r>
      <w:r>
        <w:t xml:space="preserve"> </w:t>
      </w:r>
      <w:r>
        <w:t xml:space="preserve">available once a process is determined. Polysilicon and precursor chemicals will also be</w:t>
      </w:r>
      <w:r>
        <w:t xml:space="preserve"> </w:t>
      </w:r>
      <w:r>
        <w:t xml:space="preserve">considered.</w:t>
      </w:r>
      <w:r>
        <w:br/>
      </w:r>
      <w:r>
        <w:t xml:space="preserve">1.3.1.3.2.1 Photoresist</w:t>
      </w:r>
      <w:r>
        <w:t xml:space="preserve"> </w:t>
      </w:r>
      <w:r>
        <w:t xml:space="preserve">Photoresist is a critical input to semiconductor photolithography. It is the chemically active film</w:t>
      </w:r>
      <w:r>
        <w:t xml:space="preserve"> </w:t>
      </w:r>
      <w:r>
        <w:t xml:space="preserve">that receives the circuit pattern during lithographic exposure (DUV/EUV), enabling selective</w:t>
      </w:r>
      <w:r>
        <w:t xml:space="preserve"> </w:t>
      </w:r>
      <w:r>
        <w:t xml:space="preserve">development, etching, and subsequent pattern transfer to the wafer. While lithography tools and</w:t>
      </w:r>
      <w:r>
        <w:t xml:space="preserve"> </w:t>
      </w:r>
      <w:r>
        <w:t xml:space="preserve">masks are high-profile assets, photoresist performance directly governs pattern quality,</w:t>
      </w:r>
      <w:r>
        <w:t xml:space="preserve"> </w:t>
      </w:r>
      <w:r>
        <w:t xml:space="preserve">throughput, and ultimately yield. Any sustained disruption in photoresist supply can therefore</w:t>
      </w:r>
      <w:r>
        <w:t xml:space="preserve"> </w:t>
      </w:r>
      <w:r>
        <w:t xml:space="preserve">halt wafer output in fabs.</w:t>
      </w:r>
      <w:r>
        <w:t xml:space="preserve"> </w:t>
      </w:r>
      <w:r>
        <w:t xml:space="preserve">This dependency is amplified by stringent performance and integration requirements.</w:t>
      </w:r>
      <w:r>
        <w:t xml:space="preserve"> </w:t>
      </w:r>
      <w:r>
        <w:t xml:space="preserve">Photoresists must be highly sensitive at the relevant wavelength to support acceptable scanner</w:t>
      </w:r>
      <w:r>
        <w:t xml:space="preserve"> </w:t>
      </w:r>
      <w:r>
        <w:t xml:space="preserve">throughput, form uniform films with strong adhesion, and remain mechanically and chemically</w:t>
      </w:r>
      <w:r>
        <w:t xml:space="preserve"> </w:t>
      </w:r>
      <w:r>
        <w:t xml:space="preserve">stable through downstream steps (etch, cleans, stripping). These materials are typically co-</w:t>
      </w:r>
      <w:r>
        <w:t xml:space="preserve"> </w:t>
      </w:r>
      <w:r>
        <w:t xml:space="preserve">developed and qualified with fabs for specific process windows, tool settings, and patterning</w:t>
      </w:r>
      <w:r>
        <w:t xml:space="preserve"> </w:t>
      </w:r>
      <w:r>
        <w:t xml:space="preserve">stacks. Once qualified for high-volume manufacturing, changing resist formulations or suppliers</w:t>
      </w:r>
      <w:r>
        <w:t xml:space="preserve"> </w:t>
      </w:r>
      <w:r>
        <w:t xml:space="preserve">can trigger lengthy requalification and yield risk, creating high switching costs and practical</w:t>
      </w:r>
      <w:r>
        <w:t xml:space="preserve"> </w:t>
      </w:r>
      <w:r>
        <w:t xml:space="preserve">vendor lock-in.</w:t>
      </w:r>
      <w:r>
        <w:t xml:space="preserve"> </w:t>
      </w:r>
      <w:r>
        <w:t xml:space="preserve">The supply base is highly concentrated, with Japanese suppliers holding an estimated ~90%</w:t>
      </w:r>
      <w:r>
        <w:t xml:space="preserve"> </w:t>
      </w:r>
      <w:r>
        <w:t xml:space="preserve">share, notably JSR and Tokyo Ohka Kogyo (TOK). (46) This market structure increases systemic</w:t>
      </w:r>
      <w:r>
        <w:t xml:space="preserve"> </w:t>
      </w:r>
      <w:r>
        <w:t xml:space="preserve">exposure to disruptions affecting a small set of producers (manufacturing incidents, quality</w:t>
      </w:r>
      <w:r>
        <w:t xml:space="preserve"> </w:t>
      </w:r>
      <w:r>
        <w:t xml:space="preserve">excursions, logistics interruptions) and heightens sensitivity to policy or geopolitical events. The</w:t>
      </w:r>
      <w:r>
        <w:t xml:space="preserve"> </w:t>
      </w:r>
      <w:r>
        <w:t xml:space="preserve">2019 Japan–South Korea export licensing changes affecting certain semiconductor chemicals,</w:t>
      </w:r>
      <w:r>
        <w:t xml:space="preserve"> </w:t>
      </w:r>
      <w:r>
        <w:t xml:space="preserve">including EUV photoresist, illustrate how regulatory actions can translate into near-term supply</w:t>
      </w:r>
      <w:r>
        <w:t xml:space="preserve"> </w:t>
      </w:r>
      <w:r>
        <w:t xml:space="preserve">uncertainty for dependent manufacturing regions.(47) Even where alternative sourcing exists,</w:t>
      </w:r>
      <w:r>
        <w:t xml:space="preserve"> </w:t>
      </w:r>
      <w:r>
        <w:t xml:space="preserve">substitution is constrained by qualification timelines and by extreme purity requirements, where</w:t>
      </w:r>
      <w:r>
        <w:t xml:space="preserve"> </w:t>
      </w:r>
      <w:r>
        <w:t xml:space="preserve">trace contamination can produce unacceptable defect rates and shipment rejections.</w:t>
      </w:r>
    </w:p>
    <w:p>
      <w:pPr>
        <w:pStyle w:val="Compact"/>
        <w:numPr>
          <w:ilvl w:val="0"/>
          <w:numId w:val="1019"/>
        </w:numPr>
      </w:pPr>
      <w:r>
        <w:t xml:space="preserve">Japan - Semiconductors | U.S. International Trade Administration</w:t>
      </w:r>
      <w:r>
        <w:br/>
      </w:r>
    </w:p>
    <w:p>
      <w:pPr>
        <w:pStyle w:val="Compact"/>
        <w:numPr>
          <w:ilvl w:val="0"/>
          <w:numId w:val="1019"/>
        </w:numPr>
      </w:pPr>
      <w:r>
        <w:t xml:space="preserve">The South Korea-Japan Trade Dispute in Context: Semiconductor Manufacturing, Chemicals, and Concentrated Supply</w:t>
      </w:r>
      <w:r>
        <w:t xml:space="preserve"> </w:t>
      </w:r>
      <w:r>
        <w:t xml:space="preserve">Chains | U.S. International Trade Commission</w:t>
      </w:r>
    </w:p>
    <w:p>
      <w:pPr>
        <w:pStyle w:val="FirstParagraph"/>
      </w:pPr>
      <w:r>
        <w:t xml:space="preserve">77</w:t>
      </w:r>
      <w:r>
        <w:t xml:space="preserve"> </w:t>
      </w:r>
      <w:r>
        <w:t xml:space="preserve">Although strategically significant, as attested by the acquisition of JSR by Japan’s state-backed</w:t>
      </w:r>
      <w:r>
        <w:t xml:space="preserve"> </w:t>
      </w:r>
      <w:r>
        <w:t xml:space="preserve">fund JIC, (48) the photoresist sector is comparatively small and specialised, requiring sustained</w:t>
      </w:r>
      <w:r>
        <w:t xml:space="preserve"> </w:t>
      </w:r>
      <w:r>
        <w:t xml:space="preserve">R&amp;D and high-purity manufacturing capabilities. This combination of high technical barriers,</w:t>
      </w:r>
      <w:r>
        <w:t xml:space="preserve"> </w:t>
      </w:r>
      <w:r>
        <w:t xml:space="preserve">concentrated incumbency, and tight fab integration suggests persistent dependency risk,</w:t>
      </w:r>
      <w:r>
        <w:t xml:space="preserve"> </w:t>
      </w:r>
      <w:r>
        <w:t xml:space="preserve">particularly for leading-edge nodes and EUV processes.</w:t>
      </w:r>
      <w:r>
        <w:t xml:space="preserve"> </w:t>
      </w:r>
      <w:r>
        <w:t xml:space="preserve">1.3.1.3.2.2 Polysilicon</w:t>
      </w:r>
      <w:r>
        <w:t xml:space="preserve"> </w:t>
      </w:r>
      <w:r>
        <w:t xml:space="preserve">High-purity polysilicon serves as feedstock for production of silicon wafers. Stringent purity</w:t>
      </w:r>
      <w:r>
        <w:t xml:space="preserve"> </w:t>
      </w:r>
      <w:r>
        <w:t xml:space="preserve">requirements exist in order to ensure that resultant wafers have no deformities or impurities that</w:t>
      </w:r>
      <w:r>
        <w:t xml:space="preserve"> </w:t>
      </w:r>
      <w:r>
        <w:t xml:space="preserve">would inhibit the function and performance of fabricated chips.</w:t>
      </w:r>
      <w:r>
        <w:br/>
      </w:r>
      <w:r>
        <w:t xml:space="preserve">Today’s polysilicon market is bifurcated. The vast majority (&gt;90%) is manufactured to support</w:t>
      </w:r>
      <w:r>
        <w:t xml:space="preserve"> </w:t>
      </w:r>
      <w:r>
        <w:t xml:space="preserve">relatively lower purity photovoltaic (PV) applications. The PV segment is dominated by Chinese</w:t>
      </w:r>
      <w:r>
        <w:t xml:space="preserve"> </w:t>
      </w:r>
      <w:r>
        <w:t xml:space="preserve">suppliers.</w:t>
      </w:r>
      <w:r>
        <w:t xml:space="preserve"> </w:t>
      </w:r>
      <w:r>
        <w:t xml:space="preserve">That contrasts with electronic- or semiconductor-grade (EG) polysilicon, which has been</w:t>
      </w:r>
      <w:r>
        <w:t xml:space="preserve"> </w:t>
      </w:r>
      <w:r>
        <w:t xml:space="preserve">historically produced outside of China at a more even supply-demand balance. In the EG</w:t>
      </w:r>
      <w:r>
        <w:t xml:space="preserve"> </w:t>
      </w:r>
      <w:r>
        <w:t xml:space="preserve">segment, Germany’s Wacker Chemie (“Wacker”) is a market leader, alongside other key players</w:t>
      </w:r>
      <w:r>
        <w:t xml:space="preserve"> </w:t>
      </w:r>
      <w:r>
        <w:t xml:space="preserve">from the U.S., Japan, and South Korea.</w:t>
      </w:r>
      <w:r>
        <w:br/>
      </w:r>
      <w:r>
        <w:t xml:space="preserve">Additionally, the input material required to produce both PV and EG polysilicon is</w:t>
      </w:r>
      <w:r>
        <w:t xml:space="preserve"> </w:t>
      </w:r>
      <w:r>
        <w:t xml:space="preserve">metallurgical-grade silicon (MG-Si), for which global supply is heavily dependent on China.</w:t>
      </w:r>
      <w:r>
        <w:br/>
      </w:r>
      <w:r>
        <w:t xml:space="preserve">1.3.1.3.2.3 Precursors</w:t>
      </w:r>
      <w:r>
        <w:t xml:space="preserve"> </w:t>
      </w:r>
      <w:r>
        <w:t xml:space="preserve">Precursors are complex molecules used in Atomic Layer Deposition (ALD) and Chemical Vapor</w:t>
      </w:r>
      <w:r>
        <w:t xml:space="preserve"> </w:t>
      </w:r>
      <w:r>
        <w:t xml:space="preserve">Deposition (CVD), which enable the atomic-scale precision essential for fabricating transistors,</w:t>
      </w:r>
      <w:r>
        <w:t xml:space="preserve"> </w:t>
      </w:r>
      <w:r>
        <w:t xml:space="preserve">interconnects, and memory structures in advanced chips. They represent one of the most</w:t>
      </w:r>
      <w:r>
        <w:t xml:space="preserve"> </w:t>
      </w:r>
      <w:r>
        <w:t xml:space="preserve">knowledge-intensive, high-value segments of the semiconductor materials chain, and their</w:t>
      </w:r>
      <w:r>
        <w:t xml:space="preserve"> </w:t>
      </w:r>
      <w:r>
        <w:t xml:space="preserve">production requires deep expertise in molecular design, purification, and process integration.</w:t>
      </w:r>
      <w:r>
        <w:t xml:space="preserve"> </w:t>
      </w:r>
      <w:r>
        <w:t xml:space="preserve">The global precursor market, though modest in size at around USD 1.7 billion in annual revenues</w:t>
      </w:r>
      <w:r>
        <w:t xml:space="preserve"> </w:t>
      </w:r>
      <w:r>
        <w:t xml:space="preserve">in 2024, is strategically critical and growing rapidly. The market is projected to exceed USD 2.5</w:t>
      </w:r>
      <w:r>
        <w:t xml:space="preserve"> </w:t>
      </w:r>
      <w:r>
        <w:t xml:space="preserve">billion by 2029, a 47% increase from 2024,(49) driven by demand for advanced logic and 3D</w:t>
      </w:r>
      <w:r>
        <w:t xml:space="preserve"> </w:t>
      </w:r>
      <w:r>
        <w:t xml:space="preserve">memory chips, and by the use of new materials such as cobalt, ruthenium, molybdenum, and</w:t>
      </w:r>
      <w:r>
        <w:t xml:space="preserve"> </w:t>
      </w:r>
      <w:r>
        <w:t xml:space="preserve">ferroelectric high-k dielectrics. Metal and metal oxide precursors account for most of this</w:t>
      </w:r>
      <w:r>
        <w:t xml:space="preserve"> </w:t>
      </w:r>
      <w:r>
        <w:t xml:space="preserve">growth, while dielectric and low-k materials are projected to remain large and stable segments.</w:t>
      </w:r>
      <w:r>
        <w:t xml:space="preserve"> </w:t>
      </w:r>
      <w:r>
        <w:t xml:space="preserve">The EU holds a globally leading position in the precursor market through its chemical</w:t>
      </w:r>
      <w:r>
        <w:t xml:space="preserve"> </w:t>
      </w:r>
      <w:r>
        <w:t xml:space="preserve">champions Merck (Germany) and Air Liquide (France). These two companies together</w:t>
      </w:r>
      <w:r>
        <w:t xml:space="preserve"> </w:t>
      </w:r>
      <w:r>
        <w:t xml:space="preserve">command over half of global market share in advanced precursors. Their strengths lie in</w:t>
      </w:r>
      <w:r>
        <w:t xml:space="preserve"> </w:t>
      </w:r>
      <w:r>
        <w:t xml:space="preserve">chemical synthesis, purification, and integration with process equipment and fabs. Supporting</w:t>
      </w:r>
      <w:r>
        <w:t xml:space="preserve"> </w:t>
      </w:r>
      <w:r>
        <w:t xml:space="preserve">firms such as BASF (Germany), Solvay (Belgium), Evonik (Germany), Umicore (Belgium) and</w:t>
      </w:r>
      <w:r>
        <w:t xml:space="preserve"> </w:t>
      </w:r>
      <w:r>
        <w:t xml:space="preserve">DOCK Chemicals (Germany) complement this leadership through the development of</w:t>
      </w:r>
      <w:r>
        <w:t xml:space="preserve"> </w:t>
      </w:r>
      <w:r>
        <w:t xml:space="preserve">specialised chemistries and R&amp;D collaboration. These capabilities, backed by Europe’s strong</w:t>
      </w:r>
      <w:r>
        <w:t xml:space="preserve"> </w:t>
      </w:r>
      <w:r>
        <w:t xml:space="preserve">research ecosystem, make the region a cornerstone of global innovation in ALD and CVD</w:t>
      </w:r>
    </w:p>
    <w:p>
      <w:pPr>
        <w:pStyle w:val="Compact"/>
        <w:numPr>
          <w:ilvl w:val="0"/>
          <w:numId w:val="1020"/>
        </w:numPr>
      </w:pPr>
      <w:r>
        <w:t xml:space="preserve">Japan-backed fund to buy chip materials maker JSR for $6.4 billion | Reuters</w:t>
      </w:r>
      <w:r>
        <w:t xml:space="preserve"> </w:t>
      </w:r>
      <w:r>
        <w:t xml:space="preserve">(49)The Outlook For The Precursor Market Remains Strong | Semiconductor Digest</w:t>
      </w:r>
    </w:p>
    <w:p>
      <w:pPr>
        <w:pStyle w:val="FirstParagraph"/>
      </w:pPr>
      <w:r>
        <w:t xml:space="preserve">78</w:t>
      </w:r>
      <w:r>
        <w:t xml:space="preserve"> </w:t>
      </w:r>
      <w:r>
        <w:t xml:space="preserve">materials. On the other hand, Chinese firms such as Huate Gas, Nata Opto, and Jingrui are</w:t>
      </w:r>
      <w:r>
        <w:t xml:space="preserve"> </w:t>
      </w:r>
      <w:r>
        <w:t xml:space="preserve">rapidly scaling capacity.</w:t>
      </w:r>
      <w:r>
        <w:br/>
      </w:r>
      <w:r>
        <w:t xml:space="preserve">1.3.1.4 Manufactured inputs</w:t>
      </w:r>
      <w:r>
        <w:t xml:space="preserve"> </w:t>
      </w:r>
      <w:r>
        <w:t xml:space="preserve">1.3.1.4.1</w:t>
      </w:r>
      <w:r>
        <w:t xml:space="preserve"> </w:t>
      </w:r>
      <w:r>
        <w:t xml:space="preserve">Front-end manufacturing</w:t>
      </w:r>
      <w:r>
        <w:br/>
      </w:r>
      <w:r>
        <w:t xml:space="preserve">1.3.1.4.1.1 Masks</w:t>
      </w:r>
      <w:r>
        <w:t xml:space="preserve"> </w:t>
      </w:r>
      <w:r>
        <w:t xml:space="preserve">Photomasks are design-specific and critical input to wafer fabrication: each product and</w:t>
      </w:r>
      <w:r>
        <w:t xml:space="preserve"> </w:t>
      </w:r>
      <w:r>
        <w:t xml:space="preserve">process node requires a dedicated mask set, and delays in mask availability can directly gate</w:t>
      </w:r>
      <w:r>
        <w:t xml:space="preserve"> </w:t>
      </w:r>
      <w:r>
        <w:t xml:space="preserve">tape-out schedules and production ramps. The supply base is structurally split between captive</w:t>
      </w:r>
      <w:r>
        <w:t xml:space="preserve"> </w:t>
      </w:r>
      <w:r>
        <w:t xml:space="preserve">production (masks made in-house by leading foundries/IDMs) and the merchant market</w:t>
      </w:r>
      <w:r>
        <w:t xml:space="preserve"> </w:t>
      </w:r>
      <w:r>
        <w:t xml:space="preserve">(external mask shops). Market analysis indicates that captive production increased from 35% -</w:t>
      </w:r>
      <w:r>
        <w:t xml:space="preserve"> </w:t>
      </w:r>
      <w:r>
        <w:t xml:space="preserve">65% of the global photomask market between 2008 and 2020, implying that firms without</w:t>
      </w:r>
      <w:r>
        <w:t xml:space="preserve"> </w:t>
      </w:r>
      <w:r>
        <w:t xml:space="preserve">captive capability are increasingly reliant on a relatively smaller merchant capacity pool, which</w:t>
      </w:r>
      <w:r>
        <w:t xml:space="preserve"> </w:t>
      </w:r>
      <w:r>
        <w:t xml:space="preserve">can tighten during upcycles. (50)</w:t>
      </w:r>
      <w:r>
        <w:t xml:space="preserve"> </w:t>
      </w:r>
      <w:r>
        <w:t xml:space="preserve">In the merchant segment, key suppliers include Tekscend Photomask (Japan), Dai Nippon</w:t>
      </w:r>
      <w:r>
        <w:t xml:space="preserve"> </w:t>
      </w:r>
      <w:r>
        <w:t xml:space="preserve">Printing, DNP (Japan), Photronics (United States), SK-Electronics (Japan), and Taiwan</w:t>
      </w:r>
      <w:r>
        <w:t xml:space="preserve"> </w:t>
      </w:r>
      <w:r>
        <w:t xml:space="preserve">Mask Corporation, TMC (Taiwan). While no E headquartered companies are in this market,</w:t>
      </w:r>
      <w:r>
        <w:t xml:space="preserve"> </w:t>
      </w:r>
      <w:r>
        <w:t xml:space="preserve">Tekscend has a production facility in Dresden that supplies leading-edge photomasks including</w:t>
      </w:r>
      <w:r>
        <w:t xml:space="preserve"> </w:t>
      </w:r>
      <w:r>
        <w:t xml:space="preserve">for EUV lithography.</w:t>
      </w:r>
      <w:r>
        <w:t xml:space="preserve"> </w:t>
      </w:r>
      <w:r>
        <w:t xml:space="preserve">Upstream of mask shops, supply is further concentrated in EUV mask blanks, where a recent</w:t>
      </w:r>
      <w:r>
        <w:t xml:space="preserve"> </w:t>
      </w:r>
      <w:r>
        <w:t xml:space="preserve">market summary reports that the top two manufacturers, AGC (Japan) and HOYA (Japan),</w:t>
      </w:r>
      <w:r>
        <w:t xml:space="preserve"> </w:t>
      </w:r>
      <w:r>
        <w:t xml:space="preserve">account for around 93% of the market, creating an additional dependency that can propagate</w:t>
      </w:r>
      <w:r>
        <w:t xml:space="preserve"> </w:t>
      </w:r>
      <w:r>
        <w:t xml:space="preserve">into mask availability even where mask-making capacity exists. (51)</w:t>
      </w:r>
      <w:r>
        <w:br/>
      </w:r>
      <w:r>
        <w:t xml:space="preserve">1.3.1.4.2</w:t>
      </w:r>
      <w:r>
        <w:t xml:space="preserve"> </w:t>
      </w:r>
      <w:r>
        <w:t xml:space="preserve">Advanced packaging</w:t>
      </w:r>
      <w:r>
        <w:t xml:space="preserve"> </w:t>
      </w:r>
      <w:r>
        <w:t xml:space="preserve">1.3.1.4.2.1 T-Glass</w:t>
      </w:r>
      <w:r>
        <w:t xml:space="preserve"> </w:t>
      </w:r>
      <w:r>
        <w:t xml:space="preserve">Nittobo’s T-glass is a specialised glass cloth used in the package substrates that support and</w:t>
      </w:r>
      <w:r>
        <w:t xml:space="preserve"> </w:t>
      </w:r>
      <w:r>
        <w:t xml:space="preserve">connect advanced chips (the “carrier” that links the silicon to the rest of the device). Its purpose</w:t>
      </w:r>
      <w:r>
        <w:t xml:space="preserve"> </w:t>
      </w:r>
      <w:r>
        <w:t xml:space="preserve">is to improve dimensional stability under heat, which helps reduce substrate warpage and</w:t>
      </w:r>
      <w:r>
        <w:t xml:space="preserve"> </w:t>
      </w:r>
      <w:r>
        <w:t xml:space="preserve">supports manufacturing yields and reliability in large, high-power packages.(52) Nittobo</w:t>
      </w:r>
      <w:r>
        <w:t xml:space="preserve"> </w:t>
      </w:r>
      <w:r>
        <w:t xml:space="preserve">explicitly positions this material as crucial for semiconductor package substrates used in high-</w:t>
      </w:r>
      <w:r>
        <w:t xml:space="preserve"> </w:t>
      </w:r>
      <w:r>
        <w:t xml:space="preserve">performance CPUs and AI semiconductors, and also links it to communications ASICs and</w:t>
      </w:r>
      <w:r>
        <w:t xml:space="preserve"> </w:t>
      </w:r>
      <w:r>
        <w:t xml:space="preserve">switches, making it relevant to data-centre compute and high-speed networking supply chains.</w:t>
      </w:r>
      <w:r>
        <w:t xml:space="preserve"> </w:t>
      </w:r>
      <w:r>
        <w:t xml:space="preserve">(53) From a resilience perspective, the key impact driver is market concentration: industry</w:t>
      </w:r>
      <w:r>
        <w:t xml:space="preserve"> </w:t>
      </w:r>
      <w:r>
        <w:t xml:space="preserve">reporting places Nittobo at around 90% market share in the relevant semiconductor-materials</w:t>
      </w:r>
      <w:r>
        <w:t xml:space="preserve"> </w:t>
      </w:r>
      <w:r>
        <w:t xml:space="preserve">glass fibre cloth segment (often referenced specifically as low-CTE/T-glass), indicating limited</w:t>
      </w:r>
    </w:p>
    <w:p>
      <w:pPr>
        <w:pStyle w:val="Compact"/>
        <w:numPr>
          <w:ilvl w:val="0"/>
          <w:numId w:val="1021"/>
        </w:numPr>
      </w:pPr>
      <w:r>
        <w:t xml:space="preserve">EUV mask technologies: evolution and ecosystem for devices</w:t>
      </w:r>
    </w:p>
    <w:p>
      <w:pPr>
        <w:pStyle w:val="Compact"/>
        <w:numPr>
          <w:ilvl w:val="0"/>
          <w:numId w:val="1021"/>
        </w:numPr>
      </w:pPr>
      <w:r>
        <w:t xml:space="preserve">ASML Holding Before Q4 Earnings: How Should Investors Play the Stock?</w:t>
      </w:r>
    </w:p>
    <w:p>
      <w:pPr>
        <w:pStyle w:val="Compact"/>
        <w:numPr>
          <w:ilvl w:val="0"/>
          <w:numId w:val="1021"/>
        </w:numPr>
      </w:pPr>
      <w:r>
        <w:t xml:space="preserve">A Critical AI Niche Is Dominated by One Little-Known Japanese Company - WSJ</w:t>
      </w:r>
    </w:p>
    <w:p>
      <w:pPr>
        <w:pStyle w:val="Compact"/>
        <w:numPr>
          <w:ilvl w:val="0"/>
          <w:numId w:val="1021"/>
        </w:numPr>
      </w:pPr>
      <w:r>
        <w:t xml:space="preserve">https://www.nittobo.co.jp/eng/business/electronicmaterials/index.htm</w:t>
      </w:r>
    </w:p>
    <w:p>
      <w:pPr>
        <w:pStyle w:val="FirstParagraph"/>
      </w:pPr>
      <w:r>
        <w:t xml:space="preserve">79</w:t>
      </w:r>
      <w:r>
        <w:t xml:space="preserve"> </w:t>
      </w:r>
      <w:r>
        <w:t xml:space="preserve">redundancy and a heightened risk of bottlenecks if capacity, logistics, or qualification timelines</w:t>
      </w:r>
      <w:r>
        <w:t xml:space="preserve"> </w:t>
      </w:r>
      <w:r>
        <w:t xml:space="preserve">are disrupted. (54)</w:t>
      </w:r>
      <w:r>
        <w:br/>
      </w:r>
      <w:r>
        <w:t xml:space="preserve">1.3.1.4.2.2 Dielectric polymer film</w:t>
      </w:r>
      <w:r>
        <w:t xml:space="preserve"> </w:t>
      </w:r>
      <w:r>
        <w:t xml:space="preserve">When it comes to dielectric polymer film, a key insulating material used in CPUs and GPUs,</w:t>
      </w:r>
      <w:r>
        <w:t xml:space="preserve"> </w:t>
      </w:r>
      <w:r>
        <w:t xml:space="preserve">95% of supply is dependent on one manufacturer in Japan, Ajinomoto, with its Ajinomoto Build-</w:t>
      </w:r>
      <w:r>
        <w:t xml:space="preserve"> </w:t>
      </w:r>
      <w:r>
        <w:t xml:space="preserve">up Film (ABF). (55) This film is used in build-up package substrates that sit between the silicon</w:t>
      </w:r>
      <w:r>
        <w:t xml:space="preserve"> </w:t>
      </w:r>
      <w:r>
        <w:t xml:space="preserve">die (e.g., CPU/GPU) and the printed circuit board, enabling the dense multilayer wiring and</w:t>
      </w:r>
      <w:r>
        <w:t xml:space="preserve"> </w:t>
      </w:r>
      <w:r>
        <w:t xml:space="preserve">microvia structures needed to route signals from nanometre-scale on-chip circuitry to millimetre-</w:t>
      </w:r>
      <w:r>
        <w:t xml:space="preserve"> </w:t>
      </w:r>
      <w:r>
        <w:t xml:space="preserve">scale system interconnects. (56)</w:t>
      </w:r>
      <w:r>
        <w:t xml:space="preserve"> </w:t>
      </w:r>
      <w:r>
        <w:t xml:space="preserve">1.3.1.5 Manufacturing equipment (57)</w:t>
      </w:r>
      <w:r>
        <w:t xml:space="preserve"> </w:t>
      </w:r>
      <w:r>
        <w:t xml:space="preserve">The manufacturing process for a chip is equipment intensive and as is the case across the</w:t>
      </w:r>
      <w:r>
        <w:t xml:space="preserve"> </w:t>
      </w:r>
      <w:r>
        <w:t xml:space="preserve">semiconductor value chain, the equipment ecosystem is fragmented and highly specialised. For</w:t>
      </w:r>
      <w:r>
        <w:t xml:space="preserve"> </w:t>
      </w:r>
      <w:r>
        <w:t xml:space="preserve">the purpose of simplicity, this analysis will group the equipment market in two - front-end and</w:t>
      </w:r>
      <w:r>
        <w:t xml:space="preserve"> </w:t>
      </w:r>
      <w:r>
        <w:t xml:space="preserve">back-end manufacturing.</w:t>
      </w:r>
      <w:r>
        <w:br/>
      </w:r>
      <w:r>
        <w:t xml:space="preserve">Front-end manufacturing (FEOL/BEOL wafer fabrication) comprises the processes used to</w:t>
      </w:r>
      <w:r>
        <w:t xml:space="preserve"> </w:t>
      </w:r>
      <w:r>
        <w:t xml:space="preserve">form semiconductor devices and interconnect structures on a silicon wafer, including transistor</w:t>
      </w:r>
      <w:r>
        <w:t xml:space="preserve"> </w:t>
      </w:r>
      <w:r>
        <w:t xml:space="preserve">formation, dielectric and metal layer deposition, patterning, etching, and planarisation. Back-end</w:t>
      </w:r>
      <w:r>
        <w:t xml:space="preserve"> </w:t>
      </w:r>
      <w:r>
        <w:t xml:space="preserve">manufacturing (assembly, packaging, and test) comprises post-fabrication operations that</w:t>
      </w:r>
      <w:r>
        <w:t xml:space="preserve"> </w:t>
      </w:r>
      <w:r>
        <w:t xml:space="preserve">separate the wafer into individual dies and integrate each die into a package, including die attach,</w:t>
      </w:r>
      <w:r>
        <w:t xml:space="preserve"> </w:t>
      </w:r>
      <w:r>
        <w:t xml:space="preserve">electrical interconnection (e.g., wire bond or flip-chip), encapsulation, thermal/mechanical</w:t>
      </w:r>
      <w:r>
        <w:t xml:space="preserve"> </w:t>
      </w:r>
      <w:r>
        <w:t xml:space="preserve">integration, and final electrical test.</w:t>
      </w:r>
      <w:r>
        <w:t xml:space="preserve"> </w:t>
      </w:r>
      <w:r>
        <w:t xml:space="preserve">1.3.1.5.1</w:t>
      </w:r>
      <w:r>
        <w:t xml:space="preserve"> </w:t>
      </w:r>
      <w:r>
        <w:t xml:space="preserve">Front end equipment</w:t>
      </w:r>
      <w:r>
        <w:t xml:space="preserve"> </w:t>
      </w:r>
      <w:r>
        <w:t xml:space="preserve">When it comes to front-end equipment, the EU’s most significant lever is lithography (approx..</w:t>
      </w:r>
      <w:r>
        <w:t xml:space="preserve"> </w:t>
      </w:r>
      <w:r>
        <w:t xml:space="preserve">92%). This is a strong position in a critical process step, but it is also highly concentrated in one</w:t>
      </w:r>
      <w:r>
        <w:t xml:space="preserve"> </w:t>
      </w:r>
      <w:r>
        <w:t xml:space="preserve">segment. In contrast, front-end wafer-fab equipment as a whole is led by the United States</w:t>
      </w:r>
      <w:r>
        <w:t xml:space="preserve"> </w:t>
      </w:r>
      <w:r>
        <w:t xml:space="preserve">with a market share of approximately 40%, followed by Japan at approximately 28% and Korea</w:t>
      </w:r>
      <w:r>
        <w:t xml:space="preserve"> </w:t>
      </w:r>
      <w:r>
        <w:t xml:space="preserve">at 24%, with the EU remaining in single digits.(58) This distribution indicates that Europe’s</w:t>
      </w:r>
      <w:r>
        <w:t xml:space="preserve"> </w:t>
      </w:r>
      <w:r>
        <w:t xml:space="preserve">influence over upstream manufacturing capacity is not commensurate with its lithography</w:t>
      </w:r>
      <w:r>
        <w:t xml:space="preserve"> </w:t>
      </w:r>
      <w:r>
        <w:t xml:space="preserve">strength.</w:t>
      </w:r>
      <w:r>
        <w:t xml:space="preserve"> </w:t>
      </w:r>
      <w:r>
        <w:t xml:space="preserve">1.3.1.5.1.1 Deposition</w:t>
      </w:r>
      <w:r>
        <w:t xml:space="preserve"> </w:t>
      </w:r>
      <w:r>
        <w:t xml:space="preserve">Deposition equipment comprises chemical vapour deposition (CVD) and plasma-enhanced CVD</w:t>
      </w:r>
      <w:r>
        <w:t xml:space="preserve"> </w:t>
      </w:r>
      <w:r>
        <w:t xml:space="preserve">for dielectrics and spacers, physical vapour deposition (PVD, sputter) for metals and liners,</w:t>
      </w:r>
      <w:r>
        <w:t xml:space="preserve"> </w:t>
      </w:r>
      <w:r>
        <w:t xml:space="preserve">atomic layer deposition (ALD) for ultra-thin conformal films (including high-k and barriers),</w:t>
      </w:r>
    </w:p>
    <w:p>
      <w:pPr>
        <w:pStyle w:val="Compact"/>
        <w:numPr>
          <w:ilvl w:val="0"/>
          <w:numId w:val="1022"/>
        </w:numPr>
      </w:pPr>
      <w:r>
        <w:t xml:space="preserve">https://www.digitimes.com/news/a20260204PD225/nittobo-nikkei-2028-launch-materials.html</w:t>
      </w:r>
    </w:p>
    <w:p>
      <w:pPr>
        <w:pStyle w:val="Compact"/>
        <w:numPr>
          <w:ilvl w:val="0"/>
          <w:numId w:val="1022"/>
        </w:numPr>
      </w:pPr>
      <w:r>
        <w:t xml:space="preserve">Ajinomoto pledges to invest millions to produce material that’s vital to semiconductor packaging | TechRadar</w:t>
      </w:r>
    </w:p>
    <w:p>
      <w:pPr>
        <w:pStyle w:val="Compact"/>
        <w:numPr>
          <w:ilvl w:val="0"/>
          <w:numId w:val="1022"/>
        </w:numPr>
      </w:pPr>
      <w:r>
        <w:t xml:space="preserve">Ajinomoto Build-up Film (ABF) | Innovation Story | Innovation | The Ajinomoto Group Global Website - Eat Well, Live</w:t>
      </w:r>
      <w:r>
        <w:t xml:space="preserve"> </w:t>
      </w:r>
      <w:r>
        <w:t xml:space="preserve">Well.</w:t>
      </w:r>
    </w:p>
    <w:p>
      <w:pPr>
        <w:pStyle w:val="Compact"/>
        <w:numPr>
          <w:ilvl w:val="0"/>
          <w:numId w:val="1022"/>
        </w:numPr>
      </w:pPr>
      <w:r>
        <w:t xml:space="preserve">Bonnet, P., Ciani, A., Molnar, J., &amp; Nardo, M. (2025). EU’s strengths and weaknesses in the global semiconductor sector</w:t>
      </w:r>
      <w:r>
        <w:t xml:space="preserve"> </w:t>
      </w:r>
      <w:r>
        <w:t xml:space="preserve">(JRC141323, EUR 40253). Luxembourg: Publications Office of the European Union. https://doi.org/10.2760/6302476</w:t>
      </w:r>
    </w:p>
    <w:p>
      <w:pPr>
        <w:pStyle w:val="Compact"/>
        <w:numPr>
          <w:ilvl w:val="0"/>
          <w:numId w:val="1022"/>
        </w:numPr>
      </w:pPr>
      <w:r>
        <w:t xml:space="preserve">Bonnet, P., Ciani, A., Molnar, J., &amp; Nardo, M. (2025). EU’s strengths and weaknesses in the global semiconductor sector</w:t>
      </w:r>
      <w:r>
        <w:t xml:space="preserve"> </w:t>
      </w:r>
      <w:r>
        <w:t xml:space="preserve">(JRC141323, EUR 40253). Luxembourg: Publications Office of the European Union. https://doi.org/10.2760/6302476</w:t>
      </w:r>
    </w:p>
    <w:p>
      <w:pPr>
        <w:pStyle w:val="FirstParagraph"/>
      </w:pPr>
      <w:r>
        <w:t xml:space="preserve">80</w:t>
      </w:r>
      <w:r>
        <w:t xml:space="preserve"> </w:t>
      </w:r>
      <w:r>
        <w:t xml:space="preserve">and, in advanced FEOL, epitaxy reactors for selective Si/SiGe growth. Here, the leading vendors</w:t>
      </w:r>
      <w:r>
        <w:t xml:space="preserve"> </w:t>
      </w:r>
      <w:r>
        <w:t xml:space="preserve">are primarily non-European, notably Applied Materials (US), Tokyo Electron (JP) and LAM</w:t>
      </w:r>
      <w:r>
        <w:t xml:space="preserve"> </w:t>
      </w:r>
      <w:r>
        <w:t xml:space="preserve">(US), with a significant European position in ALD through ASM (NL).</w:t>
      </w:r>
      <w:r>
        <w:t xml:space="preserve"> </w:t>
      </w:r>
      <w:r>
        <w:t xml:space="preserve">In 2023, the deposition equipment market totalled USD 23.1bn in sales and was dominated by</w:t>
      </w:r>
      <w:r>
        <w:t xml:space="preserve"> </w:t>
      </w:r>
      <w:r>
        <w:t xml:space="preserve">Applied Materials (US) at 54% market share and Lam Research (US) at 14%, Tokyo Electron at</w:t>
      </w:r>
      <w:r>
        <w:t xml:space="preserve"> </w:t>
      </w:r>
      <w:r>
        <w:t xml:space="preserve">13% and ASM (NL) at 10% representing the most significant EU position in this sub-segment.</w:t>
      </w:r>
      <w:r>
        <w:br/>
      </w:r>
      <w:r>
        <w:t xml:space="preserve">(59)</w:t>
      </w:r>
      <w:r>
        <w:t xml:space="preserve"> </w:t>
      </w:r>
      <w:r>
        <w:t xml:space="preserve">1.3.1.5.1.2 Lithography</w:t>
      </w:r>
      <w:r>
        <w:t xml:space="preserve"> </w:t>
      </w:r>
      <w:r>
        <w:t xml:space="preserve">Lithography is the manufacturing step that transfers a circuit pattern onto a silicon wafer. A</w:t>
      </w:r>
      <w:r>
        <w:t xml:space="preserve"> </w:t>
      </w:r>
      <w:r>
        <w:t xml:space="preserve">photomask contains the pattern for one layer. The wafer is coated with a light-sensitive film</w:t>
      </w:r>
      <w:r>
        <w:t xml:space="preserve"> </w:t>
      </w:r>
      <w:r>
        <w:t xml:space="preserve">(photoresist), then a lithography tool projects light through the reticle to expose the resist. The</w:t>
      </w:r>
      <w:r>
        <w:t xml:space="preserve"> </w:t>
      </w:r>
      <w:r>
        <w:t xml:space="preserve">wafer is developed so parts of the resist are removed, leaving a temporary patterned layer that</w:t>
      </w:r>
      <w:r>
        <w:t xml:space="preserve"> </w:t>
      </w:r>
      <w:r>
        <w:t xml:space="preserve">acts as a stencil.</w:t>
      </w:r>
      <w:r>
        <w:t xml:space="preserve"> </w:t>
      </w:r>
      <w:r>
        <w:t xml:space="preserve">Lithography combines the exposure tool (i.e. optical exposure) with resist processing</w:t>
      </w:r>
      <w:r>
        <w:t xml:space="preserve"> </w:t>
      </w:r>
      <w:r>
        <w:t xml:space="preserve">(coater/developer tracks) to transfer mask patterns into photoresist, which subsequently guides</w:t>
      </w:r>
      <w:r>
        <w:t xml:space="preserve"> </w:t>
      </w:r>
      <w:r>
        <w:t xml:space="preserve">etch or implant.</w:t>
      </w:r>
      <w:r>
        <w:br/>
      </w:r>
      <w:r>
        <w:t xml:space="preserve">In 2023, lithography sales were at USD 25.1bn and were overwhelmingly concentrated in ASML</w:t>
      </w:r>
      <w:r>
        <w:t xml:space="preserve"> </w:t>
      </w:r>
      <w:r>
        <w:t xml:space="preserve">(NL) with a 92% market share, with small EU shares held by SUSS MicroTec (DE, 0.5%) and</w:t>
      </w:r>
      <w:r>
        <w:t xml:space="preserve"> </w:t>
      </w:r>
      <w:r>
        <w:t xml:space="preserve">EV Group (AT, 0.2%). Within the Extreme Ultraviolet (EUV) segment, required for the most</w:t>
      </w:r>
      <w:r>
        <w:t xml:space="preserve"> </w:t>
      </w:r>
      <w:r>
        <w:t xml:space="preserve">leading-edge chips, ASML holds 100% market share, with Canon (JP) and Nikon (JP) being</w:t>
      </w:r>
      <w:r>
        <w:t xml:space="preserve"> </w:t>
      </w:r>
      <w:r>
        <w:t xml:space="preserve">competitors in Deep Ultraviolet (DUV) machines.</w:t>
      </w:r>
      <w:r>
        <w:br/>
      </w:r>
      <w:r>
        <w:t xml:space="preserve">Resist processing equipment sales in 2023 were USD 3.4bn and were highly concentrated in</w:t>
      </w:r>
      <w:r>
        <w:t xml:space="preserve"> </w:t>
      </w:r>
      <w:r>
        <w:t xml:space="preserve">Tokyo Electron (JP) with a market share of 92%, with SUSS MicroTec (DE) the only EU player</w:t>
      </w:r>
      <w:r>
        <w:t xml:space="preserve"> </w:t>
      </w:r>
      <w:r>
        <w:t xml:space="preserve">with a measurable share of 2.3%.</w:t>
      </w:r>
      <w:r>
        <w:t xml:space="preserve"> </w:t>
      </w:r>
      <w:r>
        <w:t xml:space="preserve">1.3.1.5.1.3 Etch</w:t>
      </w:r>
      <w:r>
        <w:t xml:space="preserve"> </w:t>
      </w:r>
      <w:r>
        <w:t xml:space="preserve">Etch is the manufacturing step that selectively removes material from the wafer to transfer a</w:t>
      </w:r>
      <w:r>
        <w:t xml:space="preserve"> </w:t>
      </w:r>
      <w:r>
        <w:t xml:space="preserve">pattern into an underlying layer. After lithography creates a patterned photoresist “stencil”, etch</w:t>
      </w:r>
      <w:r>
        <w:t xml:space="preserve"> </w:t>
      </w:r>
      <w:r>
        <w:t xml:space="preserve">removes exposed regions of a target film (or silicon) while protected regions remain, thereby</w:t>
      </w:r>
      <w:r>
        <w:t xml:space="preserve"> </w:t>
      </w:r>
      <w:r>
        <w:t xml:space="preserve">forming features such as trenches, holes, and device structures.</w:t>
      </w:r>
      <w:r>
        <w:t xml:space="preserve"> </w:t>
      </w:r>
      <w:r>
        <w:t xml:space="preserve">Etch is performed using either dry (plasma) etching, which offers high precision and vertical</w:t>
      </w:r>
      <w:r>
        <w:t xml:space="preserve"> </w:t>
      </w:r>
      <w:r>
        <w:t xml:space="preserve">sidewalls, or wet chemical etching, which is used where high selectivity is required. Etch is</w:t>
      </w:r>
      <w:r>
        <w:t xml:space="preserve"> </w:t>
      </w:r>
      <w:r>
        <w:t xml:space="preserve">critical because it determines the shape and dimensions of features and must stop accurately on</w:t>
      </w:r>
      <w:r>
        <w:t xml:space="preserve"> </w:t>
      </w:r>
      <w:r>
        <w:t xml:space="preserve">the intended layer to avoid defects and yield loss.</w:t>
      </w:r>
      <w:r>
        <w:t xml:space="preserve"> </w:t>
      </w:r>
      <w:r>
        <w:t xml:space="preserve">The dry processing segment reached USD 15.6bn in 2023, with market leadership held by Lam</w:t>
      </w:r>
      <w:r>
        <w:t xml:space="preserve"> </w:t>
      </w:r>
      <w:r>
        <w:t xml:space="preserve">Research (US) with a market share of 44.5%, followed by Tokyo Electron (JP) with a market</w:t>
      </w:r>
      <w:r>
        <w:t xml:space="preserve"> </w:t>
      </w:r>
      <w:r>
        <w:t xml:space="preserve">share of 21% and Applied Materials (US) with a market share of 18%. EU presence was</w:t>
      </w:r>
      <w:r>
        <w:t xml:space="preserve"> </w:t>
      </w:r>
      <w:r>
        <w:t xml:space="preserve">marginal (for example PVA TePla (DE) with a marginal market share of 0.3%).</w:t>
      </w:r>
    </w:p>
    <w:p>
      <w:pPr>
        <w:pStyle w:val="Compact"/>
        <w:numPr>
          <w:ilvl w:val="0"/>
          <w:numId w:val="1023"/>
        </w:numPr>
      </w:pPr>
      <w:r>
        <w:t xml:space="preserve">Bonnet, P., Ciani, A., Molnar, J., &amp; Nardo, M. (2025). EU’s strengths and weaknesses in the global semiconductor sector</w:t>
      </w:r>
      <w:r>
        <w:t xml:space="preserve"> </w:t>
      </w:r>
      <w:r>
        <w:t xml:space="preserve">(JRC141323, EUR 40253). Luxembourg: Publications Office of the European Union. https://doi.org/10.2760/6302476</w:t>
      </w:r>
    </w:p>
    <w:p>
      <w:pPr>
        <w:pStyle w:val="FirstParagraph"/>
      </w:pPr>
      <w:r>
        <w:t xml:space="preserve">81</w:t>
      </w:r>
      <w:r>
        <w:t xml:space="preserve"> </w:t>
      </w:r>
      <w:r>
        <w:t xml:space="preserve">When it comes to wet wafer processing systems, sales were USD 6.0bn in 2023, led by SCREEN</w:t>
      </w:r>
      <w:r>
        <w:t xml:space="preserve"> </w:t>
      </w:r>
      <w:r>
        <w:t xml:space="preserve">(JP) with a market share of 35%, Tokyo Electron (JP) with a market share of 21% and Lam</w:t>
      </w:r>
      <w:r>
        <w:t xml:space="preserve"> </w:t>
      </w:r>
      <w:r>
        <w:t xml:space="preserve">Research (US) with a market share of 16%. EU suppliers in this segment have a small market</w:t>
      </w:r>
      <w:r>
        <w:t xml:space="preserve"> </w:t>
      </w:r>
      <w:r>
        <w:t xml:space="preserve">share with for example Siconnex (AT) at 0.3% of etch revenues and 0.1% market share for</w:t>
      </w:r>
      <w:r>
        <w:t xml:space="preserve"> </w:t>
      </w:r>
      <w:r>
        <w:t xml:space="preserve">RENA (DE).</w:t>
      </w:r>
      <w:r>
        <w:t xml:space="preserve"> </w:t>
      </w:r>
      <w:r>
        <w:t xml:space="preserve">1.3.1.5.1.4 Clean</w:t>
      </w:r>
      <w:r>
        <w:t xml:space="preserve"> </w:t>
      </w:r>
      <w:r>
        <w:t xml:space="preserve">Clean is the manufacturing step that removes contamination and process residues from the wafer</w:t>
      </w:r>
      <w:r>
        <w:t xml:space="preserve"> </w:t>
      </w:r>
      <w:r>
        <w:t xml:space="preserve">to prevent defects and enable reliable subsequent processing. It is used throughout FEOL and</w:t>
      </w:r>
      <w:r>
        <w:t xml:space="preserve"> </w:t>
      </w:r>
      <w:r>
        <w:t xml:space="preserve">BEOL, including after lithography and etch (to remove photoresist and etch by-products), before</w:t>
      </w:r>
      <w:r>
        <w:t xml:space="preserve"> </w:t>
      </w:r>
      <w:r>
        <w:t xml:space="preserve">deposition (to prepare surfaces), and after CMP (to remove slurry particles).</w:t>
      </w:r>
      <w:r>
        <w:t xml:space="preserve"> </w:t>
      </w:r>
      <w:r>
        <w:t xml:space="preserve">Cleaning is carried out using wet chemical processes (on batch wet benches or single-wafer</w:t>
      </w:r>
      <w:r>
        <w:t xml:space="preserve"> </w:t>
      </w:r>
      <w:r>
        <w:t xml:space="preserve">tools) and, where needed, dry cleaning/ashing (often plasma-based) for resist and organic</w:t>
      </w:r>
      <w:r>
        <w:t xml:space="preserve"> </w:t>
      </w:r>
      <w:r>
        <w:t xml:space="preserve">removal. Clean is yield-critical because microscopic particles or residual films can cause shorts,</w:t>
      </w:r>
      <w:r>
        <w:t xml:space="preserve"> </w:t>
      </w:r>
      <w:r>
        <w:t xml:space="preserve">opens, poor adhesion, or increased leakage.</w:t>
      </w:r>
      <w:r>
        <w:t xml:space="preserve"> </w:t>
      </w:r>
      <w:r>
        <w:t xml:space="preserve">In the wet processing segment, 2023 market share data indicate the predominant role of Japanese</w:t>
      </w:r>
      <w:r>
        <w:t xml:space="preserve"> </w:t>
      </w:r>
      <w:r>
        <w:t xml:space="preserve">suppliers. Here, SCREEN (JP) leads with a market share of 35%, followed by Tokyo Electron</w:t>
      </w:r>
      <w:r>
        <w:t xml:space="preserve"> </w:t>
      </w:r>
      <w:r>
        <w:t xml:space="preserve">(JP) with market share of 21% and to a lesser extent by Lam (US) with a market share of 16%. In</w:t>
      </w:r>
      <w:r>
        <w:t xml:space="preserve"> </w:t>
      </w:r>
      <w:r>
        <w:t xml:space="preserve">this segment EU suppliers (Siconnex (AT), RENA (DE), SEMYSCO (DE)) are present but play</w:t>
      </w:r>
      <w:r>
        <w:t xml:space="preserve"> </w:t>
      </w:r>
      <w:r>
        <w:t xml:space="preserve">a relatively minor role.</w:t>
      </w:r>
      <w:r>
        <w:t xml:space="preserve"> </w:t>
      </w:r>
      <w:r>
        <w:t xml:space="preserve">When it comes to dry processing, LAM (US) in 2023 a market share of 44.5%, Tokyo Electron</w:t>
      </w:r>
      <w:r>
        <w:t xml:space="preserve"> </w:t>
      </w:r>
      <w:r>
        <w:t xml:space="preserve">(JP) had a market share of 21% and Applied Materials (US) at 18%.</w:t>
      </w:r>
      <w:r>
        <w:br/>
      </w:r>
      <w:r>
        <w:t xml:space="preserve">1.3.1.5.1.5 Metrology and inspection</w:t>
      </w:r>
      <w:r>
        <w:t xml:space="preserve"> </w:t>
      </w:r>
      <w:r>
        <w:t xml:space="preserve">Metrology and inspection are the manufacturing activities that measure features on a wafer and</w:t>
      </w:r>
      <w:r>
        <w:t xml:space="preserve"> </w:t>
      </w:r>
      <w:r>
        <w:t xml:space="preserve">detect defects so the process can be controlled, and yield can be maintained.</w:t>
      </w:r>
      <w:r>
        <w:t xml:space="preserve"> </w:t>
      </w:r>
      <w:r>
        <w:t xml:space="preserve">The market for this segment amounted to USD 10.3bn in 2023 and was highly concentrated in</w:t>
      </w:r>
      <w:r>
        <w:t xml:space="preserve"> </w:t>
      </w:r>
      <w:r>
        <w:t xml:space="preserve">KLA (US) with a market share of 60% and Applied Materials (US) at 12%, with EU suppliers</w:t>
      </w:r>
      <w:r>
        <w:t xml:space="preserve"> </w:t>
      </w:r>
      <w:r>
        <w:t xml:space="preserve">holding smaller but relevant shares, including ASML (NL) with a market share of 6%, Bruker</w:t>
      </w:r>
      <w:r>
        <w:t xml:space="preserve"> </w:t>
      </w:r>
      <w:r>
        <w:t xml:space="preserve">AXS (DE, 1%) and Semilab (HU, 1%).</w:t>
      </w:r>
      <w:r>
        <w:br/>
      </w:r>
      <w:r>
        <w:t xml:space="preserve">For reticle inspection and repair (a critical enabler for lithography yield), the 2023 market was</w:t>
      </w:r>
      <w:r>
        <w:t xml:space="preserve"> </w:t>
      </w:r>
      <w:r>
        <w:t xml:space="preserve">led by Lasertec (JP) with 50% market and KLA (US) with 43% market share. Zeiss (DE)</w:t>
      </w:r>
      <w:r>
        <w:t xml:space="preserve"> </w:t>
      </w:r>
      <w:r>
        <w:t xml:space="preserve">accounts for a 5% market share and represents the principal EU presence in this segment</w:t>
      </w:r>
      <w:r>
        <w:br/>
      </w:r>
      <w:r>
        <w:t xml:space="preserve">1.3.1.5.1.6 Planarisation</w:t>
      </w:r>
      <w:r>
        <w:t xml:space="preserve"> </w:t>
      </w:r>
      <w:r>
        <w:t xml:space="preserve">Planarisation is the process of flattening the wafer surface to ensure subsequent lithography and</w:t>
      </w:r>
      <w:r>
        <w:t xml:space="preserve"> </w:t>
      </w:r>
      <w:r>
        <w:t xml:space="preserve">layer integration remain within focus and uniformity tolerances. In semiconductor manufacturing</w:t>
      </w:r>
      <w:r>
        <w:t xml:space="preserve"> </w:t>
      </w:r>
      <w:r>
        <w:t xml:space="preserve">it is implemented primarily through chemical mechanical planarisation (CMP), which removes</w:t>
      </w:r>
      <w:r>
        <w:t xml:space="preserve"> </w:t>
      </w:r>
      <w:r>
        <w:t xml:space="preserve">material using a combination of chemical reactions and mechanical polishing to restore a</w:t>
      </w:r>
      <w:r>
        <w:t xml:space="preserve"> </w:t>
      </w:r>
      <w:r>
        <w:t xml:space="preserve">controlled, planar surface.</w:t>
      </w:r>
    </w:p>
    <w:p>
      <w:pPr>
        <w:pStyle w:val="BodyText"/>
      </w:pPr>
      <w:r>
        <w:t xml:space="preserve">82</w:t>
      </w:r>
      <w:r>
        <w:t xml:space="preserve"> </w:t>
      </w:r>
      <w:r>
        <w:t xml:space="preserve">CMP equipment sales were USD 2.7bn in 2023 and were concentrated in Applied Materials (US)</w:t>
      </w:r>
      <w:r>
        <w:t xml:space="preserve"> </w:t>
      </w:r>
      <w:r>
        <w:t xml:space="preserve">with a market share of 56% and Ebara (JP) at 30%, with no EU supplier reported as having a</w:t>
      </w:r>
      <w:r>
        <w:t xml:space="preserve"> </w:t>
      </w:r>
      <w:r>
        <w:t xml:space="preserve">material global share in this segment.</w:t>
      </w:r>
      <w:r>
        <w:t xml:space="preserve"> </w:t>
      </w:r>
      <w:r>
        <w:t xml:space="preserve">1.3.1.5.2</w:t>
      </w:r>
      <w:r>
        <w:t xml:space="preserve"> </w:t>
      </w:r>
      <w:r>
        <w:t xml:space="preserve">Back-end</w:t>
      </w:r>
      <w:r>
        <w:t xml:space="preserve"> </w:t>
      </w:r>
      <w:r>
        <w:t xml:space="preserve">Assembly and packaging are the final steps in turning finished wafers into packaged chips and</w:t>
      </w:r>
      <w:r>
        <w:t xml:space="preserve"> </w:t>
      </w:r>
      <w:r>
        <w:t xml:space="preserve">boards for end users. Assembly typically includes wafer dicing and thinning, bonding and</w:t>
      </w:r>
      <w:r>
        <w:t xml:space="preserve"> </w:t>
      </w:r>
      <w:r>
        <w:t xml:space="preserve">interconnect, moulding and sealing (encapsulation), inspection and handling and test</w:t>
      </w:r>
      <w:r>
        <w:t xml:space="preserve"> </w:t>
      </w:r>
      <w:r>
        <w:t xml:space="preserve">equipment. Packaging provides the electrical connections needed for signal transmission, power</w:t>
      </w:r>
      <w:r>
        <w:t xml:space="preserve"> </w:t>
      </w:r>
      <w:r>
        <w:t xml:space="preserve">delivery, and voltage regulation, while also managing heat dissipation and providing the physical</w:t>
      </w:r>
      <w:r>
        <w:t xml:space="preserve"> </w:t>
      </w:r>
      <w:r>
        <w:t xml:space="preserve">protection required for long-term reliability. (60).</w:t>
      </w:r>
      <w:r>
        <w:t xml:space="preserve"> </w:t>
      </w:r>
      <w:r>
        <w:t xml:space="preserve">In 2023, Japan accounted for 48% of the global market (up from 33% in 2017) and recorded the</w:t>
      </w:r>
      <w:r>
        <w:t xml:space="preserve"> </w:t>
      </w:r>
      <w:r>
        <w:t xml:space="preserve">highest compound annual growth rate (15%) among the leading countries during the COVID-19</w:t>
      </w:r>
      <w:r>
        <w:t xml:space="preserve"> </w:t>
      </w:r>
      <w:r>
        <w:t xml:space="preserve">period and its aftermath. Japan also held a dominant position in dicing equipment, controlling</w:t>
      </w:r>
      <w:r>
        <w:t xml:space="preserve"> </w:t>
      </w:r>
      <w:r>
        <w:t xml:space="preserve">over 92% of the market in 2023. In packaging equipment, Japan captured 51.4% of the global</w:t>
      </w:r>
      <w:r>
        <w:t xml:space="preserve"> </w:t>
      </w:r>
      <w:r>
        <w:t xml:space="preserve">market in 2023, increasing to 75.3% in moulding and sealing systems.(61) Singapore’s global</w:t>
      </w:r>
      <w:r>
        <w:t xml:space="preserve"> </w:t>
      </w:r>
      <w:r>
        <w:t xml:space="preserve">market share declined to 21% in 2023 (from 35% in 2017), reflecting its concentrated</w:t>
      </w:r>
      <w:r>
        <w:t xml:space="preserve"> </w:t>
      </w:r>
      <w:r>
        <w:t xml:space="preserve">specialisation in bonding equipment, particularly wire bonding. In 2023, Singapore accounted</w:t>
      </w:r>
      <w:r>
        <w:t xml:space="preserve"> </w:t>
      </w:r>
      <w:r>
        <w:t xml:space="preserve">for over 81% of global wire bonding sales (up from 7 5% in 2017). Singapore also held an</w:t>
      </w:r>
      <w:r>
        <w:t xml:space="preserve"> </w:t>
      </w:r>
      <w:r>
        <w:t xml:space="preserve">effective monopoly in integrated assembly systems, with a 97% market share in 2023; the</w:t>
      </w:r>
      <w:r>
        <w:t xml:space="preserve"> </w:t>
      </w:r>
      <w:r>
        <w:t xml:space="preserve">remaining 3% was held by Grohmann Engineering (DE). (62)</w:t>
      </w:r>
      <w:r>
        <w:t xml:space="preserve"> </w:t>
      </w:r>
      <w:r>
        <w:t xml:space="preserve">In 2023, the European Union held 14.5% of the global market for assembly and packaging</w:t>
      </w:r>
      <w:r>
        <w:t xml:space="preserve"> </w:t>
      </w:r>
      <w:r>
        <w:t xml:space="preserve">equipment, down from 16% in 2017. The EU had limited to no presence in the dicing and</w:t>
      </w:r>
      <w:r>
        <w:t xml:space="preserve"> </w:t>
      </w:r>
      <w:r>
        <w:t xml:space="preserve">assembly equipment segments. However, it maintained a significant position in bonding</w:t>
      </w:r>
      <w:r>
        <w:t xml:space="preserve"> </w:t>
      </w:r>
      <w:r>
        <w:t xml:space="preserve">equipment, holding 26% of the global market in 2023, driven in particular by die attaching,</w:t>
      </w:r>
      <w:r>
        <w:t xml:space="preserve"> </w:t>
      </w:r>
      <w:r>
        <w:t xml:space="preserve">where the EU’s market share reached 43%. The EU was also a leading supplier in lead-finishing</w:t>
      </w:r>
      <w:r>
        <w:t xml:space="preserve"> </w:t>
      </w:r>
      <w:r>
        <w:t xml:space="preserve">and marking systems, together with the Republic of Korea, jointly accounting for 34% of the</w:t>
      </w:r>
      <w:r>
        <w:t xml:space="preserve"> </w:t>
      </w:r>
      <w:r>
        <w:t xml:space="preserve">global market in 2023. Finally, in moulding and sealing systems, the EU held 13% of the global</w:t>
      </w:r>
      <w:r>
        <w:t xml:space="preserve"> </w:t>
      </w:r>
      <w:r>
        <w:t xml:space="preserve">market in 2023, ranking second to Japan. (63)</w:t>
      </w:r>
      <w:r>
        <w:t xml:space="preserve"> </w:t>
      </w:r>
      <w:r>
        <w:t xml:space="preserve">1.3.1.5.2.1 Wafer dicing and thinning</w:t>
      </w:r>
      <w:r>
        <w:t xml:space="preserve"> </w:t>
      </w:r>
      <w:r>
        <w:t xml:space="preserve">Wafer dicing is the process of separating the wafer into individual dies after wafer processing. It</w:t>
      </w:r>
      <w:r>
        <w:t xml:space="preserve"> </w:t>
      </w:r>
      <w:r>
        <w:t xml:space="preserve">is executed by blade sawing or laser dicing, depending on materials and edge-quality</w:t>
      </w:r>
      <w:r>
        <w:t xml:space="preserve"> </w:t>
      </w:r>
      <w:r>
        <w:t xml:space="preserve">requirements. Wafer thinning is the process of reducing wafer thickness to meet packaging</w:t>
      </w:r>
      <w:r>
        <w:t xml:space="preserve"> </w:t>
      </w:r>
      <w:r>
        <w:t xml:space="preserve">requirements. It is performed primarily by backside grinding, often followed by polishing or</w:t>
      </w:r>
      <w:r>
        <w:t xml:space="preserve"> </w:t>
      </w:r>
      <w:r>
        <w:t xml:space="preserve">stress-relief treatments, with the wafer supported on a carrier to prevent mechanical damage.</w:t>
      </w:r>
    </w:p>
    <w:p>
      <w:pPr>
        <w:pStyle w:val="Compact"/>
        <w:numPr>
          <w:ilvl w:val="0"/>
          <w:numId w:val="1024"/>
        </w:numPr>
      </w:pPr>
      <w:r>
        <w:t xml:space="preserve">Bonnet, P., Ciani, A., Molnar, J., &amp; Nardo, M. (2025). EU’s strengths and weaknesses in the global semiconductor sector</w:t>
      </w:r>
      <w:r>
        <w:t xml:space="preserve"> </w:t>
      </w:r>
      <w:r>
        <w:t xml:space="preserve">(JRC141323, EUR 40253). Luxembourg: Publications Office of the European Union. https://doi.org/10.2760/6302476</w:t>
      </w:r>
    </w:p>
    <w:p>
      <w:pPr>
        <w:pStyle w:val="Compact"/>
        <w:numPr>
          <w:ilvl w:val="0"/>
          <w:numId w:val="1024"/>
        </w:numPr>
      </w:pPr>
      <w:r>
        <w:t xml:space="preserve">Bonnet, P., Ciani, A., Molnar, J., &amp; Nardo, M. (2025). EU’s strengths and weaknesses in the global semiconductor sector</w:t>
      </w:r>
      <w:r>
        <w:t xml:space="preserve"> </w:t>
      </w:r>
      <w:r>
        <w:t xml:space="preserve">(JRC141323, EUR 40253). Luxembourg: Publications Office of the European Union. https://doi.org/10.2760/6302476</w:t>
      </w:r>
    </w:p>
    <w:p>
      <w:pPr>
        <w:pStyle w:val="Compact"/>
        <w:numPr>
          <w:ilvl w:val="0"/>
          <w:numId w:val="1024"/>
        </w:numPr>
      </w:pPr>
      <w:r>
        <w:t xml:space="preserve">Bonnet, P., Ciani, A., Molnar, J., &amp; Nardo, M. (2025). EU’s strengths and weaknesses in the global semiconductor sector</w:t>
      </w:r>
      <w:r>
        <w:t xml:space="preserve"> </w:t>
      </w:r>
      <w:r>
        <w:t xml:space="preserve">(JRC141323, EUR 40253). Luxembourg: Publications Office of the European Union. https://doi.org/10.2760/6302476</w:t>
      </w:r>
    </w:p>
    <w:p>
      <w:pPr>
        <w:pStyle w:val="Compact"/>
        <w:numPr>
          <w:ilvl w:val="0"/>
          <w:numId w:val="1024"/>
        </w:numPr>
      </w:pPr>
      <w:r>
        <w:t xml:space="preserve">Bonnet, P., Ciani, A., Molnar, J., &amp; Nardo, M. (2025). EU’s strengths and weaknesses in the global semiconductor sector</w:t>
      </w:r>
      <w:r>
        <w:t xml:space="preserve"> </w:t>
      </w:r>
      <w:r>
        <w:t xml:space="preserve">(JRC141323, EUR 40253). Luxembourg: Publications Office of the European Union. https://doi.org/10.2760/6302476</w:t>
      </w:r>
    </w:p>
    <w:p>
      <w:pPr>
        <w:pStyle w:val="FirstParagraph"/>
      </w:pPr>
      <w:r>
        <w:t xml:space="preserve">83</w:t>
      </w:r>
      <w:r>
        <w:t xml:space="preserve"> </w:t>
      </w:r>
      <w:r>
        <w:t xml:space="preserve">In dicing and wafer thinning, dependence is structurally high. In 2023, DISCO (JP) has a market</w:t>
      </w:r>
      <w:r>
        <w:t xml:space="preserve"> </w:t>
      </w:r>
      <w:r>
        <w:t xml:space="preserve">share of 83% in blade sawing. In laser sawing, DISCO (JP) has a market share of 78% and</w:t>
      </w:r>
      <w:r>
        <w:t xml:space="preserve"> </w:t>
      </w:r>
      <w:r>
        <w:t xml:space="preserve">ACCRETECH/Tokyo Seimitsu (JP) has a market share of 14%. Backside grinding is similarly</w:t>
      </w:r>
      <w:r>
        <w:t xml:space="preserve"> </w:t>
      </w:r>
      <w:r>
        <w:t xml:space="preserve">concentrated, with DISCO (JP) having a market share of 86%, while European participation is</w:t>
      </w:r>
      <w:r>
        <w:t xml:space="preserve"> </w:t>
      </w:r>
      <w:r>
        <w:t xml:space="preserve">limited - for example G&amp;N (DE) has a market share of 1.2%.</w:t>
      </w:r>
      <w:r>
        <w:br/>
      </w:r>
      <w:r>
        <w:t xml:space="preserve">1.3.1.5.2.2 Bonding and interconnect</w:t>
      </w:r>
      <w:r>
        <w:t xml:space="preserve"> </w:t>
      </w:r>
      <w:r>
        <w:t xml:space="preserve">Bonding and interconnect equipment comprises the tools used to attach the semiconductor die to</w:t>
      </w:r>
      <w:r>
        <w:t xml:space="preserve"> </w:t>
      </w:r>
      <w:r>
        <w:t xml:space="preserve">a package substrate and create the electrical connections between the die and the package.</w:t>
      </w:r>
      <w:r>
        <w:t xml:space="preserve"> </w:t>
      </w:r>
      <w:r>
        <w:t xml:space="preserve">Here, Europe’s strongest position is in die attach (die attaching equipment). BESI (NL) has a</w:t>
      </w:r>
      <w:r>
        <w:t xml:space="preserve"> </w:t>
      </w:r>
      <w:r>
        <w:t xml:space="preserve">global market share of 43% in 2023, followed by ASMPT (SG) with a market share of 21%. This</w:t>
      </w:r>
      <w:r>
        <w:t xml:space="preserve"> </w:t>
      </w:r>
      <w:r>
        <w:t xml:space="preserve">concentration implies that a meaningful portion of global die attach capability is European-</w:t>
      </w:r>
      <w:r>
        <w:t xml:space="preserve"> </w:t>
      </w:r>
      <w:r>
        <w:t xml:space="preserve">origin. However, Europe’s position weakens in wire bonding. Kulicke &amp; Soffa (SG) has a</w:t>
      </w:r>
      <w:r>
        <w:t xml:space="preserve"> </w:t>
      </w:r>
      <w:r>
        <w:t xml:space="preserve">market share of 53% and ASMPT (SG) has a market share of 29%, while German suppliers</w:t>
      </w:r>
      <w:r>
        <w:t xml:space="preserve"> </w:t>
      </w:r>
      <w:r>
        <w:t xml:space="preserve">Hesse (DE) has a market share of 5% and F&amp;K Delvotec (DE) has a market share of 2%.</w:t>
      </w:r>
      <w:r>
        <w:br/>
      </w:r>
      <w:r>
        <w:t xml:space="preserve">1.3.1.5.2.3 Moulding, sealing and finishing</w:t>
      </w:r>
      <w:r>
        <w:t xml:space="preserve"> </w:t>
      </w:r>
      <w:r>
        <w:t xml:space="preserve">Moulding, sealing and finishing equipment comprises the tools used to encapsulate and complete</w:t>
      </w:r>
      <w:r>
        <w:t xml:space="preserve"> </w:t>
      </w:r>
      <w:r>
        <w:t xml:space="preserve">packaged semiconductor devices after the die has been attached and electrically connected.</w:t>
      </w:r>
      <w:r>
        <w:t xml:space="preserve"> </w:t>
      </w:r>
      <w:r>
        <w:t xml:space="preserve">In this segment, the dependency is again concentrated outside Europe. TOWA (JP) has a market</w:t>
      </w:r>
      <w:r>
        <w:t xml:space="preserve"> </w:t>
      </w:r>
      <w:r>
        <w:t xml:space="preserve">share of 61% in moulding and sealing systems and APIC Yamada (JP) has a market share of</w:t>
      </w:r>
      <w:r>
        <w:t xml:space="preserve"> </w:t>
      </w:r>
      <w:r>
        <w:t xml:space="preserve">14%, while BESI (BE) has a market share of 13%, indicating a meaningful European position. In</w:t>
      </w:r>
      <w:r>
        <w:t xml:space="preserve"> </w:t>
      </w:r>
      <w:r>
        <w:t xml:space="preserve">lead finishing and marking, BESI (BE) has a market share of 32%, alongside EO Technics (KR)</w:t>
      </w:r>
      <w:r>
        <w:t xml:space="preserve"> </w:t>
      </w:r>
      <w:r>
        <w:t xml:space="preserve">with a market share of 26%. Smaller European presences include ROFIN (DE) with a market</w:t>
      </w:r>
      <w:r>
        <w:t xml:space="preserve"> </w:t>
      </w:r>
      <w:r>
        <w:t xml:space="preserve">share of 1.3% and PacTech (DE) with a market share of 0.6%.</w:t>
      </w:r>
      <w:r>
        <w:br/>
      </w:r>
      <w:r>
        <w:t xml:space="preserve">1.3.1.5.2.4 Inspection and handling</w:t>
      </w:r>
      <w:r>
        <w:t xml:space="preserve"> </w:t>
      </w:r>
      <w:r>
        <w:t xml:space="preserve">Inspection and handling equipment comprises the tools used to detect defects and manage</w:t>
      </w:r>
      <w:r>
        <w:t xml:space="preserve"> </w:t>
      </w:r>
      <w:r>
        <w:t xml:space="preserve">product movement through packaging and test operations.</w:t>
      </w:r>
      <w:r>
        <w:t xml:space="preserve"> </w:t>
      </w:r>
      <w:r>
        <w:t xml:space="preserve">In this segment, the equipment ecosystem shows mixed dependency with only minor European</w:t>
      </w:r>
      <w:r>
        <w:t xml:space="preserve"> </w:t>
      </w:r>
      <w:r>
        <w:t xml:space="preserve">footholds. In wafer-level packaging inspection systems, Onto Innovation (US) has a market</w:t>
      </w:r>
      <w:r>
        <w:t xml:space="preserve"> </w:t>
      </w:r>
      <w:r>
        <w:t xml:space="preserve">share of 42%, Camtek (IL) has a market share of 28%, and KLA (US) has a market share of</w:t>
      </w:r>
      <w:r>
        <w:t xml:space="preserve"> </w:t>
      </w:r>
      <w:r>
        <w:t xml:space="preserve">27%, while Unity SC (FR) has a market share of 3%. In package handling equipment, Cohu (US)</w:t>
      </w:r>
      <w:r>
        <w:t xml:space="preserve"> </w:t>
      </w:r>
      <w:r>
        <w:t xml:space="preserve">has a market share of 27% and Pentamaster (MY) has a market share of 10%. Europe is</w:t>
      </w:r>
      <w:r>
        <w:t xml:space="preserve"> </w:t>
      </w:r>
      <w:r>
        <w:t xml:space="preserve">represented by SPEA (IT) with a market share of 3.2%, alongside marginal shares for German</w:t>
      </w:r>
      <w:r>
        <w:t xml:space="preserve"> </w:t>
      </w:r>
      <w:r>
        <w:t xml:space="preserve">suppliers.</w:t>
      </w:r>
      <w:r>
        <w:br/>
      </w:r>
      <w:r>
        <w:t xml:space="preserve">1.3.1.5.2.5 Test equipment</w:t>
      </w:r>
      <w:r>
        <w:t xml:space="preserve"> </w:t>
      </w:r>
      <w:r>
        <w:t xml:space="preserve">Test equipment comprises the tools used to verify that semiconductor devices meet electrical</w:t>
      </w:r>
      <w:r>
        <w:t xml:space="preserve"> </w:t>
      </w:r>
      <w:r>
        <w:t xml:space="preserve">performance and reliability requirements before shipment and, in some cases, during</w:t>
      </w:r>
      <w:r>
        <w:t xml:space="preserve"> </w:t>
      </w:r>
      <w:r>
        <w:t xml:space="preserve">intermediate production stages.</w:t>
      </w:r>
      <w:r>
        <w:t xml:space="preserve"> </w:t>
      </w:r>
      <w:r>
        <w:t xml:space="preserve">In test equipment, Europe’s presence is concentrated in specific niches rather than the largest-</w:t>
      </w:r>
      <w:r>
        <w:t xml:space="preserve"> </w:t>
      </w:r>
      <w:r>
        <w:t xml:space="preserve">volume segments. For system-on-chip test systems, Advantest (JP) has a market share of 59%</w:t>
      </w:r>
    </w:p>
    <w:p>
      <w:pPr>
        <w:pStyle w:val="BodyText"/>
      </w:pPr>
      <w:r>
        <w:t xml:space="preserve">84</w:t>
      </w:r>
      <w:r>
        <w:t xml:space="preserve"> </w:t>
      </w:r>
      <w:r>
        <w:t xml:space="preserve">and Teradyne (US) has a market share of 31%, while SPEA (IT) has a market share of 1.5%. In</w:t>
      </w:r>
      <w:r>
        <w:t xml:space="preserve"> </w:t>
      </w:r>
      <w:r>
        <w:t xml:space="preserve">burn-in test systems, European suppliers have more material positions: ELES (IT) has a market</w:t>
      </w:r>
      <w:r>
        <w:t xml:space="preserve"> </w:t>
      </w:r>
      <w:r>
        <w:t xml:space="preserve">share of 5% and EDA Industries (IT) has a market share of 1.5%.</w:t>
      </w:r>
      <w:r>
        <w:br/>
      </w:r>
      <w:r>
        <w:t xml:space="preserve">In handlers and probers (including wafer probing), leadership is again non-European, with</w:t>
      </w:r>
      <w:r>
        <w:t xml:space="preserve"> </w:t>
      </w:r>
      <w:r>
        <w:t xml:space="preserve">ACCRETECH/Tokyo Seimitsu (JP) having a market share of 43% and Tokyo Electron (JP)</w:t>
      </w:r>
      <w:r>
        <w:t xml:space="preserve"> </w:t>
      </w:r>
      <w:r>
        <w:t xml:space="preserve">having a market share of 29%.</w:t>
      </w:r>
    </w:p>
    <w:p>
      <w:pPr>
        <w:pStyle w:val="BodyText"/>
      </w:pPr>
      <w:r>
        <w:t xml:space="preserve">85</w:t>
      </w:r>
      <w:r>
        <w:t xml:space="preserve"> </w:t>
      </w:r>
      <w:r>
        <w:t xml:space="preserve">1.3.2. Establishing a starting point for BAU scenario</w:t>
      </w:r>
      <w:r>
        <w:t xml:space="preserve"> </w:t>
      </w:r>
      <w:r>
        <w:t xml:space="preserve">a) Upstream segments</w:t>
      </w:r>
      <w:r>
        <w:t xml:space="preserve"> </w:t>
      </w:r>
      <w:r>
        <w:t xml:space="preserve">Table 6. Mapping of the upstream segments in the chips value chain. Source: compiled by the authors.</w:t>
      </w:r>
      <w:r>
        <w:br/>
      </w:r>
      <w:r>
        <w:t xml:space="preserve">GVC segment</w:t>
      </w:r>
      <w:r>
        <w:t xml:space="preserve"> </w:t>
      </w:r>
      <w:r>
        <w:t xml:space="preserve">Value</w:t>
      </w:r>
      <w:r>
        <w:t xml:space="preserve"> </w:t>
      </w:r>
      <w:r>
        <w:t xml:space="preserve">added</w:t>
      </w:r>
      <w:r>
        <w:t xml:space="preserve"> </w:t>
      </w:r>
      <w:r>
        <w:t xml:space="preserve">characteristics</w:t>
      </w:r>
      <w:r>
        <w:t xml:space="preserve"> </w:t>
      </w:r>
      <w:r>
        <w:t xml:space="preserve">EU strengths</w:t>
      </w:r>
      <w:r>
        <w:t xml:space="preserve"> </w:t>
      </w:r>
      <w:r>
        <w:t xml:space="preserve">EU gaps</w:t>
      </w:r>
      <w:r>
        <w:t xml:space="preserve"> </w:t>
      </w:r>
      <w:r>
        <w:t xml:space="preserve">EU share in the</w:t>
      </w:r>
      <w:r>
        <w:t xml:space="preserve"> </w:t>
      </w:r>
      <w:r>
        <w:t xml:space="preserve">global market</w:t>
      </w:r>
      <w:r>
        <w:t xml:space="preserve"> </w:t>
      </w:r>
      <w:r>
        <w:t xml:space="preserve">Chips Act relevance</w:t>
      </w:r>
      <w:r>
        <w:t xml:space="preserve"> </w:t>
      </w:r>
      <w:r>
        <w:t xml:space="preserve">IP</w:t>
      </w:r>
      <w:r>
        <w:br/>
      </w:r>
      <w:r>
        <w:t xml:space="preserve">EDA</w:t>
      </w:r>
    </w:p>
    <w:p>
      <w:pPr>
        <w:pStyle w:val="BodyText"/>
      </w:pPr>
      <w:r>
        <w:t xml:space="preserve">Low-to-moderate</w:t>
      </w:r>
      <w:r>
        <w:t xml:space="preserve"> </w:t>
      </w:r>
      <w:r>
        <w:t xml:space="preserve">capital</w:t>
      </w:r>
      <w:r>
        <w:t xml:space="preserve"> </w:t>
      </w:r>
      <w:r>
        <w:t xml:space="preserve">intensity, very high R&amp;D</w:t>
      </w:r>
      <w:r>
        <w:t xml:space="preserve"> </w:t>
      </w:r>
      <w:r>
        <w:t xml:space="preserve">intensity.</w:t>
      </w:r>
      <w:r>
        <w:t xml:space="preserve"> </w:t>
      </w:r>
      <w:r>
        <w:t xml:space="preserve">Value</w:t>
      </w:r>
      <w:r>
        <w:t xml:space="preserve"> </w:t>
      </w:r>
      <w:r>
        <w:t xml:space="preserve">created</w:t>
      </w:r>
      <w:r>
        <w:t xml:space="preserve"> </w:t>
      </w:r>
      <w:r>
        <w:t xml:space="preserve">through</w:t>
      </w:r>
      <w:r>
        <w:t xml:space="preserve"> </w:t>
      </w:r>
      <w:r>
        <w:t xml:space="preserve">innovation, IP, and system</w:t>
      </w:r>
      <w:r>
        <w:t xml:space="preserve"> </w:t>
      </w:r>
      <w:r>
        <w:t xml:space="preserve">integration.</w:t>
      </w:r>
      <w:r>
        <w:t xml:space="preserve"> </w:t>
      </w:r>
      <w:r>
        <w:t xml:space="preserve">Profit margins typically</w:t>
      </w:r>
      <w:r>
        <w:t xml:space="preserve"> </w:t>
      </w:r>
      <w:r>
        <w:t xml:space="preserve">20–40%, driven by IP</w:t>
      </w:r>
      <w:r>
        <w:t xml:space="preserve"> </w:t>
      </w:r>
      <w:r>
        <w:t xml:space="preserve">licensing</w:t>
      </w:r>
      <w:r>
        <w:t xml:space="preserve"> </w:t>
      </w:r>
      <w:r>
        <w:t xml:space="preserve">and</w:t>
      </w:r>
      <w:r>
        <w:t xml:space="preserve"> </w:t>
      </w:r>
      <w:r>
        <w:t xml:space="preserve">high</w:t>
      </w:r>
      <w:r>
        <w:t xml:space="preserve"> </w:t>
      </w:r>
      <w:r>
        <w:t xml:space="preserve">switching costs.</w:t>
      </w:r>
    </w:p>
    <w:p>
      <w:pPr>
        <w:pStyle w:val="BodyText"/>
      </w:pPr>
      <w:r>
        <w:t xml:space="preserve">One of the 3 EDA market</w:t>
      </w:r>
      <w:r>
        <w:t xml:space="preserve"> </w:t>
      </w:r>
      <w:r>
        <w:t xml:space="preserve">leaders, Mentor Graphics, has</w:t>
      </w:r>
      <w:r>
        <w:t xml:space="preserve"> </w:t>
      </w:r>
      <w:r>
        <w:t xml:space="preserve">been acquired by Siemens</w:t>
      </w:r>
      <w:r>
        <w:t xml:space="preserve"> </w:t>
      </w:r>
      <w:r>
        <w:t xml:space="preserve">EDA,</w:t>
      </w:r>
      <w:r>
        <w:t xml:space="preserve"> </w:t>
      </w:r>
      <w:r>
        <w:t xml:space="preserve">reducing</w:t>
      </w:r>
      <w:r>
        <w:t xml:space="preserve"> </w:t>
      </w:r>
      <w:r>
        <w:t xml:space="preserve">EU’s</w:t>
      </w:r>
      <w:r>
        <w:t xml:space="preserve"> </w:t>
      </w:r>
      <w:r>
        <w:t xml:space="preserve">overdependence</w:t>
      </w:r>
      <w:r>
        <w:t xml:space="preserve"> </w:t>
      </w:r>
      <w:r>
        <w:t xml:space="preserve">on</w:t>
      </w:r>
      <w:r>
        <w:t xml:space="preserve"> </w:t>
      </w:r>
      <w:r>
        <w:t xml:space="preserve">US</w:t>
      </w:r>
      <w:r>
        <w:t xml:space="preserve"> </w:t>
      </w:r>
      <w:r>
        <w:t xml:space="preserve">software tools (64), (65)</w:t>
      </w:r>
    </w:p>
    <w:p>
      <w:pPr>
        <w:pStyle w:val="BodyText"/>
      </w:pPr>
      <w:r>
        <w:t xml:space="preserve">The EU is dependent on</w:t>
      </w:r>
      <w:r>
        <w:t xml:space="preserve"> </w:t>
      </w:r>
      <w:r>
        <w:t xml:space="preserve">the US, the UK, and Japan</w:t>
      </w:r>
      <w:r>
        <w:t xml:space="preserve"> </w:t>
      </w:r>
      <w:r>
        <w:t xml:space="preserve">for Intellectual Property</w:t>
      </w:r>
      <w:r>
        <w:t xml:space="preserve"> </w:t>
      </w:r>
      <w:r>
        <w:t xml:space="preserve">(IP) providers, which are</w:t>
      </w:r>
      <w:r>
        <w:t xml:space="preserve"> </w:t>
      </w:r>
      <w:r>
        <w:t xml:space="preserve">vital for semiconductor</w:t>
      </w:r>
      <w:r>
        <w:t xml:space="preserve"> </w:t>
      </w:r>
      <w:r>
        <w:t xml:space="preserve">design, with companies</w:t>
      </w:r>
      <w:r>
        <w:t xml:space="preserve"> </w:t>
      </w:r>
      <w:r>
        <w:t xml:space="preserve">such</w:t>
      </w:r>
      <w:r>
        <w:t xml:space="preserve"> </w:t>
      </w:r>
      <w:r>
        <w:t xml:space="preserve">as</w:t>
      </w:r>
      <w:r>
        <w:t xml:space="preserve"> </w:t>
      </w:r>
      <w:r>
        <w:t xml:space="preserve">Cadence,</w:t>
      </w:r>
      <w:r>
        <w:t xml:space="preserve"> </w:t>
      </w:r>
      <w:r>
        <w:t xml:space="preserve">Synopsys, or ARM being</w:t>
      </w:r>
      <w:r>
        <w:t xml:space="preserve"> </w:t>
      </w:r>
      <w:r>
        <w:t xml:space="preserve">prominent in this area (66).</w:t>
      </w:r>
      <w:r>
        <w:t xml:space="preserve"> </w:t>
      </w:r>
      <w:r>
        <w:t xml:space="preserve">Many EU companies rely</w:t>
      </w:r>
      <w:r>
        <w:t xml:space="preserve"> </w:t>
      </w:r>
      <w:r>
        <w:t xml:space="preserve">on Cadence and Synopsys</w:t>
      </w:r>
      <w:r>
        <w:t xml:space="preserve"> </w:t>
      </w:r>
      <w:r>
        <w:t xml:space="preserve">due</w:t>
      </w:r>
      <w:r>
        <w:t xml:space="preserve"> </w:t>
      </w:r>
      <w:r>
        <w:t xml:space="preserve">to</w:t>
      </w:r>
      <w:r>
        <w:t xml:space="preserve"> </w:t>
      </w:r>
      <w:r>
        <w:t xml:space="preserve">long-term</w:t>
      </w:r>
      <w:r>
        <w:t xml:space="preserve"> </w:t>
      </w:r>
      <w:r>
        <w:t xml:space="preserve">engagements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significant</w:t>
      </w:r>
      <w:r>
        <w:t xml:space="preserve"> </w:t>
      </w:r>
      <w:r>
        <w:t xml:space="preserve">costs</w:t>
      </w:r>
      <w:r>
        <w:t xml:space="preserve"> </w:t>
      </w:r>
      <w:r>
        <w:t xml:space="preserve">and</w:t>
      </w:r>
      <w:r>
        <w:t xml:space="preserve"> </w:t>
      </w:r>
      <w:r>
        <w:t xml:space="preserve">delays</w:t>
      </w:r>
      <w:r>
        <w:t xml:space="preserve"> </w:t>
      </w:r>
      <w:r>
        <w:t xml:space="preserve">associated</w:t>
      </w:r>
      <w:r>
        <w:t xml:space="preserve"> </w:t>
      </w:r>
      <w:r>
        <w:t xml:space="preserve">with</w:t>
      </w:r>
      <w:r>
        <w:t xml:space="preserve"> </w:t>
      </w:r>
      <w:r>
        <w:t xml:space="preserve">switching EDA suppliers</w:t>
      </w:r>
      <w:r>
        <w:t xml:space="preserve"> </w:t>
      </w:r>
      <w:r>
        <w:t xml:space="preserve">(67).</w:t>
      </w:r>
      <w:r>
        <w:t xml:space="preserve"> </w:t>
      </w:r>
      <w:r>
        <w:t xml:space="preserve">EU27 share of the global</w:t>
      </w:r>
      <w:r>
        <w:t xml:space="preserve"> </w:t>
      </w:r>
      <w:r>
        <w:t xml:space="preserve">semiconductor</w:t>
      </w:r>
      <w:r>
        <w:t xml:space="preserve"> </w:t>
      </w:r>
      <w:r>
        <w:t xml:space="preserve">EDA</w:t>
      </w:r>
      <w:r>
        <w:t xml:space="preserve"> </w:t>
      </w:r>
      <w:r>
        <w:t xml:space="preserve">market in 2023: 20.6 %</w:t>
      </w:r>
      <w:r>
        <w:t xml:space="preserve"> </w:t>
      </w:r>
      <w:r>
        <w:t xml:space="preserve">(68)</w:t>
      </w:r>
      <w:r>
        <w:t xml:space="preserve"> </w:t>
      </w:r>
      <w:r>
        <w:t xml:space="preserve">EU27 share of the global</w:t>
      </w:r>
      <w:r>
        <w:t xml:space="preserve"> </w:t>
      </w:r>
      <w:r>
        <w:t xml:space="preserve">semiconductor</w:t>
      </w:r>
      <w:r>
        <w:t xml:space="preserve"> </w:t>
      </w:r>
      <w:r>
        <w:t xml:space="preserve">IP/licensing</w:t>
      </w:r>
      <w:r>
        <w:t xml:space="preserve"> </w:t>
      </w:r>
      <w:r>
        <w:t xml:space="preserve">market</w:t>
      </w:r>
      <w:r>
        <w:t xml:space="preserve"> </w:t>
      </w:r>
      <w:r>
        <w:t xml:space="preserve">in</w:t>
      </w:r>
      <w:r>
        <w:t xml:space="preserve"> </w:t>
      </w:r>
      <w:r>
        <w:t xml:space="preserve">2023: 0 % (the EU27</w:t>
      </w:r>
      <w:r>
        <w:t xml:space="preserve"> </w:t>
      </w:r>
      <w:r>
        <w:t xml:space="preserve">currently has no market</w:t>
      </w:r>
      <w:r>
        <w:t xml:space="preserve"> </w:t>
      </w:r>
      <w:r>
        <w:t xml:space="preserve">share in this segment; the</w:t>
      </w:r>
      <w:r>
        <w:t xml:space="preserve"> </w:t>
      </w:r>
      <w:r>
        <w:t xml:space="preserve">leading player is ARM in</w:t>
      </w:r>
      <w:r>
        <w:t xml:space="preserve"> </w:t>
      </w:r>
      <w:r>
        <w:t xml:space="preserve">the United Kingdom). (69)</w:t>
      </w:r>
      <w:r>
        <w:t xml:space="preserve"> </w:t>
      </w:r>
      <w:r>
        <w:t xml:space="preserve">Pillar I: European Design</w:t>
      </w:r>
      <w:r>
        <w:t xml:space="preserve"> </w:t>
      </w:r>
      <w:r>
        <w:t xml:space="preserve">Platform enables fabless</w:t>
      </w:r>
      <w:r>
        <w:t xml:space="preserve"> </w:t>
      </w:r>
      <w:r>
        <w:t xml:space="preserve">SMEs and start-ups to</w:t>
      </w:r>
      <w:r>
        <w:t xml:space="preserve"> </w:t>
      </w:r>
      <w:r>
        <w:t xml:space="preserve">design</w:t>
      </w:r>
      <w:r>
        <w:t xml:space="preserve"> </w:t>
      </w:r>
      <w:r>
        <w:t xml:space="preserve">chips</w:t>
      </w:r>
      <w:r>
        <w:t xml:space="preserve"> </w:t>
      </w:r>
      <w:r>
        <w:t xml:space="preserve">without</w:t>
      </w:r>
      <w:r>
        <w:t xml:space="preserve"> </w:t>
      </w:r>
      <w:r>
        <w:t xml:space="preserve">incurring high software</w:t>
      </w:r>
      <w:r>
        <w:t xml:space="preserve"> </w:t>
      </w:r>
      <w:r>
        <w:t xml:space="preserve">licensing</w:t>
      </w:r>
      <w:r>
        <w:t xml:space="preserve"> </w:t>
      </w:r>
      <w:r>
        <w:t xml:space="preserve">costs.</w:t>
      </w:r>
      <w:r>
        <w:t xml:space="preserve"> </w:t>
      </w:r>
      <w:r>
        <w:t xml:space="preserve">Offers</w:t>
      </w:r>
      <w:r>
        <w:t xml:space="preserve"> </w:t>
      </w:r>
      <w:r>
        <w:t xml:space="preserve">collaborative prototyping</w:t>
      </w:r>
      <w:r>
        <w:t xml:space="preserve"> </w:t>
      </w:r>
      <w:r>
        <w:t xml:space="preserve">environments.</w:t>
      </w:r>
      <w:r>
        <w:t xml:space="preserve"> </w:t>
      </w:r>
      <w:r>
        <w:t xml:space="preserve">Competence Centres give</w:t>
      </w:r>
      <w:r>
        <w:t xml:space="preserve"> </w:t>
      </w:r>
      <w:r>
        <w:t xml:space="preserve">fabless</w:t>
      </w:r>
      <w:r>
        <w:t xml:space="preserve"> </w:t>
      </w:r>
      <w:r>
        <w:t xml:space="preserve">firms</w:t>
      </w:r>
      <w:r>
        <w:t xml:space="preserve"> </w:t>
      </w:r>
      <w:r>
        <w:t xml:space="preserve">practical</w:t>
      </w:r>
      <w:r>
        <w:t xml:space="preserve"> </w:t>
      </w:r>
      <w:r>
        <w:t xml:space="preserve">support, technical advice,</w:t>
      </w:r>
      <w:r>
        <w:t xml:space="preserve"> </w:t>
      </w:r>
      <w:r>
        <w:t xml:space="preserve">and</w:t>
      </w:r>
      <w:r>
        <w:t xml:space="preserve"> </w:t>
      </w:r>
      <w:r>
        <w:t xml:space="preserve">networking</w:t>
      </w:r>
      <w:r>
        <w:t xml:space="preserve"> </w:t>
      </w:r>
      <w:r>
        <w:t xml:space="preserve">with</w:t>
      </w:r>
      <w:r>
        <w:t xml:space="preserve"> </w:t>
      </w:r>
      <w:r>
        <w:t xml:space="preserve">foundries or integrators.</w:t>
      </w:r>
      <w:r>
        <w:t xml:space="preserve"> </w:t>
      </w:r>
      <w:r>
        <w:t xml:space="preserve">Pilot Lines allow fabless</w:t>
      </w:r>
      <w:r>
        <w:t xml:space="preserve"> </w:t>
      </w:r>
      <w:r>
        <w:t xml:space="preserve">companies to validate and</w:t>
      </w:r>
      <w:r>
        <w:t xml:space="preserve"> </w:t>
      </w:r>
      <w:r>
        <w:t xml:space="preserve">prototype their designs on</w:t>
      </w:r>
      <w:r>
        <w:t xml:space="preserve"> </w:t>
      </w:r>
      <w:r>
        <w:t xml:space="preserve">European</w:t>
      </w:r>
      <w:r>
        <w:t xml:space="preserve"> </w:t>
      </w:r>
      <w:r>
        <w:t xml:space="preserve">technology</w:t>
      </w:r>
    </w:p>
    <w:p>
      <w:pPr>
        <w:pStyle w:val="Compact"/>
        <w:numPr>
          <w:ilvl w:val="0"/>
          <w:numId w:val="1025"/>
        </w:numPr>
      </w:pPr>
      <w:r>
        <w:t xml:space="preserve">DECISION Études &amp; Conseil. (2024). Economic analysis of the EU and global chips ecosystem</w:t>
      </w:r>
    </w:p>
    <w:p>
      <w:pPr>
        <w:pStyle w:val="Compact"/>
        <w:numPr>
          <w:ilvl w:val="0"/>
          <w:numId w:val="1025"/>
        </w:numPr>
      </w:pPr>
      <w:r>
        <w:t xml:space="preserve">Ebrahimi, A. (2024). Groundbreaking chip sovereignty: Europe’s strategic push in the semiconductor race. Ifri Memos, Institut français des relations internationales (IFRI). ISBN 979-10-373-0874-0.</w:t>
      </w:r>
    </w:p>
    <w:p>
      <w:pPr>
        <w:pStyle w:val="Compact"/>
        <w:numPr>
          <w:ilvl w:val="0"/>
          <w:numId w:val="1025"/>
        </w:numPr>
      </w:pPr>
      <w:r>
        <w:t xml:space="preserve">DECISION Études &amp; Conseil. (2024). Economic analysis of the EU and global chips ecosystem</w:t>
      </w:r>
    </w:p>
    <w:p>
      <w:pPr>
        <w:pStyle w:val="Compact"/>
        <w:numPr>
          <w:ilvl w:val="0"/>
          <w:numId w:val="1025"/>
        </w:numPr>
      </w:pPr>
      <w:r>
        <w:t xml:space="preserve">DECISION Études &amp; Conseil. (2024). Economic analysis of the EU and global chips ecosystem</w:t>
      </w:r>
    </w:p>
    <w:p>
      <w:pPr>
        <w:pStyle w:val="Compact"/>
        <w:numPr>
          <w:ilvl w:val="0"/>
          <w:numId w:val="1025"/>
        </w:numPr>
      </w:pPr>
      <w:r>
        <w:t xml:space="preserve">IDC (2025). Semiconductors D3: Second interim study report (Version 3.0). Prepared for the European Commission.</w:t>
      </w:r>
    </w:p>
    <w:p>
      <w:pPr>
        <w:pStyle w:val="FirstParagraph"/>
      </w:pPr>
      <w:r>
        <w:t xml:space="preserve">86</w:t>
      </w:r>
      <w:r>
        <w:t xml:space="preserve"> </w:t>
      </w:r>
      <w:r>
        <w:t xml:space="preserve">GVC segment</w:t>
      </w:r>
      <w:r>
        <w:t xml:space="preserve"> </w:t>
      </w:r>
      <w:r>
        <w:t xml:space="preserve">Value</w:t>
      </w:r>
      <w:r>
        <w:t xml:space="preserve"> </w:t>
      </w:r>
      <w:r>
        <w:t xml:space="preserve">added</w:t>
      </w:r>
      <w:r>
        <w:t xml:space="preserve"> </w:t>
      </w:r>
      <w:r>
        <w:t xml:space="preserve">characteristics</w:t>
      </w:r>
      <w:r>
        <w:t xml:space="preserve"> </w:t>
      </w:r>
      <w:r>
        <w:t xml:space="preserve">EU strengths</w:t>
      </w:r>
      <w:r>
        <w:t xml:space="preserve"> </w:t>
      </w:r>
      <w:r>
        <w:t xml:space="preserve">EU gaps</w:t>
      </w:r>
      <w:r>
        <w:t xml:space="preserve"> </w:t>
      </w:r>
      <w:r>
        <w:t xml:space="preserve">EU share in the</w:t>
      </w:r>
      <w:r>
        <w:t xml:space="preserve"> </w:t>
      </w:r>
      <w:r>
        <w:t xml:space="preserve">global market</w:t>
      </w:r>
      <w:r>
        <w:t xml:space="preserve"> </w:t>
      </w:r>
      <w:r>
        <w:t xml:space="preserve">Chips Act relevance</w:t>
      </w:r>
    </w:p>
    <w:p>
      <w:pPr>
        <w:pStyle w:val="BodyText"/>
      </w:pPr>
      <w:r>
        <w:t xml:space="preserve">nodes</w:t>
      </w:r>
      <w:r>
        <w:t xml:space="preserve"> </w:t>
      </w:r>
      <w:r>
        <w:t xml:space="preserve">Chips</w:t>
      </w:r>
      <w:r>
        <w:t xml:space="preserve"> </w:t>
      </w:r>
      <w:r>
        <w:t xml:space="preserve">Fund</w:t>
      </w:r>
      <w:r>
        <w:t xml:space="preserve"> </w:t>
      </w:r>
      <w:r>
        <w:t xml:space="preserve">(EIB/EIF</w:t>
      </w:r>
      <w:r>
        <w:t xml:space="preserve"> </w:t>
      </w:r>
      <w:r>
        <w:t xml:space="preserve">instrument)</w:t>
      </w:r>
      <w:r>
        <w:t xml:space="preserve"> </w:t>
      </w:r>
      <w:r>
        <w:t xml:space="preserve">provides</w:t>
      </w:r>
      <w:r>
        <w:t xml:space="preserve"> </w:t>
      </w:r>
      <w:r>
        <w:t xml:space="preserve">access</w:t>
      </w:r>
      <w:r>
        <w:t xml:space="preserve"> </w:t>
      </w:r>
      <w:r>
        <w:t xml:space="preserve">to</w:t>
      </w:r>
      <w:r>
        <w:t xml:space="preserve"> </w:t>
      </w:r>
      <w:r>
        <w:t xml:space="preserve">capital</w:t>
      </w:r>
      <w:r>
        <w:t xml:space="preserve"> </w:t>
      </w:r>
      <w:r>
        <w:t xml:space="preserve">for</w:t>
      </w:r>
      <w:r>
        <w:t xml:space="preserve"> </w:t>
      </w:r>
      <w:r>
        <w:t xml:space="preserve">fabless start-ups, which</w:t>
      </w:r>
      <w:r>
        <w:t xml:space="preserve"> </w:t>
      </w:r>
      <w:r>
        <w:t xml:space="preserve">often face large funding</w:t>
      </w:r>
      <w:r>
        <w:t xml:space="preserve"> </w:t>
      </w:r>
      <w:r>
        <w:t xml:space="preserve">gaps in the design-to-tape-</w:t>
      </w:r>
      <w:r>
        <w:t xml:space="preserve"> </w:t>
      </w:r>
      <w:r>
        <w:t xml:space="preserve">out stage.</w:t>
      </w:r>
      <w:r>
        <w:t xml:space="preserve"> </w:t>
      </w:r>
      <w:r>
        <w:t xml:space="preserve">Also indirectly related to</w:t>
      </w:r>
      <w:r>
        <w:t xml:space="preserve"> </w:t>
      </w:r>
      <w:r>
        <w:t xml:space="preserve">Pillar II and Pillar III.</w:t>
      </w:r>
      <w:r>
        <w:br/>
      </w:r>
      <w:r>
        <w:t xml:space="preserve">Chemicals and raw</w:t>
      </w:r>
      <w:r>
        <w:t xml:space="preserve"> </w:t>
      </w:r>
      <w:r>
        <w:t xml:space="preserve">materials</w:t>
      </w:r>
      <w:r>
        <w:t xml:space="preserve"> </w:t>
      </w:r>
      <w:r>
        <w:t xml:space="preserve">High</w:t>
      </w:r>
      <w:r>
        <w:t xml:space="preserve"> </w:t>
      </w:r>
      <w:r>
        <w:t xml:space="preserve">technological</w:t>
      </w:r>
      <w:r>
        <w:t xml:space="preserve"> </w:t>
      </w:r>
      <w:r>
        <w:t xml:space="preserve">barriers, stringent purity</w:t>
      </w:r>
      <w:r>
        <w:t xml:space="preserve"> </w:t>
      </w:r>
      <w:r>
        <w:t xml:space="preserve">standards.</w:t>
      </w:r>
      <w:r>
        <w:t xml:space="preserve"> </w:t>
      </w:r>
      <w:r>
        <w:t xml:space="preserve">Relatively</w:t>
      </w:r>
      <w:r>
        <w:t xml:space="preserve"> </w:t>
      </w:r>
      <w:r>
        <w:t xml:space="preserve">moderate</w:t>
      </w:r>
      <w:r>
        <w:t xml:space="preserve"> </w:t>
      </w:r>
      <w:r>
        <w:t xml:space="preserve">profit margins (10–15%),</w:t>
      </w:r>
      <w:r>
        <w:t xml:space="preserve"> </w:t>
      </w:r>
      <w:r>
        <w:t xml:space="preserve">but materials quality (e.g. </w:t>
      </w:r>
      <w:r>
        <w:t xml:space="preserve"> </w:t>
      </w:r>
      <w:r>
        <w:t xml:space="preserve">purity)</w:t>
      </w:r>
      <w:r>
        <w:t xml:space="preserve"> </w:t>
      </w:r>
      <w:r>
        <w:t xml:space="preserve">critically</w:t>
      </w:r>
      <w:r>
        <w:t xml:space="preserve"> </w:t>
      </w:r>
      <w:r>
        <w:t xml:space="preserve">determines chip yield and</w:t>
      </w:r>
      <w:r>
        <w:t xml:space="preserve"> </w:t>
      </w:r>
      <w:r>
        <w:t xml:space="preserve">performance.</w:t>
      </w:r>
      <w:r>
        <w:t xml:space="preserve"> </w:t>
      </w:r>
      <w:r>
        <w:t xml:space="preserve">Strategic</w:t>
      </w:r>
      <w:r>
        <w:t xml:space="preserve"> </w:t>
      </w:r>
      <w:r>
        <w:t xml:space="preserve">sensitivity:</w:t>
      </w:r>
      <w:r>
        <w:t xml:space="preserve"> </w:t>
      </w:r>
      <w:r>
        <w:t xml:space="preserve">The EU holds a competitive edge</w:t>
      </w:r>
      <w:r>
        <w:t xml:space="preserve"> </w:t>
      </w:r>
      <w:r>
        <w:t xml:space="preserve">in the supply of gases and</w:t>
      </w:r>
      <w:r>
        <w:t xml:space="preserve"> </w:t>
      </w:r>
      <w:r>
        <w:t xml:space="preserve">chemicals necessary for advanced</w:t>
      </w:r>
      <w:r>
        <w:t xml:space="preserve"> </w:t>
      </w:r>
      <w:r>
        <w:t xml:space="preserve">semiconductor</w:t>
      </w:r>
      <w:r>
        <w:t xml:space="preserve"> </w:t>
      </w:r>
      <w:r>
        <w:t xml:space="preserve">manufacturing</w:t>
      </w:r>
      <w:r>
        <w:t xml:space="preserve"> </w:t>
      </w:r>
      <w:r>
        <w:t xml:space="preserve">processes including etching and</w:t>
      </w:r>
      <w:r>
        <w:t xml:space="preserve"> </w:t>
      </w:r>
      <w:r>
        <w:t xml:space="preserve">cleaning chemicals, fluorinated</w:t>
      </w:r>
      <w:r>
        <w:t xml:space="preserve"> </w:t>
      </w:r>
      <w:r>
        <w:t xml:space="preserve">process gases, and CMP slurries.</w:t>
      </w:r>
      <w:r>
        <w:t xml:space="preserve"> </w:t>
      </w:r>
      <w:r>
        <w:t xml:space="preserve">European suppliers are global</w:t>
      </w:r>
      <w:r>
        <w:t xml:space="preserve"> </w:t>
      </w:r>
      <w:r>
        <w:t xml:space="preserve">leaders</w:t>
      </w:r>
      <w:r>
        <w:t xml:space="preserve"> </w:t>
      </w:r>
      <w:r>
        <w:t xml:space="preserve">in</w:t>
      </w:r>
      <w:r>
        <w:t xml:space="preserve"> </w:t>
      </w:r>
      <w:r>
        <w:t xml:space="preserve">several</w:t>
      </w:r>
      <w:r>
        <w:t xml:space="preserve"> </w:t>
      </w:r>
      <w:r>
        <w:t xml:space="preserve">of</w:t>
      </w:r>
      <w:r>
        <w:t xml:space="preserve"> </w:t>
      </w:r>
      <w:r>
        <w:t xml:space="preserve">these</w:t>
      </w:r>
      <w:r>
        <w:t xml:space="preserve"> </w:t>
      </w:r>
      <w:r>
        <w:t xml:space="preserve">segments, underscoring chemicals</w:t>
      </w:r>
      <w:r>
        <w:t xml:space="preserve"> </w:t>
      </w:r>
      <w:r>
        <w:t xml:space="preserve">as a core and indispensable</w:t>
      </w:r>
      <w:r>
        <w:t xml:space="preserve"> </w:t>
      </w:r>
      <w:r>
        <w:t xml:space="preserve">strength of the EU ecosystem. (70)</w:t>
      </w:r>
      <w:r>
        <w:t xml:space="preserve"> </w:t>
      </w:r>
      <w:r>
        <w:t xml:space="preserve">Raw materials essential</w:t>
      </w:r>
      <w:r>
        <w:t xml:space="preserve"> </w:t>
      </w:r>
      <w:r>
        <w:t xml:space="preserve">for</w:t>
      </w:r>
      <w:r>
        <w:t xml:space="preserve"> </w:t>
      </w:r>
      <w:r>
        <w:t xml:space="preserve">semiconductor</w:t>
      </w:r>
      <w:r>
        <w:t xml:space="preserve"> </w:t>
      </w:r>
      <w:r>
        <w:t xml:space="preserve">production are scarce and</w:t>
      </w:r>
      <w:r>
        <w:t xml:space="preserve"> </w:t>
      </w:r>
      <w:r>
        <w:t xml:space="preserve">not necessarily extracted</w:t>
      </w:r>
      <w:r>
        <w:t xml:space="preserve"> </w:t>
      </w:r>
      <w:r>
        <w:t xml:space="preserve">or produced within the</w:t>
      </w:r>
      <w:r>
        <w:t xml:space="preserve"> </w:t>
      </w:r>
      <w:r>
        <w:t xml:space="preserve">EU, leading to heavy</w:t>
      </w:r>
      <w:r>
        <w:t xml:space="preserve"> </w:t>
      </w:r>
      <w:r>
        <w:t xml:space="preserve">reliance</w:t>
      </w:r>
      <w:r>
        <w:t xml:space="preserve"> </w:t>
      </w:r>
      <w:r>
        <w:t xml:space="preserve">on</w:t>
      </w:r>
      <w:r>
        <w:t xml:space="preserve"> </w:t>
      </w:r>
      <w:r>
        <w:t xml:space="preserve">foreign</w:t>
      </w:r>
      <w:r>
        <w:t xml:space="preserve"> </w:t>
      </w:r>
      <w:r>
        <w:t xml:space="preserve">imports (72)</w:t>
      </w:r>
      <w:r>
        <w:t xml:space="preserve"> </w:t>
      </w:r>
      <w:r>
        <w:t xml:space="preserve">The EU is reliant on</w:t>
      </w:r>
      <w:r>
        <w:t xml:space="preserve"> </w:t>
      </w:r>
      <w:r>
        <w:t xml:space="preserve">critical</w:t>
      </w:r>
      <w:r>
        <w:t xml:space="preserve"> </w:t>
      </w:r>
      <w:r>
        <w:t xml:space="preserve">materials</w:t>
      </w:r>
      <w:r>
        <w:t xml:space="preserve"> </w:t>
      </w:r>
      <w:r>
        <w:t xml:space="preserve">like</w:t>
      </w:r>
      <w:r>
        <w:t xml:space="preserve"> </w:t>
      </w:r>
      <w:r>
        <w:t xml:space="preserve">gallium, with 35% of the</w:t>
      </w:r>
      <w:r>
        <w:t xml:space="preserve"> </w:t>
      </w:r>
      <w:r>
        <w:t xml:space="preserve">gallium used in the EU</w:t>
      </w:r>
      <w:r>
        <w:t xml:space="preserve"> </w:t>
      </w:r>
      <w:r>
        <w:t xml:space="preserve">The EU benefits from a</w:t>
      </w:r>
      <w:r>
        <w:t xml:space="preserve"> </w:t>
      </w:r>
      <w:r>
        <w:t xml:space="preserve">strong</w:t>
      </w:r>
      <w:r>
        <w:t xml:space="preserve"> </w:t>
      </w:r>
      <w:r>
        <w:t xml:space="preserve">industrial</w:t>
      </w:r>
      <w:r>
        <w:t xml:space="preserve"> </w:t>
      </w:r>
      <w:r>
        <w:t xml:space="preserve">ecosystem, with leading</w:t>
      </w:r>
      <w:r>
        <w:t xml:space="preserve"> </w:t>
      </w:r>
      <w:r>
        <w:t xml:space="preserve">players such as Merck, Air</w:t>
      </w:r>
      <w:r>
        <w:t xml:space="preserve"> </w:t>
      </w:r>
      <w:r>
        <w:t xml:space="preserve">Liquide, BASF, Umicore,</w:t>
      </w:r>
      <w:r>
        <w:t xml:space="preserve"> </w:t>
      </w:r>
      <w:r>
        <w:t xml:space="preserve">Atlas Copco (including</w:t>
      </w:r>
      <w:r>
        <w:t xml:space="preserve"> </w:t>
      </w:r>
      <w:r>
        <w:t xml:space="preserve">Edwards Vacuum), and</w:t>
      </w:r>
      <w:r>
        <w:t xml:space="preserve"> </w:t>
      </w:r>
      <w:r>
        <w:t xml:space="preserve">Linde. These EU players</w:t>
      </w:r>
      <w:r>
        <w:t xml:space="preserve"> </w:t>
      </w:r>
      <w:r>
        <w:t xml:space="preserve">accounted for EUR 12</w:t>
      </w:r>
      <w:r>
        <w:t xml:space="preserve"> </w:t>
      </w:r>
      <w:r>
        <w:t xml:space="preserve">billion in sales on the</w:t>
      </w:r>
      <w:r>
        <w:t xml:space="preserve"> </w:t>
      </w:r>
      <w:r>
        <w:t xml:space="preserve">global</w:t>
      </w:r>
      <w:r>
        <w:t xml:space="preserve"> </w:t>
      </w:r>
      <w:r>
        <w:t xml:space="preserve">semiconductor</w:t>
      </w:r>
      <w:r>
        <w:t xml:space="preserve"> </w:t>
      </w:r>
      <w:r>
        <w:t xml:space="preserve">materials market in 2021,</w:t>
      </w:r>
      <w:r>
        <w:t xml:space="preserve"> </w:t>
      </w:r>
      <w:r>
        <w:t xml:space="preserve">representing a 24% market</w:t>
      </w:r>
      <w:r>
        <w:t xml:space="preserve"> </w:t>
      </w:r>
      <w:r>
        <w:t xml:space="preserve">Linked</w:t>
      </w:r>
      <w:r>
        <w:t xml:space="preserve"> </w:t>
      </w:r>
      <w:r>
        <w:t xml:space="preserve">to</w:t>
      </w:r>
      <w:r>
        <w:t xml:space="preserve"> </w:t>
      </w:r>
      <w:r>
        <w:t xml:space="preserve">Pillar</w:t>
      </w:r>
      <w:r>
        <w:t xml:space="preserve"> </w:t>
      </w:r>
      <w:r>
        <w:t xml:space="preserve">III:</w:t>
      </w:r>
      <w:r>
        <w:t xml:space="preserve"> </w:t>
      </w:r>
      <w:r>
        <w:t xml:space="preserve">Tracking of raw material</w:t>
      </w:r>
      <w:r>
        <w:t xml:space="preserve"> </w:t>
      </w:r>
      <w:r>
        <w:t xml:space="preserve">dependencies</w:t>
      </w:r>
      <w:r>
        <w:t xml:space="preserve"> </w:t>
      </w:r>
      <w:r>
        <w:t xml:space="preserve">and</w:t>
      </w:r>
      <w:r>
        <w:t xml:space="preserve"> </w:t>
      </w:r>
      <w:r>
        <w:t xml:space="preserve">activation of emergency</w:t>
      </w:r>
      <w:r>
        <w:t xml:space="preserve"> </w:t>
      </w:r>
      <w:r>
        <w:t xml:space="preserve">mechanisms.</w:t>
      </w:r>
    </w:p>
    <w:p>
      <w:pPr>
        <w:pStyle w:val="Compact"/>
        <w:numPr>
          <w:ilvl w:val="0"/>
          <w:numId w:val="1026"/>
        </w:numPr>
      </w:pPr>
      <w:r>
        <w:t xml:space="preserve">IDC. (2025). Semiconductors D3: Second interim study report (Version 3.0)</w:t>
      </w:r>
    </w:p>
    <w:p>
      <w:pPr>
        <w:pStyle w:val="Compact"/>
        <w:numPr>
          <w:ilvl w:val="0"/>
          <w:numId w:val="1026"/>
        </w:numPr>
      </w:pPr>
      <w:r>
        <w:t xml:space="preserve">DECISION Études &amp; Conseil. (2024). Economic analysis of the EU and global chips ecosystem. Study for the European Commission, Directorate-General for Communications Networks, Content and</w:t>
      </w:r>
      <w:r>
        <w:t xml:space="preserve"> </w:t>
      </w:r>
      <w:r>
        <w:t xml:space="preserve">Technology (DG CNECT).</w:t>
      </w:r>
    </w:p>
    <w:p>
      <w:pPr>
        <w:pStyle w:val="FirstParagraph"/>
      </w:pPr>
      <w:r>
        <w:t xml:space="preserve">87</w:t>
      </w:r>
      <w:r>
        <w:t xml:space="preserve"> </w:t>
      </w:r>
      <w:r>
        <w:t xml:space="preserve">GVC segment</w:t>
      </w:r>
      <w:r>
        <w:t xml:space="preserve"> </w:t>
      </w:r>
      <w:r>
        <w:t xml:space="preserve">Value</w:t>
      </w:r>
      <w:r>
        <w:t xml:space="preserve"> </w:t>
      </w:r>
      <w:r>
        <w:t xml:space="preserve">added</w:t>
      </w:r>
      <w:r>
        <w:t xml:space="preserve"> </w:t>
      </w:r>
      <w:r>
        <w:t xml:space="preserve">characteristics</w:t>
      </w:r>
      <w:r>
        <w:t xml:space="preserve"> </w:t>
      </w:r>
      <w:r>
        <w:t xml:space="preserve">EU strengths</w:t>
      </w:r>
      <w:r>
        <w:t xml:space="preserve"> </w:t>
      </w:r>
      <w:r>
        <w:t xml:space="preserve">EU gaps</w:t>
      </w:r>
      <w:r>
        <w:t xml:space="preserve"> </w:t>
      </w:r>
      <w:r>
        <w:t xml:space="preserve">EU share in the</w:t>
      </w:r>
      <w:r>
        <w:t xml:space="preserve"> </w:t>
      </w:r>
      <w:r>
        <w:t xml:space="preserve">global market</w:t>
      </w:r>
      <w:r>
        <w:t xml:space="preserve"> </w:t>
      </w:r>
      <w:r>
        <w:t xml:space="preserve">Chips Act relevance</w:t>
      </w:r>
      <w:r>
        <w:t xml:space="preserve"> </w:t>
      </w:r>
      <w:r>
        <w:t xml:space="preserve">supply chains concentrated</w:t>
      </w:r>
      <w:r>
        <w:t xml:space="preserve"> </w:t>
      </w:r>
      <w:r>
        <w:t xml:space="preserve">in East Asia and the US;</w:t>
      </w:r>
      <w:r>
        <w:t xml:space="preserve"> </w:t>
      </w:r>
      <w:r>
        <w:t xml:space="preserve">Europe is vulnerable in</w:t>
      </w:r>
      <w:r>
        <w:t xml:space="preserve"> </w:t>
      </w:r>
      <w:r>
        <w:t xml:space="preserve">raw material extraction</w:t>
      </w:r>
      <w:r>
        <w:t xml:space="preserve"> </w:t>
      </w:r>
      <w:r>
        <w:t xml:space="preserve">and refining, yet it holds</w:t>
      </w:r>
      <w:r>
        <w:t xml:space="preserve"> </w:t>
      </w:r>
      <w:r>
        <w:t xml:space="preserve">strong and often market-</w:t>
      </w:r>
      <w:r>
        <w:t xml:space="preserve"> </w:t>
      </w:r>
      <w:r>
        <w:t xml:space="preserve">leading positions in high-</w:t>
      </w:r>
      <w:r>
        <w:t xml:space="preserve"> </w:t>
      </w:r>
      <w:r>
        <w:t xml:space="preserve">purity</w:t>
      </w:r>
      <w:r>
        <w:t xml:space="preserve"> </w:t>
      </w:r>
      <w:r>
        <w:t xml:space="preserve">chemicals</w:t>
      </w:r>
      <w:r>
        <w:t xml:space="preserve"> </w:t>
      </w:r>
      <w:r>
        <w:t xml:space="preserve">and</w:t>
      </w:r>
      <w:r>
        <w:t xml:space="preserve"> </w:t>
      </w:r>
      <w:r>
        <w:t xml:space="preserve">specialty gases, which are</w:t>
      </w:r>
      <w:r>
        <w:t xml:space="preserve"> </w:t>
      </w:r>
      <w:r>
        <w:t xml:space="preserve">indispensable for global</w:t>
      </w:r>
      <w:r>
        <w:t xml:space="preserve"> </w:t>
      </w:r>
      <w:r>
        <w:t xml:space="preserve">semiconductor production.</w:t>
      </w:r>
      <w:r>
        <w:t xml:space="preserve"> </w:t>
      </w:r>
      <w:r>
        <w:t xml:space="preserve">The EU has significant domestic</w:t>
      </w:r>
      <w:r>
        <w:t xml:space="preserve"> </w:t>
      </w:r>
      <w:r>
        <w:t xml:space="preserve">capacity for ultra-purified silicon,</w:t>
      </w:r>
      <w:r>
        <w:t xml:space="preserve"> </w:t>
      </w:r>
      <w:r>
        <w:t xml:space="preserve">which is the most widely used</w:t>
      </w:r>
      <w:r>
        <w:t xml:space="preserve"> </w:t>
      </w:r>
      <w:r>
        <w:t xml:space="preserve">material for producing silicon</w:t>
      </w:r>
      <w:r>
        <w:t xml:space="preserve"> </w:t>
      </w:r>
      <w:r>
        <w:t xml:space="preserve">wafers, and is a net exporter of</w:t>
      </w:r>
      <w:r>
        <w:t xml:space="preserve"> </w:t>
      </w:r>
      <w:r>
        <w:t xml:space="preserve">this material (71)</w:t>
      </w:r>
      <w:r>
        <w:t xml:space="preserve"> </w:t>
      </w:r>
      <w:r>
        <w:t xml:space="preserve">being refined in Germany</w:t>
      </w:r>
      <w:r>
        <w:t xml:space="preserve"> </w:t>
      </w:r>
      <w:r>
        <w:t xml:space="preserve">from</w:t>
      </w:r>
      <w:r>
        <w:t xml:space="preserve"> </w:t>
      </w:r>
      <w:r>
        <w:t xml:space="preserve">raw</w:t>
      </w:r>
      <w:r>
        <w:t xml:space="preserve"> </w:t>
      </w:r>
      <w:r>
        <w:t xml:space="preserve">gallium</w:t>
      </w:r>
      <w:r>
        <w:t xml:space="preserve"> </w:t>
      </w:r>
      <w:r>
        <w:t xml:space="preserve">originating</w:t>
      </w:r>
      <w:r>
        <w:t xml:space="preserve"> </w:t>
      </w:r>
      <w:r>
        <w:t xml:space="preserve">in</w:t>
      </w:r>
      <w:r>
        <w:t xml:space="preserve"> </w:t>
      </w:r>
      <w:r>
        <w:t xml:space="preserve">China,</w:t>
      </w:r>
      <w:r>
        <w:t xml:space="preserve"> </w:t>
      </w:r>
      <w:r>
        <w:t xml:space="preserve">which holds 98% of the</w:t>
      </w:r>
      <w:r>
        <w:t xml:space="preserve"> </w:t>
      </w:r>
      <w:r>
        <w:t xml:space="preserve">world’s production (73)</w:t>
      </w:r>
      <w:r>
        <w:t xml:space="preserve"> </w:t>
      </w:r>
      <w:r>
        <w:t xml:space="preserve">The EU faces potential</w:t>
      </w:r>
      <w:r>
        <w:t xml:space="preserve"> </w:t>
      </w:r>
      <w:r>
        <w:t xml:space="preserve">foreign dependencies and</w:t>
      </w:r>
      <w:r>
        <w:t xml:space="preserve"> </w:t>
      </w:r>
      <w:r>
        <w:t xml:space="preserve">risks of import disruption</w:t>
      </w:r>
      <w:r>
        <w:t xml:space="preserve"> </w:t>
      </w:r>
      <w:r>
        <w:t xml:space="preserve">for other input products</w:t>
      </w:r>
      <w:r>
        <w:t xml:space="preserve"> </w:t>
      </w:r>
      <w:r>
        <w:t xml:space="preserve">related</w:t>
      </w:r>
      <w:r>
        <w:t xml:space="preserve"> </w:t>
      </w:r>
      <w:r>
        <w:t xml:space="preserve">to</w:t>
      </w:r>
      <w:r>
        <w:t xml:space="preserve"> </w:t>
      </w:r>
      <w:r>
        <w:t xml:space="preserve">front-end</w:t>
      </w:r>
      <w:r>
        <w:t xml:space="preserve"> </w:t>
      </w:r>
      <w:r>
        <w:t xml:space="preserve">manufacturing processes,</w:t>
      </w:r>
      <w:r>
        <w:t xml:space="preserve"> </w:t>
      </w:r>
      <w:r>
        <w:t xml:space="preserve">including Bromine (with</w:t>
      </w:r>
      <w:r>
        <w:t xml:space="preserve"> </w:t>
      </w:r>
      <w:r>
        <w:t xml:space="preserve">imports concentrated from</w:t>
      </w:r>
      <w:r>
        <w:t xml:space="preserve"> </w:t>
      </w:r>
      <w:r>
        <w:t xml:space="preserve">Israel at 51%), Phosphorus</w:t>
      </w:r>
      <w:r>
        <w:t xml:space="preserve"> </w:t>
      </w:r>
      <w:r>
        <w:t xml:space="preserve">(from</w:t>
      </w:r>
      <w:r>
        <w:t xml:space="preserve"> </w:t>
      </w:r>
      <w:r>
        <w:t xml:space="preserve">Kazakhstan</w:t>
      </w:r>
      <w:r>
        <w:t xml:space="preserve"> </w:t>
      </w:r>
      <w:r>
        <w:t xml:space="preserve">at</w:t>
      </w:r>
      <w:r>
        <w:t xml:space="preserve"> </w:t>
      </w:r>
      <w:r>
        <w:t xml:space="preserve">88%), Halides (from the</w:t>
      </w:r>
      <w:r>
        <w:t xml:space="preserve"> </w:t>
      </w:r>
      <w:r>
        <w:t xml:space="preserve">US at 57%), Artificial</w:t>
      </w:r>
      <w:r>
        <w:t xml:space="preserve"> </w:t>
      </w:r>
      <w:r>
        <w:t xml:space="preserve">Corundum (from China at</w:t>
      </w:r>
      <w:r>
        <w:t xml:space="preserve"> </w:t>
      </w:r>
      <w:r>
        <w:t xml:space="preserve">67%), and Chlorides (from</w:t>
      </w:r>
      <w:r>
        <w:t xml:space="preserve"> </w:t>
      </w:r>
      <w:r>
        <w:t xml:space="preserve">Argentina at 60%) (74)</w:t>
      </w:r>
      <w:r>
        <w:t xml:space="preserve"> </w:t>
      </w:r>
      <w:r>
        <w:t xml:space="preserve">share (75)</w:t>
      </w:r>
    </w:p>
    <w:p>
      <w:pPr>
        <w:pStyle w:val="Compact"/>
        <w:numPr>
          <w:ilvl w:val="0"/>
          <w:numId w:val="1027"/>
        </w:numPr>
      </w:pPr>
      <w:r>
        <w:t xml:space="preserve">European Court of Auditors. (2025). The EU’s strategy for microchips: Reasonable progress in its implementation, but the Chips Act is very unlikely to be sufficient to reach the overly ambitious</w:t>
      </w:r>
      <w:r>
        <w:t xml:space="preserve"> </w:t>
      </w:r>
      <w:r>
        <w:t xml:space="preserve">Digital Decade target (Special Report No. 12/2025). Publications Office of the European Union. https://www.eca.europa.eu/en/publications/SR-2025-12</w:t>
      </w:r>
      <w:r>
        <w:br/>
      </w:r>
    </w:p>
    <w:p>
      <w:pPr>
        <w:pStyle w:val="Compact"/>
        <w:numPr>
          <w:ilvl w:val="0"/>
          <w:numId w:val="1027"/>
        </w:numPr>
      </w:pPr>
      <w:r>
        <w:t xml:space="preserve">Bonnet, P., Ciani, A., Molnar, J., &amp; Nardo, M. (2025). EU’s strengths and weaknesses in the global semiconductor sector (JRC141323, EUR 40253). Luxembourg: Publications Office of the European</w:t>
      </w:r>
      <w:r>
        <w:t xml:space="preserve"> </w:t>
      </w:r>
      <w:r>
        <w:t xml:space="preserve">Union. https://doi.org/10.2760/6302476</w:t>
      </w:r>
      <w:r>
        <w:br/>
      </w:r>
    </w:p>
    <w:p>
      <w:pPr>
        <w:pStyle w:val="Compact"/>
        <w:numPr>
          <w:ilvl w:val="0"/>
          <w:numId w:val="1027"/>
        </w:numPr>
      </w:pPr>
      <w:r>
        <w:t xml:space="preserve">Cerutti, I., &amp; Nardo, M. (2023). Semiconductors in the EU: State of play, future trends and vulnerabilities of the semiconductor supply chain (JRC133850, EUR 31625 EN). Luxembourg: Publications</w:t>
      </w:r>
      <w:r>
        <w:t xml:space="preserve"> </w:t>
      </w:r>
      <w:r>
        <w:t xml:space="preserve">Office of the European Union. https://doi.org/10.2760/038299</w:t>
      </w:r>
    </w:p>
    <w:p>
      <w:pPr>
        <w:pStyle w:val="Compact"/>
        <w:numPr>
          <w:ilvl w:val="0"/>
          <w:numId w:val="1027"/>
        </w:numPr>
      </w:pPr>
      <w:r>
        <w:t xml:space="preserve">Cerutti, I., &amp; Nardo, M. (2023). Semiconductors in the EU: State of play, future trends and vulnerabilities of the semiconductor supply chain</w:t>
      </w:r>
    </w:p>
    <w:p>
      <w:pPr>
        <w:pStyle w:val="Compact"/>
        <w:numPr>
          <w:ilvl w:val="0"/>
          <w:numId w:val="1027"/>
        </w:numPr>
      </w:pPr>
      <w:r>
        <w:t xml:space="preserve">DECISION Études &amp; Conseil. (2024). Economic analysis of the EU and global chips ecosystem.</w:t>
      </w:r>
    </w:p>
    <w:p>
      <w:pPr>
        <w:pStyle w:val="FirstParagraph"/>
      </w:pPr>
      <w:r>
        <w:t xml:space="preserve">88</w:t>
      </w:r>
      <w:r>
        <w:t xml:space="preserve"> </w:t>
      </w:r>
      <w:r>
        <w:t xml:space="preserve">GVC segment</w:t>
      </w:r>
      <w:r>
        <w:t xml:space="preserve"> </w:t>
      </w:r>
      <w:r>
        <w:t xml:space="preserve">Value</w:t>
      </w:r>
      <w:r>
        <w:t xml:space="preserve"> </w:t>
      </w:r>
      <w:r>
        <w:t xml:space="preserve">added</w:t>
      </w:r>
      <w:r>
        <w:t xml:space="preserve"> </w:t>
      </w:r>
      <w:r>
        <w:t xml:space="preserve">characteristics</w:t>
      </w:r>
      <w:r>
        <w:t xml:space="preserve"> </w:t>
      </w:r>
      <w:r>
        <w:t xml:space="preserve">EU strengths</w:t>
      </w:r>
      <w:r>
        <w:t xml:space="preserve"> </w:t>
      </w:r>
      <w:r>
        <w:t xml:space="preserve">EU gaps</w:t>
      </w:r>
      <w:r>
        <w:t xml:space="preserve"> </w:t>
      </w:r>
      <w:r>
        <w:t xml:space="preserve">EU share in the</w:t>
      </w:r>
      <w:r>
        <w:t xml:space="preserve"> </w:t>
      </w:r>
      <w:r>
        <w:t xml:space="preserve">global market</w:t>
      </w:r>
      <w:r>
        <w:t xml:space="preserve"> </w:t>
      </w:r>
      <w:r>
        <w:t xml:space="preserve">Chips Act relevance</w:t>
      </w:r>
      <w:r>
        <w:t xml:space="preserve"> </w:t>
      </w:r>
      <w:r>
        <w:t xml:space="preserve">Wafers</w:t>
      </w:r>
      <w:r>
        <w:t xml:space="preserve"> </w:t>
      </w:r>
      <w:r>
        <w:t xml:space="preserve">and</w:t>
      </w:r>
      <w:r>
        <w:t xml:space="preserve"> </w:t>
      </w:r>
      <w:r>
        <w:t xml:space="preserve">substrates</w:t>
      </w:r>
      <w:r>
        <w:t xml:space="preserve"> </w:t>
      </w:r>
      <w:r>
        <w:t xml:space="preserve">Moderate capital intensity</w:t>
      </w:r>
      <w:r>
        <w:t xml:space="preserve"> </w:t>
      </w:r>
      <w:r>
        <w:t xml:space="preserve">but</w:t>
      </w:r>
      <w:r>
        <w:t xml:space="preserve"> </w:t>
      </w:r>
      <w:r>
        <w:t xml:space="preserve">high</w:t>
      </w:r>
      <w:r>
        <w:t xml:space="preserve"> </w:t>
      </w:r>
      <w:r>
        <w:t xml:space="preserve">precision;</w:t>
      </w:r>
      <w:r>
        <w:t xml:space="preserve"> </w:t>
      </w:r>
      <w:r>
        <w:t xml:space="preserve">margins</w:t>
      </w:r>
      <w:r>
        <w:t xml:space="preserve"> </w:t>
      </w:r>
      <w:r>
        <w:t xml:space="preserve">typically</w:t>
      </w:r>
      <w:r>
        <w:t xml:space="preserve"> </w:t>
      </w:r>
      <w:r>
        <w:t xml:space="preserve">15–</w:t>
      </w:r>
      <w:r>
        <w:t xml:space="preserve"> </w:t>
      </w:r>
      <w:r>
        <w:t xml:space="preserve">25%.</w:t>
      </w:r>
      <w:r>
        <w:t xml:space="preserve"> </w:t>
      </w:r>
      <w:r>
        <w:t xml:space="preserve">Key</w:t>
      </w:r>
      <w:r>
        <w:t xml:space="preserve"> </w:t>
      </w:r>
      <w:r>
        <w:t xml:space="preserve">differentiator</w:t>
      </w:r>
      <w:r>
        <w:t xml:space="preserve"> </w:t>
      </w:r>
      <w:r>
        <w:t xml:space="preserve">for</w:t>
      </w:r>
      <w:r>
        <w:t xml:space="preserve"> </w:t>
      </w:r>
      <w:r>
        <w:t xml:space="preserve">advanced nodes and power</w:t>
      </w:r>
      <w:r>
        <w:t xml:space="preserve"> </w:t>
      </w:r>
      <w:r>
        <w:t xml:space="preserve">semiconductors.</w:t>
      </w:r>
      <w:r>
        <w:t xml:space="preserve"> </w:t>
      </w:r>
      <w:r>
        <w:t xml:space="preserve">Bottlenecks can constrain</w:t>
      </w:r>
      <w:r>
        <w:t xml:space="preserve"> </w:t>
      </w:r>
      <w:r>
        <w:t xml:space="preserve">the entire manufacturing</w:t>
      </w:r>
      <w:r>
        <w:t xml:space="preserve"> </w:t>
      </w:r>
      <w:r>
        <w:t xml:space="preserve">chain; wafer supply has</w:t>
      </w:r>
      <w:r>
        <w:t xml:space="preserve"> </w:t>
      </w:r>
      <w:r>
        <w:t xml:space="preserve">long lead times (12–24</w:t>
      </w:r>
      <w:r>
        <w:t xml:space="preserve"> </w:t>
      </w:r>
      <w:r>
        <w:t xml:space="preserve">months).</w:t>
      </w:r>
      <w:r>
        <w:t xml:space="preserve"> </w:t>
      </w:r>
      <w:r>
        <w:t xml:space="preserve">The EU has a relatively strong</w:t>
      </w:r>
      <w:r>
        <w:t xml:space="preserve"> </w:t>
      </w:r>
      <w:r>
        <w:t xml:space="preserve">global position in SOI wafers,</w:t>
      </w:r>
      <w:r>
        <w:t xml:space="preserve"> </w:t>
      </w:r>
      <w:r>
        <w:t xml:space="preserve">with Soitec and Siltronic being</w:t>
      </w:r>
      <w:r>
        <w:t xml:space="preserve"> </w:t>
      </w:r>
      <w:r>
        <w:t xml:space="preserve">notable players</w:t>
      </w:r>
      <w:r>
        <w:t xml:space="preserve"> </w:t>
      </w:r>
      <w:r>
        <w:t xml:space="preserve">Limited production scale</w:t>
      </w:r>
      <w:r>
        <w:t xml:space="preserve"> </w:t>
      </w:r>
      <w:r>
        <w:t xml:space="preserve">compared</w:t>
      </w:r>
      <w:r>
        <w:t xml:space="preserve"> </w:t>
      </w:r>
      <w:r>
        <w:t xml:space="preserve">to</w:t>
      </w:r>
      <w:r>
        <w:t xml:space="preserve"> </w:t>
      </w:r>
      <w:r>
        <w:t xml:space="preserve">Asian</w:t>
      </w:r>
      <w:r>
        <w:t xml:space="preserve"> </w:t>
      </w:r>
      <w:r>
        <w:t xml:space="preserve">competitors. Japan leads</w:t>
      </w:r>
      <w:r>
        <w:t xml:space="preserve"> </w:t>
      </w:r>
      <w:r>
        <w:t xml:space="preserve">the market with 56% (76)</w:t>
      </w:r>
      <w:r>
        <w:t xml:space="preserve"> </w:t>
      </w:r>
      <w:r>
        <w:t xml:space="preserve">China holds large shares</w:t>
      </w:r>
      <w:r>
        <w:t xml:space="preserve"> </w:t>
      </w:r>
      <w:r>
        <w:t xml:space="preserve">in</w:t>
      </w:r>
      <w:r>
        <w:t xml:space="preserve"> </w:t>
      </w:r>
      <w:r>
        <w:t xml:space="preserve">key</w:t>
      </w:r>
      <w:r>
        <w:t xml:space="preserve"> </w:t>
      </w:r>
      <w:r>
        <w:t xml:space="preserve">materials</w:t>
      </w:r>
      <w:r>
        <w:t xml:space="preserve"> </w:t>
      </w:r>
      <w:r>
        <w:t xml:space="preserve">for</w:t>
      </w:r>
      <w:r>
        <w:t xml:space="preserve"> </w:t>
      </w:r>
      <w:r>
        <w:t xml:space="preserve">wafers, such as silicon,</w:t>
      </w:r>
      <w:r>
        <w:t xml:space="preserve"> </w:t>
      </w:r>
      <w:r>
        <w:t xml:space="preserve">accounting for 64% of the</w:t>
      </w:r>
      <w:r>
        <w:t xml:space="preserve"> </w:t>
      </w:r>
      <w:r>
        <w:t xml:space="preserve">global supply (77) and is</w:t>
      </w:r>
      <w:r>
        <w:t xml:space="preserve"> </w:t>
      </w:r>
      <w:r>
        <w:t xml:space="preserve">also the dominant source</w:t>
      </w:r>
      <w:r>
        <w:t xml:space="preserve"> </w:t>
      </w:r>
      <w:r>
        <w:t xml:space="preserve">of primary gallium, which</w:t>
      </w:r>
      <w:r>
        <w:t xml:space="preserve"> </w:t>
      </w:r>
      <w:r>
        <w:t xml:space="preserve">is critical for GaN wafer</w:t>
      </w:r>
      <w:r>
        <w:t xml:space="preserve"> </w:t>
      </w:r>
      <w:r>
        <w:t xml:space="preserve">and</w:t>
      </w:r>
      <w:r>
        <w:t xml:space="preserve"> </w:t>
      </w:r>
      <w:r>
        <w:t xml:space="preserve">substrate</w:t>
      </w:r>
      <w:r>
        <w:t xml:space="preserve"> </w:t>
      </w:r>
      <w:r>
        <w:t xml:space="preserve">manufacturing.</w:t>
      </w:r>
      <w:r>
        <w:t xml:space="preserve"> </w:t>
      </w:r>
      <w:r>
        <w:t xml:space="preserve">Europe’s overall Europe’s</w:t>
      </w:r>
      <w:r>
        <w:t xml:space="preserve"> </w:t>
      </w:r>
      <w:r>
        <w:t xml:space="preserve">share in wafer production</w:t>
      </w:r>
      <w:r>
        <w:t xml:space="preserve"> </w:t>
      </w:r>
      <w:r>
        <w:t xml:space="preserve">is 14% (78)</w:t>
      </w:r>
      <w:r>
        <w:t xml:space="preserve"> </w:t>
      </w:r>
      <w:r>
        <w:t xml:space="preserve">Linked to Pillar II (Funds</w:t>
      </w:r>
      <w:r>
        <w:t xml:space="preserve"> </w:t>
      </w:r>
      <w:r>
        <w:t xml:space="preserve">new wafer fabs (Si, SiC,</w:t>
      </w:r>
      <w:r>
        <w:t xml:space="preserve"> </w:t>
      </w:r>
      <w:r>
        <w:t xml:space="preserve">GaN)</w:t>
      </w:r>
      <w:r>
        <w:t xml:space="preserve"> </w:t>
      </w:r>
      <w:r>
        <w:t xml:space="preserve">and</w:t>
      </w:r>
      <w:r>
        <w:t xml:space="preserve"> </w:t>
      </w:r>
      <w:r>
        <w:t xml:space="preserve">advanced</w:t>
      </w:r>
      <w:r>
        <w:t xml:space="preserve"> </w:t>
      </w:r>
      <w:r>
        <w:t xml:space="preserve">substrate production) and</w:t>
      </w:r>
      <w:r>
        <w:t xml:space="preserve"> </w:t>
      </w:r>
      <w:r>
        <w:t xml:space="preserve">Pillar</w:t>
      </w:r>
      <w:r>
        <w:t xml:space="preserve"> </w:t>
      </w:r>
      <w:r>
        <w:t xml:space="preserve">III,</w:t>
      </w:r>
      <w:r>
        <w:t xml:space="preserve"> </w:t>
      </w:r>
      <w:r>
        <w:t xml:space="preserve">but</w:t>
      </w:r>
      <w:r>
        <w:t xml:space="preserve"> </w:t>
      </w:r>
      <w:r>
        <w:t xml:space="preserve">with</w:t>
      </w:r>
      <w:r>
        <w:t xml:space="preserve"> </w:t>
      </w:r>
      <w:r>
        <w:t xml:space="preserve">important limitations in</w:t>
      </w:r>
      <w:r>
        <w:t xml:space="preserve"> </w:t>
      </w:r>
      <w:r>
        <w:t xml:space="preserve">direct</w:t>
      </w:r>
      <w:r>
        <w:t xml:space="preserve"> </w:t>
      </w:r>
      <w:r>
        <w:t xml:space="preserve">intervention</w:t>
      </w:r>
      <w:r>
        <w:t xml:space="preserve"> </w:t>
      </w:r>
      <w:r>
        <w:t xml:space="preserve">on</w:t>
      </w:r>
      <w:r>
        <w:t xml:space="preserve"> </w:t>
      </w:r>
      <w:r>
        <w:t xml:space="preserve">substrate</w:t>
      </w:r>
      <w:r>
        <w:t xml:space="preserve"> </w:t>
      </w:r>
      <w:r>
        <w:t xml:space="preserve">materials</w:t>
      </w:r>
      <w:r>
        <w:t xml:space="preserve"> </w:t>
      </w:r>
      <w:r>
        <w:t xml:space="preserve">production.</w:t>
      </w:r>
      <w:r>
        <w:t xml:space="preserve"> </w:t>
      </w:r>
      <w:r>
        <w:t xml:space="preserve">Semiconductor</w:t>
      </w:r>
      <w:r>
        <w:t xml:space="preserve"> </w:t>
      </w:r>
      <w:r>
        <w:t xml:space="preserve">manufacturing</w:t>
      </w:r>
      <w:r>
        <w:t xml:space="preserve"> </w:t>
      </w:r>
      <w:r>
        <w:t xml:space="preserve">equipment</w:t>
      </w:r>
      <w:r>
        <w:t xml:space="preserve"> </w:t>
      </w:r>
      <w:r>
        <w:t xml:space="preserve">Extremely</w:t>
      </w:r>
      <w:r>
        <w:t xml:space="preserve"> </w:t>
      </w:r>
      <w:r>
        <w:t xml:space="preserve">high</w:t>
      </w:r>
      <w:r>
        <w:t xml:space="preserve"> </w:t>
      </w:r>
      <w:r>
        <w:t xml:space="preserve">technological</w:t>
      </w:r>
      <w:r>
        <w:t xml:space="preserve"> </w:t>
      </w:r>
      <w:r>
        <w:t xml:space="preserve">and</w:t>
      </w:r>
      <w:r>
        <w:t xml:space="preserve"> </w:t>
      </w:r>
      <w:r>
        <w:t xml:space="preserve">IP</w:t>
      </w:r>
      <w:r>
        <w:t xml:space="preserve"> </w:t>
      </w:r>
      <w:r>
        <w:t xml:space="preserve">barriers; cumulative R&amp;D</w:t>
      </w:r>
      <w:r>
        <w:t xml:space="preserve"> </w:t>
      </w:r>
      <w:r>
        <w:t xml:space="preserve">intensity</w:t>
      </w:r>
      <w:r>
        <w:t xml:space="preserve"> </w:t>
      </w:r>
      <w:r>
        <w:t xml:space="preserve">&gt;10</w:t>
      </w:r>
      <w:r>
        <w:t xml:space="preserve"> </w:t>
      </w:r>
      <w:r>
        <w:t xml:space="preserve">%</w:t>
      </w:r>
      <w:r>
        <w:t xml:space="preserve"> </w:t>
      </w:r>
      <w:r>
        <w:t xml:space="preserve">of</w:t>
      </w:r>
      <w:r>
        <w:t xml:space="preserve"> </w:t>
      </w:r>
      <w:r>
        <w:t xml:space="preserve">revenue.</w:t>
      </w:r>
      <w:r>
        <w:t xml:space="preserve"> </w:t>
      </w:r>
      <w:r>
        <w:t xml:space="preserve">Profit margins relatively</w:t>
      </w:r>
      <w:r>
        <w:t xml:space="preserve"> </w:t>
      </w:r>
      <w:r>
        <w:t xml:space="preserve">high (20–30 %), driven by</w:t>
      </w:r>
      <w:r>
        <w:t xml:space="preserve"> </w:t>
      </w:r>
      <w:r>
        <w:t xml:space="preserve">The EU holds a strong global</w:t>
      </w:r>
      <w:r>
        <w:t xml:space="preserve"> </w:t>
      </w:r>
      <w:r>
        <w:t xml:space="preserve">position in front-end equipment,</w:t>
      </w:r>
      <w:r>
        <w:t xml:space="preserve"> </w:t>
      </w:r>
      <w:r>
        <w:t xml:space="preserve">particularly in photolithography</w:t>
      </w:r>
      <w:r>
        <w:t xml:space="preserve"> </w:t>
      </w:r>
      <w:r>
        <w:t xml:space="preserve">(79)</w:t>
      </w:r>
      <w:r>
        <w:t xml:space="preserve"> </w:t>
      </w:r>
      <w:r>
        <w:t xml:space="preserve">ASML, an EU-based company,</w:t>
      </w:r>
      <w:r>
        <w:t xml:space="preserve"> </w:t>
      </w:r>
      <w:r>
        <w:t xml:space="preserve">has a monopolistic position in</w:t>
      </w:r>
      <w:r>
        <w:t xml:space="preserve"> </w:t>
      </w:r>
      <w:r>
        <w:t xml:space="preserve">EUV lithography and a strong</w:t>
      </w:r>
      <w:r>
        <w:t xml:space="preserve"> </w:t>
      </w:r>
      <w:r>
        <w:t xml:space="preserve">The EU is reliant on</w:t>
      </w:r>
      <w:r>
        <w:t xml:space="preserve"> </w:t>
      </w:r>
      <w:r>
        <w:t xml:space="preserve">foreign suppliers, mostly</w:t>
      </w:r>
      <w:r>
        <w:t xml:space="preserve"> </w:t>
      </w:r>
      <w:r>
        <w:t xml:space="preserve">from the US and partly</w:t>
      </w:r>
      <w:r>
        <w:t xml:space="preserve"> </w:t>
      </w:r>
      <w:r>
        <w:t xml:space="preserve">from Japan, for etching</w:t>
      </w:r>
      <w:r>
        <w:t xml:space="preserve"> </w:t>
      </w:r>
      <w:r>
        <w:t xml:space="preserve">and cleaning (e.g., LAM</w:t>
      </w:r>
      <w:r>
        <w:t xml:space="preserve"> </w:t>
      </w:r>
      <w:r>
        <w:t xml:space="preserve">Research), metrology &amp;</w:t>
      </w:r>
      <w:r>
        <w:t xml:space="preserve"> </w:t>
      </w:r>
      <w:r>
        <w:t xml:space="preserve">quality control (e.g., KLA</w:t>
      </w:r>
      <w:r>
        <w:t xml:space="preserve"> </w:t>
      </w:r>
      <w:r>
        <w:t xml:space="preserve">Tencor), and other front-</w:t>
      </w:r>
      <w:r>
        <w:t xml:space="preserve"> </w:t>
      </w:r>
      <w:r>
        <w:t xml:space="preserve">For front-end equipment</w:t>
      </w:r>
      <w:r>
        <w:t xml:space="preserve"> </w:t>
      </w:r>
      <w:r>
        <w:t xml:space="preserve">in 2022, EU companies</w:t>
      </w:r>
      <w:r>
        <w:t xml:space="preserve"> </w:t>
      </w:r>
      <w:r>
        <w:t xml:space="preserve">held a 24.4% market share</w:t>
      </w:r>
      <w:r>
        <w:t xml:space="preserve"> </w:t>
      </w:r>
      <w:r>
        <w:t xml:space="preserve">(81)</w:t>
      </w:r>
      <w:r>
        <w:t xml:space="preserve"> </w:t>
      </w:r>
      <w:r>
        <w:t xml:space="preserve">The EU’s market share in</w:t>
      </w:r>
      <w:r>
        <w:t xml:space="preserve"> </w:t>
      </w:r>
      <w:r>
        <w:t xml:space="preserve">the total equipment market</w:t>
      </w:r>
      <w:r>
        <w:t xml:space="preserve"> </w:t>
      </w:r>
      <w:r>
        <w:t xml:space="preserve">Linked</w:t>
      </w:r>
      <w:r>
        <w:t xml:space="preserve"> </w:t>
      </w:r>
      <w:r>
        <w:t xml:space="preserve">with</w:t>
      </w:r>
      <w:r>
        <w:t xml:space="preserve"> </w:t>
      </w:r>
      <w:r>
        <w:t xml:space="preserve">Pillar</w:t>
      </w:r>
      <w:r>
        <w:t xml:space="preserve"> </w:t>
      </w:r>
      <w:r>
        <w:t xml:space="preserve">I:</w:t>
      </w:r>
      <w:r>
        <w:t xml:space="preserve"> </w:t>
      </w:r>
      <w:r>
        <w:t xml:space="preserve">Providing</w:t>
      </w:r>
      <w:r>
        <w:t xml:space="preserve"> </w:t>
      </w:r>
      <w:r>
        <w:t xml:space="preserve">public-funded</w:t>
      </w:r>
      <w:r>
        <w:t xml:space="preserve"> </w:t>
      </w:r>
      <w:r>
        <w:t xml:space="preserve">pilot</w:t>
      </w:r>
      <w:r>
        <w:t xml:space="preserve"> </w:t>
      </w:r>
      <w:r>
        <w:t xml:space="preserve">lines,</w:t>
      </w:r>
      <w:r>
        <w:t xml:space="preserve"> </w:t>
      </w:r>
      <w:r>
        <w:t xml:space="preserve">prototyping</w:t>
      </w:r>
      <w:r>
        <w:t xml:space="preserve"> </w:t>
      </w:r>
      <w:r>
        <w:t xml:space="preserve">and testing facilities.</w:t>
      </w:r>
      <w:r>
        <w:t xml:space="preserve"> </w:t>
      </w:r>
      <w:r>
        <w:t xml:space="preserve">Linked with Pillar II:</w:t>
      </w:r>
      <w:r>
        <w:t xml:space="preserve"> </w:t>
      </w:r>
      <w:r>
        <w:t xml:space="preserve">Equipment is essential for</w:t>
      </w:r>
    </w:p>
    <w:p>
      <w:pPr>
        <w:pStyle w:val="Compact"/>
        <w:numPr>
          <w:ilvl w:val="0"/>
          <w:numId w:val="1028"/>
        </w:numPr>
      </w:pPr>
      <w:r>
        <w:t xml:space="preserve">Cerutti, I., &amp; Nardo, M. (2023). Semiconductors in the EU: State of play, future trends and vulnerabilities of the semiconductor supply chain</w:t>
      </w:r>
    </w:p>
    <w:p>
      <w:pPr>
        <w:pStyle w:val="Compact"/>
        <w:numPr>
          <w:ilvl w:val="0"/>
          <w:numId w:val="1028"/>
        </w:numPr>
      </w:pPr>
      <w:r>
        <w:t xml:space="preserve">Cerutti, I., &amp; Nardo, M. (2023). Semiconductors in the EU: State of play, future trends and vulnerabilities of the semiconductor supply chain</w:t>
      </w:r>
    </w:p>
    <w:p>
      <w:pPr>
        <w:pStyle w:val="Compact"/>
        <w:numPr>
          <w:ilvl w:val="0"/>
          <w:numId w:val="1028"/>
        </w:numPr>
      </w:pPr>
      <w:r>
        <w:t xml:space="preserve">Cerutti, I., &amp; Nardo, M. (2023). Semiconductors in the EU: State of play, future trends and vulnerabilities of the semiconductor supply chain</w:t>
      </w:r>
    </w:p>
    <w:p>
      <w:pPr>
        <w:pStyle w:val="Compact"/>
        <w:numPr>
          <w:ilvl w:val="0"/>
          <w:numId w:val="1028"/>
        </w:numPr>
      </w:pPr>
      <w:r>
        <w:t xml:space="preserve">DECISION Études &amp; Conseil. (2024). Economic analysis of the EU and global chips ecosystem</w:t>
      </w:r>
    </w:p>
    <w:p>
      <w:pPr>
        <w:pStyle w:val="FirstParagraph"/>
      </w:pPr>
      <w:r>
        <w:t xml:space="preserve">89</w:t>
      </w:r>
      <w:r>
        <w:t xml:space="preserve"> </w:t>
      </w:r>
      <w:r>
        <w:t xml:space="preserve">GVC segment</w:t>
      </w:r>
      <w:r>
        <w:t xml:space="preserve"> </w:t>
      </w:r>
      <w:r>
        <w:t xml:space="preserve">Value</w:t>
      </w:r>
      <w:r>
        <w:t xml:space="preserve"> </w:t>
      </w:r>
      <w:r>
        <w:t xml:space="preserve">added</w:t>
      </w:r>
      <w:r>
        <w:t xml:space="preserve"> </w:t>
      </w:r>
      <w:r>
        <w:t xml:space="preserve">characteristics</w:t>
      </w:r>
      <w:r>
        <w:t xml:space="preserve"> </w:t>
      </w:r>
      <w:r>
        <w:t xml:space="preserve">EU strengths</w:t>
      </w:r>
      <w:r>
        <w:t xml:space="preserve"> </w:t>
      </w:r>
      <w:r>
        <w:t xml:space="preserve">EU gaps</w:t>
      </w:r>
      <w:r>
        <w:t xml:space="preserve"> </w:t>
      </w:r>
      <w:r>
        <w:t xml:space="preserve">EU share in the</w:t>
      </w:r>
      <w:r>
        <w:t xml:space="preserve"> </w:t>
      </w:r>
      <w:r>
        <w:t xml:space="preserve">global market</w:t>
      </w:r>
      <w:r>
        <w:t xml:space="preserve"> </w:t>
      </w:r>
      <w:r>
        <w:t xml:space="preserve">Chips Act relevance</w:t>
      </w:r>
      <w:r>
        <w:t xml:space="preserve"> </w:t>
      </w:r>
      <w:r>
        <w:t xml:space="preserve">after-sales</w:t>
      </w:r>
      <w:r>
        <w:t xml:space="preserve"> </w:t>
      </w:r>
      <w:r>
        <w:t xml:space="preserve">service</w:t>
      </w:r>
      <w:r>
        <w:t xml:space="preserve"> </w:t>
      </w:r>
      <w:r>
        <w:t xml:space="preserve">and</w:t>
      </w:r>
      <w:r>
        <w:t xml:space="preserve"> </w:t>
      </w:r>
      <w:r>
        <w:t xml:space="preserve">installed base.</w:t>
      </w:r>
      <w:r>
        <w:t xml:space="preserve"> </w:t>
      </w:r>
      <w:r>
        <w:t xml:space="preserve">Equipment</w:t>
      </w:r>
      <w:r>
        <w:t xml:space="preserve"> </w:t>
      </w:r>
      <w:r>
        <w:t xml:space="preserve">defines</w:t>
      </w:r>
      <w:r>
        <w:t xml:space="preserve"> </w:t>
      </w:r>
      <w:r>
        <w:t xml:space="preserve">achievable process nodes</w:t>
      </w:r>
      <w:r>
        <w:t xml:space="preserve"> </w:t>
      </w:r>
      <w:r>
        <w:t xml:space="preserve">and is a main determinant</w:t>
      </w:r>
      <w:r>
        <w:t xml:space="preserve"> </w:t>
      </w:r>
      <w:r>
        <w:t xml:space="preserve">of competitive advantage.</w:t>
      </w:r>
      <w:r>
        <w:t xml:space="preserve"> </w:t>
      </w:r>
      <w:r>
        <w:t xml:space="preserve">position in lithography equipment</w:t>
      </w:r>
      <w:r>
        <w:t xml:space="preserve"> </w:t>
      </w:r>
      <w:r>
        <w:t xml:space="preserve">holding an 88% market share in</w:t>
      </w:r>
      <w:r>
        <w:t xml:space="preserve"> </w:t>
      </w:r>
      <w:r>
        <w:t xml:space="preserve">2022. ASML is also a significant</w:t>
      </w:r>
      <w:r>
        <w:t xml:space="preserve"> </w:t>
      </w:r>
      <w:r>
        <w:t xml:space="preserve">supplier</w:t>
      </w:r>
      <w:r>
        <w:t xml:space="preserve"> </w:t>
      </w:r>
      <w:r>
        <w:t xml:space="preserve">of</w:t>
      </w:r>
      <w:r>
        <w:t xml:space="preserve"> </w:t>
      </w:r>
      <w:r>
        <w:t xml:space="preserve">metrology</w:t>
      </w:r>
      <w:r>
        <w:t xml:space="preserve"> </w:t>
      </w:r>
      <w:r>
        <w:t xml:space="preserve">&amp;</w:t>
      </w:r>
      <w:r>
        <w:t xml:space="preserve"> </w:t>
      </w:r>
      <w:r>
        <w:t xml:space="preserve">inspection equipment, with a 12%</w:t>
      </w:r>
      <w:r>
        <w:t xml:space="preserve"> </w:t>
      </w:r>
      <w:r>
        <w:t xml:space="preserve">global market share (50)</w:t>
      </w:r>
      <w:r>
        <w:t xml:space="preserve"> </w:t>
      </w:r>
      <w:r>
        <w:t xml:space="preserve">Overall, the EU is well-positioned</w:t>
      </w:r>
      <w:r>
        <w:t xml:space="preserve"> </w:t>
      </w:r>
      <w:r>
        <w:t xml:space="preserve">in the equipment segment, acting</w:t>
      </w:r>
      <w:r>
        <w:t xml:space="preserve"> </w:t>
      </w:r>
      <w:r>
        <w:t xml:space="preserve">as a net exporter with significant</w:t>
      </w:r>
      <w:r>
        <w:t xml:space="preserve"> </w:t>
      </w:r>
      <w:r>
        <w:t xml:space="preserve">domestic production capacity in</w:t>
      </w:r>
      <w:r>
        <w:t xml:space="preserve"> </w:t>
      </w:r>
      <w:r>
        <w:t xml:space="preserve">specialised machines for wafers</w:t>
      </w:r>
      <w:r>
        <w:t xml:space="preserve"> </w:t>
      </w:r>
      <w:r>
        <w:t xml:space="preserve">and semiconductors</w:t>
      </w:r>
      <w:r>
        <w:t xml:space="preserve"> </w:t>
      </w:r>
      <w:r>
        <w:t xml:space="preserve">end</w:t>
      </w:r>
      <w:r>
        <w:t xml:space="preserve"> </w:t>
      </w:r>
      <w:r>
        <w:t xml:space="preserve">segments</w:t>
      </w:r>
      <w:r>
        <w:t xml:space="preserve"> </w:t>
      </w:r>
      <w:r>
        <w:t xml:space="preserve">(e.g. </w:t>
      </w:r>
      <w:r>
        <w:t xml:space="preserve"> </w:t>
      </w:r>
      <w:r>
        <w:t xml:space="preserve">Applied Materials) (80)</w:t>
      </w:r>
      <w:r>
        <w:t xml:space="preserve"> </w:t>
      </w:r>
      <w:r>
        <w:t xml:space="preserve">Due to the absence of</w:t>
      </w:r>
      <w:r>
        <w:t xml:space="preserve"> </w:t>
      </w:r>
      <w:r>
        <w:t xml:space="preserve">advanced</w:t>
      </w:r>
      <w:r>
        <w:t xml:space="preserve"> </w:t>
      </w:r>
      <w:r>
        <w:t xml:space="preserve">manufacturing</w:t>
      </w:r>
      <w:r>
        <w:t xml:space="preserve"> </w:t>
      </w:r>
      <w:r>
        <w:t xml:space="preserve">in</w:t>
      </w:r>
      <w:r>
        <w:t xml:space="preserve"> </w:t>
      </w:r>
      <w:r>
        <w:t xml:space="preserve">Europe,</w:t>
      </w:r>
      <w:r>
        <w:t xml:space="preserve"> </w:t>
      </w:r>
      <w:r>
        <w:t xml:space="preserve">sales</w:t>
      </w:r>
      <w:r>
        <w:t xml:space="preserve"> </w:t>
      </w:r>
      <w:r>
        <w:t xml:space="preserve">of</w:t>
      </w:r>
      <w:r>
        <w:t xml:space="preserve"> </w:t>
      </w:r>
      <w:r>
        <w:t xml:space="preserve">advanced equipment such</w:t>
      </w:r>
      <w:r>
        <w:t xml:space="preserve"> </w:t>
      </w:r>
      <w:r>
        <w:t xml:space="preserve">as EUV machines in the</w:t>
      </w:r>
      <w:r>
        <w:t xml:space="preserve"> </w:t>
      </w:r>
      <w:r>
        <w:t xml:space="preserve">EU is close to null.</w:t>
      </w:r>
      <w:r>
        <w:t xml:space="preserve"> </w:t>
      </w:r>
      <w:r>
        <w:t xml:space="preserve">was 26.4% in 2023 (82)</w:t>
      </w:r>
      <w:r>
        <w:t xml:space="preserve"> </w:t>
      </w:r>
      <w:r>
        <w:t xml:space="preserve">scaling domestic fabs.</w:t>
      </w:r>
      <w:r>
        <w:t xml:space="preserve"> </w:t>
      </w:r>
      <w:r>
        <w:t xml:space="preserve">Indirectly supporting the</w:t>
      </w:r>
      <w:r>
        <w:t xml:space="preserve"> </w:t>
      </w:r>
      <w:r>
        <w:t xml:space="preserve">demand for the equipment</w:t>
      </w:r>
    </w:p>
    <w:p>
      <w:pPr>
        <w:pStyle w:val="Compact"/>
        <w:numPr>
          <w:ilvl w:val="0"/>
          <w:numId w:val="1029"/>
        </w:numPr>
      </w:pPr>
      <w:r>
        <w:t xml:space="preserve">DECISION Études &amp; Conseil. (2024). Economic analysis of the EU and global chips ecosystem</w:t>
      </w:r>
    </w:p>
    <w:p>
      <w:pPr>
        <w:pStyle w:val="Compact"/>
        <w:numPr>
          <w:ilvl w:val="0"/>
          <w:numId w:val="1029"/>
        </w:numPr>
      </w:pPr>
      <w:r>
        <w:t xml:space="preserve">DECISION Études &amp; Conseil. (2024). Economic analysis of the EU and global chips ecosystem</w:t>
      </w:r>
    </w:p>
    <w:p>
      <w:pPr>
        <w:pStyle w:val="Compact"/>
        <w:numPr>
          <w:ilvl w:val="0"/>
          <w:numId w:val="1029"/>
        </w:numPr>
      </w:pPr>
      <w:r>
        <w:t xml:space="preserve">Bonnet, P., Ciani, A., Molnar, J., &amp; Nardo, M. (2025). EU’s strengths and weaknesses in the global semiconductor sector (JRC141323, EUR 40253)</w:t>
      </w:r>
    </w:p>
    <w:p>
      <w:pPr>
        <w:pStyle w:val="FirstParagraph"/>
      </w:pPr>
      <w:r>
        <w:t xml:space="preserve">90</w:t>
      </w:r>
      <w:r>
        <w:t xml:space="preserve"> </w:t>
      </w:r>
      <w:r>
        <w:t xml:space="preserve">1.3.3. Semiconductor design, production and packaging</w:t>
      </w:r>
    </w:p>
    <w:p>
      <w:pPr>
        <w:pStyle w:val="Compact"/>
        <w:numPr>
          <w:ilvl w:val="0"/>
          <w:numId w:val="1030"/>
        </w:numPr>
      </w:pPr>
      <w:r>
        <w:t xml:space="preserve">DECISION Études &amp; Conseil. (2024). Economic analysis of the EU and global chips ecosystem</w:t>
      </w:r>
    </w:p>
    <w:p>
      <w:pPr>
        <w:pStyle w:val="Compact"/>
        <w:numPr>
          <w:ilvl w:val="0"/>
          <w:numId w:val="1030"/>
        </w:numPr>
      </w:pPr>
      <w:r>
        <w:t xml:space="preserve">DECISION Études &amp; Conseil. (2024). Economic analysis of the EU and global chips ecosystem</w:t>
      </w:r>
    </w:p>
    <w:p>
      <w:pPr>
        <w:pStyle w:val="Compact"/>
        <w:numPr>
          <w:ilvl w:val="0"/>
          <w:numId w:val="1030"/>
        </w:numPr>
      </w:pPr>
      <w:r>
        <w:t xml:space="preserve">Cerutti, Isabella &amp; Nardo, Michela (2023). Semiconductors in the EU: State of play, future trends and vulnerabilities of the semiconductor supply chain. JRC</w:t>
      </w:r>
      <w:r>
        <w:t xml:space="preserve"> </w:t>
      </w:r>
      <w:r>
        <w:t xml:space="preserve">Technical Report, JRC133850.</w:t>
      </w:r>
    </w:p>
    <w:p>
      <w:pPr>
        <w:pStyle w:val="Compact"/>
        <w:numPr>
          <w:ilvl w:val="0"/>
          <w:numId w:val="1030"/>
        </w:numPr>
      </w:pPr>
      <w:r>
        <w:t xml:space="preserve">DECISION Études &amp; Conseil. (2024). Economic analysis of the EU and global chips ecosystem</w:t>
      </w:r>
    </w:p>
    <w:p>
      <w:pPr>
        <w:pStyle w:val="Compact"/>
        <w:numPr>
          <w:ilvl w:val="0"/>
          <w:numId w:val="1030"/>
        </w:numPr>
      </w:pPr>
      <w:r>
        <w:t xml:space="preserve">IDC (2025). Semiconductors D3: Second interim study report (Version 3.0). Prepared for the European Commission.</w:t>
      </w:r>
    </w:p>
    <w:p>
      <w:pPr>
        <w:pStyle w:val="FirstParagraph"/>
      </w:pPr>
      <w:r>
        <w:t xml:space="preserve">GVC segment</w:t>
      </w:r>
      <w:r>
        <w:t xml:space="preserve"> </w:t>
      </w:r>
      <w:r>
        <w:t xml:space="preserve">Value</w:t>
      </w:r>
      <w:r>
        <w:t xml:space="preserve"> </w:t>
      </w:r>
      <w:r>
        <w:t xml:space="preserve">added</w:t>
      </w:r>
      <w:r>
        <w:t xml:space="preserve"> </w:t>
      </w:r>
      <w:r>
        <w:t xml:space="preserve">characteristics</w:t>
      </w:r>
      <w:r>
        <w:t xml:space="preserve"> </w:t>
      </w:r>
      <w:r>
        <w:t xml:space="preserve">EU strengths</w:t>
      </w:r>
      <w:r>
        <w:t xml:space="preserve"> </w:t>
      </w:r>
      <w:r>
        <w:t xml:space="preserve">EU gaps</w:t>
      </w:r>
      <w:r>
        <w:t xml:space="preserve"> </w:t>
      </w:r>
      <w:r>
        <w:t xml:space="preserve">EU share in the</w:t>
      </w:r>
      <w:r>
        <w:t xml:space="preserve"> </w:t>
      </w:r>
      <w:r>
        <w:t xml:space="preserve">global market</w:t>
      </w:r>
      <w:r>
        <w:t xml:space="preserve"> </w:t>
      </w:r>
      <w:r>
        <w:t xml:space="preserve">Chips</w:t>
      </w:r>
      <w:r>
        <w:t xml:space="preserve"> </w:t>
      </w:r>
      <w:r>
        <w:t xml:space="preserve">Act</w:t>
      </w:r>
      <w:r>
        <w:t xml:space="preserve"> </w:t>
      </w:r>
      <w:r>
        <w:t xml:space="preserve">importance</w:t>
      </w:r>
      <w:r>
        <w:t xml:space="preserve"> </w:t>
      </w:r>
      <w:r>
        <w:t xml:space="preserve">Fabless</w:t>
      </w:r>
      <w:r>
        <w:t xml:space="preserve"> </w:t>
      </w:r>
      <w:r>
        <w:t xml:space="preserve">Fab-lite design</w:t>
      </w:r>
      <w:r>
        <w:t xml:space="preserve"> </w:t>
      </w:r>
      <w:r>
        <w:t xml:space="preserve">Very</w:t>
      </w:r>
      <w:r>
        <w:t xml:space="preserve"> </w:t>
      </w:r>
      <w:r>
        <w:t xml:space="preserve">high</w:t>
      </w:r>
      <w:r>
        <w:t xml:space="preserve"> </w:t>
      </w:r>
      <w:r>
        <w:t xml:space="preserve">R&amp;D</w:t>
      </w:r>
      <w:r>
        <w:t xml:space="preserve"> </w:t>
      </w:r>
      <w:r>
        <w:t xml:space="preserve">intensity with strong</w:t>
      </w:r>
      <w:r>
        <w:t xml:space="preserve"> </w:t>
      </w:r>
      <w:r>
        <w:t xml:space="preserve">dependence</w:t>
      </w:r>
      <w:r>
        <w:t xml:space="preserve"> </w:t>
      </w:r>
      <w:r>
        <w:t xml:space="preserve">on</w:t>
      </w:r>
      <w:r>
        <w:t xml:space="preserve"> </w:t>
      </w:r>
      <w:r>
        <w:t xml:space="preserve">advanced EDA and</w:t>
      </w:r>
      <w:r>
        <w:t xml:space="preserve"> </w:t>
      </w:r>
      <w:r>
        <w:t xml:space="preserve">IP.</w:t>
      </w:r>
      <w:r>
        <w:t xml:space="preserve"> </w:t>
      </w:r>
      <w:r>
        <w:t xml:space="preserve">Value created through</w:t>
      </w:r>
      <w:r>
        <w:t xml:space="preserve"> </w:t>
      </w:r>
      <w:r>
        <w:t xml:space="preserve">innovation,</w:t>
      </w:r>
      <w:r>
        <w:t xml:space="preserve"> </w:t>
      </w:r>
      <w:r>
        <w:t xml:space="preserve">system</w:t>
      </w:r>
      <w:r>
        <w:t xml:space="preserve"> </w:t>
      </w:r>
      <w:r>
        <w:t xml:space="preserve">integration,</w:t>
      </w:r>
      <w:r>
        <w:t xml:space="preserve"> </w:t>
      </w:r>
      <w:r>
        <w:t xml:space="preserve">and</w:t>
      </w:r>
      <w:r>
        <w:t xml:space="preserve"> </w:t>
      </w:r>
      <w:r>
        <w:t xml:space="preserve">differentiated</w:t>
      </w:r>
      <w:r>
        <w:t xml:space="preserve"> </w:t>
      </w:r>
      <w:r>
        <w:t xml:space="preserve">architectures.</w:t>
      </w:r>
      <w:r>
        <w:t xml:space="preserve"> </w:t>
      </w:r>
      <w:r>
        <w:t xml:space="preserve">Profit</w:t>
      </w:r>
      <w:r>
        <w:t xml:space="preserve"> </w:t>
      </w:r>
      <w:r>
        <w:t xml:space="preserve">margins</w:t>
      </w:r>
      <w:r>
        <w:t xml:space="preserve"> </w:t>
      </w:r>
      <w:r>
        <w:t xml:space="preserve">typically 20–40 %,</w:t>
      </w:r>
      <w:r>
        <w:t xml:space="preserve"> </w:t>
      </w:r>
      <w:r>
        <w:t xml:space="preserve">supported by design</w:t>
      </w:r>
      <w:r>
        <w:t xml:space="preserve"> </w:t>
      </w:r>
      <w:r>
        <w:t xml:space="preserve">differentiation and IP</w:t>
      </w:r>
      <w:r>
        <w:t xml:space="preserve"> </w:t>
      </w:r>
      <w:r>
        <w:t xml:space="preserve">ownership.</w:t>
      </w:r>
      <w:r>
        <w:t xml:space="preserve"> </w:t>
      </w:r>
      <w:r>
        <w:t xml:space="preserve">The EU has important</w:t>
      </w:r>
      <w:r>
        <w:t xml:space="preserve"> </w:t>
      </w:r>
      <w:r>
        <w:t xml:space="preserve">expertise in designing</w:t>
      </w:r>
      <w:r>
        <w:t xml:space="preserve"> </w:t>
      </w:r>
      <w:r>
        <w:t xml:space="preserve">analogue chips, radio</w:t>
      </w:r>
      <w:r>
        <w:t xml:space="preserve"> </w:t>
      </w:r>
      <w:r>
        <w:t xml:space="preserve">frequency</w:t>
      </w:r>
      <w:r>
        <w:t xml:space="preserve"> </w:t>
      </w:r>
      <w:r>
        <w:t xml:space="preserve">(RF)</w:t>
      </w:r>
      <w:r>
        <w:t xml:space="preserve"> </w:t>
      </w:r>
      <w:r>
        <w:t xml:space="preserve">components, sensors</w:t>
      </w:r>
      <w:r>
        <w:t xml:space="preserve"> </w:t>
      </w:r>
      <w:r>
        <w:t xml:space="preserve">&amp;</w:t>
      </w:r>
      <w:r>
        <w:t xml:space="preserve"> </w:t>
      </w:r>
      <w:r>
        <w:t xml:space="preserve">MEMS,</w:t>
      </w:r>
      <w:r>
        <w:t xml:space="preserve"> </w:t>
      </w:r>
      <w:r>
        <w:t xml:space="preserve">power</w:t>
      </w:r>
      <w:r>
        <w:t xml:space="preserve"> </w:t>
      </w:r>
      <w:r>
        <w:t xml:space="preserve">semiconductors,</w:t>
      </w:r>
      <w:r>
        <w:t xml:space="preserve"> </w:t>
      </w:r>
      <w:r>
        <w:t xml:space="preserve">microcontrollers, and</w:t>
      </w:r>
      <w:r>
        <w:t xml:space="preserve"> </w:t>
      </w:r>
      <w:r>
        <w:t xml:space="preserve">silicon photonics (83)</w:t>
      </w:r>
      <w:r>
        <w:t xml:space="preserve"> </w:t>
      </w:r>
      <w:r>
        <w:t xml:space="preserve">Major</w:t>
      </w:r>
      <w:r>
        <w:t xml:space="preserve"> </w:t>
      </w:r>
      <w:r>
        <w:t xml:space="preserve">fabless</w:t>
      </w:r>
      <w:r>
        <w:t xml:space="preserve"> </w:t>
      </w:r>
      <w:r>
        <w:t xml:space="preserve">companies such as</w:t>
      </w:r>
      <w:r>
        <w:t xml:space="preserve"> </w:t>
      </w:r>
      <w:r>
        <w:t xml:space="preserve">Qualcomm,</w:t>
      </w:r>
      <w:r>
        <w:t xml:space="preserve"> </w:t>
      </w:r>
      <w:r>
        <w:t xml:space="preserve">Apple</w:t>
      </w:r>
      <w:r>
        <w:t xml:space="preserve"> </w:t>
      </w:r>
      <w:r>
        <w:t xml:space="preserve">and Nvidia have well-</w:t>
      </w:r>
      <w:r>
        <w:t xml:space="preserve"> </w:t>
      </w:r>
      <w:r>
        <w:t xml:space="preserve">established</w:t>
      </w:r>
      <w:r>
        <w:t xml:space="preserve"> </w:t>
      </w:r>
      <w:r>
        <w:t xml:space="preserve">design</w:t>
      </w:r>
      <w:r>
        <w:t xml:space="preserve"> </w:t>
      </w:r>
      <w:r>
        <w:t xml:space="preserve">centres</w:t>
      </w:r>
      <w:r>
        <w:t xml:space="preserve"> </w:t>
      </w:r>
      <w:r>
        <w:t xml:space="preserve">with</w:t>
      </w:r>
      <w:r>
        <w:t xml:space="preserve"> </w:t>
      </w:r>
      <w:r>
        <w:t xml:space="preserve">a</w:t>
      </w:r>
      <w:r>
        <w:t xml:space="preserve"> </w:t>
      </w:r>
      <w:r>
        <w:t xml:space="preserve">considerable number</w:t>
      </w:r>
      <w:r>
        <w:t xml:space="preserve"> </w:t>
      </w:r>
      <w:r>
        <w:t xml:space="preserve">of employees located</w:t>
      </w:r>
      <w:r>
        <w:t xml:space="preserve"> </w:t>
      </w:r>
      <w:r>
        <w:t xml:space="preserve">The EU is not as</w:t>
      </w:r>
      <w:r>
        <w:t xml:space="preserve"> </w:t>
      </w:r>
      <w:r>
        <w:t xml:space="preserve">strong in designing</w:t>
      </w:r>
      <w:r>
        <w:t xml:space="preserve"> </w:t>
      </w:r>
      <w:r>
        <w:t xml:space="preserve">digital</w:t>
      </w:r>
      <w:r>
        <w:t xml:space="preserve"> </w:t>
      </w:r>
      <w:r>
        <w:t xml:space="preserve">logic</w:t>
      </w:r>
      <w:r>
        <w:t xml:space="preserve"> </w:t>
      </w:r>
      <w:r>
        <w:t xml:space="preserve">components,</w:t>
      </w:r>
      <w:r>
        <w:t xml:space="preserve"> </w:t>
      </w:r>
      <w:r>
        <w:t xml:space="preserve">which</w:t>
      </w:r>
      <w:r>
        <w:t xml:space="preserve"> </w:t>
      </w:r>
      <w:r>
        <w:t xml:space="preserve">are</w:t>
      </w:r>
      <w:r>
        <w:t xml:space="preserve"> </w:t>
      </w:r>
      <w:r>
        <w:t xml:space="preserve">increasingly</w:t>
      </w:r>
      <w:r>
        <w:t xml:space="preserve"> </w:t>
      </w:r>
      <w:r>
        <w:t xml:space="preserve">critical due to the rise</w:t>
      </w:r>
      <w:r>
        <w:t xml:space="preserve"> </w:t>
      </w:r>
      <w:r>
        <w:t xml:space="preserve">of AI (84), (85).</w:t>
      </w:r>
      <w:r>
        <w:t xml:space="preserve"> </w:t>
      </w:r>
      <w:r>
        <w:t xml:space="preserve">The</w:t>
      </w:r>
      <w:r>
        <w:t xml:space="preserve"> </w:t>
      </w:r>
      <w:r>
        <w:t xml:space="preserve">EU</w:t>
      </w:r>
      <w:r>
        <w:t xml:space="preserve"> </w:t>
      </w:r>
      <w:r>
        <w:t xml:space="preserve">has</w:t>
      </w:r>
      <w:r>
        <w:t xml:space="preserve"> </w:t>
      </w:r>
      <w:r>
        <w:t xml:space="preserve">no</w:t>
      </w:r>
      <w:r>
        <w:t xml:space="preserve"> </w:t>
      </w:r>
      <w:r>
        <w:t xml:space="preserve">leading</w:t>
      </w:r>
      <w:r>
        <w:t xml:space="preserve"> </w:t>
      </w:r>
      <w:r>
        <w:t xml:space="preserve">pure-play</w:t>
      </w:r>
      <w:r>
        <w:t xml:space="preserve"> </w:t>
      </w:r>
      <w:r>
        <w:t xml:space="preserve">fabless players (86).</w:t>
      </w:r>
    </w:p>
    <w:p>
      <w:pPr>
        <w:pStyle w:val="BodyText"/>
      </w:pPr>
      <w:r>
        <w:t xml:space="preserve">Total EU27</w:t>
      </w:r>
      <w:r>
        <w:t xml:space="preserve"> </w:t>
      </w:r>
      <w:r>
        <w:t xml:space="preserve">semiconductor device</w:t>
      </w:r>
      <w:r>
        <w:t xml:space="preserve"> </w:t>
      </w:r>
      <w:r>
        <w:t xml:space="preserve">companies’ world</w:t>
      </w:r>
      <w:r>
        <w:t xml:space="preserve"> </w:t>
      </w:r>
      <w:r>
        <w:t xml:space="preserve">market share in 2023:</w:t>
      </w:r>
      <w:r>
        <w:t xml:space="preserve"> </w:t>
      </w:r>
      <w:r>
        <w:t xml:space="preserve">10.1 %. Within EU27</w:t>
      </w:r>
      <w:r>
        <w:t xml:space="preserve"> </w:t>
      </w:r>
      <w:r>
        <w:t xml:space="preserve">semiconductor</w:t>
      </w:r>
      <w:r>
        <w:t xml:space="preserve"> </w:t>
      </w:r>
      <w:r>
        <w:t xml:space="preserve">company revenue, 97</w:t>
      </w:r>
      <w:r>
        <w:t xml:space="preserve"> </w:t>
      </w:r>
      <w:r>
        <w:t xml:space="preserve">% comes from</w:t>
      </w:r>
      <w:r>
        <w:t xml:space="preserve"> </w:t>
      </w:r>
      <w:r>
        <w:t xml:space="preserve">companies with fabs</w:t>
      </w:r>
      <w:r>
        <w:t xml:space="preserve"> </w:t>
      </w:r>
      <w:r>
        <w:t xml:space="preserve">and 3 % from fabless</w:t>
      </w:r>
      <w:r>
        <w:t xml:space="preserve"> </w:t>
      </w:r>
      <w:r>
        <w:t xml:space="preserve">companies. (87)</w:t>
      </w:r>
      <w:r>
        <w:t xml:space="preserve"> </w:t>
      </w:r>
      <w:r>
        <w:t xml:space="preserve">Pillar</w:t>
      </w:r>
      <w:r>
        <w:t xml:space="preserve"> </w:t>
      </w:r>
      <w:r>
        <w:t xml:space="preserve">I</w:t>
      </w:r>
      <w:r>
        <w:t xml:space="preserve"> </w:t>
      </w:r>
      <w:r>
        <w:t xml:space="preserve">support</w:t>
      </w:r>
      <w:r>
        <w:t xml:space="preserve"> </w:t>
      </w:r>
      <w:r>
        <w:t xml:space="preserve">mechanisms</w:t>
      </w:r>
      <w:r>
        <w:t xml:space="preserve"> </w:t>
      </w:r>
      <w:r>
        <w:t xml:space="preserve">(European</w:t>
      </w:r>
      <w:r>
        <w:t xml:space="preserve"> </w:t>
      </w:r>
      <w:r>
        <w:t xml:space="preserve">Design</w:t>
      </w:r>
      <w:r>
        <w:t xml:space="preserve"> </w:t>
      </w:r>
      <w:r>
        <w:t xml:space="preserve">Platform, Competence</w:t>
      </w:r>
      <w:r>
        <w:t xml:space="preserve"> </w:t>
      </w:r>
      <w:r>
        <w:t xml:space="preserve">Centres, Pilot Lines)</w:t>
      </w:r>
      <w:r>
        <w:t xml:space="preserve"> </w:t>
      </w:r>
      <w:r>
        <w:t xml:space="preserve">reduce design costs</w:t>
      </w:r>
      <w:r>
        <w:t xml:space="preserve"> </w:t>
      </w:r>
      <w:r>
        <w:t xml:space="preserve">and provide access to</w:t>
      </w:r>
      <w:r>
        <w:t xml:space="preserve"> </w:t>
      </w:r>
      <w:r>
        <w:t xml:space="preserve">prototyping</w:t>
      </w:r>
      <w:r>
        <w:t xml:space="preserve"> </w:t>
      </w:r>
      <w:r>
        <w:t xml:space="preserve">and</w:t>
      </w:r>
      <w:r>
        <w:t xml:space="preserve"> </w:t>
      </w:r>
      <w:r>
        <w:t xml:space="preserve">integration support for</w:t>
      </w:r>
      <w:r>
        <w:t xml:space="preserve"> </w:t>
      </w:r>
      <w:r>
        <w:t xml:space="preserve">fabless firms.</w:t>
      </w:r>
      <w:r>
        <w:t xml:space="preserve"> </w:t>
      </w:r>
      <w:r>
        <w:t xml:space="preserve">Chips Fund provides</w:t>
      </w:r>
      <w:r>
        <w:t xml:space="preserve"> </w:t>
      </w:r>
      <w:r>
        <w:t xml:space="preserve">capital</w:t>
      </w:r>
      <w:r>
        <w:t xml:space="preserve"> </w:t>
      </w:r>
      <w:r>
        <w:t xml:space="preserve">to</w:t>
      </w:r>
      <w:r>
        <w:t xml:space="preserve"> </w:t>
      </w:r>
      <w:r>
        <w:t xml:space="preserve">fabless</w:t>
      </w:r>
      <w:r>
        <w:t xml:space="preserve"> </w:t>
      </w:r>
      <w:r>
        <w:t xml:space="preserve">start-ups, which face</w:t>
      </w:r>
      <w:r>
        <w:t xml:space="preserve"> </w:t>
      </w:r>
      <w:r>
        <w:t xml:space="preserve">large funding gaps in</w:t>
      </w:r>
      <w:r>
        <w:t xml:space="preserve"> </w:t>
      </w:r>
      <w:r>
        <w:t xml:space="preserve">the design-to-tape-out</w:t>
      </w:r>
      <w:r>
        <w:t xml:space="preserve"> </w:t>
      </w:r>
      <w:r>
        <w:t xml:space="preserve">stage.</w:t>
      </w:r>
    </w:p>
    <w:p>
      <w:pPr>
        <w:pStyle w:val="BodyText"/>
      </w:pPr>
      <w:r>
        <w:t xml:space="preserve">91</w:t>
      </w:r>
    </w:p>
    <w:p>
      <w:pPr>
        <w:pStyle w:val="Compact"/>
        <w:numPr>
          <w:ilvl w:val="0"/>
          <w:numId w:val="1031"/>
        </w:numPr>
      </w:pPr>
      <w:r>
        <w:t xml:space="preserve">DECISION Études &amp; Conseil. (2024). Economic analysis of the EU and global chips ecosystem.</w:t>
      </w:r>
    </w:p>
    <w:p>
      <w:pPr>
        <w:pStyle w:val="Compact"/>
        <w:numPr>
          <w:ilvl w:val="0"/>
          <w:numId w:val="1031"/>
        </w:numPr>
      </w:pPr>
      <w:r>
        <w:t xml:space="preserve">European Court of Auditors. (2025). The EU’s strategy for microchips: Reasonable progress in its implementation, but the Chips Act is very unlikely to be</w:t>
      </w:r>
      <w:r>
        <w:t xml:space="preserve"> </w:t>
      </w:r>
      <w:r>
        <w:t xml:space="preserve">sufficient to reach the overly ambitious Digital Decade target (Special Report No. 12/2025). Publications Office of the European Union.</w:t>
      </w:r>
      <w:r>
        <w:t xml:space="preserve"> </w:t>
      </w:r>
      <w:r>
        <w:t xml:space="preserve">https://www.eca.europa.eu/en/publications/SR-2025-12</w:t>
      </w:r>
    </w:p>
    <w:p>
      <w:pPr>
        <w:pStyle w:val="Compact"/>
        <w:numPr>
          <w:ilvl w:val="0"/>
          <w:numId w:val="1031"/>
        </w:numPr>
      </w:pPr>
      <w:r>
        <w:t xml:space="preserve">IDC. (2025). Semiconductors D3: Second interim study report (Version 3.0). Prepared for the European Commission.</w:t>
      </w:r>
      <w:r>
        <w:t xml:space="preserve"> </w:t>
      </w:r>
      <w:r>
        <w:t xml:space="preserve">High</w:t>
      </w:r>
      <w:r>
        <w:t xml:space="preserve"> </w:t>
      </w:r>
      <w:r>
        <w:t xml:space="preserve">productivity,</w:t>
      </w:r>
      <w:r>
        <w:t xml:space="preserve"> </w:t>
      </w:r>
      <w:r>
        <w:t xml:space="preserve">skilled</w:t>
      </w:r>
      <w:r>
        <w:t xml:space="preserve"> </w:t>
      </w:r>
      <w:r>
        <w:t xml:space="preserve">employment,</w:t>
      </w:r>
      <w:r>
        <w:t xml:space="preserve"> </w:t>
      </w:r>
      <w:r>
        <w:t xml:space="preserve">spillovers to research</w:t>
      </w:r>
      <w:r>
        <w:t xml:space="preserve"> </w:t>
      </w:r>
      <w:r>
        <w:t xml:space="preserve">and digital industries.</w:t>
      </w:r>
      <w:r>
        <w:t xml:space="preserve"> </w:t>
      </w:r>
      <w:r>
        <w:t xml:space="preserve">in the EU.</w:t>
      </w:r>
      <w:r>
        <w:t xml:space="preserve"> </w:t>
      </w:r>
      <w:r>
        <w:t xml:space="preserve">Also</w:t>
      </w:r>
      <w:r>
        <w:t xml:space="preserve"> </w:t>
      </w:r>
      <w:r>
        <w:t xml:space="preserve">indirectly</w:t>
      </w:r>
      <w:r>
        <w:t xml:space="preserve"> </w:t>
      </w:r>
      <w:r>
        <w:t xml:space="preserve">connected to Pillar II</w:t>
      </w:r>
      <w:r>
        <w:t xml:space="preserve"> </w:t>
      </w:r>
      <w:r>
        <w:t xml:space="preserve">and Pillar III.</w:t>
      </w:r>
      <w:r>
        <w:t xml:space="preserve"> </w:t>
      </w:r>
      <w:r>
        <w:t xml:space="preserve">Manufacturing and</w:t>
      </w:r>
      <w:r>
        <w:t xml:space="preserve"> </w:t>
      </w:r>
      <w:r>
        <w:t xml:space="preserve">Production</w:t>
      </w:r>
      <w:r>
        <w:t xml:space="preserve"> </w:t>
      </w:r>
      <w:r>
        <w:t xml:space="preserve">Integrated</w:t>
      </w:r>
      <w:r>
        <w:t xml:space="preserve"> </w:t>
      </w:r>
      <w:r>
        <w:t xml:space="preserve">Design</w:t>
      </w:r>
      <w:r>
        <w:t xml:space="preserve"> </w:t>
      </w:r>
      <w:r>
        <w:t xml:space="preserve">Manufacturers/Fab-</w:t>
      </w:r>
      <w:r>
        <w:t xml:space="preserve"> </w:t>
      </w:r>
      <w:r>
        <w:t xml:space="preserve">lite</w:t>
      </w:r>
      <w:r>
        <w:br/>
      </w:r>
      <w:r>
        <w:t xml:space="preserve">Very</w:t>
      </w:r>
      <w:r>
        <w:t xml:space="preserve"> </w:t>
      </w:r>
      <w:r>
        <w:t xml:space="preserve">high</w:t>
      </w:r>
      <w:r>
        <w:t xml:space="preserve"> </w:t>
      </w:r>
      <w:r>
        <w:t xml:space="preserve">capital</w:t>
      </w:r>
      <w:r>
        <w:t xml:space="preserve"> </w:t>
      </w:r>
      <w:r>
        <w:t xml:space="preserve">intensity</w:t>
      </w:r>
      <w:r>
        <w:t xml:space="preserve"> </w:t>
      </w:r>
      <w:r>
        <w:t xml:space="preserve">(fabs,</w:t>
      </w:r>
      <w:r>
        <w:t xml:space="preserve"> </w:t>
      </w:r>
      <w:r>
        <w:t xml:space="preserve">equipment,</w:t>
      </w:r>
      <w:r>
        <w:t xml:space="preserve"> </w:t>
      </w:r>
      <w:r>
        <w:t xml:space="preserve">cleanrooms).</w:t>
      </w:r>
      <w:r>
        <w:t xml:space="preserve"> </w:t>
      </w:r>
      <w:r>
        <w:t xml:space="preserve">Value created through</w:t>
      </w:r>
      <w:r>
        <w:t xml:space="preserve"> </w:t>
      </w:r>
      <w:r>
        <w:t xml:space="preserve">process</w:t>
      </w:r>
      <w:r>
        <w:t xml:space="preserve"> </w:t>
      </w:r>
      <w:r>
        <w:t xml:space="preserve">know-how,</w:t>
      </w:r>
      <w:r>
        <w:t xml:space="preserve"> </w:t>
      </w:r>
      <w:r>
        <w:t xml:space="preserve">yield</w:t>
      </w:r>
      <w:r>
        <w:t xml:space="preserve"> </w:t>
      </w:r>
      <w:r>
        <w:t xml:space="preserve">optimisation,</w:t>
      </w:r>
      <w:r>
        <w:t xml:space="preserve"> </w:t>
      </w:r>
      <w:r>
        <w:t xml:space="preserve">and scale.</w:t>
      </w:r>
      <w:r>
        <w:t xml:space="preserve"> </w:t>
      </w:r>
      <w:r>
        <w:t xml:space="preserve">Margins typically 15–</w:t>
      </w:r>
      <w:r>
        <w:t xml:space="preserve"> </w:t>
      </w:r>
      <w:r>
        <w:t xml:space="preserve">30 %, depending on</w:t>
      </w:r>
      <w:r>
        <w:t xml:space="preserve"> </w:t>
      </w:r>
      <w:r>
        <w:t xml:space="preserve">node and utilisation</w:t>
      </w:r>
      <w:r>
        <w:t xml:space="preserve"> </w:t>
      </w:r>
      <w:r>
        <w:t xml:space="preserve">rates.</w:t>
      </w:r>
      <w:r>
        <w:t xml:space="preserve"> </w:t>
      </w:r>
      <w:r>
        <w:t xml:space="preserve">Economic</w:t>
      </w:r>
      <w:r>
        <w:t xml:space="preserve"> </w:t>
      </w:r>
      <w:r>
        <w:t xml:space="preserve">contribution through</w:t>
      </w:r>
      <w:r>
        <w:t xml:space="preserve"> </w:t>
      </w:r>
      <w:r>
        <w:t xml:space="preserve">large-scale</w:t>
      </w:r>
      <w:r>
        <w:t xml:space="preserve"> </w:t>
      </w:r>
      <w:r>
        <w:t xml:space="preserve">The EU has expertise</w:t>
      </w:r>
      <w:r>
        <w:t xml:space="preserve"> </w:t>
      </w:r>
      <w:r>
        <w:t xml:space="preserve">in</w:t>
      </w:r>
      <w:r>
        <w:t xml:space="preserve"> </w:t>
      </w:r>
      <w:r>
        <w:t xml:space="preserve">designing</w:t>
      </w:r>
      <w:r>
        <w:t xml:space="preserve"> </w:t>
      </w:r>
      <w:r>
        <w:t xml:space="preserve">and</w:t>
      </w:r>
      <w:r>
        <w:t xml:space="preserve"> </w:t>
      </w:r>
      <w:r>
        <w:t xml:space="preserve">manufacturing analog</w:t>
      </w:r>
      <w:r>
        <w:t xml:space="preserve"> </w:t>
      </w:r>
      <w:r>
        <w:t xml:space="preserve">chips, radio frequency</w:t>
      </w:r>
      <w:r>
        <w:t xml:space="preserve"> </w:t>
      </w:r>
      <w:r>
        <w:t xml:space="preserve">(RF)</w:t>
      </w:r>
      <w:r>
        <w:t xml:space="preserve"> </w:t>
      </w:r>
      <w:r>
        <w:t xml:space="preserve">components,</w:t>
      </w:r>
      <w:r>
        <w:t xml:space="preserve"> </w:t>
      </w:r>
      <w:r>
        <w:t xml:space="preserve">sensors &amp;</w:t>
      </w:r>
      <w:r>
        <w:t xml:space="preserve"> </w:t>
      </w:r>
      <w:r>
        <w:t xml:space="preserve">MEMS,</w:t>
      </w:r>
      <w:r>
        <w:t xml:space="preserve"> </w:t>
      </w:r>
      <w:r>
        <w:t xml:space="preserve">power</w:t>
      </w:r>
      <w:r>
        <w:t xml:space="preserve"> </w:t>
      </w:r>
      <w:r>
        <w:t xml:space="preserve">semiconductors,</w:t>
      </w:r>
      <w:r>
        <w:t xml:space="preserve"> </w:t>
      </w:r>
      <w:r>
        <w:t xml:space="preserve">microcontrollers, and</w:t>
      </w:r>
      <w:r>
        <w:t xml:space="preserve"> </w:t>
      </w:r>
      <w:r>
        <w:t xml:space="preserve">silicon photonics (88).</w:t>
      </w:r>
      <w:r>
        <w:t xml:space="preserve"> </w:t>
      </w:r>
      <w:r>
        <w:t xml:space="preserve">The EU has capacity</w:t>
      </w:r>
      <w:r>
        <w:t xml:space="preserve"> </w:t>
      </w:r>
      <w:r>
        <w:t xml:space="preserve">in</w:t>
      </w:r>
      <w:r>
        <w:t xml:space="preserve"> </w:t>
      </w:r>
      <w:r>
        <w:t xml:space="preserve">ASICs</w:t>
      </w:r>
      <w:r>
        <w:t xml:space="preserve"> </w:t>
      </w:r>
      <w:r>
        <w:t xml:space="preserve">(Application-Specific</w:t>
      </w:r>
      <w:r>
        <w:t xml:space="preserve"> </w:t>
      </w:r>
      <w:r>
        <w:t xml:space="preserve">Integrated</w:t>
      </w:r>
      <w:r>
        <w:t xml:space="preserve"> </w:t>
      </w:r>
      <w:r>
        <w:t xml:space="preserve">Circuits)</w:t>
      </w:r>
      <w:r>
        <w:t xml:space="preserve"> </w:t>
      </w:r>
      <w:r>
        <w:t xml:space="preserve">and</w:t>
      </w:r>
      <w:r>
        <w:t xml:space="preserve"> </w:t>
      </w:r>
      <w:r>
        <w:t xml:space="preserve">has</w:t>
      </w:r>
      <w:r>
        <w:t xml:space="preserve"> </w:t>
      </w:r>
      <w:r>
        <w:t xml:space="preserve">limited</w:t>
      </w:r>
      <w:r>
        <w:t xml:space="preserve"> </w:t>
      </w:r>
      <w:r>
        <w:t xml:space="preserve">manufacturing</w:t>
      </w:r>
      <w:r>
        <w:t xml:space="preserve"> </w:t>
      </w:r>
      <w:r>
        <w:t xml:space="preserve">capacity for mature</w:t>
      </w:r>
      <w:r>
        <w:t xml:space="preserve"> </w:t>
      </w:r>
      <w:r>
        <w:t xml:space="preserve">nodes (22 nm) and</w:t>
      </w:r>
      <w:r>
        <w:t xml:space="preserve"> </w:t>
      </w:r>
      <w:r>
        <w:t xml:space="preserve">none for cutting-edge</w:t>
      </w:r>
      <w:r>
        <w:t xml:space="preserve"> </w:t>
      </w:r>
      <w:r>
        <w:t xml:space="preserve">microchips (7 nm and</w:t>
      </w:r>
      <w:r>
        <w:t xml:space="preserve"> </w:t>
      </w:r>
      <w:r>
        <w:t xml:space="preserve">below) (89)</w:t>
      </w:r>
      <w:r>
        <w:t xml:space="preserve"> </w:t>
      </w:r>
      <w:r>
        <w:t xml:space="preserve">The EU does not have</w:t>
      </w:r>
      <w:r>
        <w:t xml:space="preserve"> </w:t>
      </w:r>
      <w:r>
        <w:t xml:space="preserve">any prominent pure-</w:t>
      </w:r>
      <w:r>
        <w:t xml:space="preserve"> </w:t>
      </w:r>
      <w:r>
        <w:t xml:space="preserve">play</w:t>
      </w:r>
      <w:r>
        <w:t xml:space="preserve"> </w:t>
      </w:r>
      <w:r>
        <w:t xml:space="preserve">foundry</w:t>
      </w:r>
      <w:r>
        <w:t xml:space="preserve"> </w:t>
      </w:r>
      <w:r>
        <w:t xml:space="preserve">that</w:t>
      </w:r>
      <w:r>
        <w:t xml:space="preserve"> </w:t>
      </w:r>
      <w:r>
        <w:t xml:space="preserve">focuses</w:t>
      </w:r>
      <w:r>
        <w:t xml:space="preserve"> </w:t>
      </w:r>
      <w:r>
        <w:t xml:space="preserve">on</w:t>
      </w:r>
      <w:r>
        <w:t xml:space="preserve"> </w:t>
      </w:r>
      <w:r>
        <w:t xml:space="preserve">manufacturing</w:t>
      </w:r>
      <w:r>
        <w:t xml:space="preserve"> </w:t>
      </w:r>
      <w:r>
        <w:t xml:space="preserve">of</w:t>
      </w:r>
      <w:r>
        <w:t xml:space="preserve"> </w:t>
      </w:r>
      <w:r>
        <w:t xml:space="preserve">EU27 semiconductor</w:t>
      </w:r>
      <w:r>
        <w:t xml:space="preserve"> </w:t>
      </w:r>
      <w:r>
        <w:t xml:space="preserve">manufacturing</w:t>
      </w:r>
      <w:r>
        <w:t xml:space="preserve"> </w:t>
      </w:r>
      <w:r>
        <w:t xml:space="preserve">revenue in 2023: EUR</w:t>
      </w:r>
      <w:r>
        <w:t xml:space="preserve"> </w:t>
      </w:r>
      <w:r>
        <w:t xml:space="preserve">51</w:t>
      </w:r>
      <w:r>
        <w:t xml:space="preserve"> </w:t>
      </w:r>
      <w:r>
        <w:t xml:space="preserve">billion;</w:t>
      </w:r>
      <w:r>
        <w:t xml:space="preserve"> </w:t>
      </w:r>
      <w:r>
        <w:t xml:space="preserve">EU27</w:t>
      </w:r>
      <w:r>
        <w:t xml:space="preserve"> </w:t>
      </w:r>
      <w:r>
        <w:t xml:space="preserve">global market share in</w:t>
      </w:r>
      <w:r>
        <w:t xml:space="preserve"> </w:t>
      </w:r>
      <w:r>
        <w:t xml:space="preserve">semiconductor device</w:t>
      </w:r>
      <w:r>
        <w:t xml:space="preserve"> </w:t>
      </w:r>
      <w:r>
        <w:t xml:space="preserve">manufacturing (IDM</w:t>
      </w:r>
    </w:p>
    <w:p>
      <w:pPr>
        <w:pStyle w:val="Compact"/>
        <w:numPr>
          <w:ilvl w:val="0"/>
          <w:numId w:val="1032"/>
        </w:numPr>
      </w:pPr>
      <w:r>
        <w:t xml:space="preserve">fabless + memory)</w:t>
      </w:r>
      <w:r>
        <w:t xml:space="preserve"> </w:t>
      </w:r>
      <w:r>
        <w:t xml:space="preserve">in 2023: 10.1 %; 97 %</w:t>
      </w:r>
      <w:r>
        <w:t xml:space="preserve"> </w:t>
      </w:r>
      <w:r>
        <w:t xml:space="preserve">of</w:t>
      </w:r>
      <w:r>
        <w:t xml:space="preserve"> </w:t>
      </w:r>
      <w:r>
        <w:t xml:space="preserve">all</w:t>
      </w:r>
      <w:r>
        <w:t xml:space="preserve"> </w:t>
      </w:r>
      <w:r>
        <w:t xml:space="preserve">EU27</w:t>
      </w:r>
      <w:r>
        <w:t xml:space="preserve"> </w:t>
      </w:r>
      <w:r>
        <w:t xml:space="preserve">semiconductor device</w:t>
      </w:r>
      <w:r>
        <w:t xml:space="preserve"> </w:t>
      </w:r>
      <w:r>
        <w:t xml:space="preserve">revenue comes from</w:t>
      </w:r>
      <w:r>
        <w:t xml:space="preserve"> </w:t>
      </w:r>
      <w:r>
        <w:t xml:space="preserve">IDMs (92)</w:t>
      </w:r>
      <w:r>
        <w:t xml:space="preserve"> </w:t>
      </w:r>
      <w:r>
        <w:t xml:space="preserve">EU27 global foundry</w:t>
      </w:r>
      <w:r>
        <w:t xml:space="preserve"> </w:t>
      </w:r>
      <w:r>
        <w:t xml:space="preserve">market share in 2023:</w:t>
      </w:r>
      <w:r>
        <w:t xml:space="preserve"> </w:t>
      </w:r>
      <w:r>
        <w:t xml:space="preserve">0.9 %, equal to EUR</w:t>
      </w:r>
      <w:r>
        <w:t xml:space="preserve"> </w:t>
      </w:r>
      <w:r>
        <w:t xml:space="preserve">Pillar II: first-of-a-</w:t>
      </w:r>
      <w:r>
        <w:t xml:space="preserve"> </w:t>
      </w:r>
      <w:r>
        <w:t xml:space="preserve">kind</w:t>
      </w:r>
      <w:r>
        <w:t xml:space="preserve"> </w:t>
      </w:r>
      <w:r>
        <w:t xml:space="preserve">facilities</w:t>
      </w:r>
      <w:r>
        <w:t xml:space="preserve"> </w:t>
      </w:r>
      <w:r>
        <w:t xml:space="preserve">and</w:t>
      </w:r>
      <w:r>
        <w:t xml:space="preserve"> </w:t>
      </w:r>
      <w:r>
        <w:t xml:space="preserve">state</w:t>
      </w:r>
      <w:r>
        <w:t xml:space="preserve"> </w:t>
      </w:r>
      <w:r>
        <w:t xml:space="preserve">aid,</w:t>
      </w:r>
      <w:r>
        <w:t xml:space="preserve"> </w:t>
      </w:r>
      <w:r>
        <w:t xml:space="preserve">which</w:t>
      </w:r>
      <w:r>
        <w:t xml:space="preserve"> </w:t>
      </w:r>
      <w:r>
        <w:t xml:space="preserve">enable</w:t>
      </w:r>
      <w:r>
        <w:t xml:space="preserve"> </w:t>
      </w:r>
      <w:r>
        <w:t xml:space="preserve">large-scale</w:t>
      </w:r>
      <w:r>
        <w:t xml:space="preserve"> </w:t>
      </w:r>
      <w:r>
        <w:t xml:space="preserve">investments in front-</w:t>
      </w:r>
      <w:r>
        <w:t xml:space="preserve"> </w:t>
      </w:r>
      <w:r>
        <w:t xml:space="preserve">end manufacturing.</w:t>
      </w:r>
      <w:r>
        <w:t xml:space="preserve"> </w:t>
      </w:r>
      <w:r>
        <w:t xml:space="preserve">Complementary</w:t>
      </w:r>
      <w:r>
        <w:t xml:space="preserve"> </w:t>
      </w:r>
      <w:r>
        <w:t xml:space="preserve">actions under Pillar I</w:t>
      </w:r>
      <w:r>
        <w:t xml:space="preserve"> </w:t>
      </w:r>
      <w:r>
        <w:t xml:space="preserve">(pilot</w:t>
      </w:r>
      <w:r>
        <w:t xml:space="preserve"> </w:t>
      </w:r>
      <w:r>
        <w:t xml:space="preserve">lines</w:t>
      </w:r>
      <w:r>
        <w:t xml:space="preserve"> </w:t>
      </w:r>
      <w:r>
        <w:t xml:space="preserve">and</w:t>
      </w:r>
      <w:r>
        <w:t xml:space="preserve"> </w:t>
      </w:r>
      <w:r>
        <w:t xml:space="preserve">competence</w:t>
      </w:r>
      <w:r>
        <w:t xml:space="preserve"> </w:t>
      </w:r>
      <w:r>
        <w:t xml:space="preserve">centres)</w:t>
      </w:r>
      <w:r>
        <w:t xml:space="preserve"> </w:t>
      </w:r>
      <w:r>
        <w:t xml:space="preserve">strengthen</w:t>
      </w:r>
      <w:r>
        <w:t xml:space="preserve"> </w:t>
      </w:r>
      <w:r>
        <w:t xml:space="preserve">R&amp;D–</w:t>
      </w:r>
      <w:r>
        <w:t xml:space="preserve"> </w:t>
      </w:r>
      <w:r>
        <w:t xml:space="preserve">manufacturing</w:t>
      </w:r>
      <w:r>
        <w:t xml:space="preserve"> </w:t>
      </w:r>
      <w:r>
        <w:t xml:space="preserve">linkages, while Pillar</w:t>
      </w:r>
      <w:r>
        <w:t xml:space="preserve"> </w:t>
      </w:r>
      <w:r>
        <w:t xml:space="preserve">III</w:t>
      </w:r>
      <w:r>
        <w:t xml:space="preserve"> </w:t>
      </w:r>
      <w:r>
        <w:t xml:space="preserve">ensures</w:t>
      </w:r>
      <w:r>
        <w:t xml:space="preserve"> </w:t>
      </w:r>
      <w:r>
        <w:t xml:space="preserve">supply</w:t>
      </w:r>
      <w:r>
        <w:t xml:space="preserve"> </w:t>
      </w:r>
      <w:r>
        <w:t xml:space="preserve">chain</w:t>
      </w:r>
      <w:r>
        <w:t xml:space="preserve"> </w:t>
      </w:r>
      <w:r>
        <w:t xml:space="preserve">coordination</w:t>
      </w:r>
    </w:p>
    <w:p>
      <w:pPr>
        <w:pStyle w:val="FirstParagraph"/>
      </w:pPr>
      <w:r>
        <w:t xml:space="preserve">92</w:t>
      </w:r>
    </w:p>
    <w:p>
      <w:pPr>
        <w:pStyle w:val="Compact"/>
        <w:numPr>
          <w:ilvl w:val="0"/>
          <w:numId w:val="1033"/>
        </w:numPr>
      </w:pPr>
      <w:r>
        <w:t xml:space="preserve">DECISION Études &amp; Conseil. (2024). Economic analysis of the EU and global chips ecosystem.</w:t>
      </w:r>
    </w:p>
    <w:p>
      <w:pPr>
        <w:pStyle w:val="Compact"/>
        <w:numPr>
          <w:ilvl w:val="0"/>
          <w:numId w:val="1033"/>
        </w:numPr>
      </w:pPr>
      <w:r>
        <w:t xml:space="preserve">DECISION Études &amp; Conseil. (2024). Economic analysis of the EU and global chips ecosystem.</w:t>
      </w:r>
    </w:p>
    <w:p>
      <w:pPr>
        <w:pStyle w:val="Compact"/>
        <w:numPr>
          <w:ilvl w:val="0"/>
          <w:numId w:val="1033"/>
        </w:numPr>
      </w:pPr>
      <w:r>
        <w:t xml:space="preserve">IDC. (2025). Semiconductors D3: Second interim study report (Version 3.0). Prepared for the European Commission.</w:t>
      </w:r>
    </w:p>
    <w:p>
      <w:pPr>
        <w:pStyle w:val="Compact"/>
        <w:numPr>
          <w:ilvl w:val="0"/>
          <w:numId w:val="1033"/>
        </w:numPr>
      </w:pPr>
      <w:r>
        <w:t xml:space="preserve">Boston Consulting Group (BCG) &amp; Semiconductor Industry Association (SIA) (2024). Emerging Resilience in the Semiconductor Supply Chain. May 2024.</w:t>
      </w:r>
      <w:r>
        <w:t xml:space="preserve"> </w:t>
      </w:r>
      <w:r>
        <w:t xml:space="preserve">investment, supply</w:t>
      </w:r>
      <w:r>
        <w:t xml:space="preserve"> </w:t>
      </w:r>
      <w:r>
        <w:t xml:space="preserve">chain anchoring, and</w:t>
      </w:r>
      <w:r>
        <w:t xml:space="preserve"> </w:t>
      </w:r>
      <w:r>
        <w:t xml:space="preserve">regional employment</w:t>
      </w:r>
      <w:r>
        <w:t xml:space="preserve"> </w:t>
      </w:r>
      <w:r>
        <w:t xml:space="preserve">multipliers.</w:t>
      </w:r>
      <w:r>
        <w:t xml:space="preserve"> </w:t>
      </w:r>
      <w:r>
        <w:t xml:space="preserve">advanced chipa(90).</w:t>
      </w:r>
      <w:r>
        <w:t xml:space="preserve"> </w:t>
      </w:r>
      <w:r>
        <w:t xml:space="preserve">The only companies</w:t>
      </w:r>
      <w:r>
        <w:t xml:space="preserve"> </w:t>
      </w:r>
      <w:r>
        <w:t xml:space="preserve">manufacturing</w:t>
      </w:r>
      <w:r>
        <w:t xml:space="preserve"> </w:t>
      </w:r>
      <w:r>
        <w:t xml:space="preserve">advanced</w:t>
      </w:r>
      <w:r>
        <w:t xml:space="preserve"> </w:t>
      </w:r>
      <w:r>
        <w:t xml:space="preserve">process</w:t>
      </w:r>
      <w:r>
        <w:t xml:space="preserve"> </w:t>
      </w:r>
      <w:r>
        <w:t xml:space="preserve">nodes of 16nm and</w:t>
      </w:r>
      <w:r>
        <w:t xml:space="preserve"> </w:t>
      </w:r>
      <w:r>
        <w:t xml:space="preserve">below in the EU are</w:t>
      </w:r>
      <w:r>
        <w:t xml:space="preserve"> </w:t>
      </w:r>
      <w:r>
        <w:t xml:space="preserve">foreign</w:t>
      </w:r>
      <w:r>
        <w:t xml:space="preserve"> </w:t>
      </w:r>
      <w:r>
        <w:t xml:space="preserve">companies</w:t>
      </w:r>
      <w:r>
        <w:t xml:space="preserve"> </w:t>
      </w:r>
      <w:r>
        <w:t xml:space="preserve">such</w:t>
      </w:r>
      <w:r>
        <w:t xml:space="preserve"> </w:t>
      </w:r>
      <w:r>
        <w:t xml:space="preserve">as</w:t>
      </w:r>
      <w:r>
        <w:t xml:space="preserve"> </w:t>
      </w:r>
      <w:r>
        <w:t xml:space="preserve">Intel,</w:t>
      </w:r>
      <w:r>
        <w:t xml:space="preserve"> </w:t>
      </w:r>
      <w:r>
        <w:t xml:space="preserve">GlobalFoundries, and</w:t>
      </w:r>
      <w:r>
        <w:t xml:space="preserve"> </w:t>
      </w:r>
      <w:r>
        <w:t xml:space="preserve">TSMC (91).</w:t>
      </w:r>
      <w:r>
        <w:t xml:space="preserve"> </w:t>
      </w:r>
      <w:r>
        <w:t xml:space="preserve">0.8 billion out of a</w:t>
      </w:r>
      <w:r>
        <w:t xml:space="preserve"> </w:t>
      </w:r>
      <w:r>
        <w:t xml:space="preserve">EUR 96 billion global</w:t>
      </w:r>
      <w:r>
        <w:t xml:space="preserve"> </w:t>
      </w:r>
      <w:r>
        <w:t xml:space="preserve">foundry market (93)</w:t>
      </w:r>
      <w:r>
        <w:t xml:space="preserve"> </w:t>
      </w:r>
      <w:r>
        <w:t xml:space="preserve">and crisis response.</w:t>
      </w:r>
      <w:r>
        <w:t xml:space="preserve"> </w:t>
      </w:r>
      <w:r>
        <w:t xml:space="preserve">Assembly, Test, and</w:t>
      </w:r>
      <w:r>
        <w:t xml:space="preserve"> </w:t>
      </w:r>
      <w:r>
        <w:t xml:space="preserve">Packaging (ATP)</w:t>
      </w:r>
      <w:r>
        <w:t xml:space="preserve"> </w:t>
      </w:r>
      <w:r>
        <w:t xml:space="preserve">Moderate</w:t>
      </w:r>
      <w:r>
        <w:t xml:space="preserve"> </w:t>
      </w:r>
      <w:r>
        <w:t xml:space="preserve">capital</w:t>
      </w:r>
      <w:r>
        <w:t xml:space="preserve"> </w:t>
      </w:r>
      <w:r>
        <w:t xml:space="preserve">intensity;</w:t>
      </w:r>
      <w:r>
        <w:t xml:space="preserve"> </w:t>
      </w:r>
      <w:r>
        <w:t xml:space="preserve">margins</w:t>
      </w:r>
      <w:r>
        <w:t xml:space="preserve"> </w:t>
      </w:r>
      <w:r>
        <w:t xml:space="preserve">typically 10–20 %.</w:t>
      </w:r>
      <w:r>
        <w:t xml:space="preserve"> </w:t>
      </w:r>
      <w:r>
        <w:t xml:space="preserve">Value created through</w:t>
      </w:r>
      <w:r>
        <w:t xml:space="preserve"> </w:t>
      </w:r>
      <w:r>
        <w:t xml:space="preserve">precision,</w:t>
      </w:r>
      <w:r>
        <w:t xml:space="preserve"> </w:t>
      </w:r>
      <w:r>
        <w:t xml:space="preserve">yield</w:t>
      </w:r>
      <w:r>
        <w:t xml:space="preserve"> </w:t>
      </w:r>
      <w:r>
        <w:t xml:space="preserve">optimisation,</w:t>
      </w:r>
      <w:r>
        <w:t xml:space="preserve"> </w:t>
      </w:r>
      <w:r>
        <w:t xml:space="preserve">and</w:t>
      </w:r>
      <w:r>
        <w:t xml:space="preserve"> </w:t>
      </w:r>
      <w:r>
        <w:t xml:space="preserve">reliability assurance.</w:t>
      </w:r>
      <w:r>
        <w:t xml:space="preserve"> </w:t>
      </w:r>
      <w:r>
        <w:t xml:space="preserve">Labour- and process-</w:t>
      </w:r>
      <w:r>
        <w:t xml:space="preserve"> </w:t>
      </w:r>
      <w:r>
        <w:t xml:space="preserve">intensive,</w:t>
      </w:r>
      <w:r>
        <w:t xml:space="preserve"> </w:t>
      </w:r>
      <w:r>
        <w:t xml:space="preserve">but</w:t>
      </w:r>
      <w:r>
        <w:t xml:space="preserve"> </w:t>
      </w:r>
      <w:r>
        <w:t xml:space="preserve">increasingly</w:t>
      </w:r>
      <w:r>
        <w:t xml:space="preserve"> </w:t>
      </w:r>
      <w:r>
        <w:t xml:space="preserve">automated</w:t>
      </w:r>
      <w:r>
        <w:t xml:space="preserve"> </w:t>
      </w:r>
      <w:r>
        <w:t xml:space="preserve">and</w:t>
      </w:r>
      <w:r>
        <w:t xml:space="preserve"> </w:t>
      </w:r>
      <w:r>
        <w:t xml:space="preserve">Europe has developed</w:t>
      </w:r>
      <w:r>
        <w:t xml:space="preserve"> </w:t>
      </w:r>
      <w:r>
        <w:t xml:space="preserve">advanced</w:t>
      </w:r>
      <w:r>
        <w:t xml:space="preserve"> </w:t>
      </w:r>
      <w:r>
        <w:t xml:space="preserve">Photonic</w:t>
      </w:r>
      <w:r>
        <w:t xml:space="preserve"> </w:t>
      </w:r>
      <w:r>
        <w:t xml:space="preserve">Integrated</w:t>
      </w:r>
      <w:r>
        <w:t xml:space="preserve"> </w:t>
      </w:r>
      <w:r>
        <w:t xml:space="preserve">Circuit</w:t>
      </w:r>
      <w:r>
        <w:t xml:space="preserve"> </w:t>
      </w:r>
      <w:r>
        <w:t xml:space="preserve">(PIC) assembly and</w:t>
      </w:r>
      <w:r>
        <w:t xml:space="preserve"> </w:t>
      </w:r>
      <w:r>
        <w:t xml:space="preserve">packaging</w:t>
      </w:r>
      <w:r>
        <w:t xml:space="preserve"> </w:t>
      </w:r>
      <w:r>
        <w:t xml:space="preserve">capabilities, supported</w:t>
      </w:r>
      <w:r>
        <w:t xml:space="preserve"> </w:t>
      </w:r>
      <w:r>
        <w:t xml:space="preserve">by pilot lines such as</w:t>
      </w:r>
      <w:r>
        <w:t xml:space="preserve"> </w:t>
      </w:r>
      <w:r>
        <w:t xml:space="preserve">PIXAPP</w:t>
      </w:r>
      <w:r>
        <w:t xml:space="preserve"> </w:t>
      </w:r>
      <w:r>
        <w:t xml:space="preserve">and</w:t>
      </w:r>
      <w:r>
        <w:t xml:space="preserve"> </w:t>
      </w:r>
      <w:r>
        <w:t xml:space="preserve">specialised</w:t>
      </w:r>
      <w:r>
        <w:t xml:space="preserve"> </w:t>
      </w:r>
      <w:r>
        <w:t xml:space="preserve">facilities</w:t>
      </w:r>
      <w:r>
        <w:t xml:space="preserve"> </w:t>
      </w:r>
      <w:r>
        <w:t xml:space="preserve">like PHIX.</w:t>
      </w:r>
      <w:r>
        <w:t xml:space="preserve"> </w:t>
      </w:r>
      <w:r>
        <w:t xml:space="preserve">European SMEs hold</w:t>
      </w:r>
      <w:r>
        <w:t xml:space="preserve"> </w:t>
      </w:r>
      <w:r>
        <w:t xml:space="preserve">strong</w:t>
      </w:r>
      <w:r>
        <w:t xml:space="preserve"> </w:t>
      </w:r>
      <w:r>
        <w:t xml:space="preserve">global</w:t>
      </w:r>
      <w:r>
        <w:t xml:space="preserve"> </w:t>
      </w:r>
      <w:r>
        <w:t xml:space="preserve">The</w:t>
      </w:r>
      <w:r>
        <w:t xml:space="preserve"> </w:t>
      </w:r>
      <w:r>
        <w:t xml:space="preserve">EU</w:t>
      </w:r>
      <w:r>
        <w:t xml:space="preserve"> </w:t>
      </w:r>
      <w:r>
        <w:t xml:space="preserve">has</w:t>
      </w:r>
      <w:r>
        <w:t xml:space="preserve"> </w:t>
      </w:r>
      <w:r>
        <w:t xml:space="preserve">no</w:t>
      </w:r>
      <w:r>
        <w:t xml:space="preserve"> </w:t>
      </w:r>
      <w:r>
        <w:t xml:space="preserve">relevant</w:t>
      </w:r>
      <w:r>
        <w:t xml:space="preserve"> </w:t>
      </w:r>
      <w:r>
        <w:t xml:space="preserve">OSAT</w:t>
      </w:r>
      <w:r>
        <w:t xml:space="preserve"> </w:t>
      </w:r>
      <w:r>
        <w:t xml:space="preserve">company</w:t>
      </w:r>
      <w:r>
        <w:t xml:space="preserve"> </w:t>
      </w:r>
      <w:r>
        <w:t xml:space="preserve">headquartered</w:t>
      </w:r>
      <w:r>
        <w:t xml:space="preserve"> </w:t>
      </w:r>
      <w:r>
        <w:t xml:space="preserve">in</w:t>
      </w:r>
      <w:r>
        <w:t xml:space="preserve"> </w:t>
      </w:r>
      <w:r>
        <w:t xml:space="preserve">Europe, and back-end</w:t>
      </w:r>
      <w:r>
        <w:t xml:space="preserve"> </w:t>
      </w:r>
      <w:r>
        <w:t xml:space="preserve">manufacturing</w:t>
      </w:r>
      <w:r>
        <w:t xml:space="preserve"> </w:t>
      </w:r>
      <w:r>
        <w:t xml:space="preserve">is</w:t>
      </w:r>
      <w:r>
        <w:t xml:space="preserve"> </w:t>
      </w:r>
      <w:r>
        <w:t xml:space="preserve">largely</w:t>
      </w:r>
      <w:r>
        <w:t xml:space="preserve"> </w:t>
      </w:r>
      <w:r>
        <w:t xml:space="preserve">located</w:t>
      </w:r>
      <w:r>
        <w:t xml:space="preserve"> </w:t>
      </w:r>
      <w:r>
        <w:t xml:space="preserve">in</w:t>
      </w:r>
      <w:r>
        <w:t xml:space="preserve"> </w:t>
      </w:r>
      <w:r>
        <w:t xml:space="preserve">Asia due to its labour-</w:t>
      </w:r>
      <w:r>
        <w:t xml:space="preserve"> </w:t>
      </w:r>
      <w:r>
        <w:t xml:space="preserve">intensive and scale-</w:t>
      </w:r>
      <w:r>
        <w:t xml:space="preserve"> </w:t>
      </w:r>
      <w:r>
        <w:t xml:space="preserve">driven cost structure.</w:t>
      </w:r>
      <w:r>
        <w:t xml:space="preserve"> </w:t>
      </w:r>
      <w:r>
        <w:t xml:space="preserve">As a result, even</w:t>
      </w:r>
      <w:r>
        <w:t xml:space="preserve"> </w:t>
      </w:r>
      <w:r>
        <w:t xml:space="preserve">European firms active</w:t>
      </w:r>
      <w:r>
        <w:t xml:space="preserve"> </w:t>
      </w:r>
      <w:r>
        <w:t xml:space="preserve">in</w:t>
      </w:r>
      <w:r>
        <w:t xml:space="preserve"> </w:t>
      </w:r>
      <w:r>
        <w:t xml:space="preserve">assembly</w:t>
      </w:r>
      <w:r>
        <w:t xml:space="preserve"> </w:t>
      </w:r>
      <w:r>
        <w:t xml:space="preserve">and</w:t>
      </w:r>
      <w:r>
        <w:t xml:space="preserve"> </w:t>
      </w:r>
      <w:r>
        <w:t xml:space="preserve">The EU’s share in</w:t>
      </w:r>
      <w:r>
        <w:t xml:space="preserve"> </w:t>
      </w:r>
      <w:r>
        <w:t xml:space="preserve">global ATP capacity</w:t>
      </w:r>
      <w:r>
        <w:t xml:space="preserve"> </w:t>
      </w:r>
      <w:r>
        <w:t xml:space="preserve">was 3% in 2022 and</w:t>
      </w:r>
      <w:r>
        <w:t xml:space="preserve"> </w:t>
      </w:r>
      <w:r>
        <w:t xml:space="preserve">is projected to remain</w:t>
      </w:r>
      <w:r>
        <w:t xml:space="preserve"> </w:t>
      </w:r>
      <w:r>
        <w:t xml:space="preserve">3% in 2032 (97)</w:t>
      </w:r>
      <w:r>
        <w:t xml:space="preserve"> </w:t>
      </w:r>
      <w:r>
        <w:t xml:space="preserve">Pillar</w:t>
      </w:r>
      <w:r>
        <w:t xml:space="preserve"> </w:t>
      </w:r>
      <w:r>
        <w:t xml:space="preserve">I,</w:t>
      </w:r>
      <w:r>
        <w:t xml:space="preserve"> </w:t>
      </w:r>
      <w:r>
        <w:t xml:space="preserve">through</w:t>
      </w:r>
      <w:r>
        <w:t xml:space="preserve"> </w:t>
      </w:r>
      <w:r>
        <w:t xml:space="preserve">advanced</w:t>
      </w:r>
      <w:r>
        <w:t xml:space="preserve"> </w:t>
      </w:r>
      <w:r>
        <w:t xml:space="preserve">packaging</w:t>
      </w:r>
      <w:r>
        <w:t xml:space="preserve"> </w:t>
      </w:r>
      <w:r>
        <w:t xml:space="preserve">pilot lines and under</w:t>
      </w:r>
      <w:r>
        <w:t xml:space="preserve"> </w:t>
      </w:r>
      <w:r>
        <w:t xml:space="preserve">Pillar</w:t>
      </w:r>
      <w:r>
        <w:t xml:space="preserve"> </w:t>
      </w:r>
      <w:r>
        <w:t xml:space="preserve">II,</w:t>
      </w:r>
      <w:r>
        <w:t xml:space="preserve"> </w:t>
      </w:r>
      <w:r>
        <w:t xml:space="preserve">which</w:t>
      </w:r>
      <w:r>
        <w:t xml:space="preserve"> </w:t>
      </w:r>
      <w:r>
        <w:t xml:space="preserve">enables</w:t>
      </w:r>
      <w:r>
        <w:t xml:space="preserve"> </w:t>
      </w:r>
      <w:r>
        <w:t xml:space="preserve">industrial</w:t>
      </w:r>
      <w:r>
        <w:t xml:space="preserve"> </w:t>
      </w:r>
      <w:r>
        <w:t xml:space="preserve">deployment of FOAK</w:t>
      </w:r>
      <w:r>
        <w:t xml:space="preserve"> </w:t>
      </w:r>
      <w:r>
        <w:t xml:space="preserve">back-end facilities.</w:t>
      </w:r>
      <w:r>
        <w:t xml:space="preserve"> </w:t>
      </w:r>
      <w:r>
        <w:t xml:space="preserve">ATP stakeholders also</w:t>
      </w:r>
      <w:r>
        <w:t xml:space="preserve"> </w:t>
      </w:r>
      <w:r>
        <w:t xml:space="preserve">benefit</w:t>
      </w:r>
      <w:r>
        <w:t xml:space="preserve"> </w:t>
      </w:r>
      <w:r>
        <w:t xml:space="preserve">from</w:t>
      </w:r>
      <w:r>
        <w:t xml:space="preserve"> </w:t>
      </w:r>
      <w:r>
        <w:t xml:space="preserve">R&amp;D</w:t>
      </w:r>
      <w:r>
        <w:t xml:space="preserve"> </w:t>
      </w:r>
      <w:r>
        <w:t xml:space="preserve">funding</w:t>
      </w:r>
      <w:r>
        <w:t xml:space="preserve"> </w:t>
      </w:r>
      <w:r>
        <w:t xml:space="preserve">under</w:t>
      </w:r>
      <w:r>
        <w:t xml:space="preserve"> </w:t>
      </w:r>
      <w:r>
        <w:t xml:space="preserve">the</w:t>
      </w:r>
      <w:r>
        <w:t xml:space="preserve"> </w:t>
      </w:r>
      <w:r>
        <w:t xml:space="preserve">Chips</w:t>
      </w:r>
      <w:r>
        <w:t xml:space="preserve"> </w:t>
      </w:r>
      <w:r>
        <w:t xml:space="preserve">Joint</w:t>
      </w:r>
    </w:p>
    <w:p>
      <w:pPr>
        <w:pStyle w:val="FirstParagraph"/>
      </w:pPr>
      <w:r>
        <w:t xml:space="preserve">93</w:t>
      </w:r>
    </w:p>
    <w:p>
      <w:pPr>
        <w:pStyle w:val="Compact"/>
        <w:numPr>
          <w:ilvl w:val="0"/>
          <w:numId w:val="1034"/>
        </w:numPr>
      </w:pPr>
      <w:r>
        <w:t xml:space="preserve">DECISION Études &amp; Conseil. (2024). Economic analysis of the EU and global chips ecosystem.</w:t>
      </w:r>
    </w:p>
    <w:p>
      <w:pPr>
        <w:pStyle w:val="Compact"/>
        <w:numPr>
          <w:ilvl w:val="0"/>
          <w:numId w:val="1034"/>
        </w:numPr>
      </w:pPr>
      <w:r>
        <w:t xml:space="preserve">DECISION Études &amp; Conseil. (2024). Economic analysis of the EU and global chips ecosystem.</w:t>
      </w:r>
    </w:p>
    <w:p>
      <w:pPr>
        <w:pStyle w:val="Compact"/>
        <w:numPr>
          <w:ilvl w:val="0"/>
          <w:numId w:val="1034"/>
        </w:numPr>
      </w:pPr>
      <w:r>
        <w:t xml:space="preserve">Rosati, N., Bonnet, P., Ciani, A., Duch Brown, N., Miguez, S., &amp; Zaurino, E. (2023). The EC consultation on the semiconductors’ value chain (JRC133892, EUR</w:t>
      </w:r>
      <w:r>
        <w:t xml:space="preserve"> </w:t>
      </w:r>
      <w:r>
        <w:t xml:space="preserve">31585 EN)</w:t>
      </w:r>
      <w:r>
        <w:t xml:space="preserve"> </w:t>
      </w:r>
      <w:r>
        <w:t xml:space="preserve">digitised.</w:t>
      </w:r>
      <w:r>
        <w:t xml:space="preserve"> </w:t>
      </w:r>
      <w:r>
        <w:t xml:space="preserve">Final stage of value</w:t>
      </w:r>
      <w:r>
        <w:t xml:space="preserve"> </w:t>
      </w:r>
      <w:r>
        <w:t xml:space="preserve">capture</w:t>
      </w:r>
      <w:r>
        <w:t xml:space="preserve"> </w:t>
      </w:r>
      <w:r>
        <w:t xml:space="preserve">which</w:t>
      </w:r>
      <w:r>
        <w:t xml:space="preserve"> </w:t>
      </w:r>
      <w:r>
        <w:t xml:space="preserve">determines</w:t>
      </w:r>
      <w:r>
        <w:t xml:space="preserve"> </w:t>
      </w:r>
      <w:r>
        <w:t xml:space="preserve">chip</w:t>
      </w:r>
      <w:r>
        <w:t xml:space="preserve"> </w:t>
      </w:r>
      <w:r>
        <w:t xml:space="preserve">performance, thermal</w:t>
      </w:r>
      <w:r>
        <w:t xml:space="preserve"> </w:t>
      </w:r>
      <w:r>
        <w:t xml:space="preserve">management,</w:t>
      </w:r>
      <w:r>
        <w:t xml:space="preserve"> </w:t>
      </w:r>
      <w:r>
        <w:t xml:space="preserve">and</w:t>
      </w:r>
      <w:r>
        <w:t xml:space="preserve"> </w:t>
      </w:r>
      <w:r>
        <w:t xml:space="preserve">system</w:t>
      </w:r>
      <w:r>
        <w:t xml:space="preserve"> </w:t>
      </w:r>
      <w:r>
        <w:t xml:space="preserve">integration</w:t>
      </w:r>
      <w:r>
        <w:t xml:space="preserve"> </w:t>
      </w:r>
      <w:r>
        <w:t xml:space="preserve">quality.</w:t>
      </w:r>
      <w:r>
        <w:t xml:space="preserve"> </w:t>
      </w:r>
      <w:r>
        <w:t xml:space="preserve">positions in the design</w:t>
      </w:r>
      <w:r>
        <w:t xml:space="preserve"> </w:t>
      </w:r>
      <w:r>
        <w:t xml:space="preserve">and</w:t>
      </w:r>
      <w:r>
        <w:t xml:space="preserve"> </w:t>
      </w:r>
      <w:r>
        <w:t xml:space="preserve">production</w:t>
      </w:r>
      <w:r>
        <w:t xml:space="preserve"> </w:t>
      </w:r>
      <w:r>
        <w:t xml:space="preserve">of</w:t>
      </w:r>
      <w:r>
        <w:t xml:space="preserve"> </w:t>
      </w:r>
      <w:r>
        <w:t xml:space="preserve">packaging</w:t>
      </w:r>
      <w:r>
        <w:t xml:space="preserve"> </w:t>
      </w:r>
      <w:r>
        <w:t xml:space="preserve">and</w:t>
      </w:r>
      <w:r>
        <w:t xml:space="preserve"> </w:t>
      </w:r>
      <w:r>
        <w:t xml:space="preserve">assembly</w:t>
      </w:r>
      <w:r>
        <w:t xml:space="preserve"> </w:t>
      </w:r>
      <w:r>
        <w:t xml:space="preserve">tools</w:t>
      </w:r>
      <w:r>
        <w:t xml:space="preserve"> </w:t>
      </w:r>
      <w:r>
        <w:t xml:space="preserve">for</w:t>
      </w:r>
      <w:r>
        <w:t xml:space="preserve"> </w:t>
      </w:r>
      <w:r>
        <w:t xml:space="preserve">photonic ICs.</w:t>
      </w:r>
      <w:r>
        <w:t xml:space="preserve"> </w:t>
      </w:r>
      <w:r>
        <w:t xml:space="preserve">Extensive know-how</w:t>
      </w:r>
      <w:r>
        <w:t xml:space="preserve"> </w:t>
      </w:r>
      <w:r>
        <w:t xml:space="preserve">in</w:t>
      </w:r>
      <w:r>
        <w:t xml:space="preserve"> </w:t>
      </w:r>
      <w:r>
        <w:t xml:space="preserve">PIC</w:t>
      </w:r>
      <w:r>
        <w:t xml:space="preserve"> </w:t>
      </w:r>
      <w:r>
        <w:t xml:space="preserve">packaging,</w:t>
      </w:r>
      <w:r>
        <w:t xml:space="preserve"> </w:t>
      </w:r>
      <w:r>
        <w:t xml:space="preserve">assembly, and testing</w:t>
      </w:r>
      <w:r>
        <w:t xml:space="preserve"> </w:t>
      </w:r>
      <w:r>
        <w:t xml:space="preserve">provides Europe with</w:t>
      </w:r>
      <w:r>
        <w:t xml:space="preserve"> </w:t>
      </w:r>
      <w:r>
        <w:t xml:space="preserve">a solid technological</w:t>
      </w:r>
      <w:r>
        <w:t xml:space="preserve"> </w:t>
      </w:r>
      <w:r>
        <w:t xml:space="preserve">and industrial base in</w:t>
      </w:r>
      <w:r>
        <w:t xml:space="preserve"> </w:t>
      </w:r>
      <w:r>
        <w:t xml:space="preserve">this niche segment</w:t>
      </w:r>
      <w:r>
        <w:t xml:space="preserve"> </w:t>
      </w:r>
      <w:r>
        <w:t xml:space="preserve">(94).</w:t>
      </w:r>
      <w:r>
        <w:t xml:space="preserve"> </w:t>
      </w:r>
      <w:r>
        <w:t xml:space="preserve">The APECS pilot line</w:t>
      </w:r>
      <w:r>
        <w:t xml:space="preserve"> </w:t>
      </w:r>
      <w:r>
        <w:t xml:space="preserve">funded through Pillar</w:t>
      </w:r>
      <w:r>
        <w:t xml:space="preserve"> </w:t>
      </w:r>
      <w:r>
        <w:t xml:space="preserve">I of the Chips Act is</w:t>
      </w:r>
      <w:r>
        <w:t xml:space="preserve"> </w:t>
      </w:r>
      <w:r>
        <w:t xml:space="preserve">also stimulating the</w:t>
      </w:r>
      <w:r>
        <w:t xml:space="preserve"> </w:t>
      </w:r>
      <w:r>
        <w:t xml:space="preserve">development</w:t>
      </w:r>
      <w:r>
        <w:t xml:space="preserve"> </w:t>
      </w:r>
      <w:r>
        <w:t xml:space="preserve">of</w:t>
      </w:r>
      <w:r>
        <w:t xml:space="preserve"> </w:t>
      </w:r>
      <w:r>
        <w:t xml:space="preserve">advanced</w:t>
      </w:r>
      <w:r>
        <w:t xml:space="preserve"> </w:t>
      </w:r>
      <w:r>
        <w:t xml:space="preserve">packaging</w:t>
      </w:r>
      <w:r>
        <w:t xml:space="preserve"> </w:t>
      </w:r>
      <w:r>
        <w:t xml:space="preserve">competences</w:t>
      </w:r>
      <w:r>
        <w:t xml:space="preserve"> </w:t>
      </w:r>
      <w:r>
        <w:t xml:space="preserve">in</w:t>
      </w:r>
      <w:r>
        <w:t xml:space="preserve"> </w:t>
      </w:r>
      <w:r>
        <w:t xml:space="preserve">Europe.</w:t>
      </w:r>
      <w:r>
        <w:t xml:space="preserve"> </w:t>
      </w:r>
      <w:r>
        <w:t xml:space="preserve">testing</w:t>
      </w:r>
      <w:r>
        <w:t xml:space="preserve"> </w:t>
      </w:r>
      <w:r>
        <w:t xml:space="preserve">typically</w:t>
      </w:r>
      <w:r>
        <w:t xml:space="preserve"> </w:t>
      </w:r>
      <w:r>
        <w:t xml:space="preserve">operate</w:t>
      </w:r>
      <w:r>
        <w:t xml:space="preserve"> </w:t>
      </w:r>
      <w:r>
        <w:t xml:space="preserve">their</w:t>
      </w:r>
      <w:r>
        <w:t xml:space="preserve"> </w:t>
      </w:r>
      <w:r>
        <w:t xml:space="preserve">high-</w:t>
      </w:r>
      <w:r>
        <w:t xml:space="preserve"> </w:t>
      </w:r>
      <w:r>
        <w:t xml:space="preserve">volume</w:t>
      </w:r>
      <w:r>
        <w:t xml:space="preserve"> </w:t>
      </w:r>
      <w:r>
        <w:t xml:space="preserve">production</w:t>
      </w:r>
      <w:r>
        <w:t xml:space="preserve"> </w:t>
      </w:r>
      <w:r>
        <w:t xml:space="preserve">sites outside the EU,</w:t>
      </w:r>
      <w:r>
        <w:t xml:space="preserve"> </w:t>
      </w:r>
      <w:r>
        <w:t xml:space="preserve">leaving only limited</w:t>
      </w:r>
      <w:r>
        <w:t xml:space="preserve"> </w:t>
      </w:r>
      <w:r>
        <w:t xml:space="preserve">domestic capacity for</w:t>
      </w:r>
      <w:r>
        <w:t xml:space="preserve"> </w:t>
      </w:r>
      <w:r>
        <w:t xml:space="preserve">advanced</w:t>
      </w:r>
      <w:r>
        <w:t xml:space="preserve"> </w:t>
      </w:r>
      <w:r>
        <w:t xml:space="preserve">or</w:t>
      </w:r>
      <w:r>
        <w:t xml:space="preserve"> </w:t>
      </w:r>
      <w:r>
        <w:t xml:space="preserve">high-</w:t>
      </w:r>
      <w:r>
        <w:t xml:space="preserve"> </w:t>
      </w:r>
      <w:r>
        <w:t xml:space="preserve">volume</w:t>
      </w:r>
      <w:r>
        <w:t xml:space="preserve"> </w:t>
      </w:r>
      <w:r>
        <w:t xml:space="preserve">ATP</w:t>
      </w:r>
      <w:r>
        <w:t xml:space="preserve"> </w:t>
      </w:r>
      <w:r>
        <w:t xml:space="preserve">processes. (95)</w:t>
      </w:r>
      <w:r>
        <w:t xml:space="preserve"> </w:t>
      </w:r>
      <w:r>
        <w:t xml:space="preserve">Most</w:t>
      </w:r>
      <w:r>
        <w:t xml:space="preserve"> </w:t>
      </w:r>
      <w:r>
        <w:t xml:space="preserve">packaging</w:t>
      </w:r>
      <w:r>
        <w:t xml:space="preserve"> </w:t>
      </w:r>
      <w:r>
        <w:t xml:space="preserve">solutions available in</w:t>
      </w:r>
      <w:r>
        <w:t xml:space="preserve"> </w:t>
      </w:r>
      <w:r>
        <w:t xml:space="preserve">Europe rely on legacy</w:t>
      </w:r>
      <w:r>
        <w:t xml:space="preserve"> </w:t>
      </w:r>
      <w:r>
        <w:t xml:space="preserve">approaches.(96)</w:t>
      </w:r>
      <w:r>
        <w:t xml:space="preserve"> </w:t>
      </w:r>
      <w:r>
        <w:t xml:space="preserve">Undertaking.</w:t>
      </w:r>
    </w:p>
    <w:p>
      <w:pPr>
        <w:pStyle w:val="FirstParagraph"/>
      </w:pPr>
      <w:r>
        <w:t xml:space="preserve">94</w:t>
      </w:r>
    </w:p>
    <w:p>
      <w:pPr>
        <w:pStyle w:val="BodyText"/>
      </w:pPr>
      <w:r>
        <w:t xml:space="preserve">95</w:t>
      </w:r>
      <w:r>
        <w:t xml:space="preserve"> </w:t>
      </w:r>
      <w:r>
        <w:t xml:space="preserve">1.3.4. Downstream integration and end-use applications</w:t>
      </w:r>
      <w:r>
        <w:t xml:space="preserve"> </w:t>
      </w:r>
      <w:r>
        <w:t xml:space="preserve">GVC segment</w:t>
      </w:r>
      <w:r>
        <w:t xml:space="preserve"> </w:t>
      </w:r>
      <w:r>
        <w:t xml:space="preserve">Value</w:t>
      </w:r>
      <w:r>
        <w:t xml:space="preserve"> </w:t>
      </w:r>
      <w:r>
        <w:t xml:space="preserve">added</w:t>
      </w:r>
      <w:r>
        <w:t xml:space="preserve"> </w:t>
      </w:r>
      <w:r>
        <w:t xml:space="preserve">characteristics</w:t>
      </w:r>
      <w:r>
        <w:t xml:space="preserve"> </w:t>
      </w:r>
      <w:r>
        <w:t xml:space="preserve">EU strengths</w:t>
      </w:r>
      <w:r>
        <w:t xml:space="preserve"> </w:t>
      </w:r>
      <w:r>
        <w:t xml:space="preserve">EU gaps</w:t>
      </w:r>
      <w:r>
        <w:t xml:space="preserve"> </w:t>
      </w:r>
      <w:r>
        <w:t xml:space="preserve">EU share in the</w:t>
      </w:r>
      <w:r>
        <w:t xml:space="preserve"> </w:t>
      </w:r>
      <w:r>
        <w:t xml:space="preserve">global market</w:t>
      </w:r>
      <w:r>
        <w:t xml:space="preserve"> </w:t>
      </w:r>
      <w:r>
        <w:t xml:space="preserve">Chips</w:t>
      </w:r>
      <w:r>
        <w:t xml:space="preserve"> </w:t>
      </w:r>
      <w:r>
        <w:t xml:space="preserve">Act</w:t>
      </w:r>
      <w:r>
        <w:t xml:space="preserve"> </w:t>
      </w:r>
      <w:r>
        <w:t xml:space="preserve">importance</w:t>
      </w:r>
      <w:r>
        <w:t xml:space="preserve"> </w:t>
      </w:r>
      <w:r>
        <w:t xml:space="preserve">Downstream</w:t>
      </w:r>
      <w:r>
        <w:t xml:space="preserve"> </w:t>
      </w:r>
      <w:r>
        <w:t xml:space="preserve">integration</w:t>
      </w:r>
      <w:r>
        <w:t xml:space="preserve"> </w:t>
      </w:r>
      <w:r>
        <w:t xml:space="preserve">Integration</w:t>
      </w:r>
      <w:r>
        <w:t xml:space="preserve"> </w:t>
      </w:r>
      <w:r>
        <w:t xml:space="preserve">requires</w:t>
      </w:r>
      <w:r>
        <w:t xml:space="preserve"> </w:t>
      </w:r>
      <w:r>
        <w:t xml:space="preserve">high engineering and</w:t>
      </w:r>
      <w:r>
        <w:t xml:space="preserve"> </w:t>
      </w:r>
      <w:r>
        <w:t xml:space="preserve">software competence</w:t>
      </w:r>
      <w:r>
        <w:t xml:space="preserve"> </w:t>
      </w:r>
      <w:r>
        <w:t xml:space="preserve">and often represents</w:t>
      </w:r>
      <w:r>
        <w:t xml:space="preserve"> </w:t>
      </w:r>
      <w:r>
        <w:t xml:space="preserve">15–25% of the final</w:t>
      </w:r>
      <w:r>
        <w:t xml:space="preserve"> </w:t>
      </w:r>
      <w:r>
        <w:t xml:space="preserve">system value.</w:t>
      </w:r>
      <w:r>
        <w:t xml:space="preserve"> </w:t>
      </w:r>
      <w:r>
        <w:t xml:space="preserve">Value</w:t>
      </w:r>
      <w:r>
        <w:t xml:space="preserve"> </w:t>
      </w:r>
      <w:r>
        <w:t xml:space="preserve">capture</w:t>
      </w:r>
      <w:r>
        <w:t xml:space="preserve"> </w:t>
      </w:r>
      <w:r>
        <w:t xml:space="preserve">depends</w:t>
      </w:r>
      <w:r>
        <w:t xml:space="preserve"> </w:t>
      </w:r>
      <w:r>
        <w:t xml:space="preserve">on</w:t>
      </w:r>
      <w:r>
        <w:t xml:space="preserve"> </w:t>
      </w:r>
      <w:r>
        <w:t xml:space="preserve">the</w:t>
      </w:r>
      <w:r>
        <w:t xml:space="preserve"> </w:t>
      </w:r>
      <w:r>
        <w:t xml:space="preserve">sophistication</w:t>
      </w:r>
      <w:r>
        <w:t xml:space="preserve"> </w:t>
      </w:r>
      <w:r>
        <w:t xml:space="preserve">of</w:t>
      </w:r>
      <w:r>
        <w:t xml:space="preserve"> </w:t>
      </w:r>
      <w:r>
        <w:t xml:space="preserve">system</w:t>
      </w:r>
      <w:r>
        <w:t xml:space="preserve"> </w:t>
      </w:r>
      <w:r>
        <w:t xml:space="preserve">design,</w:t>
      </w:r>
      <w:r>
        <w:t xml:space="preserve"> </w:t>
      </w:r>
      <w:r>
        <w:t xml:space="preserve">intellectual property,</w:t>
      </w:r>
      <w:r>
        <w:t xml:space="preserve"> </w:t>
      </w:r>
      <w:r>
        <w:t xml:space="preserve">and brand reputation.</w:t>
      </w:r>
      <w:r>
        <w:t xml:space="preserve"> </w:t>
      </w:r>
      <w:r>
        <w:t xml:space="preserve">Economies of scope</w:t>
      </w:r>
      <w:r>
        <w:t xml:space="preserve"> </w:t>
      </w:r>
      <w:r>
        <w:t xml:space="preserve">matter</w:t>
      </w:r>
      <w:r>
        <w:t xml:space="preserve"> </w:t>
      </w:r>
      <w:r>
        <w:t xml:space="preserve">more</w:t>
      </w:r>
      <w:r>
        <w:t xml:space="preserve"> </w:t>
      </w:r>
      <w:r>
        <w:t xml:space="preserve">than</w:t>
      </w:r>
      <w:r>
        <w:t xml:space="preserve"> </w:t>
      </w:r>
      <w:r>
        <w:t xml:space="preserve">economies of scale:</w:t>
      </w:r>
      <w:r>
        <w:t xml:space="preserve"> </w:t>
      </w:r>
      <w:r>
        <w:t xml:space="preserve">integrators</w:t>
      </w:r>
      <w:r>
        <w:t xml:space="preserve"> </w:t>
      </w:r>
      <w:r>
        <w:t xml:space="preserve">that</w:t>
      </w:r>
      <w:r>
        <w:t xml:space="preserve"> </w:t>
      </w:r>
      <w:r>
        <w:t xml:space="preserve">control</w:t>
      </w:r>
      <w:r>
        <w:t xml:space="preserve"> </w:t>
      </w:r>
      <w:r>
        <w:t xml:space="preserve">software–</w:t>
      </w:r>
      <w:r>
        <w:t xml:space="preserve"> </w:t>
      </w:r>
      <w:r>
        <w:t xml:space="preserve">hardware</w:t>
      </w:r>
      <w:r>
        <w:t xml:space="preserve"> </w:t>
      </w:r>
      <w:r>
        <w:t xml:space="preserve">co-design</w:t>
      </w:r>
      <w:r>
        <w:t xml:space="preserve"> </w:t>
      </w:r>
      <w:r>
        <w:t xml:space="preserve">(e.g. Tesla, Apple)</w:t>
      </w:r>
      <w:r>
        <w:t xml:space="preserve"> </w:t>
      </w:r>
      <w:r>
        <w:t xml:space="preserve">capture</w:t>
      </w:r>
      <w:r>
        <w:t xml:space="preserve"> </w:t>
      </w:r>
      <w:r>
        <w:t xml:space="preserve">The EU benefits from</w:t>
      </w:r>
      <w:r>
        <w:t xml:space="preserve"> </w:t>
      </w:r>
      <w:r>
        <w:t xml:space="preserve">strong</w:t>
      </w:r>
      <w:r>
        <w:t xml:space="preserve"> </w:t>
      </w:r>
      <w:r>
        <w:t xml:space="preserve">vertical</w:t>
      </w:r>
      <w:r>
        <w:t xml:space="preserve"> </w:t>
      </w:r>
      <w:r>
        <w:t xml:space="preserve">integration and close</w:t>
      </w:r>
      <w:r>
        <w:t xml:space="preserve"> </w:t>
      </w:r>
      <w:r>
        <w:t xml:space="preserve">collaboration between</w:t>
      </w:r>
      <w:r>
        <w:t xml:space="preserve"> </w:t>
      </w:r>
      <w:r>
        <w:t xml:space="preserve">European automakers</w:t>
      </w:r>
      <w:r>
        <w:t xml:space="preserve"> </w:t>
      </w:r>
      <w:r>
        <w:t xml:space="preserve">and</w:t>
      </w:r>
      <w:r>
        <w:t xml:space="preserve"> </w:t>
      </w:r>
      <w:r>
        <w:t xml:space="preserve">domestic</w:t>
      </w:r>
      <w:r>
        <w:t xml:space="preserve"> </w:t>
      </w:r>
      <w:r>
        <w:t xml:space="preserve">chipmakers, such as</w:t>
      </w:r>
      <w:r>
        <w:t xml:space="preserve"> </w:t>
      </w:r>
      <w:r>
        <w:t xml:space="preserve">NXP, Infineon, and</w:t>
      </w:r>
      <w:r>
        <w:t xml:space="preserve"> </w:t>
      </w:r>
      <w:r>
        <w:t xml:space="preserve">STMicroelectronics,</w:t>
      </w:r>
      <w:r>
        <w:t xml:space="preserve"> </w:t>
      </w:r>
      <w:r>
        <w:t xml:space="preserve">which has</w:t>
      </w:r>
      <w:r>
        <w:t xml:space="preserve"> </w:t>
      </w:r>
      <w:r>
        <w:t xml:space="preserve">enabled</w:t>
      </w:r>
      <w:r>
        <w:t xml:space="preserve"> </w:t>
      </w:r>
      <w:r>
        <w:t xml:space="preserve">European</w:t>
      </w:r>
      <w:r>
        <w:t xml:space="preserve"> </w:t>
      </w:r>
      <w:r>
        <w:t xml:space="preserve">firms</w:t>
      </w:r>
      <w:r>
        <w:t xml:space="preserve"> </w:t>
      </w:r>
      <w:r>
        <w:t xml:space="preserve">to</w:t>
      </w:r>
      <w:r>
        <w:t xml:space="preserve"> </w:t>
      </w:r>
      <w:r>
        <w:t xml:space="preserve">become global leaders</w:t>
      </w:r>
      <w:r>
        <w:t xml:space="preserve"> </w:t>
      </w:r>
      <w:r>
        <w:t xml:space="preserve">in semiconductors for</w:t>
      </w:r>
      <w:r>
        <w:t xml:space="preserve"> </w:t>
      </w:r>
      <w:r>
        <w:t xml:space="preserve">key end-markets such</w:t>
      </w:r>
      <w:r>
        <w:t xml:space="preserve"> </w:t>
      </w:r>
      <w:r>
        <w:t xml:space="preserve">as</w:t>
      </w:r>
      <w:r>
        <w:t xml:space="preserve"> </w:t>
      </w:r>
      <w:r>
        <w:t xml:space="preserve">automotive</w:t>
      </w:r>
      <w:r>
        <w:t xml:space="preserve"> </w:t>
      </w:r>
      <w:r>
        <w:t xml:space="preserve">and</w:t>
      </w:r>
      <w:r>
        <w:t xml:space="preserve"> </w:t>
      </w:r>
      <w:r>
        <w:t xml:space="preserve">industrial automation.</w:t>
      </w:r>
      <w:r>
        <w:t xml:space="preserve"> </w:t>
      </w:r>
      <w:r>
        <w:t xml:space="preserve">This</w:t>
      </w:r>
      <w:r>
        <w:t xml:space="preserve"> </w:t>
      </w:r>
      <w:r>
        <w:t xml:space="preserve">collaboration</w:t>
      </w:r>
      <w:r>
        <w:t xml:space="preserve"> </w:t>
      </w:r>
      <w:r>
        <w:t xml:space="preserve">fosters</w:t>
      </w:r>
      <w:r>
        <w:t xml:space="preserve"> </w:t>
      </w:r>
      <w:r>
        <w:t xml:space="preserve">a</w:t>
      </w:r>
      <w:r>
        <w:t xml:space="preserve"> </w:t>
      </w:r>
      <w:r>
        <w:t xml:space="preserve">robust</w:t>
      </w:r>
      <w:r>
        <w:t xml:space="preserve"> </w:t>
      </w:r>
      <w:r>
        <w:t xml:space="preserve">domestic</w:t>
      </w:r>
      <w:r>
        <w:t xml:space="preserve"> </w:t>
      </w:r>
      <w:r>
        <w:t xml:space="preserve">ecosystem</w:t>
      </w:r>
      <w:r>
        <w:t xml:space="preserve"> </w:t>
      </w:r>
      <w:r>
        <w:t xml:space="preserve">for</w:t>
      </w:r>
      <w:r>
        <w:t xml:space="preserve"> </w:t>
      </w:r>
      <w:r>
        <w:t xml:space="preserve">application-</w:t>
      </w:r>
      <w:r>
        <w:t xml:space="preserve"> </w:t>
      </w:r>
      <w:r>
        <w:t xml:space="preserve">specific</w:t>
      </w:r>
      <w:r>
        <w:t xml:space="preserve"> </w:t>
      </w:r>
      <w:r>
        <w:t xml:space="preserve">Collaboration</w:t>
      </w:r>
      <w:r>
        <w:t xml:space="preserve"> </w:t>
      </w:r>
      <w:r>
        <w:t xml:space="preserve">between</w:t>
      </w:r>
      <w:r>
        <w:t xml:space="preserve"> </w:t>
      </w:r>
      <w:r>
        <w:t xml:space="preserve">semiconductor</w:t>
      </w:r>
      <w:r>
        <w:t xml:space="preserve"> </w:t>
      </w:r>
      <w:r>
        <w:t xml:space="preserve">producers and Tier-1</w:t>
      </w:r>
      <w:r>
        <w:t xml:space="preserve"> </w:t>
      </w:r>
      <w:r>
        <w:t xml:space="preserve">system</w:t>
      </w:r>
      <w:r>
        <w:t xml:space="preserve"> </w:t>
      </w:r>
      <w:r>
        <w:t xml:space="preserve">suppliers</w:t>
      </w:r>
      <w:r>
        <w:t xml:space="preserve"> </w:t>
      </w:r>
      <w:r>
        <w:t xml:space="preserve">remains fragmented,</w:t>
      </w:r>
      <w:r>
        <w:t xml:space="preserve"> </w:t>
      </w:r>
      <w:r>
        <w:t xml:space="preserve">meaning that outside</w:t>
      </w:r>
      <w:r>
        <w:t xml:space="preserve"> </w:t>
      </w:r>
      <w:r>
        <w:t xml:space="preserve">the automotive sector</w:t>
      </w:r>
      <w:r>
        <w:t xml:space="preserve"> </w:t>
      </w:r>
      <w:r>
        <w:t xml:space="preserve">there</w:t>
      </w:r>
      <w:r>
        <w:t xml:space="preserve"> </w:t>
      </w:r>
      <w:r>
        <w:t xml:space="preserve">are</w:t>
      </w:r>
      <w:r>
        <w:t xml:space="preserve"> </w:t>
      </w:r>
      <w:r>
        <w:t xml:space="preserve">few</w:t>
      </w:r>
      <w:r>
        <w:t xml:space="preserve"> </w:t>
      </w:r>
      <w:r>
        <w:t xml:space="preserve">structured</w:t>
      </w:r>
      <w:r>
        <w:t xml:space="preserve"> </w:t>
      </w:r>
      <w:r>
        <w:t xml:space="preserve">co-</w:t>
      </w:r>
      <w:r>
        <w:t xml:space="preserve"> </w:t>
      </w:r>
      <w:r>
        <w:t xml:space="preserve">development</w:t>
      </w:r>
      <w:r>
        <w:t xml:space="preserve"> </w:t>
      </w:r>
      <w:r>
        <w:t xml:space="preserve">mechanisms,</w:t>
      </w:r>
      <w:r>
        <w:t xml:space="preserve"> </w:t>
      </w:r>
      <w:r>
        <w:t xml:space="preserve">shared</w:t>
      </w:r>
      <w:r>
        <w:t xml:space="preserve"> </w:t>
      </w:r>
      <w:r>
        <w:t xml:space="preserve">technology roadmaps,</w:t>
      </w:r>
      <w:r>
        <w:t xml:space="preserve"> </w:t>
      </w:r>
      <w:r>
        <w:t xml:space="preserve">or early-stage joint</w:t>
      </w:r>
      <w:r>
        <w:t xml:space="preserve"> </w:t>
      </w:r>
      <w:r>
        <w:t xml:space="preserve">design cycles. This</w:t>
      </w:r>
      <w:r>
        <w:t xml:space="preserve"> </w:t>
      </w:r>
      <w:r>
        <w:t xml:space="preserve">limits the ability to</w:t>
      </w:r>
      <w:r>
        <w:t xml:space="preserve"> </w:t>
      </w:r>
      <w:r>
        <w:t xml:space="preserve">translate</w:t>
      </w:r>
      <w:r>
        <w:t xml:space="preserve"> </w:t>
      </w:r>
      <w:r>
        <w:t xml:space="preserve">semiconductor</w:t>
      </w:r>
      <w:r>
        <w:t xml:space="preserve"> </w:t>
      </w:r>
      <w:r>
        <w:t xml:space="preserve">innovations</w:t>
      </w:r>
      <w:r>
        <w:t xml:space="preserve"> </w:t>
      </w:r>
      <w:r>
        <w:t xml:space="preserve">into</w:t>
      </w:r>
      <w:r>
        <w:t xml:space="preserve"> </w:t>
      </w:r>
      <w:r>
        <w:t xml:space="preserve">competitive</w:t>
      </w:r>
      <w:r>
        <w:t xml:space="preserve"> </w:t>
      </w:r>
      <w:r>
        <w:t xml:space="preserve">system-</w:t>
      </w:r>
      <w:r>
        <w:t xml:space="preserve"> </w:t>
      </w:r>
      <w:r>
        <w:t xml:space="preserve">level</w:t>
      </w:r>
      <w:r>
        <w:t xml:space="preserve"> </w:t>
      </w:r>
      <w:r>
        <w:t xml:space="preserve">products</w:t>
      </w:r>
      <w:r>
        <w:t xml:space="preserve"> </w:t>
      </w:r>
      <w:r>
        <w:t xml:space="preserve">in</w:t>
      </w:r>
      <w:r>
        <w:t xml:space="preserve"> </w:t>
      </w:r>
      <w:r>
        <w:t xml:space="preserve">No</w:t>
      </w:r>
      <w:r>
        <w:t xml:space="preserve"> </w:t>
      </w:r>
      <w:r>
        <w:t xml:space="preserve">single</w:t>
      </w:r>
      <w:r>
        <w:t xml:space="preserve"> </w:t>
      </w:r>
      <w:r>
        <w:t xml:space="preserve">figure</w:t>
      </w:r>
      <w:r>
        <w:t xml:space="preserve"> </w:t>
      </w:r>
      <w:r>
        <w:t xml:space="preserve">available</w:t>
      </w:r>
      <w:r>
        <w:t xml:space="preserve"> </w:t>
      </w:r>
      <w:r>
        <w:t xml:space="preserve">EU companies owned</w:t>
      </w:r>
      <w:r>
        <w:t xml:space="preserve"> </w:t>
      </w:r>
      <w:r>
        <w:t xml:space="preserve">34% of the global</w:t>
      </w:r>
      <w:r>
        <w:t xml:space="preserve"> </w:t>
      </w:r>
      <w:r>
        <w:t xml:space="preserve">semiconductor market</w:t>
      </w:r>
      <w:r>
        <w:t xml:space="preserve"> </w:t>
      </w:r>
      <w:r>
        <w:t xml:space="preserve">for</w:t>
      </w:r>
      <w:r>
        <w:t xml:space="preserve"> </w:t>
      </w:r>
      <w:r>
        <w:t xml:space="preserve">automotive</w:t>
      </w:r>
      <w:r>
        <w:t xml:space="preserve"> </w:t>
      </w:r>
      <w:r>
        <w:t xml:space="preserve">in</w:t>
      </w:r>
      <w:r>
        <w:t xml:space="preserve"> </w:t>
      </w:r>
      <w:r>
        <w:t xml:space="preserve">2021.</w:t>
      </w:r>
      <w:r>
        <w:t xml:space="preserve"> </w:t>
      </w:r>
      <w:r>
        <w:t xml:space="preserve">European</w:t>
      </w:r>
      <w:r>
        <w:t xml:space="preserve"> </w:t>
      </w:r>
      <w:r>
        <w:t xml:space="preserve">suppliers</w:t>
      </w:r>
      <w:r>
        <w:t xml:space="preserve"> </w:t>
      </w:r>
      <w:r>
        <w:t xml:space="preserve">are</w:t>
      </w:r>
      <w:r>
        <w:t xml:space="preserve"> </w:t>
      </w:r>
      <w:r>
        <w:t xml:space="preserve">leading</w:t>
      </w:r>
      <w:r>
        <w:t xml:space="preserve"> </w:t>
      </w:r>
      <w:r>
        <w:t xml:space="preserve">in</w:t>
      </w:r>
      <w:r>
        <w:t xml:space="preserve"> </w:t>
      </w:r>
      <w:r>
        <w:t xml:space="preserve">“embedded systems”</w:t>
      </w:r>
      <w:r>
        <w:t xml:space="preserve"> </w:t>
      </w:r>
      <w:r>
        <w:t xml:space="preserve">for applications such</w:t>
      </w:r>
      <w:r>
        <w:t xml:space="preserve"> </w:t>
      </w:r>
      <w:r>
        <w:t xml:space="preserve">as</w:t>
      </w:r>
      <w:r>
        <w:t xml:space="preserve"> </w:t>
      </w:r>
      <w:r>
        <w:t xml:space="preserve">Automotive,</w:t>
      </w:r>
      <w:r>
        <w:t xml:space="preserve"> </w:t>
      </w:r>
      <w:r>
        <w:t xml:space="preserve">Industrial &amp; robotics,</w:t>
      </w:r>
      <w:r>
        <w:t xml:space="preserve"> </w:t>
      </w:r>
      <w:r>
        <w:t xml:space="preserve">Energies, Health &amp;</w:t>
      </w:r>
      <w:r>
        <w:t xml:space="preserve"> </w:t>
      </w:r>
      <w:r>
        <w:t xml:space="preserve">Care,</w:t>
      </w:r>
      <w:r>
        <w:t xml:space="preserve"> </w:t>
      </w:r>
      <w:r>
        <w:t xml:space="preserve">Aerospace</w:t>
      </w:r>
      <w:r>
        <w:t xml:space="preserve"> </w:t>
      </w:r>
      <w:r>
        <w:t xml:space="preserve">/</w:t>
      </w:r>
      <w:r>
        <w:t xml:space="preserve"> </w:t>
      </w:r>
      <w:r>
        <w:t xml:space="preserve">Defence / Security,</w:t>
      </w:r>
      <w:r>
        <w:t xml:space="preserve"> </w:t>
      </w:r>
      <w:r>
        <w:t xml:space="preserve">and</w:t>
      </w:r>
      <w:r>
        <w:t xml:space="preserve"> </w:t>
      </w:r>
      <w:r>
        <w:t xml:space="preserve">telecommunications</w:t>
      </w:r>
      <w:r>
        <w:t xml:space="preserve"> </w:t>
      </w:r>
      <w:r>
        <w:t xml:space="preserve">infrastructures.</w:t>
      </w:r>
      <w:r>
        <w:t xml:space="preserve"> </w:t>
      </w:r>
      <w:r>
        <w:t xml:space="preserve">Pillar I (R&amp;D and</w:t>
      </w:r>
      <w:r>
        <w:t xml:space="preserve"> </w:t>
      </w:r>
      <w:r>
        <w:t xml:space="preserve">pilot</w:t>
      </w:r>
      <w:r>
        <w:t xml:space="preserve"> </w:t>
      </w:r>
      <w:r>
        <w:t xml:space="preserve">lines</w:t>
      </w:r>
      <w:r>
        <w:t xml:space="preserve"> </w:t>
      </w:r>
      <w:r>
        <w:t xml:space="preserve">for</w:t>
      </w:r>
      <w:r>
        <w:t xml:space="preserve"> </w:t>
      </w:r>
      <w:r>
        <w:t xml:space="preserve">heterogeneous</w:t>
      </w:r>
      <w:r>
        <w:t xml:space="preserve"> </w:t>
      </w:r>
      <w:r>
        <w:t xml:space="preserve">integration),</w:t>
      </w:r>
      <w:r>
        <w:t xml:space="preserve"> </w:t>
      </w:r>
      <w:r>
        <w:t xml:space="preserve">Competence Centres</w:t>
      </w:r>
      <w:r>
        <w:t xml:space="preserve"> </w:t>
      </w:r>
      <w:r>
        <w:t xml:space="preserve">that</w:t>
      </w:r>
      <w:r>
        <w:t xml:space="preserve"> </w:t>
      </w:r>
      <w:r>
        <w:t xml:space="preserve">connect</w:t>
      </w:r>
      <w:r>
        <w:t xml:space="preserve"> </w:t>
      </w:r>
      <w:r>
        <w:t xml:space="preserve">chipmakers</w:t>
      </w:r>
      <w:r>
        <w:t xml:space="preserve"> </w:t>
      </w:r>
      <w:r>
        <w:t xml:space="preserve">with</w:t>
      </w:r>
      <w:r>
        <w:t xml:space="preserve"> </w:t>
      </w:r>
      <w:r>
        <w:t xml:space="preserve">system</w:t>
      </w:r>
      <w:r>
        <w:t xml:space="preserve"> </w:t>
      </w:r>
      <w:r>
        <w:t xml:space="preserve">integrators</w:t>
      </w:r>
      <w:r>
        <w:t xml:space="preserve"> </w:t>
      </w:r>
      <w:r>
        <w:t xml:space="preserve">and OEMs</w:t>
      </w:r>
      <w:r>
        <w:t xml:space="preserve"> </w:t>
      </w:r>
      <w:r>
        <w:t xml:space="preserve">Pillar II measures that</w:t>
      </w:r>
      <w:r>
        <w:t xml:space="preserve"> </w:t>
      </w:r>
      <w:r>
        <w:t xml:space="preserve">promote</w:t>
      </w:r>
      <w:r>
        <w:t xml:space="preserve"> </w:t>
      </w:r>
      <w:r>
        <w:t xml:space="preserve">regional</w:t>
      </w:r>
      <w:r>
        <w:t xml:space="preserve"> </w:t>
      </w:r>
      <w:r>
        <w:t xml:space="preserve">coordination</w:t>
      </w:r>
      <w:r>
        <w:t xml:space="preserve"> </w:t>
      </w:r>
      <w:r>
        <w:t xml:space="preserve">and</w:t>
      </w:r>
      <w:r>
        <w:t xml:space="preserve"> </w:t>
      </w:r>
      <w:r>
        <w:t xml:space="preserve">supply</w:t>
      </w:r>
      <w:r>
        <w:t xml:space="preserve"> </w:t>
      </w:r>
      <w:r>
        <w:t xml:space="preserve">chain</w:t>
      </w:r>
      <w:r>
        <w:t xml:space="preserve"> </w:t>
      </w:r>
      <w:r>
        <w:t xml:space="preserve">completeness.</w:t>
      </w:r>
    </w:p>
    <w:p>
      <w:pPr>
        <w:pStyle w:val="BodyText"/>
      </w:pPr>
      <w:r>
        <w:t xml:space="preserve">96</w:t>
      </w:r>
      <w:r>
        <w:t xml:space="preserve"> </w:t>
      </w:r>
      <w:r>
        <w:t xml:space="preserve">GVC segment</w:t>
      </w:r>
      <w:r>
        <w:t xml:space="preserve"> </w:t>
      </w:r>
      <w:r>
        <w:t xml:space="preserve">Value</w:t>
      </w:r>
      <w:r>
        <w:t xml:space="preserve"> </w:t>
      </w:r>
      <w:r>
        <w:t xml:space="preserve">added</w:t>
      </w:r>
      <w:r>
        <w:t xml:space="preserve"> </w:t>
      </w:r>
      <w:r>
        <w:t xml:space="preserve">characteristics</w:t>
      </w:r>
      <w:r>
        <w:t xml:space="preserve"> </w:t>
      </w:r>
      <w:r>
        <w:t xml:space="preserve">EU strengths</w:t>
      </w:r>
      <w:r>
        <w:t xml:space="preserve"> </w:t>
      </w:r>
      <w:r>
        <w:t xml:space="preserve">EU gaps</w:t>
      </w:r>
      <w:r>
        <w:t xml:space="preserve"> </w:t>
      </w:r>
      <w:r>
        <w:t xml:space="preserve">EU share in the</w:t>
      </w:r>
      <w:r>
        <w:t xml:space="preserve"> </w:t>
      </w:r>
      <w:r>
        <w:t xml:space="preserve">global market</w:t>
      </w:r>
      <w:r>
        <w:t xml:space="preserve"> </w:t>
      </w:r>
      <w:r>
        <w:t xml:space="preserve">Chips</w:t>
      </w:r>
      <w:r>
        <w:t xml:space="preserve"> </w:t>
      </w:r>
      <w:r>
        <w:t xml:space="preserve">Act</w:t>
      </w:r>
      <w:r>
        <w:t xml:space="preserve"> </w:t>
      </w:r>
      <w:r>
        <w:t xml:space="preserve">importance</w:t>
      </w:r>
      <w:r>
        <w:t xml:space="preserve"> </w:t>
      </w:r>
      <w:r>
        <w:t xml:space="preserve">disproportionate</w:t>
      </w:r>
      <w:r>
        <w:t xml:space="preserve"> </w:t>
      </w:r>
      <w:r>
        <w:t xml:space="preserve">margins.</w:t>
      </w:r>
      <w:r>
        <w:t xml:space="preserve"> </w:t>
      </w:r>
      <w:r>
        <w:t xml:space="preserve">Increasingly,</w:t>
      </w:r>
      <w:r>
        <w:t xml:space="preserve"> </w:t>
      </w:r>
      <w:r>
        <w:t xml:space="preserve">integration</w:t>
      </w:r>
      <w:r>
        <w:t xml:space="preserve"> </w:t>
      </w:r>
      <w:r>
        <w:t xml:space="preserve">involves</w:t>
      </w:r>
      <w:r>
        <w:t xml:space="preserve"> </w:t>
      </w:r>
      <w:r>
        <w:t xml:space="preserve">vertical collaboration</w:t>
      </w:r>
      <w:r>
        <w:t xml:space="preserve"> </w:t>
      </w:r>
      <w:r>
        <w:t xml:space="preserve">with chipmakers to</w:t>
      </w:r>
      <w:r>
        <w:t xml:space="preserve"> </w:t>
      </w:r>
      <w:r>
        <w:t xml:space="preserve">co-optimise</w:t>
      </w:r>
      <w:r>
        <w:t xml:space="preserve"> </w:t>
      </w:r>
      <w:r>
        <w:t xml:space="preserve">designs</w:t>
      </w:r>
      <w:r>
        <w:t xml:space="preserve"> </w:t>
      </w:r>
      <w:r>
        <w:t xml:space="preserve">(e.g. </w:t>
      </w:r>
      <w:r>
        <w:t xml:space="preserve"> </w:t>
      </w:r>
      <w:r>
        <w:t xml:space="preserve">automotive</w:t>
      </w:r>
      <w:r>
        <w:t xml:space="preserve"> </w:t>
      </w:r>
      <w:r>
        <w:t xml:space="preserve">OEMs</w:t>
      </w:r>
      <w:r>
        <w:t xml:space="preserve"> </w:t>
      </w:r>
      <w:r>
        <w:t xml:space="preserve">specifying</w:t>
      </w:r>
      <w:r>
        <w:t xml:space="preserve"> </w:t>
      </w:r>
      <w:r>
        <w:t xml:space="preserve">chip architectures for</w:t>
      </w:r>
      <w:r>
        <w:t xml:space="preserve"> </w:t>
      </w:r>
      <w:r>
        <w:t xml:space="preserve">autonomous driving).</w:t>
      </w:r>
      <w:r>
        <w:t xml:space="preserve"> </w:t>
      </w:r>
      <w:r>
        <w:t xml:space="preserve">semiconductors,</w:t>
      </w:r>
      <w:r>
        <w:t xml:space="preserve"> </w:t>
      </w:r>
      <w:r>
        <w:t xml:space="preserve">particularly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automotive and wider</w:t>
      </w:r>
      <w:r>
        <w:t xml:space="preserve"> </w:t>
      </w:r>
      <w:r>
        <w:t xml:space="preserve">embedded-systems</w:t>
      </w:r>
      <w:r>
        <w:t xml:space="preserve"> </w:t>
      </w:r>
      <w:r>
        <w:t xml:space="preserve">industries. (98).</w:t>
      </w:r>
      <w:r>
        <w:t xml:space="preserve"> </w:t>
      </w:r>
      <w:r>
        <w:t xml:space="preserve">European</w:t>
      </w:r>
      <w:r>
        <w:t xml:space="preserve"> </w:t>
      </w:r>
      <w:r>
        <w:t xml:space="preserve">public-</w:t>
      </w:r>
      <w:r>
        <w:t xml:space="preserve"> </w:t>
      </w:r>
      <w:r>
        <w:t xml:space="preserve">private</w:t>
      </w:r>
      <w:r>
        <w:t xml:space="preserve"> </w:t>
      </w:r>
      <w:r>
        <w:t xml:space="preserve">partnerships</w:t>
      </w:r>
      <w:r>
        <w:t xml:space="preserve"> </w:t>
      </w:r>
      <w:r>
        <w:t xml:space="preserve">(PPPs),</w:t>
      </w:r>
      <w:r>
        <w:t xml:space="preserve"> </w:t>
      </w:r>
      <w:r>
        <w:t xml:space="preserve">chipmakers,</w:t>
      </w:r>
      <w:r>
        <w:t xml:space="preserve"> </w:t>
      </w:r>
      <w:r>
        <w:t xml:space="preserve">and</w:t>
      </w:r>
      <w:r>
        <w:t xml:space="preserve"> </w:t>
      </w:r>
      <w:r>
        <w:t xml:space="preserve">Original</w:t>
      </w:r>
      <w:r>
        <w:t xml:space="preserve"> </w:t>
      </w:r>
      <w:r>
        <w:t xml:space="preserve">Equipment</w:t>
      </w:r>
      <w:r>
        <w:t xml:space="preserve"> </w:t>
      </w:r>
      <w:r>
        <w:t xml:space="preserve">Manufacturers</w:t>
      </w:r>
      <w:r>
        <w:t xml:space="preserve"> </w:t>
      </w:r>
      <w:r>
        <w:t xml:space="preserve">(OEMs)</w:t>
      </w:r>
      <w:r>
        <w:t xml:space="preserve"> </w:t>
      </w:r>
      <w:r>
        <w:t xml:space="preserve">have</w:t>
      </w:r>
      <w:r>
        <w:t xml:space="preserve"> </w:t>
      </w:r>
      <w:r>
        <w:t xml:space="preserve">effectively utilised a</w:t>
      </w:r>
      <w:r>
        <w:t xml:space="preserve"> </w:t>
      </w:r>
      <w:r>
        <w:t xml:space="preserve">vertically</w:t>
      </w:r>
      <w:r>
        <w:t xml:space="preserve"> </w:t>
      </w:r>
      <w:r>
        <w:t xml:space="preserve">integrated</w:t>
      </w:r>
      <w:r>
        <w:t xml:space="preserve"> </w:t>
      </w:r>
      <w:r>
        <w:t xml:space="preserve">cost-and-risk-sharing</w:t>
      </w:r>
      <w:r>
        <w:t xml:space="preserve"> </w:t>
      </w:r>
      <w:r>
        <w:t xml:space="preserve">ecosystem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automotive sector (99).</w:t>
      </w:r>
      <w:r>
        <w:t xml:space="preserve"> </w:t>
      </w:r>
      <w:r>
        <w:t xml:space="preserve">several</w:t>
      </w:r>
      <w:r>
        <w:t xml:space="preserve"> </w:t>
      </w:r>
      <w:r>
        <w:t xml:space="preserve">EU</w:t>
      </w:r>
      <w:r>
        <w:t xml:space="preserve"> </w:t>
      </w:r>
      <w:r>
        <w:t xml:space="preserve">end-</w:t>
      </w:r>
      <w:r>
        <w:t xml:space="preserve"> </w:t>
      </w:r>
      <w:r>
        <w:t xml:space="preserve">markets. (101).</w:t>
      </w:r>
      <w:r>
        <w:t xml:space="preserve"> </w:t>
      </w:r>
      <w:r>
        <w:t xml:space="preserve">Europe lags in co-</w:t>
      </w:r>
      <w:r>
        <w:t xml:space="preserve"> </w:t>
      </w:r>
      <w:r>
        <w:t xml:space="preserve">design capabilities for</w:t>
      </w:r>
      <w:r>
        <w:t xml:space="preserve"> </w:t>
      </w:r>
      <w:r>
        <w:t xml:space="preserve">AI</w:t>
      </w:r>
      <w:r>
        <w:t xml:space="preserve"> </w:t>
      </w:r>
      <w:r>
        <w:t xml:space="preserve">accelerators,</w:t>
      </w:r>
      <w:r>
        <w:t xml:space="preserve"> </w:t>
      </w:r>
      <w:r>
        <w:t xml:space="preserve">cloud,</w:t>
      </w:r>
      <w:r>
        <w:t xml:space="preserve"> </w:t>
      </w:r>
      <w:r>
        <w:t xml:space="preserve">and</w:t>
      </w:r>
      <w:r>
        <w:t xml:space="preserve"> </w:t>
      </w:r>
      <w:r>
        <w:t xml:space="preserve">edge-</w:t>
      </w:r>
      <w:r>
        <w:t xml:space="preserve"> </w:t>
      </w:r>
      <w:r>
        <w:t xml:space="preserve">computing hardware,</w:t>
      </w:r>
      <w:r>
        <w:t xml:space="preserve"> </w:t>
      </w:r>
      <w:r>
        <w:t xml:space="preserve">constraining</w:t>
      </w:r>
      <w:r>
        <w:t xml:space="preserve"> </w:t>
      </w:r>
      <w:r>
        <w:t xml:space="preserve">its</w:t>
      </w:r>
      <w:r>
        <w:t xml:space="preserve"> </w:t>
      </w:r>
      <w:r>
        <w:t xml:space="preserve">competitiveness</w:t>
      </w:r>
      <w:r>
        <w:t xml:space="preserve"> </w:t>
      </w:r>
      <w:r>
        <w:t xml:space="preserve">in</w:t>
      </w:r>
      <w:r>
        <w:t xml:space="preserve"> </w:t>
      </w:r>
      <w:r>
        <w:t xml:space="preserve">next-generation data-</w:t>
      </w:r>
      <w:r>
        <w:t xml:space="preserve"> </w:t>
      </w:r>
      <w:r>
        <w:t xml:space="preserve">driven</w:t>
      </w:r>
      <w:r>
        <w:t xml:space="preserve"> </w:t>
      </w:r>
      <w:r>
        <w:t xml:space="preserve">applications</w:t>
      </w:r>
      <w:r>
        <w:t xml:space="preserve"> </w:t>
      </w:r>
      <w:r>
        <w:t xml:space="preserve">(102), (103).</w:t>
      </w:r>
      <w:r>
        <w:t xml:space="preserve"> </w:t>
      </w:r>
      <w:r>
        <w:t xml:space="preserve">Most</w:t>
      </w:r>
      <w:r>
        <w:t xml:space="preserve"> </w:t>
      </w:r>
      <w:r>
        <w:t xml:space="preserve">European</w:t>
      </w:r>
      <w:r>
        <w:t xml:space="preserve"> </w:t>
      </w:r>
      <w:r>
        <w:t xml:space="preserve">integration</w:t>
      </w:r>
      <w:r>
        <w:t xml:space="preserve"> </w:t>
      </w:r>
      <w:r>
        <w:t xml:space="preserve">capacity</w:t>
      </w:r>
      <w:r>
        <w:t xml:space="preserve"> </w:t>
      </w:r>
      <w:r>
        <w:t xml:space="preserve">focuses</w:t>
      </w:r>
      <w:r>
        <w:t xml:space="preserve"> </w:t>
      </w:r>
      <w:r>
        <w:t xml:space="preserve">on</w:t>
      </w:r>
      <w:r>
        <w:t xml:space="preserve"> </w:t>
      </w:r>
      <w:r>
        <w:t xml:space="preserve">mature</w:t>
      </w:r>
      <w:r>
        <w:t xml:space="preserve"> </w:t>
      </w:r>
      <w:r>
        <w:t xml:space="preserve">embedded</w:t>
      </w:r>
      <w:r>
        <w:t xml:space="preserve"> </w:t>
      </w:r>
      <w:r>
        <w:t xml:space="preserve">systems</w:t>
      </w:r>
      <w:r>
        <w:t xml:space="preserve"> </w:t>
      </w:r>
      <w:r>
        <w:t xml:space="preserve">(automotive,</w:t>
      </w:r>
      <w:r>
        <w:t xml:space="preserve"> </w:t>
      </w:r>
      <w:r>
        <w:t xml:space="preserve">Infineon, NXP, and</w:t>
      </w:r>
      <w:r>
        <w:t xml:space="preserve"> </w:t>
      </w:r>
      <w:r>
        <w:t xml:space="preserve">STMicroelectronics</w:t>
      </w:r>
      <w:r>
        <w:t xml:space="preserve"> </w:t>
      </w:r>
      <w:r>
        <w:t xml:space="preserve">collectively</w:t>
      </w:r>
      <w:r>
        <w:t xml:space="preserve"> </w:t>
      </w:r>
      <w:r>
        <w:t xml:space="preserve">own</w:t>
      </w:r>
      <w:r>
        <w:t xml:space="preserve"> </w:t>
      </w:r>
      <w:r>
        <w:t xml:space="preserve">approximately 60% of</w:t>
      </w:r>
      <w:r>
        <w:t xml:space="preserve"> </w:t>
      </w:r>
      <w:r>
        <w:t xml:space="preserve">the</w:t>
      </w:r>
      <w:r>
        <w:t xml:space="preserve"> </w:t>
      </w:r>
      <w:r>
        <w:t xml:space="preserve">global</w:t>
      </w:r>
      <w:r>
        <w:t xml:space="preserve"> </w:t>
      </w:r>
      <w:r>
        <w:t xml:space="preserve">market</w:t>
      </w:r>
      <w:r>
        <w:t xml:space="preserve"> </w:t>
      </w:r>
      <w:r>
        <w:t xml:space="preserve">shares for SIM cards</w:t>
      </w:r>
      <w:r>
        <w:t xml:space="preserve"> </w:t>
      </w:r>
      <w:r>
        <w:t xml:space="preserve">and</w:t>
      </w:r>
      <w:r>
        <w:t xml:space="preserve"> </w:t>
      </w:r>
      <w:r>
        <w:t xml:space="preserve">identity</w:t>
      </w:r>
      <w:r>
        <w:t xml:space="preserve"> </w:t>
      </w:r>
      <w:r>
        <w:t xml:space="preserve">documents (105).</w:t>
      </w:r>
    </w:p>
    <w:p>
      <w:pPr>
        <w:pStyle w:val="Compact"/>
        <w:numPr>
          <w:ilvl w:val="0"/>
          <w:numId w:val="1035"/>
        </w:numPr>
      </w:pPr>
      <w:r>
        <w:t xml:space="preserve">Ebrahimi, A. (2024). Groundbreaking chip sovereignty: Europe’s strategic push in the semiconductor race. Institut français des relations internationales (IFRI).</w:t>
      </w:r>
      <w:r>
        <w:t xml:space="preserve"> </w:t>
      </w:r>
      <w:r>
        <w:t xml:space="preserve">ISBN 979-10-373-0874-0.</w:t>
      </w:r>
    </w:p>
    <w:p>
      <w:pPr>
        <w:pStyle w:val="Compact"/>
        <w:numPr>
          <w:ilvl w:val="0"/>
          <w:numId w:val="1035"/>
        </w:numPr>
      </w:pPr>
      <w:r>
        <w:t xml:space="preserve">Ebrahimi, A. (2024). Groundbreaking chip sovereignty: Europe’s strategic push in the semiconductor race. Institut français des relations internationales (IFRI).</w:t>
      </w:r>
      <w:r>
        <w:t xml:space="preserve"> </w:t>
      </w:r>
      <w:r>
        <w:t xml:space="preserve">ISBN 979-10-373-0874-0.</w:t>
      </w:r>
    </w:p>
    <w:p>
      <w:pPr>
        <w:pStyle w:val="Compact"/>
        <w:numPr>
          <w:ilvl w:val="0"/>
          <w:numId w:val="1035"/>
        </w:numPr>
      </w:pPr>
      <w:r>
        <w:t xml:space="preserve">Ebrahimi, A. (2024). Groundbreaking chip sovereignty: Europe’s strategic push in the semiconductor race. Institut français des relations internationales (IFRI).</w:t>
      </w:r>
      <w:r>
        <w:t xml:space="preserve"> </w:t>
      </w:r>
      <w:r>
        <w:t xml:space="preserve">ISBN 979-10-373-0874-0.</w:t>
      </w:r>
    </w:p>
    <w:p>
      <w:pPr>
        <w:pStyle w:val="Compact"/>
        <w:numPr>
          <w:ilvl w:val="0"/>
          <w:numId w:val="1035"/>
        </w:numPr>
      </w:pPr>
      <w:r>
        <w:t xml:space="preserve">European Semiconductor Industry Association. (2025). Position paper on EU Chips Act 2. Brussels: ESIA.</w:t>
      </w:r>
    </w:p>
    <w:p>
      <w:pPr>
        <w:pStyle w:val="FirstParagraph"/>
      </w:pPr>
      <w:r>
        <w:t xml:space="preserve">97</w:t>
      </w:r>
      <w:r>
        <w:t xml:space="preserve"> </w:t>
      </w:r>
      <w:r>
        <w:t xml:space="preserve">GVC segment</w:t>
      </w:r>
      <w:r>
        <w:t xml:space="preserve"> </w:t>
      </w:r>
      <w:r>
        <w:t xml:space="preserve">Value</w:t>
      </w:r>
      <w:r>
        <w:t xml:space="preserve"> </w:t>
      </w:r>
      <w:r>
        <w:t xml:space="preserve">added</w:t>
      </w:r>
      <w:r>
        <w:t xml:space="preserve"> </w:t>
      </w:r>
      <w:r>
        <w:t xml:space="preserve">characteristics</w:t>
      </w:r>
      <w:r>
        <w:t xml:space="preserve"> </w:t>
      </w:r>
      <w:r>
        <w:t xml:space="preserve">EU strengths</w:t>
      </w:r>
      <w:r>
        <w:t xml:space="preserve"> </w:t>
      </w:r>
      <w:r>
        <w:t xml:space="preserve">EU gaps</w:t>
      </w:r>
      <w:r>
        <w:t xml:space="preserve"> </w:t>
      </w:r>
      <w:r>
        <w:t xml:space="preserve">EU share in the</w:t>
      </w:r>
      <w:r>
        <w:t xml:space="preserve"> </w:t>
      </w:r>
      <w:r>
        <w:t xml:space="preserve">global market</w:t>
      </w:r>
      <w:r>
        <w:t xml:space="preserve"> </w:t>
      </w:r>
      <w:r>
        <w:t xml:space="preserve">Chips</w:t>
      </w:r>
      <w:r>
        <w:t xml:space="preserve"> </w:t>
      </w:r>
      <w:r>
        <w:t xml:space="preserve">Act</w:t>
      </w:r>
      <w:r>
        <w:t xml:space="preserve"> </w:t>
      </w:r>
      <w:r>
        <w:t xml:space="preserve">importance</w:t>
      </w:r>
      <w:r>
        <w:t xml:space="preserve"> </w:t>
      </w:r>
      <w:r>
        <w:t xml:space="preserve">European</w:t>
      </w:r>
      <w:r>
        <w:t xml:space="preserve"> </w:t>
      </w:r>
      <w:r>
        <w:t xml:space="preserve">suppliers</w:t>
      </w:r>
      <w:r>
        <w:t xml:space="preserve"> </w:t>
      </w:r>
      <w:r>
        <w:t xml:space="preserve">are</w:t>
      </w:r>
      <w:r>
        <w:t xml:space="preserve"> </w:t>
      </w:r>
      <w:r>
        <w:t xml:space="preserve">leaders</w:t>
      </w:r>
      <w:r>
        <w:t xml:space="preserve"> </w:t>
      </w:r>
      <w:r>
        <w:t xml:space="preserve">in</w:t>
      </w:r>
      <w:r>
        <w:t xml:space="preserve"> </w:t>
      </w:r>
      <w:r>
        <w:t xml:space="preserve">“embedded systems”</w:t>
      </w:r>
      <w:r>
        <w:t xml:space="preserve"> </w:t>
      </w:r>
      <w:r>
        <w:t xml:space="preserve">for key downstream</w:t>
      </w:r>
      <w:r>
        <w:t xml:space="preserve"> </w:t>
      </w:r>
      <w:r>
        <w:t xml:space="preserve">applications including</w:t>
      </w:r>
      <w:r>
        <w:t xml:space="preserve"> </w:t>
      </w:r>
      <w:r>
        <w:t xml:space="preserve">Automotive,</w:t>
      </w:r>
      <w:r>
        <w:t xml:space="preserve"> </w:t>
      </w:r>
      <w:r>
        <w:t xml:space="preserve">Industrial &amp; robotics,</w:t>
      </w:r>
      <w:r>
        <w:t xml:space="preserve"> </w:t>
      </w:r>
      <w:r>
        <w:t xml:space="preserve">Energy,</w:t>
      </w:r>
      <w:r>
        <w:t xml:space="preserve"> </w:t>
      </w:r>
      <w:r>
        <w:t xml:space="preserve">Health</w:t>
      </w:r>
      <w:r>
        <w:t xml:space="preserve"> </w:t>
      </w:r>
      <w:r>
        <w:t xml:space="preserve">&amp;</w:t>
      </w:r>
      <w:r>
        <w:t xml:space="preserve"> </w:t>
      </w:r>
      <w:r>
        <w:t xml:space="preserve">Care,</w:t>
      </w:r>
      <w:r>
        <w:t xml:space="preserve"> </w:t>
      </w:r>
      <w:r>
        <w:t xml:space="preserve">Aerospace</w:t>
      </w:r>
      <w:r>
        <w:t xml:space="preserve"> </w:t>
      </w:r>
      <w:r>
        <w:t xml:space="preserve">/</w:t>
      </w:r>
      <w:r>
        <w:t xml:space="preserve"> </w:t>
      </w:r>
      <w:r>
        <w:t xml:space="preserve">Defence / Security,</w:t>
      </w:r>
      <w:r>
        <w:t xml:space="preserve"> </w:t>
      </w:r>
      <w:r>
        <w:t xml:space="preserve">and</w:t>
      </w:r>
      <w:r>
        <w:t xml:space="preserve"> </w:t>
      </w:r>
      <w:r>
        <w:t xml:space="preserve">telecommunications</w:t>
      </w:r>
      <w:r>
        <w:t xml:space="preserve"> </w:t>
      </w:r>
      <w:r>
        <w:t xml:space="preserve">infrastructures (100).</w:t>
      </w:r>
      <w:r>
        <w:t xml:space="preserve"> </w:t>
      </w:r>
      <w:r>
        <w:t xml:space="preserve">industrial). There is</w:t>
      </w:r>
      <w:r>
        <w:t xml:space="preserve"> </w:t>
      </w:r>
      <w:r>
        <w:t xml:space="preserve">little</w:t>
      </w:r>
      <w:r>
        <w:t xml:space="preserve"> </w:t>
      </w:r>
      <w:r>
        <w:t xml:space="preserve">domestic</w:t>
      </w:r>
      <w:r>
        <w:t xml:space="preserve"> </w:t>
      </w:r>
      <w:r>
        <w:t xml:space="preserve">infrastructure</w:t>
      </w:r>
      <w:r>
        <w:t xml:space="preserve"> </w:t>
      </w:r>
      <w:r>
        <w:t xml:space="preserve">for</w:t>
      </w:r>
      <w:r>
        <w:t xml:space="preserve"> </w:t>
      </w:r>
      <w:r>
        <w:t xml:space="preserve">advanced packaging-</w:t>
      </w:r>
      <w:r>
        <w:t xml:space="preserve"> </w:t>
      </w:r>
      <w:r>
        <w:t xml:space="preserve">to-system integration</w:t>
      </w:r>
      <w:r>
        <w:t xml:space="preserve"> </w:t>
      </w:r>
      <w:r>
        <w:t xml:space="preserve">or</w:t>
      </w:r>
      <w:r>
        <w:t xml:space="preserve"> </w:t>
      </w:r>
      <w:r>
        <w:t xml:space="preserve">prototyping</w:t>
      </w:r>
      <w:r>
        <w:t xml:space="preserve"> </w:t>
      </w:r>
      <w:r>
        <w:t xml:space="preserve">of</w:t>
      </w:r>
      <w:r>
        <w:t xml:space="preserve"> </w:t>
      </w:r>
      <w:r>
        <w:t xml:space="preserve">heterogeneous</w:t>
      </w:r>
      <w:r>
        <w:t xml:space="preserve"> </w:t>
      </w:r>
      <w:r>
        <w:t xml:space="preserve">modules (104).</w:t>
      </w:r>
      <w:r>
        <w:t xml:space="preserve"> </w:t>
      </w:r>
      <w:r>
        <w:t xml:space="preserve">End-use</w:t>
      </w:r>
      <w:r>
        <w:t xml:space="preserve"> </w:t>
      </w:r>
      <w:r>
        <w:t xml:space="preserve">applications</w:t>
      </w:r>
      <w:r>
        <w:t xml:space="preserve"> </w:t>
      </w:r>
      <w:r>
        <w:t xml:space="preserve">Represents the largest</w:t>
      </w:r>
      <w:r>
        <w:t xml:space="preserve"> </w:t>
      </w:r>
      <w:r>
        <w:t xml:space="preserve">aggregate</w:t>
      </w:r>
      <w:r>
        <w:t xml:space="preserve"> </w:t>
      </w:r>
      <w:r>
        <w:t xml:space="preserve">economic</w:t>
      </w:r>
      <w:r>
        <w:t xml:space="preserve"> </w:t>
      </w:r>
      <w:r>
        <w:t xml:space="preserve">value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semiconductor chain,</w:t>
      </w:r>
      <w:r>
        <w:t xml:space="preserve"> </w:t>
      </w:r>
      <w:r>
        <w:t xml:space="preserve">although</w:t>
      </w:r>
      <w:r>
        <w:t xml:space="preserve"> </w:t>
      </w:r>
      <w:r>
        <w:t xml:space="preserve">distributed</w:t>
      </w:r>
      <w:r>
        <w:t xml:space="preserve"> </w:t>
      </w:r>
      <w:r>
        <w:t xml:space="preserve">across</w:t>
      </w:r>
      <w:r>
        <w:t xml:space="preserve"> </w:t>
      </w:r>
      <w:r>
        <w:t xml:space="preserve">many</w:t>
      </w:r>
      <w:r>
        <w:t xml:space="preserve"> </w:t>
      </w:r>
      <w:r>
        <w:t xml:space="preserve">industries. Chips are</w:t>
      </w:r>
      <w:r>
        <w:t xml:space="preserve"> </w:t>
      </w:r>
      <w:r>
        <w:t xml:space="preserve">EU companies held</w:t>
      </w:r>
      <w:r>
        <w:t xml:space="preserve"> </w:t>
      </w:r>
      <w:r>
        <w:t xml:space="preserve">34% of the global</w:t>
      </w:r>
      <w:r>
        <w:t xml:space="preserve"> </w:t>
      </w:r>
      <w:r>
        <w:t xml:space="preserve">semiconductor market</w:t>
      </w:r>
      <w:r>
        <w:t xml:space="preserve"> </w:t>
      </w:r>
      <w:r>
        <w:t xml:space="preserve">for</w:t>
      </w:r>
      <w:r>
        <w:t xml:space="preserve"> </w:t>
      </w:r>
      <w:r>
        <w:t xml:space="preserve">automotive</w:t>
      </w:r>
      <w:r>
        <w:t xml:space="preserve"> </w:t>
      </w:r>
      <w:r>
        <w:t xml:space="preserve">in</w:t>
      </w:r>
      <w:r>
        <w:t xml:space="preserve"> </w:t>
      </w:r>
      <w:r>
        <w:t xml:space="preserve">2021.</w:t>
      </w:r>
      <w:r>
        <w:t xml:space="preserve"> </w:t>
      </w:r>
      <w:r>
        <w:t xml:space="preserve">The</w:t>
      </w:r>
      <w:r>
        <w:t xml:space="preserve"> </w:t>
      </w:r>
      <w:r>
        <w:t xml:space="preserve">EU’s</w:t>
      </w:r>
      <w:r>
        <w:t xml:space="preserve"> </w:t>
      </w:r>
      <w:r>
        <w:t xml:space="preserve">The EU has a strong</w:t>
      </w:r>
      <w:r>
        <w:t xml:space="preserve"> </w:t>
      </w:r>
      <w:r>
        <w:t xml:space="preserve">market</w:t>
      </w:r>
      <w:r>
        <w:t xml:space="preserve"> </w:t>
      </w:r>
      <w:r>
        <w:t xml:space="preserve">position</w:t>
      </w:r>
      <w:r>
        <w:t xml:space="preserve"> </w:t>
      </w:r>
      <w:r>
        <w:t xml:space="preserve">in</w:t>
      </w:r>
      <w:r>
        <w:t xml:space="preserve"> </w:t>
      </w:r>
      <w:r>
        <w:t xml:space="preserve">“embedded</w:t>
      </w:r>
      <w:r>
        <w:t xml:space="preserve"> </w:t>
      </w:r>
      <w:r>
        <w:t xml:space="preserve">electronics</w:t>
      </w:r>
      <w:r>
        <w:t xml:space="preserve"> </w:t>
      </w:r>
      <w:r>
        <w:t xml:space="preserve">industries,”</w:t>
      </w:r>
      <w:r>
        <w:t xml:space="preserve"> </w:t>
      </w:r>
      <w:r>
        <w:t xml:space="preserve">which</w:t>
      </w:r>
      <w:r>
        <w:t xml:space="preserve"> </w:t>
      </w:r>
      <w:r>
        <w:t xml:space="preserve">accounted for 64% of</w:t>
      </w:r>
      <w:r>
        <w:t xml:space="preserve"> </w:t>
      </w:r>
      <w:r>
        <w:t xml:space="preserve">its</w:t>
      </w:r>
      <w:r>
        <w:t xml:space="preserve"> </w:t>
      </w:r>
      <w:r>
        <w:t xml:space="preserve">semiconductor</w:t>
      </w:r>
      <w:r>
        <w:t xml:space="preserve"> </w:t>
      </w:r>
      <w:r>
        <w:t xml:space="preserve">Pillar</w:t>
      </w:r>
      <w:r>
        <w:t xml:space="preserve"> </w:t>
      </w:r>
      <w:r>
        <w:t xml:space="preserve">I</w:t>
      </w:r>
      <w:r>
        <w:t xml:space="preserve"> </w:t>
      </w:r>
      <w:r>
        <w:t xml:space="preserve">supports</w:t>
      </w:r>
      <w:r>
        <w:t xml:space="preserve"> </w:t>
      </w:r>
      <w:r>
        <w:t xml:space="preserve">application-oriented</w:t>
      </w:r>
      <w:r>
        <w:t xml:space="preserve"> </w:t>
      </w:r>
      <w:r>
        <w:t xml:space="preserve">R&amp;D and competence</w:t>
      </w:r>
      <w:r>
        <w:t xml:space="preserve"> </w:t>
      </w:r>
      <w:r>
        <w:t xml:space="preserve">centres.</w:t>
      </w:r>
      <w:r>
        <w:br/>
      </w:r>
      <w:r>
        <w:t xml:space="preserve">Pillar</w:t>
      </w:r>
      <w:r>
        <w:t xml:space="preserve"> </w:t>
      </w:r>
      <w:r>
        <w:t xml:space="preserve">II</w:t>
      </w:r>
      <w:r>
        <w:t xml:space="preserve"> </w:t>
      </w:r>
      <w:r>
        <w:t xml:space="preserve">secures</w:t>
      </w:r>
      <w:r>
        <w:t xml:space="preserve"> </w:t>
      </w:r>
      <w:r>
        <w:t xml:space="preserve">manufacturing</w:t>
      </w:r>
    </w:p>
    <w:p>
      <w:pPr>
        <w:pStyle w:val="Compact"/>
        <w:numPr>
          <w:ilvl w:val="0"/>
          <w:numId w:val="1036"/>
        </w:numPr>
      </w:pPr>
      <w:r>
        <w:t xml:space="preserve">McKinsey &amp; Company. (2024). McKinsey on semiconductors: Creating value, pursuing innovation, and optimizing operations. New York: McKinsey &amp;</w:t>
      </w:r>
      <w:r>
        <w:t xml:space="preserve"> </w:t>
      </w:r>
      <w:r>
        <w:t xml:space="preserve">Company.</w:t>
      </w:r>
    </w:p>
    <w:p>
      <w:pPr>
        <w:pStyle w:val="Compact"/>
        <w:numPr>
          <w:ilvl w:val="0"/>
          <w:numId w:val="1036"/>
        </w:numPr>
      </w:pPr>
      <w:r>
        <w:t xml:space="preserve">DECISION Études &amp; Conseil. (2024). Economic analysis of the EU and global chips ecosystem.</w:t>
      </w:r>
    </w:p>
    <w:p>
      <w:pPr>
        <w:pStyle w:val="Compact"/>
        <w:numPr>
          <w:ilvl w:val="0"/>
          <w:numId w:val="1036"/>
        </w:numPr>
      </w:pPr>
      <w:r>
        <w:t xml:space="preserve">DECISION Études &amp; Conseil. (2024). Economic analysis of the EU and global chips ecosystem.</w:t>
      </w:r>
    </w:p>
    <w:p>
      <w:pPr>
        <w:pStyle w:val="Compact"/>
        <w:numPr>
          <w:ilvl w:val="0"/>
          <w:numId w:val="1036"/>
        </w:numPr>
      </w:pPr>
      <w:r>
        <w:t xml:space="preserve">DECISION Études &amp; Conseil. (2024). Economic analysis of the EU and global chips ecosystem.</w:t>
      </w:r>
    </w:p>
    <w:p>
      <w:pPr>
        <w:pStyle w:val="FirstParagraph"/>
      </w:pPr>
      <w:r>
        <w:t xml:space="preserve">98</w:t>
      </w:r>
      <w:r>
        <w:t xml:space="preserve"> </w:t>
      </w:r>
      <w:r>
        <w:t xml:space="preserve">GVC segment</w:t>
      </w:r>
      <w:r>
        <w:t xml:space="preserve"> </w:t>
      </w:r>
      <w:r>
        <w:t xml:space="preserve">Value</w:t>
      </w:r>
      <w:r>
        <w:t xml:space="preserve"> </w:t>
      </w:r>
      <w:r>
        <w:t xml:space="preserve">added</w:t>
      </w:r>
      <w:r>
        <w:t xml:space="preserve"> </w:t>
      </w:r>
      <w:r>
        <w:t xml:space="preserve">characteristics</w:t>
      </w:r>
      <w:r>
        <w:t xml:space="preserve"> </w:t>
      </w:r>
      <w:r>
        <w:t xml:space="preserve">EU strengths</w:t>
      </w:r>
      <w:r>
        <w:t xml:space="preserve"> </w:t>
      </w:r>
      <w:r>
        <w:t xml:space="preserve">EU gaps</w:t>
      </w:r>
      <w:r>
        <w:t xml:space="preserve"> </w:t>
      </w:r>
      <w:r>
        <w:t xml:space="preserve">EU share in the</w:t>
      </w:r>
      <w:r>
        <w:t xml:space="preserve"> </w:t>
      </w:r>
      <w:r>
        <w:t xml:space="preserve">global market</w:t>
      </w:r>
      <w:r>
        <w:t xml:space="preserve"> </w:t>
      </w:r>
      <w:r>
        <w:t xml:space="preserve">Chips</w:t>
      </w:r>
      <w:r>
        <w:t xml:space="preserve"> </w:t>
      </w:r>
      <w:r>
        <w:t xml:space="preserve">Act</w:t>
      </w:r>
      <w:r>
        <w:t xml:space="preserve"> </w:t>
      </w:r>
      <w:r>
        <w:t xml:space="preserve">importance</w:t>
      </w:r>
      <w:r>
        <w:t xml:space="preserve"> </w:t>
      </w:r>
      <w:r>
        <w:t xml:space="preserve">also increasingly the</w:t>
      </w:r>
      <w:r>
        <w:t xml:space="preserve"> </w:t>
      </w:r>
      <w:r>
        <w:t xml:space="preserve">key</w:t>
      </w:r>
      <w:r>
        <w:t xml:space="preserve"> </w:t>
      </w:r>
      <w:r>
        <w:t xml:space="preserve">enabler</w:t>
      </w:r>
      <w:r>
        <w:t xml:space="preserve"> </w:t>
      </w:r>
      <w:r>
        <w:t xml:space="preserve">of</w:t>
      </w:r>
      <w:r>
        <w:t xml:space="preserve"> </w:t>
      </w:r>
      <w:r>
        <w:t xml:space="preserve">innovation in a digital</w:t>
      </w:r>
      <w:r>
        <w:t xml:space="preserve"> </w:t>
      </w:r>
      <w:r>
        <w:t xml:space="preserve">and</w:t>
      </w:r>
      <w:r>
        <w:t xml:space="preserve"> </w:t>
      </w:r>
      <w:r>
        <w:t xml:space="preserve">AI-driven</w:t>
      </w:r>
      <w:r>
        <w:t xml:space="preserve"> </w:t>
      </w:r>
      <w:r>
        <w:t xml:space="preserve">economy, since they</w:t>
      </w:r>
      <w:r>
        <w:t xml:space="preserve"> </w:t>
      </w:r>
      <w:r>
        <w:t xml:space="preserve">determine</w:t>
      </w:r>
      <w:r>
        <w:t xml:space="preserve"> </w:t>
      </w:r>
      <w:r>
        <w:t xml:space="preserve">the</w:t>
      </w:r>
      <w:r>
        <w:t xml:space="preserve"> </w:t>
      </w:r>
      <w:r>
        <w:t xml:space="preserve">performance,</w:t>
      </w:r>
      <w:r>
        <w:t xml:space="preserve"> </w:t>
      </w:r>
      <w:r>
        <w:t xml:space="preserve">efficiency,</w:t>
      </w:r>
      <w:r>
        <w:t xml:space="preserve"> </w:t>
      </w:r>
      <w:r>
        <w:t xml:space="preserve">and</w:t>
      </w:r>
      <w:r>
        <w:t xml:space="preserve"> </w:t>
      </w:r>
      <w:r>
        <w:t xml:space="preserve">functionality</w:t>
      </w:r>
      <w:r>
        <w:t xml:space="preserve"> </w:t>
      </w:r>
      <w:r>
        <w:t xml:space="preserve">of</w:t>
      </w:r>
      <w:r>
        <w:t xml:space="preserve"> </w:t>
      </w:r>
      <w:r>
        <w:t xml:space="preserve">products</w:t>
      </w:r>
      <w:r>
        <w:t xml:space="preserve"> </w:t>
      </w:r>
      <w:r>
        <w:t xml:space="preserve">ranging</w:t>
      </w:r>
      <w:r>
        <w:t xml:space="preserve"> </w:t>
      </w:r>
      <w:r>
        <w:t xml:space="preserve">from</w:t>
      </w:r>
      <w:r>
        <w:t xml:space="preserve"> </w:t>
      </w:r>
      <w:r>
        <w:t xml:space="preserve">vehicles</w:t>
      </w:r>
      <w:r>
        <w:t xml:space="preserve"> </w:t>
      </w:r>
      <w:r>
        <w:t xml:space="preserve">and</w:t>
      </w:r>
      <w:r>
        <w:t xml:space="preserve"> </w:t>
      </w:r>
      <w:r>
        <w:t xml:space="preserve">industrial machinery</w:t>
      </w:r>
      <w:r>
        <w:t xml:space="preserve"> </w:t>
      </w:r>
      <w:r>
        <w:t xml:space="preserve">to</w:t>
      </w:r>
      <w:r>
        <w:t xml:space="preserve"> </w:t>
      </w:r>
      <w:r>
        <w:t xml:space="preserve">consumer</w:t>
      </w:r>
      <w:r>
        <w:t xml:space="preserve"> </w:t>
      </w:r>
      <w:r>
        <w:t xml:space="preserve">electronics</w:t>
      </w:r>
      <w:r>
        <w:t xml:space="preserve"> </w:t>
      </w:r>
      <w:r>
        <w:t xml:space="preserve">and</w:t>
      </w:r>
      <w:r>
        <w:t xml:space="preserve"> </w:t>
      </w:r>
      <w:r>
        <w:t xml:space="preserve">AI</w:t>
      </w:r>
      <w:r>
        <w:t xml:space="preserve"> </w:t>
      </w:r>
      <w:r>
        <w:t xml:space="preserve">systems.</w:t>
      </w:r>
      <w:r>
        <w:t xml:space="preserve"> </w:t>
      </w:r>
      <w:r>
        <w:t xml:space="preserve">Chips account for 10–</w:t>
      </w:r>
      <w:r>
        <w:t xml:space="preserve"> </w:t>
      </w:r>
      <w:r>
        <w:t xml:space="preserve">40% of the total cost</w:t>
      </w:r>
      <w:r>
        <w:t xml:space="preserve"> </w:t>
      </w:r>
      <w:r>
        <w:t xml:space="preserve">of complex products</w:t>
      </w:r>
      <w:r>
        <w:t xml:space="preserve"> </w:t>
      </w:r>
      <w:r>
        <w:t xml:space="preserve">(e.g. 35% in electric</w:t>
      </w:r>
      <w:r>
        <w:t xml:space="preserve"> </w:t>
      </w:r>
      <w:r>
        <w:t xml:space="preserve">vehicles,</w:t>
      </w:r>
      <w:r>
        <w:t xml:space="preserve"> </w:t>
      </w:r>
      <w:r>
        <w:t xml:space="preserve">~25%</w:t>
      </w:r>
      <w:r>
        <w:t xml:space="preserve"> </w:t>
      </w:r>
      <w:r>
        <w:t xml:space="preserve">in</w:t>
      </w:r>
      <w:r>
        <w:t xml:space="preserve"> </w:t>
      </w:r>
      <w:r>
        <w:t xml:space="preserve">smartphones,</w:t>
      </w:r>
      <w:r>
        <w:t xml:space="preserve"> </w:t>
      </w:r>
      <w:r>
        <w:t xml:space="preserve">~15%</w:t>
      </w:r>
      <w:r>
        <w:t xml:space="preserve"> </w:t>
      </w:r>
      <w:r>
        <w:t xml:space="preserve">in</w:t>
      </w:r>
      <w:r>
        <w:t xml:space="preserve"> </w:t>
      </w:r>
      <w:r>
        <w:t xml:space="preserve">industrial</w:t>
      </w:r>
      <w:r>
        <w:t xml:space="preserve"> </w:t>
      </w:r>
      <w:r>
        <w:t xml:space="preserve">semiconductor</w:t>
      </w:r>
      <w:r>
        <w:t xml:space="preserve"> </w:t>
      </w:r>
      <w:r>
        <w:t xml:space="preserve">demand</w:t>
      </w:r>
      <w:r>
        <w:t xml:space="preserve"> </w:t>
      </w:r>
      <w:r>
        <w:t xml:space="preserve">is</w:t>
      </w:r>
      <w:r>
        <w:t xml:space="preserve"> </w:t>
      </w:r>
      <w:r>
        <w:t xml:space="preserve">aligned</w:t>
      </w:r>
      <w:r>
        <w:t xml:space="preserve"> </w:t>
      </w:r>
      <w:r>
        <w:t xml:space="preserve">with</w:t>
      </w:r>
      <w:r>
        <w:t xml:space="preserve"> </w:t>
      </w:r>
      <w:r>
        <w:t xml:space="preserve">its</w:t>
      </w:r>
      <w:r>
        <w:t xml:space="preserve"> </w:t>
      </w:r>
      <w:r>
        <w:t xml:space="preserve">embedded</w:t>
      </w:r>
      <w:r>
        <w:t xml:space="preserve"> </w:t>
      </w:r>
      <w:r>
        <w:t xml:space="preserve">electronic production,</w:t>
      </w:r>
      <w:r>
        <w:t xml:space="preserve"> </w:t>
      </w:r>
      <w:r>
        <w:t xml:space="preserve">with</w:t>
      </w:r>
      <w:r>
        <w:t xml:space="preserve"> </w:t>
      </w:r>
      <w:r>
        <w:t xml:space="preserve">power</w:t>
      </w:r>
      <w:r>
        <w:t xml:space="preserve"> </w:t>
      </w:r>
      <w:r>
        <w:t xml:space="preserve">&amp;</w:t>
      </w:r>
      <w:r>
        <w:t xml:space="preserve"> </w:t>
      </w:r>
      <w:r>
        <w:t xml:space="preserve">analogue,</w:t>
      </w:r>
      <w:r>
        <w:t xml:space="preserve"> </w:t>
      </w:r>
      <w:r>
        <w:t xml:space="preserve">optoelectronics</w:t>
      </w:r>
      <w:r>
        <w:t xml:space="preserve"> </w:t>
      </w:r>
      <w:r>
        <w:t xml:space="preserve">and</w:t>
      </w:r>
      <w:r>
        <w:t xml:space="preserve"> </w:t>
      </w:r>
      <w:r>
        <w:t xml:space="preserve">sensors,</w:t>
      </w:r>
      <w:r>
        <w:t xml:space="preserve"> </w:t>
      </w:r>
      <w:r>
        <w:t xml:space="preserve">and</w:t>
      </w:r>
      <w:r>
        <w:t xml:space="preserve"> </w:t>
      </w:r>
      <w:r>
        <w:t xml:space="preserve">microcontrollers</w:t>
      </w:r>
      <w:r>
        <w:t xml:space="preserve"> </w:t>
      </w:r>
      <w:r>
        <w:t xml:space="preserve">accounting for 63% of</w:t>
      </w:r>
      <w:r>
        <w:t xml:space="preserve"> </w:t>
      </w:r>
      <w:r>
        <w:t xml:space="preserve">EU</w:t>
      </w:r>
      <w:r>
        <w:t xml:space="preserve"> </w:t>
      </w:r>
      <w:r>
        <w:t xml:space="preserve">semiconductor</w:t>
      </w:r>
      <w:r>
        <w:t xml:space="preserve"> </w:t>
      </w:r>
      <w:r>
        <w:t xml:space="preserve">consumption in 2022,</w:t>
      </w:r>
      <w:r>
        <w:t xml:space="preserve"> </w:t>
      </w:r>
      <w:r>
        <w:t xml:space="preserve">compared</w:t>
      </w:r>
      <w:r>
        <w:t xml:space="preserve"> </w:t>
      </w:r>
      <w:r>
        <w:t xml:space="preserve">to</w:t>
      </w:r>
      <w:r>
        <w:t xml:space="preserve"> </w:t>
      </w:r>
      <w:r>
        <w:t xml:space="preserve">39%</w:t>
      </w:r>
      <w:r>
        <w:t xml:space="preserve"> </w:t>
      </w:r>
      <w:r>
        <w:t xml:space="preserve">globally (106).</w:t>
      </w:r>
      <w:r>
        <w:t xml:space="preserve"> </w:t>
      </w:r>
      <w:r>
        <w:t xml:space="preserve">consumption in 2022,</w:t>
      </w:r>
      <w:r>
        <w:t xml:space="preserve"> </w:t>
      </w:r>
      <w:r>
        <w:t xml:space="preserve">compared</w:t>
      </w:r>
      <w:r>
        <w:t xml:space="preserve"> </w:t>
      </w:r>
      <w:r>
        <w:t xml:space="preserve">to</w:t>
      </w:r>
      <w:r>
        <w:t xml:space="preserve"> </w:t>
      </w:r>
      <w:r>
        <w:t xml:space="preserve">22%</w:t>
      </w:r>
      <w:r>
        <w:t xml:space="preserve"> </w:t>
      </w:r>
      <w:r>
        <w:t xml:space="preserve">globally (107).</w:t>
      </w:r>
    </w:p>
    <w:p>
      <w:pPr>
        <w:pStyle w:val="BodyText"/>
      </w:pPr>
      <w:r>
        <w:t xml:space="preserve">capacity for critical</w:t>
      </w:r>
      <w:r>
        <w:t xml:space="preserve"> </w:t>
      </w:r>
      <w:r>
        <w:t xml:space="preserve">sectors</w:t>
      </w:r>
      <w:r>
        <w:t xml:space="preserve"> </w:t>
      </w:r>
      <w:r>
        <w:t xml:space="preserve">such</w:t>
      </w:r>
      <w:r>
        <w:t xml:space="preserve"> </w:t>
      </w:r>
      <w:r>
        <w:t xml:space="preserve">as</w:t>
      </w:r>
      <w:r>
        <w:t xml:space="preserve"> </w:t>
      </w:r>
      <w:r>
        <w:t xml:space="preserve">automotive,</w:t>
      </w:r>
      <w:r>
        <w:t xml:space="preserve"> </w:t>
      </w:r>
      <w:r>
        <w:t xml:space="preserve">energy,</w:t>
      </w:r>
      <w:r>
        <w:t xml:space="preserve"> </w:t>
      </w:r>
      <w:r>
        <w:t xml:space="preserve">and defence.</w:t>
      </w:r>
      <w:r>
        <w:t xml:space="preserve"> </w:t>
      </w:r>
      <w:r>
        <w:t xml:space="preserve">Pillar</w:t>
      </w:r>
      <w:r>
        <w:t xml:space="preserve"> </w:t>
      </w:r>
      <w:r>
        <w:t xml:space="preserve">III</w:t>
      </w:r>
      <w:r>
        <w:t xml:space="preserve"> </w:t>
      </w:r>
      <w:r>
        <w:t xml:space="preserve">includes</w:t>
      </w:r>
      <w:r>
        <w:t xml:space="preserve"> </w:t>
      </w:r>
      <w:r>
        <w:t xml:space="preserve">end-user industries in</w:t>
      </w:r>
      <w:r>
        <w:t xml:space="preserve"> </w:t>
      </w:r>
      <w:r>
        <w:t xml:space="preserve">supply</w:t>
      </w:r>
      <w:r>
        <w:t xml:space="preserve"> </w:t>
      </w:r>
      <w:r>
        <w:t xml:space="preserve">chain</w:t>
      </w:r>
      <w:r>
        <w:t xml:space="preserve"> </w:t>
      </w:r>
      <w:r>
        <w:t xml:space="preserve">monitoring and crisis</w:t>
      </w:r>
      <w:r>
        <w:t xml:space="preserve"> </w:t>
      </w:r>
      <w:r>
        <w:t xml:space="preserve">response.</w:t>
      </w:r>
    </w:p>
    <w:p>
      <w:pPr>
        <w:pStyle w:val="Compact"/>
        <w:numPr>
          <w:ilvl w:val="0"/>
          <w:numId w:val="1037"/>
        </w:numPr>
      </w:pPr>
      <w:r>
        <w:t xml:space="preserve">DECISION Études &amp; Conseil. (2024). Economic analysis of the EU and global chips ecosystem.</w:t>
      </w:r>
    </w:p>
    <w:p>
      <w:pPr>
        <w:pStyle w:val="Compact"/>
        <w:numPr>
          <w:ilvl w:val="0"/>
          <w:numId w:val="1037"/>
        </w:numPr>
      </w:pPr>
      <w:r>
        <w:t xml:space="preserve">DECISION Études &amp; Conseil. (2024). Economic analysis of the EU and global chips ecosystem.</w:t>
      </w:r>
    </w:p>
    <w:p>
      <w:pPr>
        <w:pStyle w:val="FirstParagraph"/>
      </w:pPr>
      <w:r>
        <w:t xml:space="preserve">99</w:t>
      </w:r>
      <w:r>
        <w:t xml:space="preserve"> </w:t>
      </w:r>
      <w:r>
        <w:t xml:space="preserve">GVC segment</w:t>
      </w:r>
      <w:r>
        <w:t xml:space="preserve"> </w:t>
      </w:r>
      <w:r>
        <w:t xml:space="preserve">Value</w:t>
      </w:r>
      <w:r>
        <w:t xml:space="preserve"> </w:t>
      </w:r>
      <w:r>
        <w:t xml:space="preserve">added</w:t>
      </w:r>
      <w:r>
        <w:t xml:space="preserve"> </w:t>
      </w:r>
      <w:r>
        <w:t xml:space="preserve">characteristics</w:t>
      </w:r>
      <w:r>
        <w:t xml:space="preserve"> </w:t>
      </w:r>
      <w:r>
        <w:t xml:space="preserve">EU strengths</w:t>
      </w:r>
      <w:r>
        <w:t xml:space="preserve"> </w:t>
      </w:r>
      <w:r>
        <w:t xml:space="preserve">EU gaps</w:t>
      </w:r>
      <w:r>
        <w:t xml:space="preserve"> </w:t>
      </w:r>
      <w:r>
        <w:t xml:space="preserve">EU share in the</w:t>
      </w:r>
      <w:r>
        <w:t xml:space="preserve"> </w:t>
      </w:r>
      <w:r>
        <w:t xml:space="preserve">global market</w:t>
      </w:r>
      <w:r>
        <w:t xml:space="preserve"> </w:t>
      </w:r>
      <w:r>
        <w:t xml:space="preserve">Chips</w:t>
      </w:r>
      <w:r>
        <w:t xml:space="preserve"> </w:t>
      </w:r>
      <w:r>
        <w:t xml:space="preserve">Act</w:t>
      </w:r>
      <w:r>
        <w:t xml:space="preserve"> </w:t>
      </w:r>
      <w:r>
        <w:t xml:space="preserve">importance</w:t>
      </w:r>
      <w:r>
        <w:t xml:space="preserve"> </w:t>
      </w:r>
      <w:r>
        <w:t xml:space="preserve">machinery).</w:t>
      </w:r>
      <w:r>
        <w:t xml:space="preserve"> </w:t>
      </w:r>
      <w:r>
        <w:t xml:space="preserve">Value capture at this</w:t>
      </w:r>
      <w:r>
        <w:t xml:space="preserve"> </w:t>
      </w:r>
      <w:r>
        <w:t xml:space="preserve">stage</w:t>
      </w:r>
      <w:r>
        <w:t xml:space="preserve"> </w:t>
      </w:r>
      <w:r>
        <w:t xml:space="preserve">depends</w:t>
      </w:r>
      <w:r>
        <w:t xml:space="preserve"> </w:t>
      </w:r>
      <w:r>
        <w:t xml:space="preserve">on</w:t>
      </w:r>
      <w:r>
        <w:t xml:space="preserve"> </w:t>
      </w:r>
      <w:r>
        <w:t xml:space="preserve">product</w:t>
      </w:r>
      <w:r>
        <w:t xml:space="preserve"> </w:t>
      </w:r>
      <w:r>
        <w:t xml:space="preserve">differentiation, brand</w:t>
      </w:r>
      <w:r>
        <w:t xml:space="preserve"> </w:t>
      </w:r>
      <w:r>
        <w:t xml:space="preserve">equity, and software-</w:t>
      </w:r>
      <w:r>
        <w:t xml:space="preserve"> </w:t>
      </w:r>
      <w:r>
        <w:t xml:space="preserve">enabled services (e.g. </w:t>
      </w:r>
      <w:r>
        <w:t xml:space="preserve"> </w:t>
      </w:r>
      <w:r>
        <w:t xml:space="preserve">mobility</w:t>
      </w:r>
      <w:r>
        <w:t xml:space="preserve"> </w:t>
      </w:r>
      <w:r>
        <w:t xml:space="preserve">platforms,</w:t>
      </w:r>
      <w:r>
        <w:t xml:space="preserve"> </w:t>
      </w:r>
      <w:r>
        <w:t xml:space="preserve">IoT ecosystems).</w:t>
      </w:r>
      <w:r>
        <w:t xml:space="preserve"> </w:t>
      </w:r>
      <w:r>
        <w:t xml:space="preserve">Strong</w:t>
      </w:r>
      <w:r>
        <w:t xml:space="preserve"> </w:t>
      </w:r>
      <w:r>
        <w:t xml:space="preserve">spill-over</w:t>
      </w:r>
      <w:r>
        <w:t xml:space="preserve"> </w:t>
      </w:r>
      <w:r>
        <w:t xml:space="preserve">effects</w:t>
      </w:r>
      <w:r>
        <w:t xml:space="preserve"> </w:t>
      </w:r>
      <w:r>
        <w:t xml:space="preserve">to</w:t>
      </w:r>
      <w:r>
        <w:t xml:space="preserve"> </w:t>
      </w:r>
      <w:r>
        <w:t xml:space="preserve">employment,</w:t>
      </w:r>
      <w:r>
        <w:t xml:space="preserve"> </w:t>
      </w:r>
      <w:r>
        <w:t xml:space="preserve">R&amp;D</w:t>
      </w:r>
      <w:r>
        <w:t xml:space="preserve"> </w:t>
      </w:r>
      <w:r>
        <w:t xml:space="preserve">intensity, and regional</w:t>
      </w:r>
      <w:r>
        <w:t xml:space="preserve"> </w:t>
      </w:r>
      <w:r>
        <w:t xml:space="preserve">competitiveness.</w:t>
      </w:r>
      <w:r>
        <w:t xml:space="preserve"> </w:t>
      </w:r>
      <w:r>
        <w:t xml:space="preserve">Overall view</w:t>
      </w:r>
      <w:r>
        <w:t xml:space="preserve"> </w:t>
      </w:r>
      <w:r>
        <w:t xml:space="preserve">Table 7 below summarises the European Union’s position along the global semiconductor value chain, combining quantitative</w:t>
      </w:r>
      <w:r>
        <w:t xml:space="preserve"> </w:t>
      </w:r>
      <w:r>
        <w:t xml:space="preserve">indicators of market share and import dependency with a qualitative assessment of resilience and strategic importance. The</w:t>
      </w:r>
      <w:r>
        <w:t xml:space="preserve"> </w:t>
      </w:r>
      <w:r>
        <w:t xml:space="preserve">figures illustrate that dependencies vary significantly by stage: while the EU holds strong positions in manufacturing</w:t>
      </w:r>
      <w:r>
        <w:t xml:space="preserve"> </w:t>
      </w:r>
      <w:r>
        <w:t xml:space="preserve">equipment it remains heavily reliant on non-EU suppliers for wafer substrates, chip manufacturing, and especially assembly,</w:t>
      </w:r>
      <w:r>
        <w:t xml:space="preserve"> </w:t>
      </w:r>
      <w:r>
        <w:t xml:space="preserve">test, and packaging (ATP). The resilience profile column highlights the nature of vulnerabilities that range from geopolitical</w:t>
      </w:r>
      <w:r>
        <w:t xml:space="preserve"> </w:t>
      </w:r>
      <w:r>
        <w:t xml:space="preserve">and supply chain concentration risks; whereas the final column identifies each segment’s strategic relevance for achieving the</w:t>
      </w:r>
      <w:r>
        <w:t xml:space="preserve"> </w:t>
      </w:r>
      <w:r>
        <w:t xml:space="preserve">objectives of the EU Chips Act.</w:t>
      </w:r>
    </w:p>
    <w:p>
      <w:pPr>
        <w:pStyle w:val="BodyText"/>
      </w:pPr>
      <w:r>
        <w:t xml:space="preserve">100</w:t>
      </w:r>
      <w:r>
        <w:t xml:space="preserve"> </w:t>
      </w:r>
      <w:r>
        <w:t xml:space="preserve">IDC 2023 revenue data confirm this asymmetric positioning. EU27-headquartered firms account for roughly 28 % of global</w:t>
      </w:r>
      <w:r>
        <w:t xml:space="preserve"> </w:t>
      </w:r>
      <w:r>
        <w:t xml:space="preserve">capital-equipment revenues, around 21 % of the EDA market (largely reflecting the role of Siemens following its acquisition</w:t>
      </w:r>
      <w:r>
        <w:t xml:space="preserve"> </w:t>
      </w:r>
      <w:r>
        <w:t xml:space="preserve">of Mentor Graphics), and about 17 % of semiconductor materials sales. By contrast, Europe’s share of global foundry</w:t>
      </w:r>
      <w:r>
        <w:t xml:space="preserve"> </w:t>
      </w:r>
      <w:r>
        <w:t xml:space="preserve">revenues is below 1 %, and OSAT and IP/licensing activities are negligible. The semiconductor device segment itself</w:t>
      </w:r>
      <w:r>
        <w:t xml:space="preserve"> </w:t>
      </w:r>
      <w:r>
        <w:t xml:space="preserve">represents about 10 % of worldwide device revenues, driven mainly by IDMs such as Infineon, NXP and STMicroelectronics.</w:t>
      </w:r>
      <w:r>
        <w:t xml:space="preserve"> </w:t>
      </w:r>
      <w:r>
        <w:t xml:space="preserve">This pattern underscores that the EU’s comparative advantages lie upstream in equipment, design tools and materials, whereas</w:t>
      </w:r>
      <w:r>
        <w:t xml:space="preserve"> </w:t>
      </w:r>
      <w:r>
        <w:t xml:space="preserve">it remains structurally weak in pure-play foundry, back-end services and leading-edge logic production, with important</w:t>
      </w:r>
      <w:r>
        <w:t xml:space="preserve"> </w:t>
      </w:r>
      <w:r>
        <w:t xml:space="preserve">implications for resilience and policy design.</w:t>
      </w:r>
    </w:p>
    <w:p>
      <w:pPr>
        <w:pStyle w:val="BodyText"/>
      </w:pPr>
      <w:r>
        <w:t xml:space="preserve">101</w:t>
      </w:r>
      <w:r>
        <w:t xml:space="preserve"> </w:t>
      </w:r>
      <w:r>
        <w:t xml:space="preserve">Table 7. The overview table of the EU semiconductors value chain. Source: compiled by the authors.</w:t>
      </w:r>
      <w:r>
        <w:br/>
      </w:r>
      <w:r>
        <w:t xml:space="preserve">GVC Segment</w:t>
      </w:r>
      <w:r>
        <w:t xml:space="preserve"> </w:t>
      </w:r>
      <w:r>
        <w:t xml:space="preserve">EU Market Share</w:t>
      </w:r>
      <w:r>
        <w:t xml:space="preserve"> </w:t>
      </w:r>
      <w:r>
        <w:t xml:space="preserve">Dependency</w:t>
      </w:r>
      <w:r>
        <w:t xml:space="preserve"> </w:t>
      </w:r>
      <w:r>
        <w:t xml:space="preserve">(imports)</w:t>
      </w:r>
      <w:r>
        <w:t xml:space="preserve"> </w:t>
      </w:r>
      <w:r>
        <w:t xml:space="preserve">Resilience profile</w:t>
      </w:r>
      <w:r>
        <w:br/>
      </w:r>
      <w:r>
        <w:t xml:space="preserve">EU strategic importance</w:t>
      </w:r>
      <w:r>
        <w:t xml:space="preserve"> </w:t>
      </w:r>
      <w:r>
        <w:t xml:space="preserve">Materials</w:t>
      </w:r>
      <w:r>
        <w:t xml:space="preserve"> </w:t>
      </w:r>
      <w:r>
        <w:t xml:space="preserve">16.8 % in Materials as</w:t>
      </w:r>
      <w:r>
        <w:t xml:space="preserve"> </w:t>
      </w:r>
      <w:r>
        <w:t xml:space="preserve">reported by IDC</w:t>
      </w:r>
      <w:r>
        <w:t xml:space="preserve"> </w:t>
      </w:r>
      <w:r>
        <w:t xml:space="preserve">39.5 % (108)</w:t>
      </w:r>
      <w:r>
        <w:t xml:space="preserve"> </w:t>
      </w:r>
      <w:r>
        <w:t xml:space="preserve">High exposure to geopolitical risks and</w:t>
      </w:r>
      <w:r>
        <w:t xml:space="preserve"> </w:t>
      </w:r>
      <w:r>
        <w:t xml:space="preserve">export restrictions.</w:t>
      </w:r>
      <w:r>
        <w:t xml:space="preserve"> </w:t>
      </w:r>
      <w:r>
        <w:t xml:space="preserve">Fundamental</w:t>
      </w:r>
      <w:r>
        <w:t xml:space="preserve"> </w:t>
      </w:r>
      <w:r>
        <w:t xml:space="preserve">input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entire</w:t>
      </w:r>
      <w:r>
        <w:t xml:space="preserve"> </w:t>
      </w:r>
      <w:r>
        <w:t xml:space="preserve">semiconductor chain; disruption affects all</w:t>
      </w:r>
      <w:r>
        <w:t xml:space="preserve"> </w:t>
      </w:r>
      <w:r>
        <w:t xml:space="preserve">downstream segments.</w:t>
      </w:r>
      <w:r>
        <w:t xml:space="preserve"> </w:t>
      </w:r>
      <w:r>
        <w:t xml:space="preserve">Core enabler for front-end manufacturing</w:t>
      </w:r>
      <w:r>
        <w:t xml:space="preserve"> </w:t>
      </w:r>
      <w:r>
        <w:t xml:space="preserve">and new wafers (SiC, GaN).</w:t>
      </w:r>
      <w:r>
        <w:br/>
      </w:r>
      <w:r>
        <w:t xml:space="preserve">Vulnerable</w:t>
      </w:r>
      <w:r>
        <w:t xml:space="preserve"> </w:t>
      </w:r>
      <w:r>
        <w:t xml:space="preserve">to</w:t>
      </w:r>
      <w:r>
        <w:t xml:space="preserve"> </w:t>
      </w:r>
      <w:r>
        <w:t xml:space="preserve">external</w:t>
      </w:r>
      <w:r>
        <w:t xml:space="preserve"> </w:t>
      </w:r>
      <w:r>
        <w:t xml:space="preserve">shocks</w:t>
      </w:r>
      <w:r>
        <w:t xml:space="preserve"> </w:t>
      </w:r>
      <w:r>
        <w:t xml:space="preserve">and</w:t>
      </w:r>
      <w:r>
        <w:t xml:space="preserve"> </w:t>
      </w:r>
      <w:r>
        <w:t xml:space="preserve">capacity bottlenecks.</w:t>
      </w:r>
      <w:r>
        <w:t xml:space="preserve"> </w:t>
      </w:r>
      <w:r>
        <w:t xml:space="preserve">Ensuring access to high-purity</w:t>
      </w:r>
      <w:r>
        <w:t xml:space="preserve"> </w:t>
      </w:r>
      <w:r>
        <w:t xml:space="preserve">materials and gases is essential</w:t>
      </w:r>
      <w:r>
        <w:t xml:space="preserve"> </w:t>
      </w:r>
      <w:r>
        <w:t xml:space="preserve">for resilience and security of</w:t>
      </w:r>
      <w:r>
        <w:t xml:space="preserve"> </w:t>
      </w:r>
      <w:r>
        <w:t xml:space="preserve">supply.</w:t>
      </w:r>
      <w:r>
        <w:t xml:space="preserve"> </w:t>
      </w:r>
      <w:r>
        <w:t xml:space="preserve">Identified as a priority for</w:t>
      </w:r>
      <w:r>
        <w:t xml:space="preserve"> </w:t>
      </w:r>
      <w:r>
        <w:t xml:space="preserve">strategic</w:t>
      </w:r>
      <w:r>
        <w:t xml:space="preserve"> </w:t>
      </w:r>
      <w:r>
        <w:t xml:space="preserve">reserves</w:t>
      </w:r>
      <w:r>
        <w:t xml:space="preserve"> </w:t>
      </w:r>
      <w:r>
        <w:t xml:space="preserve">and</w:t>
      </w:r>
      <w:r>
        <w:t xml:space="preserve"> </w:t>
      </w:r>
      <w:r>
        <w:t xml:space="preserve">mandatory monitoring.</w:t>
      </w:r>
      <w:r>
        <w:t xml:space="preserve"> </w:t>
      </w:r>
      <w:r>
        <w:t xml:space="preserve">IP</w:t>
      </w:r>
      <w:r>
        <w:t xml:space="preserve"> </w:t>
      </w:r>
      <w:r>
        <w:t xml:space="preserve">~0% global share</w:t>
      </w:r>
      <w:r>
        <w:t xml:space="preserve"> </w:t>
      </w:r>
      <w:r>
        <w:t xml:space="preserve">Not applicable</w:t>
      </w:r>
      <w:r>
        <w:t xml:space="preserve"> </w:t>
      </w:r>
      <w:r>
        <w:t xml:space="preserve">Dominated by US providers, and ARM</w:t>
      </w:r>
      <w:r>
        <w:t xml:space="preserve"> </w:t>
      </w:r>
      <w:r>
        <w:t xml:space="preserve">(UK-based, but owned by Softbank group,</w:t>
      </w:r>
      <w:r>
        <w:t xml:space="preserve"> </w:t>
      </w:r>
      <w:r>
        <w:t xml:space="preserve">JP); structural dependency in key logic &amp;</w:t>
      </w:r>
      <w:r>
        <w:t xml:space="preserve"> </w:t>
      </w:r>
      <w:r>
        <w:t xml:space="preserve">AI IP</w:t>
      </w:r>
      <w:r>
        <w:t xml:space="preserve"> </w:t>
      </w:r>
      <w:r>
        <w:t xml:space="preserve">Critical</w:t>
      </w:r>
      <w:r>
        <w:t xml:space="preserve"> </w:t>
      </w:r>
      <w:r>
        <w:t xml:space="preserve">upstream</w:t>
      </w:r>
      <w:r>
        <w:t xml:space="preserve"> </w:t>
      </w:r>
      <w:r>
        <w:t xml:space="preserve">input;</w:t>
      </w:r>
      <w:r>
        <w:t xml:space="preserve"> </w:t>
      </w:r>
      <w:r>
        <w:t xml:space="preserve">absence of EU IP limits</w:t>
      </w:r>
      <w:r>
        <w:t xml:space="preserve"> </w:t>
      </w:r>
      <w:r>
        <w:t xml:space="preserve">autonomy in advanced logic</w:t>
      </w:r>
      <w:r>
        <w:t xml:space="preserve"> </w:t>
      </w:r>
      <w:r>
        <w:t xml:space="preserve">design</w:t>
      </w:r>
      <w:r>
        <w:t xml:space="preserve"> </w:t>
      </w:r>
      <w:r>
        <w:t xml:space="preserve">EDA</w:t>
      </w:r>
      <w:r>
        <w:t xml:space="preserve"> </w:t>
      </w:r>
      <w:r>
        <w:t xml:space="preserve">~20.6% (2023, IDC)</w:t>
      </w:r>
      <w:r>
        <w:t xml:space="preserve"> </w:t>
      </w:r>
      <w:r>
        <w:t xml:space="preserve">Not</w:t>
      </w:r>
      <w:r>
        <w:t xml:space="preserve"> </w:t>
      </w:r>
      <w:r>
        <w:t xml:space="preserve">applicable</w:t>
      </w:r>
      <w:r>
        <w:t xml:space="preserve"> </w:t>
      </w:r>
      <w:r>
        <w:t xml:space="preserve">(software)</w:t>
      </w:r>
      <w:r>
        <w:t xml:space="preserve"> </w:t>
      </w:r>
      <w:r>
        <w:t xml:space="preserve">Low → Moderate: EU presence exists</w:t>
      </w:r>
      <w:r>
        <w:t xml:space="preserve"> </w:t>
      </w:r>
      <w:r>
        <w:t xml:space="preserve">(Siemens EDA), but ~80% dependency on</w:t>
      </w:r>
      <w:r>
        <w:t xml:space="preserve"> </w:t>
      </w:r>
      <w:r>
        <w:t xml:space="preserve">US vendors</w:t>
      </w:r>
      <w:r>
        <w:t xml:space="preserve"> </w:t>
      </w:r>
      <w:r>
        <w:t xml:space="preserve">Essential for sovereign chip</w:t>
      </w:r>
      <w:r>
        <w:t xml:space="preserve"> </w:t>
      </w:r>
      <w:r>
        <w:t xml:space="preserve">design capability; limited EU</w:t>
      </w:r>
      <w:r>
        <w:t xml:space="preserve"> </w:t>
      </w:r>
      <w:r>
        <w:t xml:space="preserve">presence, although significant</w:t>
      </w:r>
      <w:r>
        <w:t xml:space="preserve"> </w:t>
      </w:r>
      <w:r>
        <w:t xml:space="preserve">participant in the western EDA</w:t>
      </w:r>
    </w:p>
    <w:p>
      <w:pPr>
        <w:pStyle w:val="Compact"/>
        <w:numPr>
          <w:ilvl w:val="0"/>
          <w:numId w:val="1038"/>
        </w:numPr>
      </w:pPr>
      <w:r>
        <w:t xml:space="preserve">Cerutti, Isabella &amp; Nardo, Michela (2023). Semiconductors in the EU: State of play, future trends and vulnerabilities of the semiconductor supply chain. JRC</w:t>
      </w:r>
      <w:r>
        <w:t xml:space="preserve"> </w:t>
      </w:r>
      <w:r>
        <w:t xml:space="preserve">Technical Report, JRC133850.</w:t>
      </w:r>
    </w:p>
    <w:p>
      <w:pPr>
        <w:pStyle w:val="FirstParagraph"/>
      </w:pPr>
      <w:r>
        <w:t xml:space="preserve">102</w:t>
      </w:r>
      <w:r>
        <w:t xml:space="preserve"> </w:t>
      </w:r>
      <w:r>
        <w:t xml:space="preserve">ecosystem.</w:t>
      </w:r>
      <w:r>
        <w:br/>
      </w:r>
      <w:r>
        <w:t xml:space="preserve">Semiconductor</w:t>
      </w:r>
      <w:r>
        <w:t xml:space="preserve"> </w:t>
      </w:r>
      <w:r>
        <w:t xml:space="preserve">Manufacturing</w:t>
      </w:r>
      <w:r>
        <w:t xml:space="preserve"> </w:t>
      </w:r>
      <w:r>
        <w:t xml:space="preserve">Equipment</w:t>
      </w:r>
      <w:r>
        <w:t xml:space="preserve"> </w:t>
      </w:r>
      <w:r>
        <w:t xml:space="preserve">~24–26 % of global</w:t>
      </w:r>
      <w:r>
        <w:t xml:space="preserve"> </w:t>
      </w:r>
      <w:r>
        <w:t xml:space="preserve">equipment</w:t>
      </w:r>
      <w:r>
        <w:t xml:space="preserve"> </w:t>
      </w:r>
      <w:r>
        <w:t xml:space="preserve">market</w:t>
      </w:r>
      <w:r>
        <w:t xml:space="preserve"> </w:t>
      </w:r>
      <w:r>
        <w:t xml:space="preserve">(2023)</w:t>
      </w:r>
      <w:r>
        <w:t xml:space="preserve"> </w:t>
      </w:r>
      <w:r>
        <w:t xml:space="preserve">27.9</w:t>
      </w:r>
      <w:r>
        <w:t xml:space="preserve"> </w:t>
      </w:r>
      <w:r>
        <w:t xml:space="preserve">%</w:t>
      </w:r>
      <w:r>
        <w:t xml:space="preserve"> </w:t>
      </w:r>
      <w:r>
        <w:t xml:space="preserve">in</w:t>
      </w:r>
      <w:r>
        <w:t xml:space="preserve"> </w:t>
      </w:r>
      <w:r>
        <w:t xml:space="preserve">Capital</w:t>
      </w:r>
      <w:r>
        <w:t xml:space="preserve"> </w:t>
      </w:r>
      <w:r>
        <w:t xml:space="preserve">equipment</w:t>
      </w:r>
      <w:r>
        <w:t xml:space="preserve"> </w:t>
      </w:r>
      <w:r>
        <w:t xml:space="preserve">(2023)</w:t>
      </w:r>
      <w:r>
        <w:t xml:space="preserve"> </w:t>
      </w:r>
      <w:r>
        <w:t xml:space="preserve">as</w:t>
      </w:r>
      <w:r>
        <w:t xml:space="preserve"> </w:t>
      </w:r>
      <w:r>
        <w:t xml:space="preserve">reported by IDC</w:t>
      </w:r>
      <w:r>
        <w:t xml:space="preserve"> </w:t>
      </w:r>
      <w:r>
        <w:t xml:space="preserve">24.2% (109)</w:t>
      </w:r>
      <w:r>
        <w:t xml:space="preserve"> </w:t>
      </w:r>
      <w:r>
        <w:t xml:space="preserve">Identified as a strategic chokepoint due to</w:t>
      </w:r>
      <w:r>
        <w:t xml:space="preserve"> </w:t>
      </w:r>
      <w:r>
        <w:t xml:space="preserve">concentration of suppliers and long lead</w:t>
      </w:r>
      <w:r>
        <w:t xml:space="preserve"> </w:t>
      </w:r>
      <w:r>
        <w:t xml:space="preserve">times.</w:t>
      </w:r>
      <w:r>
        <w:t xml:space="preserve"> </w:t>
      </w:r>
      <w:r>
        <w:t xml:space="preserve">EU leadership (ASML) gives strategic</w:t>
      </w:r>
      <w:r>
        <w:t xml:space="preserve"> </w:t>
      </w:r>
      <w:r>
        <w:t xml:space="preserve">leverage globally, but dependency on</w:t>
      </w:r>
      <w:r>
        <w:t xml:space="preserve"> </w:t>
      </w:r>
      <w:r>
        <w:t xml:space="preserve">certain US and Japanese (e.g. Tokyo</w:t>
      </w:r>
      <w:r>
        <w:t xml:space="preserve"> </w:t>
      </w:r>
      <w:r>
        <w:t xml:space="preserve">Electron) is also significant. Very limited</w:t>
      </w:r>
      <w:r>
        <w:t xml:space="preserve"> </w:t>
      </w:r>
      <w:r>
        <w:t xml:space="preserve">market for EUV/advanced manufacturing</w:t>
      </w:r>
      <w:r>
        <w:t xml:space="preserve"> </w:t>
      </w:r>
      <w:r>
        <w:t xml:space="preserve">equipment in Europe.</w:t>
      </w:r>
      <w:r>
        <w:t xml:space="preserve"> </w:t>
      </w:r>
      <w:r>
        <w:t xml:space="preserve">Central to sustaining EU’s</w:t>
      </w:r>
      <w:r>
        <w:t xml:space="preserve"> </w:t>
      </w:r>
      <w:r>
        <w:t xml:space="preserve">comparative advantage in</w:t>
      </w:r>
      <w:r>
        <w:t xml:space="preserve"> </w:t>
      </w:r>
      <w:r>
        <w:t xml:space="preserve">advanced manufacturing.</w:t>
      </w:r>
    </w:p>
    <w:p>
      <w:pPr>
        <w:pStyle w:val="Compact"/>
        <w:numPr>
          <w:ilvl w:val="0"/>
          <w:numId w:val="1039"/>
        </w:numPr>
      </w:pPr>
      <w:r>
        <w:t xml:space="preserve">Cerutti, Isabella &amp; Nardo, Michela (2023). Semiconductors in the EU: State of play, future trends and vulnerabilities of the semiconductor supply chain. JRC</w:t>
      </w:r>
      <w:r>
        <w:t xml:space="preserve"> </w:t>
      </w:r>
      <w:r>
        <w:t xml:space="preserve">Technical Report, JRC133850.</w:t>
      </w:r>
    </w:p>
    <w:p>
      <w:pPr>
        <w:pStyle w:val="FirstParagraph"/>
      </w:pPr>
      <w:r>
        <w:t xml:space="preserve">103</w:t>
      </w:r>
      <w:r>
        <w:t xml:space="preserve"> </w:t>
      </w:r>
      <w:r>
        <w:t xml:space="preserve">Semiconductor</w:t>
      </w:r>
      <w:r>
        <w:t xml:space="preserve"> </w:t>
      </w:r>
      <w:r>
        <w:t xml:space="preserve">manufacturing</w:t>
      </w:r>
      <w:r>
        <w:t xml:space="preserve"> </w:t>
      </w:r>
      <w:r>
        <w:t xml:space="preserve">For foundry services:</w:t>
      </w:r>
      <w:r>
        <w:t xml:space="preserve"> </w:t>
      </w:r>
      <w:r>
        <w:t xml:space="preserve">0.9% (2023 IDC)</w:t>
      </w:r>
      <w:r>
        <w:t xml:space="preserve"> </w:t>
      </w:r>
      <w:r>
        <w:t xml:space="preserve">For ATP: ~3 % of</w:t>
      </w:r>
      <w:r>
        <w:t xml:space="preserve"> </w:t>
      </w:r>
      <w:r>
        <w:t xml:space="preserve">global</w:t>
      </w:r>
      <w:r>
        <w:t xml:space="preserve"> </w:t>
      </w:r>
      <w:r>
        <w:t xml:space="preserve">ATP</w:t>
      </w:r>
      <w:r>
        <w:t xml:space="preserve"> </w:t>
      </w:r>
      <w:r>
        <w:t xml:space="preserve">capacity</w:t>
      </w:r>
      <w:r>
        <w:t xml:space="preserve"> </w:t>
      </w:r>
      <w:r>
        <w:t xml:space="preserve">(2022;</w:t>
      </w:r>
      <w:r>
        <w:t xml:space="preserve"> </w:t>
      </w:r>
      <w:r>
        <w:t xml:space="preserve">projected</w:t>
      </w:r>
      <w:r>
        <w:t xml:space="preserve"> </w:t>
      </w:r>
      <w:r>
        <w:t xml:space="preserve">constant to 2032)</w:t>
      </w:r>
      <w:r>
        <w:t xml:space="preserve"> </w:t>
      </w:r>
      <w:r>
        <w:t xml:space="preserve">IDC (2023) reports a</w:t>
      </w:r>
      <w:r>
        <w:t xml:space="preserve"> </w:t>
      </w:r>
      <w:r>
        <w:t xml:space="preserve">negligible market share)</w:t>
      </w:r>
      <w:r>
        <w:t xml:space="preserve"> </w:t>
      </w:r>
      <w:r>
        <w:t xml:space="preserve">For IDMs: 10.1% (2023</w:t>
      </w:r>
      <w:r>
        <w:t xml:space="preserve"> </w:t>
      </w:r>
      <w:r>
        <w:t xml:space="preserve">IDC)</w:t>
      </w:r>
      <w:r>
        <w:t xml:space="preserve"> </w:t>
      </w:r>
      <w:r>
        <w:t xml:space="preserve">64% (110)</w:t>
      </w:r>
      <w:r>
        <w:t xml:space="preserve"> </w:t>
      </w:r>
      <w:r>
        <w:t xml:space="preserve">Foundry:</w:t>
      </w:r>
      <w:r>
        <w:t xml:space="preserve"> </w:t>
      </w:r>
      <w:r>
        <w:t xml:space="preserve">Moderate.</w:t>
      </w:r>
      <w:r>
        <w:t xml:space="preserve"> </w:t>
      </w:r>
      <w:r>
        <w:t xml:space="preserve">new</w:t>
      </w:r>
      <w:r>
        <w:t xml:space="preserve"> </w:t>
      </w:r>
      <w:r>
        <w:t xml:space="preserve">fabs</w:t>
      </w:r>
      <w:r>
        <w:t xml:space="preserve"> </w:t>
      </w:r>
      <w:r>
        <w:t xml:space="preserve">help</w:t>
      </w:r>
      <w:r>
        <w:t xml:space="preserve"> </w:t>
      </w:r>
      <w:r>
        <w:t xml:space="preserve">stabilise share; leading-edge gap persists</w:t>
      </w:r>
      <w:r>
        <w:t xml:space="preserve"> </w:t>
      </w:r>
      <w:r>
        <w:t xml:space="preserve">ATPs: Lack of data transparency and</w:t>
      </w:r>
      <w:r>
        <w:t xml:space="preserve"> </w:t>
      </w:r>
      <w:r>
        <w:t xml:space="preserve">extensive offshoring to Asia create major</w:t>
      </w:r>
      <w:r>
        <w:t xml:space="preserve"> </w:t>
      </w:r>
      <w:r>
        <w:t xml:space="preserve">blind spots. This vulnerability was clearly</w:t>
      </w:r>
      <w:r>
        <w:t xml:space="preserve"> </w:t>
      </w:r>
      <w:r>
        <w:t xml:space="preserve">exposed during the COVID-19 pandemic,</w:t>
      </w:r>
      <w:r>
        <w:t xml:space="preserve"> </w:t>
      </w:r>
      <w:r>
        <w:t xml:space="preserve">when lockdown-related shutdowns of</w:t>
      </w:r>
      <w:r>
        <w:t xml:space="preserve"> </w:t>
      </w:r>
      <w:r>
        <w:t xml:space="preserve">ATP facilities in Asia disrupted global</w:t>
      </w:r>
      <w:r>
        <w:t xml:space="preserve"> </w:t>
      </w:r>
      <w:r>
        <w:t xml:space="preserve">supply and caused cascading shortages</w:t>
      </w:r>
      <w:r>
        <w:t xml:space="preserve"> </w:t>
      </w:r>
      <w:r>
        <w:t xml:space="preserve">across downstream industries. Also, no</w:t>
      </w:r>
      <w:r>
        <w:t xml:space="preserve"> </w:t>
      </w:r>
      <w:r>
        <w:t xml:space="preserve">real-time monitoring of back-end capacity</w:t>
      </w:r>
      <w:r>
        <w:t xml:space="preserve"> </w:t>
      </w:r>
      <w:r>
        <w:t xml:space="preserve">or stockpiles.</w:t>
      </w:r>
      <w:r>
        <w:t xml:space="preserve"> </w:t>
      </w:r>
      <w:r>
        <w:t xml:space="preserve">IDMs:</w:t>
      </w:r>
      <w:r>
        <w:t xml:space="preserve"> </w:t>
      </w:r>
      <w:r>
        <w:t xml:space="preserve">Moderate.</w:t>
      </w:r>
      <w:r>
        <w:t xml:space="preserve"> </w:t>
      </w:r>
      <w:r>
        <w:t xml:space="preserve">strong</w:t>
      </w:r>
      <w:r>
        <w:t xml:space="preserve"> </w:t>
      </w:r>
      <w:r>
        <w:t xml:space="preserve">in</w:t>
      </w:r>
      <w:r>
        <w:t xml:space="preserve"> </w:t>
      </w:r>
      <w:r>
        <w:t xml:space="preserve">automotive/power; weak in logic &amp;</w:t>
      </w:r>
      <w:r>
        <w:t xml:space="preserve"> </w:t>
      </w:r>
      <w:r>
        <w:t xml:space="preserve">memory</w:t>
      </w:r>
      <w:r>
        <w:t xml:space="preserve"> </w:t>
      </w:r>
      <w:r>
        <w:t xml:space="preserve">An integrated manufacturing</w:t>
      </w:r>
      <w:r>
        <w:t xml:space="preserve"> </w:t>
      </w:r>
      <w:r>
        <w:t xml:space="preserve">chain, spanning front-end fabs,</w:t>
      </w:r>
      <w:r>
        <w:t xml:space="preserve"> </w:t>
      </w:r>
      <w:r>
        <w:t xml:space="preserve">IDMs and advanced back-end</w:t>
      </w:r>
      <w:r>
        <w:t xml:space="preserve"> </w:t>
      </w:r>
      <w:r>
        <w:t xml:space="preserve">(ATP), is the single critical</w:t>
      </w:r>
      <w:r>
        <w:t xml:space="preserve"> </w:t>
      </w:r>
      <w:r>
        <w:t xml:space="preserve">enabler</w:t>
      </w:r>
      <w:r>
        <w:t xml:space="preserve"> </w:t>
      </w:r>
      <w:r>
        <w:t xml:space="preserve">of</w:t>
      </w:r>
      <w:r>
        <w:t xml:space="preserve"> </w:t>
      </w:r>
      <w:r>
        <w:t xml:space="preserve">Europe’s</w:t>
      </w:r>
      <w:r>
        <w:t xml:space="preserve"> </w:t>
      </w:r>
      <w:r>
        <w:t xml:space="preserve">autonomy,</w:t>
      </w:r>
      <w:r>
        <w:t xml:space="preserve"> </w:t>
      </w:r>
      <w:r>
        <w:t xml:space="preserve">resilience</w:t>
      </w:r>
      <w:r>
        <w:t xml:space="preserve"> </w:t>
      </w:r>
      <w:r>
        <w:t xml:space="preserve">and</w:t>
      </w:r>
      <w:r>
        <w:t xml:space="preserve"> </w:t>
      </w:r>
      <w:r>
        <w:t xml:space="preserve">competitiveness</w:t>
      </w:r>
      <w:r>
        <w:t xml:space="preserve"> </w:t>
      </w:r>
      <w:r>
        <w:t xml:space="preserve">in</w:t>
      </w:r>
      <w:r>
        <w:t xml:space="preserve"> </w:t>
      </w:r>
      <w:r>
        <w:t xml:space="preserve">semiconductors.</w:t>
      </w:r>
      <w:r>
        <w:t xml:space="preserve"> </w:t>
      </w:r>
      <w:r>
        <w:t xml:space="preserve">Downstream</w:t>
      </w:r>
      <w:r>
        <w:t xml:space="preserve"> </w:t>
      </w:r>
      <w:r>
        <w:t xml:space="preserve">Integration</w:t>
      </w:r>
      <w:r>
        <w:t xml:space="preserve"> </w:t>
      </w:r>
      <w:r>
        <w:t xml:space="preserve">No consolidated figure;</w:t>
      </w:r>
      <w:r>
        <w:t xml:space="preserve"> </w:t>
      </w:r>
      <w:r>
        <w:t xml:space="preserve">~34% share in global</w:t>
      </w:r>
      <w:r>
        <w:t xml:space="preserve"> </w:t>
      </w:r>
      <w:r>
        <w:t xml:space="preserve">automotive</w:t>
      </w:r>
      <w:r>
        <w:t xml:space="preserve"> </w:t>
      </w:r>
      <w:r>
        <w:t xml:space="preserve">semiconductors; ~60 %</w:t>
      </w:r>
      <w:r>
        <w:t xml:space="preserve"> </w:t>
      </w:r>
      <w:r>
        <w:t xml:space="preserve">in SIM/ID chips</w:t>
      </w:r>
      <w:r>
        <w:t xml:space="preserve"> </w:t>
      </w:r>
      <w:r>
        <w:t xml:space="preserve">~70%*</w:t>
      </w:r>
      <w:r>
        <w:t xml:space="preserve"> </w:t>
      </w:r>
      <w:r>
        <w:t xml:space="preserve">EU downstream actors lack supply chain</w:t>
      </w:r>
      <w:r>
        <w:t xml:space="preserve"> </w:t>
      </w:r>
      <w:r>
        <w:t xml:space="preserve">visibility and incentives for proactive</w:t>
      </w:r>
      <w:r>
        <w:t xml:space="preserve"> </w:t>
      </w:r>
      <w:r>
        <w:t xml:space="preserve">management,</w:t>
      </w:r>
      <w:r>
        <w:t xml:space="preserve"> </w:t>
      </w:r>
      <w:r>
        <w:t xml:space="preserve">although</w:t>
      </w:r>
      <w:r>
        <w:t xml:space="preserve"> </w:t>
      </w:r>
      <w:r>
        <w:t xml:space="preserve">some</w:t>
      </w:r>
      <w:r>
        <w:t xml:space="preserve"> </w:t>
      </w:r>
      <w:r>
        <w:t xml:space="preserve">end-</w:t>
      </w:r>
      <w:r>
        <w:t xml:space="preserve"> </w:t>
      </w:r>
      <w:r>
        <w:t xml:space="preserve">customers</w:t>
      </w:r>
      <w:r>
        <w:t xml:space="preserve"> </w:t>
      </w:r>
      <w:r>
        <w:t xml:space="preserve">have</w:t>
      </w:r>
      <w:r>
        <w:t xml:space="preserve"> </w:t>
      </w:r>
      <w:r>
        <w:t xml:space="preserve">already</w:t>
      </w:r>
      <w:r>
        <w:t xml:space="preserve"> </w:t>
      </w:r>
      <w:r>
        <w:t xml:space="preserve">begun</w:t>
      </w:r>
      <w:r>
        <w:t xml:space="preserve"> </w:t>
      </w:r>
      <w:r>
        <w:t xml:space="preserve">diversifying their supplier base and</w:t>
      </w:r>
      <w:r>
        <w:t xml:space="preserve"> </w:t>
      </w:r>
      <w:r>
        <w:t xml:space="preserve">geographic footprint as part of their own</w:t>
      </w:r>
      <w:r>
        <w:t xml:space="preserve"> </w:t>
      </w:r>
      <w:r>
        <w:t xml:space="preserve">risk-mitigation strategies. However, these</w:t>
      </w:r>
      <w:r>
        <w:t xml:space="preserve"> </w:t>
      </w:r>
      <w:r>
        <w:t xml:space="preserve">Key</w:t>
      </w:r>
      <w:r>
        <w:t xml:space="preserve"> </w:t>
      </w:r>
      <w:r>
        <w:t xml:space="preserve">to</w:t>
      </w:r>
      <w:r>
        <w:t xml:space="preserve"> </w:t>
      </w:r>
      <w:r>
        <w:t xml:space="preserve">turning</w:t>
      </w:r>
      <w:r>
        <w:t xml:space="preserve"> </w:t>
      </w:r>
      <w:r>
        <w:t xml:space="preserve">chip</w:t>
      </w:r>
      <w:r>
        <w:t xml:space="preserve"> </w:t>
      </w:r>
      <w:r>
        <w:t xml:space="preserve">production into competitive</w:t>
      </w:r>
      <w:r>
        <w:t xml:space="preserve"> </w:t>
      </w:r>
      <w:r>
        <w:t xml:space="preserve">industrial</w:t>
      </w:r>
      <w:r>
        <w:t xml:space="preserve"> </w:t>
      </w:r>
      <w:r>
        <w:t xml:space="preserve">systems</w:t>
      </w:r>
      <w:r>
        <w:t xml:space="preserve"> </w:t>
      </w:r>
      <w:r>
        <w:t xml:space="preserve">(automotive, robotics, energy).</w:t>
      </w:r>
    </w:p>
    <w:p>
      <w:pPr>
        <w:pStyle w:val="Compact"/>
        <w:numPr>
          <w:ilvl w:val="0"/>
          <w:numId w:val="1040"/>
        </w:numPr>
      </w:pPr>
      <w:r>
        <w:t xml:space="preserve">Cerutti, Isabella &amp; Nardo, Michela (2023). Semiconductors in the EU: State of play, future trends and vulnerabilities of the semiconductor supply chain. JRC</w:t>
      </w:r>
      <w:r>
        <w:t xml:space="preserve"> </w:t>
      </w:r>
      <w:r>
        <w:t xml:space="preserve">Technical Report, JRC133850.</w:t>
      </w:r>
    </w:p>
    <w:p>
      <w:pPr>
        <w:pStyle w:val="FirstParagraph"/>
      </w:pPr>
      <w:r>
        <w:t xml:space="preserve">104</w:t>
      </w:r>
      <w:r>
        <w:t xml:space="preserve"> </w:t>
      </w:r>
      <w:r>
        <w:t xml:space="preserve">diversification efforts remain uneven</w:t>
      </w:r>
      <w:r>
        <w:t xml:space="preserve"> </w:t>
      </w:r>
      <w:r>
        <w:t xml:space="preserve">across sectors and are not yet integrated</w:t>
      </w:r>
      <w:r>
        <w:t xml:space="preserve"> </w:t>
      </w:r>
      <w:r>
        <w:t xml:space="preserve">into a coordinated EU-wide resilience</w:t>
      </w:r>
      <w:r>
        <w:t xml:space="preserve"> </w:t>
      </w:r>
      <w:r>
        <w:t xml:space="preserve">framework.</w:t>
      </w:r>
      <w:r>
        <w:t xml:space="preserve"> </w:t>
      </w:r>
      <w:r>
        <w:t xml:space="preserve">End-Use</w:t>
      </w:r>
      <w:r>
        <w:t xml:space="preserve"> </w:t>
      </w:r>
      <w:r>
        <w:t xml:space="preserve">Applications</w:t>
      </w:r>
      <w:r>
        <w:t xml:space="preserve"> </w:t>
      </w:r>
      <w:r>
        <w:t xml:space="preserve">~34 % global share in</w:t>
      </w:r>
      <w:r>
        <w:t xml:space="preserve"> </w:t>
      </w:r>
      <w:r>
        <w:t xml:space="preserve">automotive</w:t>
      </w:r>
      <w:r>
        <w:t xml:space="preserve"> </w:t>
      </w:r>
      <w:r>
        <w:t xml:space="preserve">semiconductors; 64 % of</w:t>
      </w:r>
      <w:r>
        <w:t xml:space="preserve"> </w:t>
      </w:r>
      <w:r>
        <w:t xml:space="preserve">EU</w:t>
      </w:r>
      <w:r>
        <w:t xml:space="preserve"> </w:t>
      </w:r>
      <w:r>
        <w:t xml:space="preserve">semiconductor</w:t>
      </w:r>
      <w:r>
        <w:t xml:space="preserve"> </w:t>
      </w:r>
      <w:r>
        <w:t xml:space="preserve">demand in embedded</w:t>
      </w:r>
      <w:r>
        <w:t xml:space="preserve"> </w:t>
      </w:r>
      <w:r>
        <w:t xml:space="preserve">industries (vs 22 %</w:t>
      </w:r>
      <w:r>
        <w:t xml:space="preserve"> </w:t>
      </w:r>
      <w:r>
        <w:t xml:space="preserve">global)</w:t>
      </w:r>
      <w:r>
        <w:t xml:space="preserve"> </w:t>
      </w:r>
      <w:r>
        <w:t xml:space="preserve">Demand side, not</w:t>
      </w:r>
      <w:r>
        <w:t xml:space="preserve"> </w:t>
      </w:r>
      <w:r>
        <w:t xml:space="preserve">considered in this</w:t>
      </w:r>
      <w:r>
        <w:t xml:space="preserve"> </w:t>
      </w:r>
      <w:r>
        <w:t xml:space="preserve">analysis</w:t>
      </w:r>
      <w:r>
        <w:t xml:space="preserve"> </w:t>
      </w:r>
      <w:r>
        <w:t xml:space="preserve">of</w:t>
      </w:r>
      <w:r>
        <w:t xml:space="preserve"> </w:t>
      </w:r>
      <w:r>
        <w:t xml:space="preserve">semiconductor</w:t>
      </w:r>
      <w:r>
        <w:t xml:space="preserve"> </w:t>
      </w:r>
      <w:r>
        <w:t xml:space="preserve">supply</w:t>
      </w:r>
      <w:r>
        <w:t xml:space="preserve"> </w:t>
      </w:r>
      <w:r>
        <w:t xml:space="preserve">dependencies</w:t>
      </w:r>
      <w:r>
        <w:t xml:space="preserve"> </w:t>
      </w:r>
      <w:r>
        <w:t xml:space="preserve">Explicitly mentioned as excluded from</w:t>
      </w:r>
      <w:r>
        <w:t xml:space="preserve"> </w:t>
      </w:r>
      <w:r>
        <w:t xml:space="preserve">current</w:t>
      </w:r>
      <w:r>
        <w:t xml:space="preserve"> </w:t>
      </w:r>
      <w:r>
        <w:t xml:space="preserve">Chips</w:t>
      </w:r>
      <w:r>
        <w:t xml:space="preserve"> </w:t>
      </w:r>
      <w:r>
        <w:t xml:space="preserve">Act</w:t>
      </w:r>
      <w:r>
        <w:t xml:space="preserve"> </w:t>
      </w:r>
      <w:r>
        <w:t xml:space="preserve">crisis-response</w:t>
      </w:r>
      <w:r>
        <w:t xml:space="preserve"> </w:t>
      </w:r>
      <w:r>
        <w:t xml:space="preserve">mechanisms.</w:t>
      </w:r>
      <w:r>
        <w:br/>
      </w:r>
      <w:r>
        <w:t xml:space="preserve">Largest economic and societal exposure to</w:t>
      </w:r>
      <w:r>
        <w:t xml:space="preserve"> </w:t>
      </w:r>
      <w:r>
        <w:t xml:space="preserve">chip shortages.</w:t>
      </w:r>
      <w:r>
        <w:br/>
      </w:r>
      <w:r>
        <w:t xml:space="preserve">The EU has very limited presence in</w:t>
      </w:r>
      <w:r>
        <w:t xml:space="preserve"> </w:t>
      </w:r>
      <w:r>
        <w:t xml:space="preserve">consumer</w:t>
      </w:r>
      <w:r>
        <w:t xml:space="preserve"> </w:t>
      </w:r>
      <w:r>
        <w:t xml:space="preserve">electronics,</w:t>
      </w:r>
      <w:r>
        <w:t xml:space="preserve"> </w:t>
      </w:r>
      <w:r>
        <w:t xml:space="preserve">particularly</w:t>
      </w:r>
      <w:r>
        <w:t xml:space="preserve"> </w:t>
      </w:r>
      <w:r>
        <w:t xml:space="preserve">smartphones, which are the principal</w:t>
      </w:r>
      <w:r>
        <w:t xml:space="preserve"> </w:t>
      </w:r>
      <w:r>
        <w:t xml:space="preserve">drivers of demand for leading-edge logic.</w:t>
      </w:r>
      <w:r>
        <w:t xml:space="preserve"> </w:t>
      </w:r>
      <w:r>
        <w:t xml:space="preserve">This limits Europe’s influence over supply</w:t>
      </w:r>
      <w:r>
        <w:t xml:space="preserve"> </w:t>
      </w:r>
      <w:r>
        <w:t xml:space="preserve">allocation and reinforces dependence on</w:t>
      </w:r>
      <w:r>
        <w:t xml:space="preserve"> </w:t>
      </w:r>
      <w:r>
        <w:t xml:space="preserve">third-country manufacturing ecosystems.</w:t>
      </w:r>
      <w:r>
        <w:t xml:space="preserve"> </w:t>
      </w:r>
      <w:r>
        <w:t xml:space="preserve">Incorporating end-users into</w:t>
      </w:r>
      <w:r>
        <w:t xml:space="preserve"> </w:t>
      </w:r>
      <w:r>
        <w:t xml:space="preserve">resilience governance is vital</w:t>
      </w:r>
      <w:r>
        <w:t xml:space="preserve"> </w:t>
      </w:r>
      <w:r>
        <w:t xml:space="preserve">for long-term preparedness and</w:t>
      </w:r>
      <w:r>
        <w:t xml:space="preserve"> </w:t>
      </w:r>
      <w:r>
        <w:t xml:space="preserve">industrial continuity.</w:t>
      </w:r>
      <w:r>
        <w:t xml:space="preserve"> </w:t>
      </w:r>
      <w:r>
        <w:t xml:space="preserve">*There is no direct indicator for downstream integration dependency, as trade data in the semiconductor value-chain study</w:t>
      </w:r>
      <w:r>
        <w:t xml:space="preserve"> </w:t>
      </w:r>
      <w:r>
        <w:t xml:space="preserve">stop at the chip level.</w:t>
      </w:r>
    </w:p>
    <w:p>
      <w:pPr>
        <w:pStyle w:val="BodyText"/>
      </w:pPr>
      <w:r>
        <w:t xml:space="preserve">105</w:t>
      </w:r>
    </w:p>
    <w:p>
      <w:pPr>
        <w:pStyle w:val="BodyText"/>
      </w:pPr>
      <w:r>
        <w:t xml:space="preserve">1.3.5. Modelling the BAU scenario</w:t>
      </w:r>
      <w:r>
        <w:t xml:space="preserve"> </w:t>
      </w:r>
      <w:r>
        <w:t xml:space="preserve">The dynamic baseline modelling builds directly on the quantitative and qualitative figures</w:t>
      </w:r>
      <w:r>
        <w:t xml:space="preserve"> </w:t>
      </w:r>
      <w:r>
        <w:t xml:space="preserve">presented in the previous table, which summarises the European Union’s current position</w:t>
      </w:r>
      <w:r>
        <w:t xml:space="preserve"> </w:t>
      </w:r>
      <w:r>
        <w:t xml:space="preserve">across each segment of the semiconductor global value chain. These baseline indicators</w:t>
      </w:r>
      <w:r>
        <w:t xml:space="preserve"> </w:t>
      </w:r>
      <w:r>
        <w:t xml:space="preserve">covering market share, import dependency, and resilience profile serve as the starting point</w:t>
      </w:r>
      <w:r>
        <w:t xml:space="preserve"> </w:t>
      </w:r>
      <w:r>
        <w:t xml:space="preserve">for projecting the EU’s relative performance to 2035 (with a check in point in 2028). Each</w:t>
      </w:r>
      <w:r>
        <w:t xml:space="preserve"> </w:t>
      </w:r>
      <w:r>
        <w:t xml:space="preserve">value represents the best available estimate for 2021–2023, derived from Joint Research</w:t>
      </w:r>
      <w:r>
        <w:t xml:space="preserve"> </w:t>
      </w:r>
      <w:r>
        <w:t xml:space="preserve">Centre dependency ratios, BCG–SIA and McKinsey capacity assessments, and</w:t>
      </w:r>
      <w:r>
        <w:t xml:space="preserve"> </w:t>
      </w:r>
      <w:r>
        <w:t xml:space="preserve">complementary evidence from IFRI, DGE, and Eurostat.</w:t>
      </w:r>
      <w:r>
        <w:br/>
      </w:r>
      <w:r>
        <w:t xml:space="preserve">In addition to these structural indicators, the modelling draws on IDC’s 2023–2030 forecast</w:t>
      </w:r>
      <w:r>
        <w:t xml:space="preserve"> </w:t>
      </w:r>
      <w:r>
        <w:t xml:space="preserve">series on revenue, which captures verified investment pipelines, corporate announcements,</w:t>
      </w:r>
      <w:r>
        <w:t xml:space="preserve"> </w:t>
      </w:r>
      <w:r>
        <w:t xml:space="preserve">and regional growth expectations. The dataset reflects both global market recovery after the</w:t>
      </w:r>
      <w:r>
        <w:t xml:space="preserve"> </w:t>
      </w:r>
      <w:r>
        <w:t xml:space="preserve">2022 downturn and strong European capital formation driven by public subsidies and private</w:t>
      </w:r>
      <w:r>
        <w:t xml:space="preserve"> </w:t>
      </w:r>
      <w:r>
        <w:t xml:space="preserve">investment in new fabs and equipment capacity.</w:t>
      </w:r>
      <w:r>
        <w:t xml:space="preserve"> </w:t>
      </w:r>
      <w:r>
        <w:t xml:space="preserve">To inform the long-run BAU trajectory, it is important to note that growth patterns in</w:t>
      </w:r>
      <w:r>
        <w:t xml:space="preserve"> </w:t>
      </w:r>
      <w:r>
        <w:t xml:space="preserve">semiconductor devices largely determine the evolution of the entire value chain, since device</w:t>
      </w:r>
      <w:r>
        <w:t xml:space="preserve"> </w:t>
      </w:r>
      <w:r>
        <w:t xml:space="preserve">demand drives equipment orders, EDA tool requirements, materials usage, and foundry</w:t>
      </w:r>
      <w:r>
        <w:t xml:space="preserve"> </w:t>
      </w:r>
      <w:r>
        <w:t xml:space="preserve">utilisation. This relationship underpins the approach taken for post-2030 modelling.</w:t>
      </w:r>
      <w:r>
        <w:t xml:space="preserve"> </w:t>
      </w:r>
      <w:r>
        <w:t xml:space="preserve">Table 8. Compound Annual Growth Rates (CAGR) by Value Chain Segment, 2023–</w:t>
      </w:r>
      <w:r>
        <w:t xml:space="preserve"> </w:t>
      </w:r>
      <w:r>
        <w:t xml:space="preserve">2030. Source: IDC 2030 study reporting.</w:t>
      </w:r>
      <w:r>
        <w:br/>
      </w:r>
      <w:r>
        <w:t xml:space="preserve">Segment</w:t>
      </w:r>
      <w:r>
        <w:t xml:space="preserve"> </w:t>
      </w:r>
      <w:r>
        <w:t xml:space="preserve">IDC</w:t>
      </w:r>
      <w:r>
        <w:t xml:space="preserve"> </w:t>
      </w:r>
      <w:r>
        <w:t xml:space="preserve">projection</w:t>
      </w:r>
      <w:r>
        <w:t xml:space="preserve"> </w:t>
      </w:r>
      <w:r>
        <w:t xml:space="preserve">in 2030</w:t>
      </w:r>
      <w:r>
        <w:t xml:space="preserve"> </w:t>
      </w:r>
      <w:r>
        <w:t xml:space="preserve">(EUR</w:t>
      </w:r>
      <w:r>
        <w:t xml:space="preserve"> </w:t>
      </w:r>
      <w:r>
        <w:t xml:space="preserve">Billion)</w:t>
      </w:r>
      <w:r>
        <w:t xml:space="preserve"> </w:t>
      </w:r>
      <w:r>
        <w:t xml:space="preserve">Projected</w:t>
      </w:r>
      <w:r>
        <w:t xml:space="preserve"> </w:t>
      </w:r>
      <w:r>
        <w:t xml:space="preserve">CAGR</w:t>
      </w:r>
      <w:r>
        <w:t xml:space="preserve"> </w:t>
      </w:r>
      <w:r>
        <w:t xml:space="preserve">2023</w:t>
      </w:r>
      <w:r>
        <w:t xml:space="preserve"> </w:t>
      </w:r>
      <w:r>
        <w:t xml:space="preserve">-</w:t>
      </w:r>
      <w:r>
        <w:t xml:space="preserve"> </w:t>
      </w:r>
      <w:r>
        <w:t xml:space="preserve">2030</w:t>
      </w:r>
      <w:r>
        <w:t xml:space="preserve"> </w:t>
      </w:r>
      <w:r>
        <w:t xml:space="preserve">Projected</w:t>
      </w:r>
      <w:r>
        <w:t xml:space="preserve"> </w:t>
      </w:r>
      <w:r>
        <w:t xml:space="preserve">European</w:t>
      </w:r>
      <w:r>
        <w:t xml:space="preserve"> </w:t>
      </w:r>
      <w:r>
        <w:t xml:space="preserve">share of global</w:t>
      </w:r>
      <w:r>
        <w:t xml:space="preserve"> </w:t>
      </w:r>
      <w:r>
        <w:t xml:space="preserve">market in 2030</w:t>
      </w:r>
      <w:r>
        <w:t xml:space="preserve"> </w:t>
      </w:r>
      <w:r>
        <w:t xml:space="preserve">Intellectual Property (IP)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Electronic Design Automation (EDA)</w:t>
      </w:r>
      <w:r>
        <w:t xml:space="preserve"> </w:t>
      </w:r>
      <w:r>
        <w:t xml:space="preserve">3.247</w:t>
      </w:r>
      <w:r>
        <w:t xml:space="preserve"> </w:t>
      </w:r>
      <w:r>
        <w:t xml:space="preserve">7,7 %</w:t>
      </w:r>
      <w:r>
        <w:t xml:space="preserve"> </w:t>
      </w:r>
      <w:r>
        <w:t xml:space="preserve">17,9%</w:t>
      </w:r>
      <w:r>
        <w:t xml:space="preserve"> </w:t>
      </w:r>
      <w:r>
        <w:t xml:space="preserve">Capital equipment</w:t>
      </w:r>
      <w:r>
        <w:t xml:space="preserve"> </w:t>
      </w:r>
      <w:r>
        <w:t xml:space="preserve">62.785</w:t>
      </w:r>
      <w:r>
        <w:t xml:space="preserve"> </w:t>
      </w:r>
      <w:r>
        <w:t xml:space="preserve">9,9 %</w:t>
      </w:r>
      <w:r>
        <w:t xml:space="preserve"> </w:t>
      </w:r>
      <w:r>
        <w:t xml:space="preserve">33,5%</w:t>
      </w:r>
      <w:r>
        <w:t xml:space="preserve"> </w:t>
      </w:r>
      <w:r>
        <w:t xml:space="preserve">Foundry services</w:t>
      </w:r>
      <w:r>
        <w:t xml:space="preserve"> </w:t>
      </w:r>
      <w:r>
        <w:t xml:space="preserve">1.007</w:t>
      </w:r>
      <w:r>
        <w:t xml:space="preserve"> </w:t>
      </w:r>
      <w:r>
        <w:t xml:space="preserve">3,0 %</w:t>
      </w:r>
      <w:r>
        <w:t xml:space="preserve"> </w:t>
      </w:r>
      <w:r>
        <w:t xml:space="preserve">0,5%</w:t>
      </w:r>
      <w:r>
        <w:t xml:space="preserve"> </w:t>
      </w:r>
      <w:r>
        <w:t xml:space="preserve">OSAT</w:t>
      </w:r>
      <w:r>
        <w:t xml:space="preserve"> </w:t>
      </w:r>
      <w:r>
        <w:t xml:space="preserve">-</w:t>
      </w:r>
    </w:p>
    <w:p>
      <w:pPr>
        <w:pStyle w:val="Compact"/>
        <w:numPr>
          <w:ilvl w:val="0"/>
          <w:numId w:val="1041"/>
        </w:numPr>
      </w:pPr>
      <w:r>
        <w:t xml:space="preserve">Semiconductor devices</w:t>
      </w:r>
      <w:r>
        <w:t xml:space="preserve"> </w:t>
      </w:r>
      <w:r>
        <w:t xml:space="preserve">85.073</w:t>
      </w:r>
      <w:r>
        <w:t xml:space="preserve"> </w:t>
      </w:r>
      <w:r>
        <w:t xml:space="preserve">7,7 %</w:t>
      </w:r>
      <w:r>
        <w:t xml:space="preserve"> </w:t>
      </w:r>
      <w:r>
        <w:t xml:space="preserve">9,6%</w:t>
      </w:r>
      <w:r>
        <w:t xml:space="preserve"> </w:t>
      </w:r>
      <w:r>
        <w:t xml:space="preserve">Materials</w:t>
      </w:r>
      <w:r>
        <w:t xml:space="preserve"> </w:t>
      </w:r>
      <w:r>
        <w:t xml:space="preserve">14.319</w:t>
      </w:r>
      <w:r>
        <w:t xml:space="preserve"> </w:t>
      </w:r>
      <w:r>
        <w:t xml:space="preserve">5,1 %</w:t>
      </w:r>
      <w:r>
        <w:t xml:space="preserve"> </w:t>
      </w:r>
      <w:r>
        <w:t xml:space="preserve">18,7%</w:t>
      </w:r>
      <w:r>
        <w:t xml:space="preserve"> </w:t>
      </w:r>
      <w:r>
        <w:t xml:space="preserve">Total</w:t>
      </w:r>
      <w:r>
        <w:t xml:space="preserve"> </w:t>
      </w:r>
      <w:r>
        <w:t xml:space="preserve">166.432</w:t>
      </w:r>
      <w:r>
        <w:t xml:space="preserve"> </w:t>
      </w:r>
      <w:r>
        <w:t xml:space="preserve">8.3%</w:t>
      </w:r>
      <w:r>
        <w:t xml:space="preserve"> </w:t>
      </w:r>
      <w:r>
        <w:t xml:space="preserve">11.6%</w:t>
      </w:r>
    </w:p>
    <w:p>
      <w:pPr>
        <w:pStyle w:val="FirstParagraph"/>
      </w:pPr>
      <w:r>
        <w:t xml:space="preserve">To extend the BAU projection to 2035, we are applying a rate consistent with long-term</w:t>
      </w:r>
      <w:r>
        <w:t xml:space="preserve"> </w:t>
      </w:r>
      <w:r>
        <w:t xml:space="preserve">global semiconductor trends observed in the literature. WSTS publishes only short- to</w:t>
      </w:r>
      <w:r>
        <w:t xml:space="preserve"> </w:t>
      </w:r>
      <w:r>
        <w:t xml:space="preserve">medium-term forecasts, but a range of industry sources provide useful evidence for long-term</w:t>
      </w:r>
      <w:r>
        <w:t xml:space="preserve"> </w:t>
      </w:r>
      <w:r>
        <w:t xml:space="preserve">semiconductor market growth. According to the WSTS Spring 2025 forecast, the global</w:t>
      </w:r>
      <w:r>
        <w:t xml:space="preserve"> </w:t>
      </w:r>
      <w:r>
        <w:t xml:space="preserve">semiconductor market is expected to rebound strongly, expanding by +15.4 % in 2025 to</w:t>
      </w:r>
      <w:r>
        <w:t xml:space="preserve"> </w:t>
      </w:r>
      <w:r>
        <w:t xml:space="preserve">USD 728 billion, followed by +9.9 % growth in 2026 to USD 800 billion. Looking further</w:t>
      </w:r>
      <w:r>
        <w:t xml:space="preserve"> </w:t>
      </w:r>
      <w:r>
        <w:t xml:space="preserve">ahead, several independent analyses converge around a mid-single-digit long-term Compound</w:t>
      </w:r>
      <w:r>
        <w:t xml:space="preserve"> </w:t>
      </w:r>
      <w:r>
        <w:t xml:space="preserve">Annual Growth Rate (CAGR). RootsAnalysis projects a 5.08 % CAGR from 2024 to 2035 for</w:t>
      </w:r>
      <w:r>
        <w:t xml:space="preserve"> </w:t>
      </w:r>
      <w:r>
        <w:t xml:space="preserve">the global semiconductor market. Alvarez &amp; Marsal, using WSTS historical data, assume a 5–</w:t>
      </w:r>
    </w:p>
    <w:p>
      <w:pPr>
        <w:pStyle w:val="BodyText"/>
      </w:pPr>
      <w:r>
        <w:t xml:space="preserve">106</w:t>
      </w:r>
      <w:r>
        <w:t xml:space="preserve"> </w:t>
      </w:r>
      <w:r>
        <w:t xml:space="preserve">6 % CAGR to support their projection that the industry will reach USD 1 trillion by the mid-</w:t>
      </w:r>
      <w:r>
        <w:t xml:space="preserve"> </w:t>
      </w:r>
      <w:r>
        <w:t xml:space="preserve">2030s. Similarly, the Futurum Group states that the semiconductor industry has stabilised</w:t>
      </w:r>
      <w:r>
        <w:t xml:space="preserve"> </w:t>
      </w:r>
      <w:r>
        <w:t xml:space="preserve">around a 6 % long-term growth rate, which they adopt as the benchmark for their forecasts.</w:t>
      </w:r>
      <w:r>
        <w:t xml:space="preserve"> </w:t>
      </w:r>
      <w:r>
        <w:t xml:space="preserve">Taken together, these sources justify the use of a 5–6 % compound annual growth rate</w:t>
      </w:r>
      <w:r>
        <w:t xml:space="preserve"> </w:t>
      </w:r>
      <w:r>
        <w:t xml:space="preserve">(CAGR) as an industry consensus long-term assumption for modelling global semiconductor</w:t>
      </w:r>
      <w:r>
        <w:t xml:space="preserve"> </w:t>
      </w:r>
      <w:r>
        <w:t xml:space="preserve">market expansion. Given these structural conditions, Europe’s semiconductor value chain</w:t>
      </w:r>
      <w:r>
        <w:t xml:space="preserve"> </w:t>
      </w:r>
      <w:r>
        <w:t xml:space="preserve">revenues are assumed to grow in line with but below global averages.</w:t>
      </w:r>
      <w:r>
        <w:t xml:space="preserve"> </w:t>
      </w:r>
      <w:r>
        <w:t xml:space="preserve">In addition, the modelling distinguishes between value-chain segments according to their</w:t>
      </w:r>
      <w:r>
        <w:t xml:space="preserve"> </w:t>
      </w:r>
      <w:r>
        <w:t xml:space="preserve">exposure to global AI-driven growth. Semiconductor devices shape demand for upstream</w:t>
      </w:r>
      <w:r>
        <w:t xml:space="preserve"> </w:t>
      </w:r>
      <w:r>
        <w:t xml:space="preserve">activities and therefore drive overall value-chain dynamics. However, only certain upstream</w:t>
      </w:r>
      <w:r>
        <w:t xml:space="preserve"> </w:t>
      </w:r>
      <w:r>
        <w:t xml:space="preserve">segments in Europe are positioned to benefit from AI-related revenue expansion. In particular,</w:t>
      </w:r>
      <w:r>
        <w:t xml:space="preserve"> </w:t>
      </w:r>
      <w:r>
        <w:t xml:space="preserve">EDA and capital equipment suppliers, including ASML, are tightly linked to global leading-</w:t>
      </w:r>
      <w:r>
        <w:t xml:space="preserve"> </w:t>
      </w:r>
      <w:r>
        <w:t xml:space="preserve">edge logic and AI accelerator demand, and their revenues can therefore be assumed to follow</w:t>
      </w:r>
      <w:r>
        <w:t xml:space="preserve"> </w:t>
      </w:r>
      <w:r>
        <w:t xml:space="preserve">the global long-run CAGR (5-6%). In contrast, materials, devices, and foundry services in the</w:t>
      </w:r>
      <w:r>
        <w:t xml:space="preserve"> </w:t>
      </w:r>
      <w:r>
        <w:t xml:space="preserve">EU remain tied to mature-node production as well as automotive and industrial applications,</w:t>
      </w:r>
      <w:r>
        <w:t xml:space="preserve"> </w:t>
      </w:r>
      <w:r>
        <w:t xml:space="preserve">justifying a more conservative 3-4 % CAGR over 2030–2035.</w:t>
      </w:r>
      <w:r>
        <w:t xml:space="preserve"> </w:t>
      </w:r>
      <w:r>
        <w:t xml:space="preserve">Table 9. Assumptions for the revenue growth model. Source: Compiled by the authors.</w:t>
      </w:r>
      <w:r>
        <w:t xml:space="preserve"> </w:t>
      </w:r>
      <w:r>
        <w:t xml:space="preserve">Parameter</w:t>
      </w:r>
      <w:r>
        <w:t xml:space="preserve"> </w:t>
      </w:r>
      <w:r>
        <w:t xml:space="preserve">Global market</w:t>
      </w:r>
      <w:r>
        <w:t xml:space="preserve"> </w:t>
      </w:r>
      <w:r>
        <w:t xml:space="preserve">Europe (BAU)</w:t>
      </w:r>
      <w:r>
        <w:t xml:space="preserve"> </w:t>
      </w:r>
      <w:r>
        <w:t xml:space="preserve">Comment</w:t>
      </w:r>
      <w:r>
        <w:t xml:space="preserve"> </w:t>
      </w:r>
      <w:r>
        <w:t xml:space="preserve">2030–2035</w:t>
      </w:r>
      <w:r>
        <w:t xml:space="preserve"> </w:t>
      </w:r>
      <w:r>
        <w:t xml:space="preserve">CAGR</w:t>
      </w:r>
      <w:r>
        <w:t xml:space="preserve"> </w:t>
      </w:r>
      <w:r>
        <w:t xml:space="preserve">5–6 %</w:t>
      </w:r>
      <w:r>
        <w:br/>
      </w:r>
      <w:r>
        <w:t xml:space="preserve">Two rates applied: 5–6 % for</w:t>
      </w:r>
      <w:r>
        <w:t xml:space="preserve"> </w:t>
      </w:r>
      <w:r>
        <w:t xml:space="preserve">EDA and equipment; 3–4 % for</w:t>
      </w:r>
      <w:r>
        <w:t xml:space="preserve"> </w:t>
      </w:r>
      <w:r>
        <w:t xml:space="preserve">materials, devices, and foundry</w:t>
      </w:r>
      <w:r>
        <w:t xml:space="preserve"> </w:t>
      </w:r>
      <w:r>
        <w:t xml:space="preserve">(3.5% taken as a central</w:t>
      </w:r>
      <w:r>
        <w:t xml:space="preserve"> </w:t>
      </w:r>
      <w:r>
        <w:t xml:space="preserve">estimate)</w:t>
      </w:r>
      <w:r>
        <w:t xml:space="preserve"> </w:t>
      </w:r>
      <w:r>
        <w:t xml:space="preserve">Adjusted for limited</w:t>
      </w:r>
      <w:r>
        <w:t xml:space="preserve"> </w:t>
      </w:r>
      <w:r>
        <w:t xml:space="preserve">exposure to AI-</w:t>
      </w:r>
      <w:r>
        <w:t xml:space="preserve"> </w:t>
      </w:r>
      <w:r>
        <w:t xml:space="preserve">driven growth and</w:t>
      </w:r>
      <w:r>
        <w:t xml:space="preserve"> </w:t>
      </w:r>
      <w:r>
        <w:t xml:space="preserve">mature product mix</w:t>
      </w:r>
      <w:r>
        <w:t xml:space="preserve"> </w:t>
      </w:r>
      <w:r>
        <w:t xml:space="preserve">Growth</w:t>
      </w:r>
      <w:r>
        <w:t xml:space="preserve"> </w:t>
      </w:r>
      <w:r>
        <w:t xml:space="preserve">driver</w:t>
      </w:r>
      <w:r>
        <w:t xml:space="preserve"> </w:t>
      </w:r>
      <w:r>
        <w:t xml:space="preserve">AI logic, HBM,</w:t>
      </w:r>
      <w:r>
        <w:t xml:space="preserve"> </w:t>
      </w:r>
      <w:r>
        <w:t xml:space="preserve">accelerators</w:t>
      </w:r>
      <w:r>
        <w:t xml:space="preserve"> </w:t>
      </w:r>
      <w:r>
        <w:t xml:space="preserve">Automotive, power, industrial</w:t>
      </w:r>
      <w:r>
        <w:t xml:space="preserve"> </w:t>
      </w:r>
      <w:r>
        <w:t xml:space="preserve">semiconductors</w:t>
      </w:r>
      <w:r>
        <w:t xml:space="preserve"> </w:t>
      </w:r>
      <w:r>
        <w:t xml:space="preserve">ASP divergence</w:t>
      </w:r>
      <w:r>
        <w:t xml:space="preserve"> </w:t>
      </w:r>
      <w:r>
        <w:t xml:space="preserve">Relative</w:t>
      </w:r>
      <w:r>
        <w:t xml:space="preserve"> </w:t>
      </w:r>
      <w:r>
        <w:t xml:space="preserve">global share</w:t>
      </w:r>
      <w:r>
        <w:t xml:space="preserve"> </w:t>
      </w:r>
      <w:r>
        <w:t xml:space="preserve">Concentration in</w:t>
      </w:r>
      <w:r>
        <w:t xml:space="preserve"> </w:t>
      </w:r>
      <w:r>
        <w:t xml:space="preserve">Asia and US</w:t>
      </w:r>
      <w:r>
        <w:t xml:space="preserve"> </w:t>
      </w:r>
      <w:r>
        <w:t xml:space="preserve">Stable at 11–12 % (111)</w:t>
      </w:r>
      <w:r>
        <w:t xml:space="preserve"> </w:t>
      </w:r>
      <w:r>
        <w:t xml:space="preserve">No structural</w:t>
      </w:r>
      <w:r>
        <w:t xml:space="preserve"> </w:t>
      </w:r>
      <w:r>
        <w:t xml:space="preserve">capacity shift</w:t>
      </w:r>
      <w:r>
        <w:t xml:space="preserve"> </w:t>
      </w:r>
      <w:r>
        <w:t xml:space="preserve">expected</w:t>
      </w:r>
      <w:r>
        <w:t xml:space="preserve"> </w:t>
      </w:r>
      <w:r>
        <w:t xml:space="preserve">Key risks</w:t>
      </w:r>
      <w:r>
        <w:t xml:space="preserve"> </w:t>
      </w:r>
      <w:r>
        <w:t xml:space="preserve">AI-cycle volatility,</w:t>
      </w:r>
      <w:r>
        <w:t xml:space="preserve"> </w:t>
      </w:r>
      <w:r>
        <w:t xml:space="preserve">trade barriers,</w:t>
      </w:r>
      <w:r>
        <w:t xml:space="preserve"> </w:t>
      </w:r>
      <w:r>
        <w:t xml:space="preserve">CAPEX constraints</w:t>
      </w:r>
      <w:r>
        <w:t xml:space="preserve"> </w:t>
      </w:r>
      <w:r>
        <w:t xml:space="preserve">Energy prices, project delays,</w:t>
      </w:r>
      <w:r>
        <w:t xml:space="preserve"> </w:t>
      </w:r>
      <w:r>
        <w:t xml:space="preserve">limited AI participation</w:t>
      </w:r>
      <w:r>
        <w:t xml:space="preserve"> </w:t>
      </w:r>
      <w:r>
        <w:t xml:space="preserve">Structural, not</w:t>
      </w:r>
      <w:r>
        <w:t xml:space="preserve"> </w:t>
      </w:r>
      <w:r>
        <w:t xml:space="preserve">cyclical</w:t>
      </w:r>
      <w:r>
        <w:t xml:space="preserve"> </w:t>
      </w:r>
      <w:r>
        <w:t xml:space="preserve">The BAU projection therefore applies differentiated growth assumptions across value-chain</w:t>
      </w:r>
      <w:r>
        <w:t xml:space="preserve"> </w:t>
      </w:r>
      <w:r>
        <w:t xml:space="preserve">segments, with EDA and equipment following a 5–6 % CAGR and materials, devices and</w:t>
      </w:r>
      <w:r>
        <w:t xml:space="preserve"> </w:t>
      </w:r>
      <w:r>
        <w:t xml:space="preserve">foundry following a 3–4 % CAGR. To illustrate these differentiated growth paths, the 2030</w:t>
      </w:r>
      <w:r>
        <w:t xml:space="preserve"> </w:t>
      </w:r>
      <w:r>
        <w:t xml:space="preserve">IDC values for the relevant segments (Table 2) are projected forward to 2035:</w:t>
      </w:r>
      <w:r>
        <w:t xml:space="preserve"> </w:t>
      </w:r>
      <w:r>
        <w:t xml:space="preserve">• EDA (EUR 3.247 bn, 2030)</w:t>
      </w:r>
      <w:r>
        <w:t xml:space="preserve"> </w:t>
      </w:r>
      <w:r>
        <w:t xml:space="preserve">– 5 % CAGR → EUR 4.14 bn in 2035</w:t>
      </w:r>
      <w:r>
        <w:t xml:space="preserve"> </w:t>
      </w:r>
      <w:r>
        <w:t xml:space="preserve">– 6 % CAGR → EUR 4.33 bn in 2035</w:t>
      </w:r>
    </w:p>
    <w:p>
      <w:pPr>
        <w:pStyle w:val="Compact"/>
        <w:numPr>
          <w:ilvl w:val="0"/>
          <w:numId w:val="1042"/>
        </w:numPr>
      </w:pPr>
      <w:r>
        <w:t xml:space="preserve">Europe’s recent revenue share has shown short-term volatility due to downturns in automotive and industrial</w:t>
      </w:r>
      <w:r>
        <w:t xml:space="preserve"> </w:t>
      </w:r>
      <w:r>
        <w:t xml:space="preserve">semiconductors, although its medium-term structural share typically remains within the 10–12 % range.</w:t>
      </w:r>
    </w:p>
    <w:p>
      <w:pPr>
        <w:pStyle w:val="FirstParagraph"/>
      </w:pPr>
      <w:r>
        <w:t xml:space="preserve">107</w:t>
      </w:r>
      <w:r>
        <w:t xml:space="preserve"> </w:t>
      </w:r>
      <w:r>
        <w:t xml:space="preserve">• Capital equipment (EUR 62.785 bn, 2030)</w:t>
      </w:r>
      <w:r>
        <w:t xml:space="preserve"> </w:t>
      </w:r>
      <w:r>
        <w:t xml:space="preserve">– 5 % CAGR → EUR 80.2 bn in 2035</w:t>
      </w:r>
      <w:r>
        <w:t xml:space="preserve"> </w:t>
      </w:r>
      <w:r>
        <w:t xml:space="preserve">– 6 % CAGR → EUR 83.9 bn in 2035</w:t>
      </w:r>
      <w:r>
        <w:t xml:space="preserve"> </w:t>
      </w:r>
      <w:r>
        <w:t xml:space="preserve">Subtotal for EDA + equipment in 2035:</w:t>
      </w:r>
      <w:r>
        <w:t xml:space="preserve"> </w:t>
      </w:r>
      <w:r>
        <w:t xml:space="preserve">EUR 84.3–88.2 bn</w:t>
      </w:r>
      <w:r>
        <w:t xml:space="preserve"> </w:t>
      </w:r>
      <w:r>
        <w:t xml:space="preserve">• Devices (EUR 85.073 bn, 2030), as also discussed in section 13.1.1, and included here</w:t>
      </w:r>
      <w:r>
        <w:t xml:space="preserve"> </w:t>
      </w:r>
      <w:r>
        <w:t xml:space="preserve">for the sake of completeness</w:t>
      </w:r>
      <w:r>
        <w:t xml:space="preserve"> </w:t>
      </w:r>
      <w:r>
        <w:t xml:space="preserve">– 3 % CAGR → EUR 98.7 bn</w:t>
      </w:r>
      <w:r>
        <w:t xml:space="preserve"> </w:t>
      </w:r>
      <w:r>
        <w:t xml:space="preserve">– 4 % CAGR → EUR 103.5 bn</w:t>
      </w:r>
      <w:r>
        <w:t xml:space="preserve"> </w:t>
      </w:r>
      <w:r>
        <w:t xml:space="preserve">• Materials (EUR 14.319 bn, 2030)</w:t>
      </w:r>
      <w:r>
        <w:t xml:space="preserve"> </w:t>
      </w:r>
      <w:r>
        <w:t xml:space="preserve">– 3 % CAGR → EUR 16.6 bn</w:t>
      </w:r>
      <w:r>
        <w:t xml:space="preserve"> </w:t>
      </w:r>
      <w:r>
        <w:t xml:space="preserve">– 4 % CAGR → EUR 17.4 bn</w:t>
      </w:r>
      <w:r>
        <w:t xml:space="preserve"> </w:t>
      </w:r>
      <w:r>
        <w:t xml:space="preserve">• Foundry (EUR 1.007 bn, 2030)</w:t>
      </w:r>
      <w:r>
        <w:t xml:space="preserve"> </w:t>
      </w:r>
      <w:r>
        <w:t xml:space="preserve">– 3 % CAGR → EUR 1.17 bn</w:t>
      </w:r>
      <w:r>
        <w:t xml:space="preserve"> </w:t>
      </w:r>
      <w:r>
        <w:t xml:space="preserve">– 4 % CAGR → EUR 1.22 bn</w:t>
      </w:r>
      <w:r>
        <w:t xml:space="preserve"> </w:t>
      </w:r>
      <w:r>
        <w:t xml:space="preserve">Subtotal for materials + devices + foundry in 2035:</w:t>
      </w:r>
      <w:r>
        <w:t xml:space="preserve"> </w:t>
      </w:r>
      <w:r>
        <w:t xml:space="preserve">EUR 116.5–122.1 bn</w:t>
      </w:r>
      <w:r>
        <w:t xml:space="preserve"> </w:t>
      </w:r>
      <w:r>
        <w:t xml:space="preserve">Combined EU27 semiconductor value chain projection for 2035:</w:t>
      </w:r>
      <w:r>
        <w:t xml:space="preserve"> </w:t>
      </w:r>
      <w:r>
        <w:t xml:space="preserve">• Low case: 84.3 + 116.5 ≈ EUR 200.8 bn</w:t>
      </w:r>
      <w:r>
        <w:t xml:space="preserve"> </w:t>
      </w:r>
      <w:r>
        <w:t xml:space="preserve">• High case: 88.2 + 122.1 ≈ EUR 210.3 bn</w:t>
      </w:r>
      <w:r>
        <w:t xml:space="preserve"> </w:t>
      </w:r>
      <w:r>
        <w:t xml:space="preserve">• Central estimate ≈ EUR 205 bn</w:t>
      </w:r>
      <w:r>
        <w:t xml:space="preserve"> </w:t>
      </w:r>
      <w:r>
        <w:t xml:space="preserve">Under the revised BAU assumption, which now reflects the distinct growth trajectories of AI-</w:t>
      </w:r>
      <w:r>
        <w:t xml:space="preserve"> </w:t>
      </w:r>
      <w:r>
        <w:t xml:space="preserve">exposed (EDA, equipment) and mature-node (materials, devices, foundry112) activities, the</w:t>
      </w:r>
      <w:r>
        <w:t xml:space="preserve"> </w:t>
      </w:r>
      <w:r>
        <w:t xml:space="preserve">EU27 semiconductor value chain increases from EUR 166.4 billion in 2030 to approximately</w:t>
      </w:r>
      <w:r>
        <w:t xml:space="preserve"> </w:t>
      </w:r>
      <w:r>
        <w:t xml:space="preserve">EUR 201–210 billion in 2035. The central estimate of EUR 205 billion reflects the uplift from</w:t>
      </w:r>
      <w:r>
        <w:t xml:space="preserve"> </w:t>
      </w:r>
      <w:r>
        <w:t xml:space="preserve">globally exposed equipment and EDA segments. Over the full 2023–2035 period, the EU27</w:t>
      </w:r>
      <w:r>
        <w:t xml:space="preserve"> </w:t>
      </w:r>
      <w:r>
        <w:t xml:space="preserve">semiconductor value chain is therefore projected to grow from EUR 95.9 billion to around</w:t>
      </w:r>
      <w:r>
        <w:t xml:space="preserve"> </w:t>
      </w:r>
      <w:r>
        <w:t xml:space="preserve">EUR 205 billion. This corresponds to a cumulative increase of roughly 114 % and an average</w:t>
      </w:r>
      <w:r>
        <w:t xml:space="preserve"> </w:t>
      </w:r>
      <w:r>
        <w:t xml:space="preserve">annual growth rate of around 6.4 %, with most of the expansion occurring before 2030, which</w:t>
      </w:r>
      <w:r>
        <w:t xml:space="preserve"> </w:t>
      </w:r>
      <w:r>
        <w:t xml:space="preserve">is consistent with the assumptions in the BAU scenario described above.</w:t>
      </w:r>
      <w:r>
        <w:t xml:space="preserve"> </w:t>
      </w:r>
      <w:r>
        <w:t xml:space="preserve">From this baseline, the modelling assesses how changes in capacity, demand, and policy</w:t>
      </w:r>
      <w:r>
        <w:t xml:space="preserve"> </w:t>
      </w:r>
      <w:r>
        <w:t xml:space="preserve">conditions influence Europe’s competitiveness and vulnerability over time. This approach</w:t>
      </w:r>
      <w:r>
        <w:t xml:space="preserve"> </w:t>
      </w:r>
      <w:r>
        <w:t xml:space="preserve">captures both quantitative trends, such as shifts in market share or dependency, and</w:t>
      </w:r>
      <w:r>
        <w:t xml:space="preserve"> </w:t>
      </w:r>
      <w:r>
        <w:t xml:space="preserve">qualitative changes in resilience.</w:t>
      </w:r>
      <w:r>
        <w:t xml:space="preserve"> </w:t>
      </w:r>
      <w:r>
        <w:t xml:space="preserve">The forward-looking assessment is structured around three key drivers: capacity evolution,</w:t>
      </w:r>
      <w:r>
        <w:t xml:space="preserve"> </w:t>
      </w:r>
      <w:r>
        <w:t xml:space="preserve">demand dynamics, and policy and geo-economic conditions. Together, these drivers</w:t>
      </w:r>
    </w:p>
    <w:p>
      <w:pPr>
        <w:pStyle w:val="BodyText"/>
      </w:pPr>
      <w:r>
        <w:t xml:space="preserve">112 Foundry here refers to foundry activities by EU headquartered companies, which exclusively manufacture</w:t>
      </w:r>
      <w:r>
        <w:t xml:space="preserve"> </w:t>
      </w:r>
      <w:r>
        <w:t xml:space="preserve">mature node semiconductors.</w:t>
      </w:r>
    </w:p>
    <w:p>
      <w:pPr>
        <w:pStyle w:val="BodyText"/>
      </w:pPr>
      <w:r>
        <w:t xml:space="preserve">108</w:t>
      </w:r>
      <w:r>
        <w:t xml:space="preserve"> </w:t>
      </w:r>
      <w:r>
        <w:t xml:space="preserve">determine how Europe’s market share, import dependency, and resilience are likely to</w:t>
      </w:r>
      <w:r>
        <w:t xml:space="preserve"> </w:t>
      </w:r>
      <w:r>
        <w:t xml:space="preserve">develop under the business-as-usual scenario and under alternative policy scenarios.</w:t>
      </w:r>
      <w:r>
        <w:t xml:space="preserve"> </w:t>
      </w:r>
      <w:r>
        <w:t xml:space="preserve">Capacity evolution</w:t>
      </w:r>
      <w:r>
        <w:t xml:space="preserve"> </w:t>
      </w:r>
      <w:r>
        <w:t xml:space="preserve">•</w:t>
      </w:r>
      <w:r>
        <w:t xml:space="preserve"> </w:t>
      </w:r>
      <w:r>
        <w:t xml:space="preserve">Effect on market share: New fabrication plants, wafer facilities, or equipment</w:t>
      </w:r>
      <w:r>
        <w:t xml:space="preserve"> </w:t>
      </w:r>
      <w:r>
        <w:t xml:space="preserve">production increase the EU’s contribution to global output. Additional European</w:t>
      </w:r>
      <w:r>
        <w:t xml:space="preserve"> </w:t>
      </w:r>
      <w:r>
        <w:t xml:space="preserve">capacity therefore lifts market share relative to global totals.</w:t>
      </w:r>
      <w:r>
        <w:t xml:space="preserve"> </w:t>
      </w:r>
      <w:r>
        <w:t xml:space="preserve">•</w:t>
      </w:r>
      <w:r>
        <w:t xml:space="preserve"> </w:t>
      </w:r>
      <w:r>
        <w:t xml:space="preserve">Effect on import dependency: Higher domestic output reduces the need for imports.</w:t>
      </w:r>
      <w:r>
        <w:t xml:space="preserve"> </w:t>
      </w:r>
      <w:r>
        <w:t xml:space="preserve">Delays, cost overruns, or slow uptake of First-of-a-Kind facilities, as noted by the</w:t>
      </w:r>
      <w:r>
        <w:t xml:space="preserve"> </w:t>
      </w:r>
      <w:r>
        <w:t xml:space="preserve">European Court of Auditors (2025), limit these gains.</w:t>
      </w:r>
      <w:r>
        <w:t xml:space="preserve"> </w:t>
      </w:r>
      <w:r>
        <w:t xml:space="preserve">•</w:t>
      </w:r>
      <w:r>
        <w:t xml:space="preserve"> </w:t>
      </w:r>
      <w:r>
        <w:t xml:space="preserve">Effect on resilience: More domestic capacity increases redundancy and reduces</w:t>
      </w:r>
      <w:r>
        <w:t xml:space="preserve"> </w:t>
      </w:r>
      <w:r>
        <w:t xml:space="preserve">supply chain length, improving resilience in front-end manufacturing and materials.</w:t>
      </w:r>
      <w:r>
        <w:t xml:space="preserve"> </w:t>
      </w:r>
      <w:r>
        <w:t xml:space="preserve">Policy and geo-economic conditions</w:t>
      </w:r>
      <w:r>
        <w:t xml:space="preserve"> </w:t>
      </w:r>
      <w:r>
        <w:t xml:space="preserve">•</w:t>
      </w:r>
      <w:r>
        <w:t xml:space="preserve"> </w:t>
      </w:r>
      <w:r>
        <w:t xml:space="preserve">Regulatory shocks: Export controls, sanctions, or other restrictions reduce access to</w:t>
      </w:r>
      <w:r>
        <w:t xml:space="preserve"> </w:t>
      </w:r>
      <w:r>
        <w:t xml:space="preserve">parts of the global supply chain and raise import dependency in affected segments.</w:t>
      </w:r>
      <w:r>
        <w:t xml:space="preserve"> </w:t>
      </w:r>
      <w:r>
        <w:t xml:space="preserve">•</w:t>
      </w:r>
      <w:r>
        <w:t xml:space="preserve"> </w:t>
      </w:r>
      <w:r>
        <w:t xml:space="preserve">Critical-material constraints: Shortages of inputs such as gallium, germanium, or</w:t>
      </w:r>
      <w:r>
        <w:t xml:space="preserve"> </w:t>
      </w:r>
      <w:r>
        <w:t xml:space="preserve">neon limit potential production growth. Diversification measures or strategic reserves</w:t>
      </w:r>
      <w:r>
        <w:t xml:space="preserve"> </w:t>
      </w:r>
      <w:r>
        <w:t xml:space="preserve">help ease these constraints. The EU also remains exposed to export restrictions on</w:t>
      </w:r>
      <w:r>
        <w:t xml:space="preserve"> </w:t>
      </w:r>
      <w:r>
        <w:t xml:space="preserve">critical materials such as gallium and germanium, where China dominates global</w:t>
      </w:r>
      <w:r>
        <w:t xml:space="preserve"> </w:t>
      </w:r>
      <w:r>
        <w:t xml:space="preserve">processing and has already introduced targeted export controls. Diversification</w:t>
      </w:r>
      <w:r>
        <w:t xml:space="preserve"> </w:t>
      </w:r>
      <w:r>
        <w:t xml:space="preserve">measures and the development of strategic reserves are intended to mitigate these</w:t>
      </w:r>
      <w:r>
        <w:t xml:space="preserve"> </w:t>
      </w:r>
      <w:r>
        <w:t xml:space="preserve">risks, although their impact is expected to remain gradual over the baseline period.</w:t>
      </w:r>
      <w:r>
        <w:t xml:space="preserve"> </w:t>
      </w:r>
      <w:r>
        <w:t xml:space="preserve">•</w:t>
      </w:r>
      <w:r>
        <w:t xml:space="preserve"> </w:t>
      </w:r>
      <w:r>
        <w:t xml:space="preserve">Supplier concentration: High global concentration in foundries and back-end service</w:t>
      </w:r>
      <w:r>
        <w:t xml:space="preserve"> </w:t>
      </w:r>
      <w:r>
        <w:t xml:space="preserve">providers increases systemic risks and lowers resilience.</w:t>
      </w:r>
      <w:r>
        <w:t xml:space="preserve"> </w:t>
      </w:r>
      <w:r>
        <w:t xml:space="preserve">•</w:t>
      </w:r>
      <w:r>
        <w:t xml:space="preserve"> </w:t>
      </w:r>
      <w:r>
        <w:t xml:space="preserve">Environmental disruptions: More frequent floods, storms, and droughts can interrupt</w:t>
      </w:r>
      <w:r>
        <w:t xml:space="preserve"> </w:t>
      </w:r>
      <w:r>
        <w:t xml:space="preserve">global semiconductor production and logistics, as seen in Taiwan and Japan. These</w:t>
      </w:r>
      <w:r>
        <w:t xml:space="preserve"> </w:t>
      </w:r>
      <w:r>
        <w:t xml:space="preserve">events increase volatility in import availability and may heighten dependency in the</w:t>
      </w:r>
      <w:r>
        <w:t xml:space="preserve"> </w:t>
      </w:r>
      <w:r>
        <w:t xml:space="preserve">short term. Strengthening monitoring, stockpiling, and diversification helps mitigate</w:t>
      </w:r>
      <w:r>
        <w:t xml:space="preserve"> </w:t>
      </w:r>
      <w:r>
        <w:t xml:space="preserve">these risks.</w:t>
      </w:r>
      <w:r>
        <w:t xml:space="preserve"> </w:t>
      </w:r>
      <w:r>
        <w:t xml:space="preserve">•</w:t>
      </w:r>
      <w:r>
        <w:t xml:space="preserve"> </w:t>
      </w:r>
      <w:r>
        <w:t xml:space="preserve">Positive policy levers: Investments supported by the Chips Joint Undertaking,</w:t>
      </w:r>
      <w:r>
        <w:t xml:space="preserve"> </w:t>
      </w:r>
      <w:r>
        <w:t xml:space="preserve">IPCEIs, and State-aid schemes can accelerate technology diffusion and expand</w:t>
      </w:r>
      <w:r>
        <w:t xml:space="preserve"> </w:t>
      </w:r>
      <w:r>
        <w:t xml:space="preserve">domestic capacity. These measures can improve market share and resilience while</w:t>
      </w:r>
      <w:r>
        <w:t xml:space="preserve"> </w:t>
      </w:r>
      <w:r>
        <w:t xml:space="preserve">gradually lowering import dependency.</w:t>
      </w:r>
      <w:r>
        <w:t xml:space="preserve"> </w:t>
      </w:r>
      <w:r>
        <w:t xml:space="preserve">Overview of Business-as-Usual (BAU) scenario</w:t>
      </w:r>
      <w:r>
        <w:t xml:space="preserve"> </w:t>
      </w:r>
      <w:r>
        <w:t xml:space="preserve">The Business-as-Usual (BAU) modelling indicates that Europe’s position in the global</w:t>
      </w:r>
      <w:r>
        <w:t xml:space="preserve"> </w:t>
      </w:r>
      <w:r>
        <w:t xml:space="preserve">semiconductor value chain remains broadly stable, but increasingly constrained by demand as</w:t>
      </w:r>
      <w:r>
        <w:t xml:space="preserve"> </w:t>
      </w:r>
      <w:r>
        <w:t xml:space="preserve">consumption grows faster than domestic production through to 2035. Installed wafer-</w:t>
      </w:r>
      <w:r>
        <w:t xml:space="preserve"> </w:t>
      </w:r>
      <w:r>
        <w:t xml:space="preserve">fabrication capacity in Europe is projected to reach around 1.39 million wafers per month</w:t>
      </w:r>
      <w:r>
        <w:t xml:space="preserve"> </w:t>
      </w:r>
      <w:r>
        <w:t xml:space="preserve">(300 mm equivalent) by 2030, an increase of approximately 31 percent compared with 2023,</w:t>
      </w:r>
      <w:r>
        <w:t xml:space="preserve"> </w:t>
      </w:r>
      <w:r>
        <w:t xml:space="preserve">with a 3.9% annual growth rate. Applying assumed organic growth of 2% to 4% per year</w:t>
      </w:r>
      <w:r>
        <w:t xml:space="preserve"> </w:t>
      </w:r>
      <w:r>
        <w:t xml:space="preserve">from 2030 onwards to reflect incremental brownfield expansion and future, currently</w:t>
      </w:r>
      <w:r>
        <w:t xml:space="preserve"> </w:t>
      </w:r>
      <w:r>
        <w:t xml:space="preserve">unannounced projects, overall capacity is projected to reach between 1.54 and 1.69</w:t>
      </w:r>
      <w:r>
        <w:t xml:space="preserve"> </w:t>
      </w:r>
      <w:r>
        <w:t xml:space="preserve">million wafers per month by 2035. Given that global capacity is expected to expand at 3%</w:t>
      </w:r>
      <w:r>
        <w:t xml:space="preserve"> </w:t>
      </w:r>
      <w:r>
        <w:t xml:space="preserve">to 5% per year, Europe’s share of global wafer capacity therefore remains relatively stable at</w:t>
      </w:r>
      <w:r>
        <w:t xml:space="preserve"> </w:t>
      </w:r>
      <w:r>
        <w:t xml:space="preserve">around 8%.</w:t>
      </w:r>
    </w:p>
    <w:p>
      <w:pPr>
        <w:pStyle w:val="BodyText"/>
      </w:pPr>
      <w:r>
        <w:t xml:space="preserve">109</w:t>
      </w:r>
      <w:r>
        <w:t xml:space="preserve"> </w:t>
      </w:r>
      <w:r>
        <w:t xml:space="preserve">However, capacity stability contrasts with an expansion in European chip demand, especially</w:t>
      </w:r>
      <w:r>
        <w:t xml:space="preserve"> </w:t>
      </w:r>
      <w:r>
        <w:t xml:space="preserve">from the automotive and industrial sectors. The World Semiconductor Trade Statistics</w:t>
      </w:r>
      <w:r>
        <w:t xml:space="preserve"> </w:t>
      </w:r>
      <w:r>
        <w:t xml:space="preserve">(WSTS) projects a 75% increase in semiconductor shipments to Europe between 2017 and</w:t>
      </w:r>
      <w:r>
        <w:t xml:space="preserve"> </w:t>
      </w:r>
      <w:r>
        <w:t xml:space="preserve">2027, while the European semiconductor market which is valued at around EUR 50 billion in</w:t>
      </w:r>
      <w:r>
        <w:t xml:space="preserve"> </w:t>
      </w:r>
      <w:r>
        <w:t xml:space="preserve">2023 continues to grow (113). The automotive segment alone represents approximately 37% of</w:t>
      </w:r>
      <w:r>
        <w:t xml:space="preserve"> </w:t>
      </w:r>
      <w:r>
        <w:t xml:space="preserve">semiconductors shipped to Europe, expanding from EUR 13.05 billion in 2023 to EUR 17.38</w:t>
      </w:r>
      <w:r>
        <w:t xml:space="preserve"> </w:t>
      </w:r>
      <w:r>
        <w:t xml:space="preserve">billion by 2026, an 8.2 percent CAGR (114). This is driven by rising semiconductor intensity</w:t>
      </w:r>
      <w:r>
        <w:t xml:space="preserve"> </w:t>
      </w:r>
      <w:r>
        <w:t xml:space="preserve">per vehicle, particularly in electric and connected models that integrate up to 3,000 chips per</w:t>
      </w:r>
      <w:r>
        <w:t xml:space="preserve"> </w:t>
      </w:r>
      <w:r>
        <w:t xml:space="preserve">unit, compared with 1,000–1,500 in conventional vehicles. Parallel growth in the industrial</w:t>
      </w:r>
      <w:r>
        <w:t xml:space="preserve"> </w:t>
      </w:r>
      <w:r>
        <w:t xml:space="preserve">and communication sectors with shipments of analogue, logic, and sensor components up by</w:t>
      </w:r>
      <w:r>
        <w:t xml:space="preserve"> </w:t>
      </w:r>
      <w:r>
        <w:t xml:space="preserve">30–40% since 2020 further amplifies domestic consumption (115).</w:t>
      </w:r>
      <w:r>
        <w:t xml:space="preserve"> </w:t>
      </w:r>
      <w:r>
        <w:t xml:space="preserve">Although Europe has expanded its semiconductor manufacturing capacity since the COVID-</w:t>
      </w:r>
      <w:r>
        <w:t xml:space="preserve"> </w:t>
      </w:r>
      <w:r>
        <w:t xml:space="preserve">19 shortages, in the long term this growth remains insufficient to keep pace with projected</w:t>
      </w:r>
      <w:r>
        <w:t xml:space="preserve"> </w:t>
      </w:r>
      <w:r>
        <w:t xml:space="preserve">increases in semiconductor consumption. As a result, apparent consumption continues to</w:t>
      </w:r>
      <w:r>
        <w:t xml:space="preserve"> </w:t>
      </w:r>
      <w:r>
        <w:t xml:space="preserve">outstrip domestic output, and import dependence remains high. Only limited improvements</w:t>
      </w:r>
      <w:r>
        <w:t xml:space="preserve"> </w:t>
      </w:r>
      <w:r>
        <w:t xml:space="preserve">are visible in the upstream segments, where diversification efforts modestly reduce reliance</w:t>
      </w:r>
      <w:r>
        <w:t xml:space="preserve"> </w:t>
      </w:r>
      <w:r>
        <w:t xml:space="preserve">on non-EU inputs.</w:t>
      </w:r>
      <w:r>
        <w:br/>
      </w:r>
      <w:r>
        <w:t xml:space="preserve">Europe retains a strong position in lithography through ASML, which helps sustain a stable</w:t>
      </w:r>
      <w:r>
        <w:t xml:space="preserve"> </w:t>
      </w:r>
      <w:r>
        <w:t xml:space="preserve">share of roughly 25% in this specific subsegment of semiconductor manufacturing equipment.</w:t>
      </w:r>
      <w:r>
        <w:t xml:space="preserve"> </w:t>
      </w:r>
      <w:r>
        <w:t xml:space="preserve">However, this strength does not extend across the full equipment landscape.</w:t>
      </w:r>
      <w:r>
        <w:br/>
      </w:r>
      <w:r>
        <w:t xml:space="preserve">By contrast, front-end manufacturing shows limited change: new fabs in Ireland, France, and</w:t>
      </w:r>
      <w:r>
        <w:t xml:space="preserve"> </w:t>
      </w:r>
      <w:r>
        <w:t xml:space="preserve">Germany help stabilise Europe’s position, but dependency remains close to 50% and market</w:t>
      </w:r>
      <w:r>
        <w:t xml:space="preserve"> </w:t>
      </w:r>
      <w:r>
        <w:t xml:space="preserve">share around 9%. Here, very high dependency remains when it comes to advanced logic and</w:t>
      </w:r>
      <w:r>
        <w:t xml:space="preserve"> </w:t>
      </w:r>
      <w:r>
        <w:t xml:space="preserve">memory. The most significant vulnerabilities persist in assembly, test, and packaging, where</w:t>
      </w:r>
      <w:r>
        <w:t xml:space="preserve"> </w:t>
      </w:r>
      <w:r>
        <w:t xml:space="preserve">dependency exceeds 60%, and in downstream integration, where reliance on external</w:t>
      </w:r>
      <w:r>
        <w:t xml:space="preserve"> </w:t>
      </w:r>
      <w:r>
        <w:t xml:space="preserve">suppliers for around 70% of system assembly continues.</w:t>
      </w:r>
      <w:r>
        <w:t xml:space="preserve"> </w:t>
      </w:r>
      <w:r>
        <w:t xml:space="preserve">Under the Business-as-Usual trajectory, the resilience of Europe’s semiconductor value chain</w:t>
      </w:r>
      <w:r>
        <w:t xml:space="preserve"> </w:t>
      </w:r>
      <w:r>
        <w:t xml:space="preserve">improves only marginally and unevenly across segments. Incremental capacity additions and</w:t>
      </w:r>
      <w:r>
        <w:t xml:space="preserve"> </w:t>
      </w:r>
      <w:r>
        <w:t xml:space="preserve">limited diversification reduce exposure in a few upstream areas, particularly chemicals, and</w:t>
      </w:r>
      <w:r>
        <w:t xml:space="preserve"> </w:t>
      </w:r>
      <w:r>
        <w:t xml:space="preserve">wafer substrates, but systemic vulnerabilities persist in the front-end and back-end stages</w:t>
      </w:r>
      <w:r>
        <w:t xml:space="preserve"> </w:t>
      </w:r>
      <w:r>
        <w:t xml:space="preserve">where Europe remains structurally import-dependent. Resilience gains are further offset by</w:t>
      </w:r>
      <w:r>
        <w:t xml:space="preserve"> </w:t>
      </w:r>
      <w:r>
        <w:t xml:space="preserve">external factors, including high global concentration in foundries and packaging services and</w:t>
      </w:r>
      <w:r>
        <w:t xml:space="preserve"> </w:t>
      </w:r>
      <w:r>
        <w:t xml:space="preserve">the rising incidence of environmental disruptions, such as floods, storms, and droughts. These</w:t>
      </w:r>
      <w:r>
        <w:t xml:space="preserve"> </w:t>
      </w:r>
      <w:r>
        <w:t xml:space="preserve">events have already disrupted semiconductor production in regions such as Taiwan and Japan</w:t>
      </w:r>
      <w:r>
        <w:t xml:space="preserve"> </w:t>
      </w:r>
      <w:r>
        <w:t xml:space="preserve">and increase volatility in supply availability. As a result, the overall resilience profile</w:t>
      </w:r>
      <w:r>
        <w:t xml:space="preserve"> </w:t>
      </w:r>
      <w:r>
        <w:t xml:space="preserve">stabilises rather than strengthens, with systemic exposure largely unchanged.</w:t>
      </w:r>
      <w:r>
        <w:t xml:space="preserve"> </w:t>
      </w:r>
      <w:r>
        <w:t xml:space="preserve">Table 10. Assumed direction for EU market share, import dependency and resilience</w:t>
      </w:r>
      <w:r>
        <w:t xml:space="preserve"> </w:t>
      </w:r>
      <w:r>
        <w:t xml:space="preserve">under BAU scenario.</w:t>
      </w:r>
    </w:p>
    <w:p>
      <w:pPr>
        <w:pStyle w:val="Compact"/>
        <w:numPr>
          <w:ilvl w:val="0"/>
          <w:numId w:val="1043"/>
        </w:numPr>
      </w:pPr>
      <w:r>
        <w:t xml:space="preserve">European Commission, Joint Research Centre. (2025). EU’s strengths and weaknesses in the global semiconductor</w:t>
      </w:r>
      <w:r>
        <w:t xml:space="preserve"> </w:t>
      </w:r>
      <w:r>
        <w:t xml:space="preserve">sector (JRC141323). Publications Office of the European Union. https://data.europa.eu/doi/10.2760/6302476</w:t>
      </w:r>
    </w:p>
    <w:p>
      <w:pPr>
        <w:pStyle w:val="Compact"/>
        <w:numPr>
          <w:ilvl w:val="0"/>
          <w:numId w:val="1043"/>
        </w:numPr>
      </w:pPr>
      <w:r>
        <w:t xml:space="preserve">Compound Annual Growth Rate.</w:t>
      </w:r>
    </w:p>
    <w:p>
      <w:pPr>
        <w:pStyle w:val="Compact"/>
        <w:numPr>
          <w:ilvl w:val="0"/>
          <w:numId w:val="1043"/>
        </w:numPr>
      </w:pPr>
      <w:r>
        <w:t xml:space="preserve">European Commission, Joint Research Centre. (2025). EU’s strengths and weaknesses in the global semiconductor</w:t>
      </w:r>
      <w:r>
        <w:t xml:space="preserve"> </w:t>
      </w:r>
      <w:r>
        <w:t xml:space="preserve">sector (JRC141323). Publications Office of the European Union. https://data.europa.eu/doi/10.2760/6302476</w:t>
      </w:r>
    </w:p>
    <w:p>
      <w:pPr>
        <w:pStyle w:val="FirstParagraph"/>
      </w:pPr>
      <w:r>
        <w:t xml:space="preserve">110</w:t>
      </w:r>
      <w:r>
        <w:t xml:space="preserve"> </w:t>
      </w:r>
      <w:r>
        <w:t xml:space="preserve">IDC</w:t>
      </w:r>
      <w:r>
        <w:t xml:space="preserve"> </w:t>
      </w:r>
      <w:r>
        <w:t xml:space="preserve">Segment</w:t>
      </w:r>
      <w:r>
        <w:t xml:space="preserve"> </w:t>
      </w:r>
      <w:r>
        <w:t xml:space="preserve">EU Market</w:t>
      </w:r>
      <w:r>
        <w:t xml:space="preserve"> </w:t>
      </w:r>
      <w:r>
        <w:t xml:space="preserve">Share (2023 →</w:t>
      </w:r>
      <w:r>
        <w:t xml:space="preserve"> </w:t>
      </w:r>
      <w:r>
        <w:t xml:space="preserve">2030 → 2035)</w:t>
      </w:r>
      <w:r>
        <w:t xml:space="preserve"> </w:t>
      </w:r>
      <w:r>
        <w:t xml:space="preserve">Import</w:t>
      </w:r>
      <w:r>
        <w:t xml:space="preserve"> </w:t>
      </w:r>
      <w:r>
        <w:t xml:space="preserve">Dependency</w:t>
      </w:r>
      <w:r>
        <w:t xml:space="preserve"> </w:t>
      </w:r>
      <w:r>
        <w:t xml:space="preserve">(2023 →</w:t>
      </w:r>
      <w:r>
        <w:t xml:space="preserve"> </w:t>
      </w:r>
      <w:r>
        <w:t xml:space="preserve">2030 →</w:t>
      </w:r>
      <w:r>
        <w:t xml:space="preserve"> </w:t>
      </w:r>
      <w:r>
        <w:t xml:space="preserve">2035)</w:t>
      </w:r>
      <w:r>
        <w:t xml:space="preserve"> </w:t>
      </w:r>
      <w:r>
        <w:t xml:space="preserve">Resilience</w:t>
      </w:r>
      <w:r>
        <w:t xml:space="preserve"> </w:t>
      </w:r>
      <w:r>
        <w:t xml:space="preserve">Profile</w:t>
      </w:r>
      <w:r>
        <w:t xml:space="preserve"> </w:t>
      </w:r>
      <w:r>
        <w:t xml:space="preserve">Baseline summary</w:t>
      </w:r>
      <w:r>
        <w:t xml:space="preserve"> </w:t>
      </w:r>
      <w:r>
        <w:t xml:space="preserve">Intellectual</w:t>
      </w:r>
      <w:r>
        <w:t xml:space="preserve"> </w:t>
      </w:r>
      <w:r>
        <w:t xml:space="preserve">Property</w:t>
      </w:r>
      <w:r>
        <w:t xml:space="preserve"> </w:t>
      </w:r>
      <w:r>
        <w:t xml:space="preserve">(IP)</w:t>
      </w:r>
      <w:r>
        <w:t xml:space="preserve"> </w:t>
      </w:r>
      <w:r>
        <w:t xml:space="preserve">2023: &lt;1 %</w:t>
      </w:r>
      <w:r>
        <w:br/>
      </w:r>
      <w:r>
        <w:t xml:space="preserve">2030: &lt;1 %</w:t>
      </w:r>
      <w:r>
        <w:br/>
      </w:r>
      <w:r>
        <w:t xml:space="preserve">2035: stable</w:t>
      </w:r>
      <w:r>
        <w:t xml:space="preserve"> </w:t>
      </w:r>
      <w:r>
        <w:t xml:space="preserve">Not</w:t>
      </w:r>
      <w:r>
        <w:t xml:space="preserve"> </w:t>
      </w:r>
      <w:r>
        <w:t xml:space="preserve">applicable</w:t>
      </w:r>
      <w:r>
        <w:t xml:space="preserve"> </w:t>
      </w:r>
      <w:r>
        <w:t xml:space="preserve">Low (→)</w:t>
      </w:r>
      <w:r>
        <w:t xml:space="preserve"> </w:t>
      </w:r>
      <w:r>
        <w:t xml:space="preserve">EU has limited IP</w:t>
      </w:r>
      <w:r>
        <w:t xml:space="preserve"> </w:t>
      </w:r>
      <w:r>
        <w:t xml:space="preserve">footprint; ecosystem</w:t>
      </w:r>
      <w:r>
        <w:t xml:space="preserve"> </w:t>
      </w:r>
      <w:r>
        <w:t xml:space="preserve">remains fragmented;</w:t>
      </w:r>
      <w:r>
        <w:t xml:space="preserve"> </w:t>
      </w:r>
      <w:r>
        <w:t xml:space="preserve">dependency on US IP</w:t>
      </w:r>
      <w:r>
        <w:t xml:space="preserve"> </w:t>
      </w:r>
      <w:r>
        <w:t xml:space="preserve">persists.</w:t>
      </w:r>
      <w:r>
        <w:t xml:space="preserve"> </w:t>
      </w:r>
      <w:r>
        <w:t xml:space="preserve">Electronic</w:t>
      </w:r>
      <w:r>
        <w:t xml:space="preserve"> </w:t>
      </w:r>
      <w:r>
        <w:t xml:space="preserve">Design</w:t>
      </w:r>
      <w:r>
        <w:t xml:space="preserve"> </w:t>
      </w:r>
      <w:r>
        <w:t xml:space="preserve">Automation</w:t>
      </w:r>
      <w:r>
        <w:t xml:space="preserve"> </w:t>
      </w:r>
      <w:r>
        <w:t xml:space="preserve">(EDA)</w:t>
      </w:r>
      <w:r>
        <w:t xml:space="preserve"> </w:t>
      </w:r>
      <w:r>
        <w:t xml:space="preserve">2023: 21 %</w:t>
      </w:r>
      <w:r>
        <w:br/>
      </w:r>
      <w:r>
        <w:t xml:space="preserve">2030: 18 %</w:t>
      </w:r>
      <w:r>
        <w:br/>
      </w:r>
      <w:r>
        <w:t xml:space="preserve">2035: stable</w:t>
      </w:r>
      <w:r>
        <w:t xml:space="preserve"> </w:t>
      </w:r>
      <w:r>
        <w:t xml:space="preserve">Not</w:t>
      </w:r>
      <w:r>
        <w:t xml:space="preserve"> </w:t>
      </w:r>
      <w:r>
        <w:t xml:space="preserve">applicable</w:t>
      </w:r>
      <w:r>
        <w:t xml:space="preserve"> </w:t>
      </w:r>
      <w:r>
        <w:t xml:space="preserve">Low →</w:t>
      </w:r>
      <w:r>
        <w:t xml:space="preserve"> </w:t>
      </w:r>
      <w:r>
        <w:t xml:space="preserve">Moderate</w:t>
      </w:r>
      <w:r>
        <w:t xml:space="preserve"> </w:t>
      </w:r>
      <w:r>
        <w:t xml:space="preserve">(↑)</w:t>
      </w:r>
      <w:r>
        <w:t xml:space="preserve"> </w:t>
      </w:r>
      <w:r>
        <w:t xml:space="preserve">Slight gains from EU</w:t>
      </w:r>
      <w:r>
        <w:t xml:space="preserve"> </w:t>
      </w:r>
      <w:r>
        <w:t xml:space="preserve">design-ecosystem</w:t>
      </w:r>
      <w:r>
        <w:t xml:space="preserve"> </w:t>
      </w:r>
      <w:r>
        <w:t xml:space="preserve">initiatives; strong reliance</w:t>
      </w:r>
      <w:r>
        <w:t xml:space="preserve"> </w:t>
      </w:r>
      <w:r>
        <w:t xml:space="preserve">on US EDA vendors</w:t>
      </w:r>
      <w:r>
        <w:t xml:space="preserve"> </w:t>
      </w:r>
      <w:r>
        <w:t xml:space="preserve">remains.</w:t>
      </w:r>
      <w:r>
        <w:t xml:space="preserve"> </w:t>
      </w:r>
      <w:r>
        <w:t xml:space="preserve">Capital</w:t>
      </w:r>
      <w:r>
        <w:t xml:space="preserve"> </w:t>
      </w:r>
      <w:r>
        <w:t xml:space="preserve">Equipment</w:t>
      </w:r>
      <w:r>
        <w:t xml:space="preserve"> </w:t>
      </w:r>
      <w:r>
        <w:t xml:space="preserve">2023: 28 %</w:t>
      </w:r>
      <w:r>
        <w:br/>
      </w:r>
      <w:r>
        <w:t xml:space="preserve">2030: 34 %</w:t>
      </w:r>
      <w:r>
        <w:br/>
      </w:r>
      <w:r>
        <w:t xml:space="preserve">2035: slow</w:t>
      </w:r>
      <w:r>
        <w:t xml:space="preserve"> </w:t>
      </w:r>
      <w:r>
        <w:t xml:space="preserve">growth</w:t>
      </w:r>
      <w:r>
        <w:t xml:space="preserve"> </w:t>
      </w:r>
      <w:r>
        <w:t xml:space="preserve">2023: ~50 %</w:t>
      </w:r>
      <w:r>
        <w:br/>
      </w:r>
      <w:r>
        <w:t xml:space="preserve">2030: stable</w:t>
      </w:r>
      <w:r>
        <w:br/>
      </w:r>
      <w:r>
        <w:t xml:space="preserve">2035: stable</w:t>
      </w:r>
      <w:r>
        <w:t xml:space="preserve"> </w:t>
      </w:r>
      <w:r>
        <w:t xml:space="preserve">High (→)</w:t>
      </w:r>
      <w:r>
        <w:t xml:space="preserve"> </w:t>
      </w:r>
      <w:r>
        <w:t xml:space="preserve">Strong leadership from</w:t>
      </w:r>
      <w:r>
        <w:t xml:space="preserve"> </w:t>
      </w:r>
      <w:r>
        <w:t xml:space="preserve">ASML; dependence on</w:t>
      </w:r>
      <w:r>
        <w:t xml:space="preserve"> </w:t>
      </w:r>
      <w:r>
        <w:t xml:space="preserve">US/Japanese process</w:t>
      </w:r>
      <w:r>
        <w:t xml:space="preserve"> </w:t>
      </w:r>
      <w:r>
        <w:t xml:space="preserve">equipment persists.</w:t>
      </w:r>
      <w:r>
        <w:t xml:space="preserve"> </w:t>
      </w:r>
      <w:r>
        <w:t xml:space="preserve">Foundry</w:t>
      </w:r>
      <w:r>
        <w:t xml:space="preserve"> </w:t>
      </w:r>
      <w:r>
        <w:t xml:space="preserve">Services</w:t>
      </w:r>
      <w:r>
        <w:t xml:space="preserve"> </w:t>
      </w:r>
      <w:r>
        <w:t xml:space="preserve">2023: 1 %</w:t>
      </w:r>
      <w:r>
        <w:br/>
      </w:r>
      <w:r>
        <w:t xml:space="preserve">2030: 1 %</w:t>
      </w:r>
      <w:r>
        <w:br/>
      </w:r>
      <w:r>
        <w:t xml:space="preserve">2035: stable</w:t>
      </w:r>
      <w:r>
        <w:t xml:space="preserve"> </w:t>
      </w:r>
      <w:r>
        <w:t xml:space="preserve">2023: 24 %</w:t>
      </w:r>
      <w:r>
        <w:br/>
      </w:r>
      <w:r>
        <w:t xml:space="preserve">2030: stable</w:t>
      </w:r>
      <w:r>
        <w:br/>
      </w:r>
      <w:r>
        <w:t xml:space="preserve">2035: stable</w:t>
      </w:r>
      <w:r>
        <w:t xml:space="preserve"> </w:t>
      </w:r>
      <w:r>
        <w:t xml:space="preserve">Moderate</w:t>
      </w:r>
      <w:r>
        <w:t xml:space="preserve"> </w:t>
      </w:r>
      <w:r>
        <w:t xml:space="preserve">(↑)</w:t>
      </w:r>
      <w:r>
        <w:t xml:space="preserve"> </w:t>
      </w:r>
      <w:r>
        <w:t xml:space="preserve">EU remains dependent on</w:t>
      </w:r>
      <w:r>
        <w:t xml:space="preserve"> </w:t>
      </w:r>
      <w:r>
        <w:t xml:space="preserve">overseas leading-edge</w:t>
      </w:r>
      <w:r>
        <w:t xml:space="preserve"> </w:t>
      </w:r>
      <w:r>
        <w:t xml:space="preserve">foundries.</w:t>
      </w:r>
      <w:r>
        <w:t xml:space="preserve"> </w:t>
      </w:r>
      <w:r>
        <w:t xml:space="preserve">OSAT</w:t>
      </w:r>
      <w:r>
        <w:t xml:space="preserve"> </w:t>
      </w:r>
      <w:r>
        <w:t xml:space="preserve">2023: &lt;1 %</w:t>
      </w:r>
      <w:r>
        <w:br/>
      </w:r>
      <w:r>
        <w:t xml:space="preserve">2030: &lt;1 %</w:t>
      </w:r>
      <w:r>
        <w:br/>
      </w:r>
      <w:r>
        <w:t xml:space="preserve">2035: stable</w:t>
      </w:r>
      <w:r>
        <w:t xml:space="preserve"> </w:t>
      </w:r>
      <w:r>
        <w:t xml:space="preserve">2023: ~64 %</w:t>
      </w:r>
      <w:r>
        <w:br/>
      </w:r>
      <w:r>
        <w:t xml:space="preserve">2030: stable</w:t>
      </w:r>
      <w:r>
        <w:br/>
      </w:r>
      <w:r>
        <w:t xml:space="preserve">2035: slow</w:t>
      </w:r>
      <w:r>
        <w:t xml:space="preserve"> </w:t>
      </w:r>
      <w:r>
        <w:t xml:space="preserve">decline</w:t>
      </w:r>
      <w:r>
        <w:t xml:space="preserve"> </w:t>
      </w:r>
      <w:r>
        <w:t xml:space="preserve">Low →</w:t>
      </w:r>
      <w:r>
        <w:t xml:space="preserve"> </w:t>
      </w:r>
      <w:r>
        <w:t xml:space="preserve">Moderate</w:t>
      </w:r>
      <w:r>
        <w:t xml:space="preserve"> </w:t>
      </w:r>
      <w:r>
        <w:t xml:space="preserve">(↑)</w:t>
      </w:r>
      <w:r>
        <w:t xml:space="preserve"> </w:t>
      </w:r>
      <w:r>
        <w:t xml:space="preserve">Limited reshoring for</w:t>
      </w:r>
      <w:r>
        <w:t xml:space="preserve"> </w:t>
      </w:r>
      <w:r>
        <w:t xml:space="preserve">automotive and SiC; Asia</w:t>
      </w:r>
      <w:r>
        <w:t xml:space="preserve"> </w:t>
      </w:r>
      <w:r>
        <w:t xml:space="preserve">maintains dominance.</w:t>
      </w:r>
      <w:r>
        <w:t xml:space="preserve"> </w:t>
      </w:r>
      <w:r>
        <w:t xml:space="preserve">IDMs and</w:t>
      </w:r>
      <w:r>
        <w:t xml:space="preserve"> </w:t>
      </w:r>
      <w:r>
        <w:t xml:space="preserve">fabless</w:t>
      </w:r>
      <w:r>
        <w:t xml:space="preserve"> </w:t>
      </w:r>
      <w:r>
        <w:t xml:space="preserve">2023: 10 %</w:t>
      </w:r>
      <w:r>
        <w:br/>
      </w:r>
      <w:r>
        <w:t xml:space="preserve">2030: 10 %</w:t>
      </w:r>
      <w:r>
        <w:br/>
      </w:r>
      <w:r>
        <w:t xml:space="preserve">2035: stable</w:t>
      </w:r>
      <w:r>
        <w:t xml:space="preserve"> </w:t>
      </w:r>
      <w:r>
        <w:t xml:space="preserve">2023: ~50 %</w:t>
      </w:r>
      <w:r>
        <w:br/>
      </w:r>
      <w:r>
        <w:t xml:space="preserve">2030: stable</w:t>
      </w:r>
      <w:r>
        <w:br/>
      </w:r>
      <w:r>
        <w:t xml:space="preserve">2035: stable</w:t>
      </w:r>
      <w:r>
        <w:t xml:space="preserve"> </w:t>
      </w:r>
      <w:r>
        <w:t xml:space="preserve">Moderate</w:t>
      </w:r>
      <w:r>
        <w:t xml:space="preserve"> </w:t>
      </w:r>
      <w:r>
        <w:t xml:space="preserve">(→)</w:t>
      </w:r>
      <w:r>
        <w:t xml:space="preserve"> </w:t>
      </w:r>
      <w:r>
        <w:t xml:space="preserve">Mature-node strength</w:t>
      </w:r>
      <w:r>
        <w:t xml:space="preserve"> </w:t>
      </w:r>
      <w:r>
        <w:t xml:space="preserve">supports stability; limited</w:t>
      </w:r>
      <w:r>
        <w:t xml:space="preserve"> </w:t>
      </w:r>
      <w:r>
        <w:t xml:space="preserve">exposure to AI logic caps</w:t>
      </w:r>
      <w:r>
        <w:t xml:space="preserve"> </w:t>
      </w:r>
      <w:r>
        <w:t xml:space="preserve">growth. Very high</w:t>
      </w:r>
      <w:r>
        <w:t xml:space="preserve"> </w:t>
      </w:r>
      <w:r>
        <w:t xml:space="preserve">dependency when it comes</w:t>
      </w:r>
      <w:r>
        <w:t xml:space="preserve"> </w:t>
      </w:r>
      <w:r>
        <w:t xml:space="preserve">to advanced logic and</w:t>
      </w:r>
      <w:r>
        <w:t xml:space="preserve"> </w:t>
      </w:r>
      <w:r>
        <w:t xml:space="preserve">memory that in the</w:t>
      </w:r>
      <w:r>
        <w:t xml:space="preserve"> </w:t>
      </w:r>
      <w:r>
        <w:t xml:space="preserve">dependency figure is</w:t>
      </w:r>
      <w:r>
        <w:t xml:space="preserve"> </w:t>
      </w:r>
      <w:r>
        <w:t xml:space="preserve">masked by significant</w:t>
      </w:r>
      <w:r>
        <w:t xml:space="preserve"> </w:t>
      </w:r>
      <w:r>
        <w:t xml:space="preserve">capacity targeting</w:t>
      </w:r>
      <w:r>
        <w:t xml:space="preserve"> </w:t>
      </w:r>
      <w:r>
        <w:t xml:space="preserve">automotive and industrial</w:t>
      </w:r>
      <w:r>
        <w:t xml:space="preserve"> </w:t>
      </w:r>
      <w:r>
        <w:t xml:space="preserve">automation end users.</w:t>
      </w:r>
      <w:r>
        <w:br/>
      </w:r>
      <w:r>
        <w:t xml:space="preserve">Materials</w:t>
      </w:r>
      <w:r>
        <w:t xml:space="preserve"> </w:t>
      </w:r>
      <w:r>
        <w:t xml:space="preserve">2023: 17 %</w:t>
      </w:r>
      <w:r>
        <w:br/>
      </w:r>
      <w:r>
        <w:t xml:space="preserve">2030: 19 %</w:t>
      </w:r>
      <w:r>
        <w:br/>
      </w:r>
      <w:r>
        <w:t xml:space="preserve">2035: slow</w:t>
      </w:r>
      <w:r>
        <w:t xml:space="preserve"> </w:t>
      </w:r>
      <w:r>
        <w:t xml:space="preserve">growth</w:t>
      </w:r>
      <w:r>
        <w:t xml:space="preserve"> </w:t>
      </w:r>
      <w:r>
        <w:t xml:space="preserve">2023: ~29–47</w:t>
      </w:r>
      <w:r>
        <w:t xml:space="preserve"> </w:t>
      </w:r>
      <w:r>
        <w:t xml:space="preserve">%</w:t>
      </w:r>
      <w:r>
        <w:br/>
      </w:r>
      <w:r>
        <w:t xml:space="preserve">2030: slow</w:t>
      </w:r>
      <w:r>
        <w:t xml:space="preserve"> </w:t>
      </w:r>
      <w:r>
        <w:t xml:space="preserve">decline</w:t>
      </w:r>
      <w:r>
        <w:t xml:space="preserve"> </w:t>
      </w:r>
      <w:r>
        <w:t xml:space="preserve">2035: slow</w:t>
      </w:r>
      <w:r>
        <w:t xml:space="preserve"> </w:t>
      </w:r>
      <w:r>
        <w:t xml:space="preserve">decline</w:t>
      </w:r>
      <w:r>
        <w:t xml:space="preserve"> </w:t>
      </w:r>
      <w:r>
        <w:t xml:space="preserve">Moderate</w:t>
      </w:r>
      <w:r>
        <w:t xml:space="preserve"> </w:t>
      </w:r>
      <w:r>
        <w:t xml:space="preserve">→</w:t>
      </w:r>
      <w:r>
        <w:t xml:space="preserve"> </w:t>
      </w:r>
      <w:r>
        <w:t xml:space="preserve">Moderately</w:t>
      </w:r>
      <w:r>
        <w:t xml:space="preserve"> </w:t>
      </w:r>
      <w:r>
        <w:t xml:space="preserve">high (↑)</w:t>
      </w:r>
      <w:r>
        <w:t xml:space="preserve"> </w:t>
      </w:r>
      <w:r>
        <w:t xml:space="preserve">Critical Raw Materials Act</w:t>
      </w:r>
      <w:r>
        <w:t xml:space="preserve"> </w:t>
      </w:r>
      <w:r>
        <w:t xml:space="preserve">reduces dependency; risks</w:t>
      </w:r>
      <w:r>
        <w:t xml:space="preserve"> </w:t>
      </w:r>
      <w:r>
        <w:t xml:space="preserve">persist for Chinese-</w:t>
      </w:r>
      <w:r>
        <w:t xml:space="preserve"> </w:t>
      </w:r>
      <w:r>
        <w:t xml:space="preserve">controlled</w:t>
      </w:r>
      <w:r>
        <w:t xml:space="preserve"> </w:t>
      </w:r>
      <w:r>
        <w:t xml:space="preserve">gallium/germanium supply.</w:t>
      </w:r>
      <w:r>
        <w:t xml:space="preserve"> </w:t>
      </w:r>
      <w:r>
        <w:t xml:space="preserve">End-Use</w:t>
      </w:r>
      <w:r>
        <w:t xml:space="preserve"> </w:t>
      </w:r>
      <w:r>
        <w:t xml:space="preserve">Applications</w:t>
      </w:r>
      <w:r>
        <w:t xml:space="preserve"> </w:t>
      </w:r>
      <w:r>
        <w:t xml:space="preserve">2023:</w:t>
      </w:r>
      <w:r>
        <w:t xml:space="preserve"> </w:t>
      </w:r>
      <w:r>
        <w:t xml:space="preserve">Automotive</w:t>
      </w:r>
      <w:r>
        <w:t xml:space="preserve"> </w:t>
      </w:r>
      <w:r>
        <w:t xml:space="preserve">represents more</w:t>
      </w:r>
      <w:r>
        <w:t xml:space="preserve"> </w:t>
      </w:r>
      <w:r>
        <w:t xml:space="preserve">than 37% of</w:t>
      </w:r>
      <w:r>
        <w:t xml:space="preserve"> </w:t>
      </w:r>
      <w:r>
        <w:t xml:space="preserve">semiconductor</w:t>
      </w:r>
      <w:r>
        <w:t xml:space="preserve"> </w:t>
      </w:r>
      <w:r>
        <w:t xml:space="preserve">shipments to</w:t>
      </w:r>
      <w:r>
        <w:t xml:space="preserve"> </w:t>
      </w:r>
      <w:r>
        <w:t xml:space="preserve">Not</w:t>
      </w:r>
      <w:r>
        <w:t xml:space="preserve"> </w:t>
      </w:r>
      <w:r>
        <w:t xml:space="preserve">applicable</w:t>
      </w:r>
      <w:r>
        <w:t xml:space="preserve"> </w:t>
      </w:r>
      <w:r>
        <w:t xml:space="preserve">(demand-</w:t>
      </w:r>
      <w:r>
        <w:t xml:space="preserve"> </w:t>
      </w:r>
      <w:r>
        <w:t xml:space="preserve">side)</w:t>
      </w:r>
      <w:r>
        <w:t xml:space="preserve"> </w:t>
      </w:r>
      <w:r>
        <w:t xml:space="preserve">Moderate</w:t>
      </w:r>
      <w:r>
        <w:t xml:space="preserve"> </w:t>
      </w:r>
      <w:r>
        <w:t xml:space="preserve">but uneven</w:t>
      </w:r>
      <w:r>
        <w:t xml:space="preserve"> </w:t>
      </w:r>
      <w:r>
        <w:t xml:space="preserve">(→)</w:t>
      </w:r>
      <w:r>
        <w:t xml:space="preserve"> </w:t>
      </w:r>
      <w:r>
        <w:t xml:space="preserve">EU demand grows in</w:t>
      </w:r>
      <w:r>
        <w:t xml:space="preserve"> </w:t>
      </w:r>
      <w:r>
        <w:t xml:space="preserve">automotive and industrial</w:t>
      </w:r>
      <w:r>
        <w:t xml:space="preserve"> </w:t>
      </w:r>
      <w:r>
        <w:t xml:space="preserve">sectors; supply reliance</w:t>
      </w:r>
      <w:r>
        <w:t xml:space="preserve"> </w:t>
      </w:r>
      <w:r>
        <w:t xml:space="preserve">remains high.</w:t>
      </w:r>
    </w:p>
    <w:p>
      <w:pPr>
        <w:pStyle w:val="BodyText"/>
      </w:pPr>
      <w:r>
        <w:t xml:space="preserve">111</w:t>
      </w:r>
      <w:r>
        <w:t xml:space="preserve"> </w:t>
      </w:r>
      <w:r>
        <w:t xml:space="preserve">Europe</w:t>
      </w:r>
      <w:r>
        <w:t xml:space="preserve"> </w:t>
      </w:r>
      <w:r>
        <w:t xml:space="preserve">2030: slow</w:t>
      </w:r>
      <w:r>
        <w:t xml:space="preserve"> </w:t>
      </w:r>
      <w:r>
        <w:t xml:space="preserve">decline</w:t>
      </w:r>
      <w:r>
        <w:t xml:space="preserve"> </w:t>
      </w:r>
      <w:r>
        <w:t xml:space="preserve">2035: slow</w:t>
      </w:r>
      <w:r>
        <w:t xml:space="preserve"> </w:t>
      </w:r>
      <w:r>
        <w:t xml:space="preserve">decline</w:t>
      </w:r>
    </w:p>
    <w:p>
      <w:pPr>
        <w:pStyle w:val="BodyText"/>
      </w:pPr>
      <w:r>
        <w:t xml:space="preserve">Justification for the assumptions above:</w:t>
      </w:r>
      <w:r>
        <w:t xml:space="preserve"> </w:t>
      </w:r>
      <w:r>
        <w:t xml:space="preserve">The baseline and forward-looking indicators presented above are derived from a triangulation</w:t>
      </w:r>
      <w:r>
        <w:t xml:space="preserve"> </w:t>
      </w:r>
      <w:r>
        <w:t xml:space="preserve">of official statistics, Joint Research Centre (JRC) analysis, industry forecasts, and academic</w:t>
      </w:r>
      <w:r>
        <w:t xml:space="preserve"> </w:t>
      </w:r>
      <w:r>
        <w:t xml:space="preserve">and policy literature. Each segment of the semiconductor global value chain (GVC) draws on</w:t>
      </w:r>
      <w:r>
        <w:t xml:space="preserve"> </w:t>
      </w:r>
      <w:r>
        <w:t xml:space="preserve">a combination of quantitative trade data, capacity benchmarks, and qualitative assessments of</w:t>
      </w:r>
      <w:r>
        <w:t xml:space="preserve"> </w:t>
      </w:r>
      <w:r>
        <w:t xml:space="preserve">resilience and dependency.</w:t>
      </w:r>
      <w:r>
        <w:t xml:space="preserve"> </w:t>
      </w:r>
      <w:r>
        <w:t xml:space="preserve">For the Intellectual Property (IP) segment, the 2023 baseline reflects Europe’s marginal</w:t>
      </w:r>
      <w:r>
        <w:t xml:space="preserve"> </w:t>
      </w:r>
      <w:r>
        <w:t xml:space="preserve">global footprint (below 1 %), consistent with IDC reporting (2023) as well as McKinsey</w:t>
      </w:r>
      <w:r>
        <w:t xml:space="preserve"> </w:t>
      </w:r>
      <w:r>
        <w:t xml:space="preserve">(2024) (116) and IFRI (2024) (117), which highlight the structural dominance of US IP</w:t>
      </w:r>
      <w:r>
        <w:t xml:space="preserve"> </w:t>
      </w:r>
      <w:r>
        <w:t xml:space="preserve">licensors. Since IP does not map onto trade flows, no import dependency metric is reported,</w:t>
      </w:r>
      <w:r>
        <w:t xml:space="preserve"> </w:t>
      </w:r>
      <w:r>
        <w:t xml:space="preserve">and resilience is assessed as remaining low and stable over the baseline period</w:t>
      </w:r>
      <w:r>
        <w:t xml:space="preserve"> </w:t>
      </w:r>
      <w:r>
        <w:t xml:space="preserve">For Electronic Design Automation (EDA), Europe’s 2023 market share (around 21 %)</w:t>
      </w:r>
      <w:r>
        <w:t xml:space="preserve"> </w:t>
      </w:r>
      <w:r>
        <w:t xml:space="preserve">follows IDC’s reporting but is projected to decline modestly toward 2030. Dependency</w:t>
      </w:r>
      <w:r>
        <w:t xml:space="preserve"> </w:t>
      </w:r>
      <w:r>
        <w:t xml:space="preserve">cannot be measured through trade statistics, yet qualitative evidence from BCG–SIA (2024)</w:t>
      </w:r>
      <w:r>
        <w:t xml:space="preserve"> </w:t>
      </w:r>
      <w:r>
        <w:t xml:space="preserve">(118) and Interface (2024) (119) suggests that Europe remains heavily reliant on US EDA</w:t>
      </w:r>
      <w:r>
        <w:t xml:space="preserve"> </w:t>
      </w:r>
      <w:r>
        <w:t xml:space="preserve">vendors.</w:t>
      </w:r>
      <w:r>
        <w:br/>
      </w:r>
      <w:r>
        <w:t xml:space="preserve">For semiconductor manufacturing equipment, the baseline EU market share of 28 % in</w:t>
      </w:r>
      <w:r>
        <w:t xml:space="preserve"> </w:t>
      </w:r>
      <w:r>
        <w:t xml:space="preserve">2023, rising toward 34 % in 2030 is captured by IDC, BCG (2021), and McKinsey (2024)</w:t>
      </w:r>
      <w:r>
        <w:t xml:space="preserve"> </w:t>
      </w:r>
      <w:r>
        <w:t xml:space="preserve">(120). These sources identify Europe’s enduring leadership in lithography (ASML) and</w:t>
      </w:r>
      <w:r>
        <w:t xml:space="preserve"> </w:t>
      </w:r>
      <w:r>
        <w:t xml:space="preserve">metrology, balanced by continuing reliance on non-EU suppliers for other critical equipment</w:t>
      </w:r>
      <w:r>
        <w:t xml:space="preserve"> </w:t>
      </w:r>
      <w:r>
        <w:t xml:space="preserve">categories, including etching, deposition, and ion implantation tools from the US, as well as</w:t>
      </w:r>
      <w:r>
        <w:t xml:space="preserve"> </w:t>
      </w:r>
      <w:r>
        <w:t xml:space="preserve">mask exposure equipment and EUV light sources from Japan. While the lithography segment</w:t>
      </w:r>
      <w:r>
        <w:t xml:space="preserve"> </w:t>
      </w:r>
      <w:r>
        <w:t xml:space="preserve">is expected to remain a structural strength for Europe, the broader equipment landscape</w:t>
      </w:r>
      <w:r>
        <w:t xml:space="preserve"> </w:t>
      </w:r>
      <w:r>
        <w:t xml:space="preserve">continues to exhibit significant dependencies on US and Japanese technologies.</w:t>
      </w:r>
      <w:r>
        <w:t xml:space="preserve"> </w:t>
      </w:r>
      <w:r>
        <w:t xml:space="preserve">For foundry services, Europe’s market share remains small (around 1 %), consistent with IDC</w:t>
      </w:r>
      <w:r>
        <w:t xml:space="preserve"> </w:t>
      </w:r>
      <w:r>
        <w:t xml:space="preserve">and BCG–SIA (2024) data(121). The dependency rate (~24 %) reflects Europe’s continued</w:t>
      </w:r>
    </w:p>
    <w:p>
      <w:pPr>
        <w:pStyle w:val="Compact"/>
        <w:numPr>
          <w:ilvl w:val="0"/>
          <w:numId w:val="1044"/>
        </w:numPr>
      </w:pPr>
      <w:r>
        <w:t xml:space="preserve">McKinsey &amp; Company. (2024). McKinsey on semiconductors: Creating value, pursuing innovation, and optimizing</w:t>
      </w:r>
      <w:r>
        <w:t xml:space="preserve"> </w:t>
      </w:r>
      <w:r>
        <w:t xml:space="preserve">operations (No. 9, March 2024). McKinsey &amp; Company.</w:t>
      </w:r>
    </w:p>
    <w:p>
      <w:pPr>
        <w:pStyle w:val="Compact"/>
        <w:numPr>
          <w:ilvl w:val="0"/>
          <w:numId w:val="1044"/>
        </w:numPr>
      </w:pPr>
      <w:r>
        <w:t xml:space="preserve">Ebrahimi, A. (2024). Groundbreaking chip sovereignty: Europe’s strategic push in the semiconductor race. Ifri Memos,</w:t>
      </w:r>
      <w:r>
        <w:t xml:space="preserve"> </w:t>
      </w:r>
      <w:r>
        <w:t xml:space="preserve">Institut français des relations internationales (IFRI). ISBN 979-10-373-0874-0.</w:t>
      </w:r>
    </w:p>
    <w:p>
      <w:pPr>
        <w:pStyle w:val="Compact"/>
        <w:numPr>
          <w:ilvl w:val="0"/>
          <w:numId w:val="1044"/>
        </w:numPr>
      </w:pPr>
      <w:r>
        <w:t xml:space="preserve">BCG &amp; Semiconductor Industry Association (2024). Emerging Resilience in the Semiconductor Supply Chain. Boston</w:t>
      </w:r>
      <w:r>
        <w:t xml:space="preserve"> </w:t>
      </w:r>
      <w:r>
        <w:t xml:space="preserve">Consulting Group and Semiconductor Industry Association, May 2024.</w:t>
      </w:r>
    </w:p>
    <w:p>
      <w:pPr>
        <w:pStyle w:val="Compact"/>
        <w:numPr>
          <w:ilvl w:val="0"/>
          <w:numId w:val="1044"/>
        </w:numPr>
      </w:pPr>
      <w:r>
        <w:t xml:space="preserve">Kleinhans, J.-P. (2024), The missing strategy in Europe’s chip ambitions: Member States must drive the next steps,</w:t>
      </w:r>
      <w:r>
        <w:t xml:space="preserve"> </w:t>
      </w:r>
      <w:r>
        <w:t xml:space="preserve">Interface, July 2024.</w:t>
      </w:r>
    </w:p>
    <w:p>
      <w:pPr>
        <w:pStyle w:val="Compact"/>
        <w:numPr>
          <w:ilvl w:val="0"/>
          <w:numId w:val="1044"/>
        </w:numPr>
      </w:pPr>
      <w:r>
        <w:t xml:space="preserve">McKinsey &amp; Company. (2024). McKinsey on semiconductors: Creating value, pursuing innovation, and optimizing</w:t>
      </w:r>
      <w:r>
        <w:t xml:space="preserve"> </w:t>
      </w:r>
      <w:r>
        <w:t xml:space="preserve">operations (No. 9, March 2024). McKinsey &amp; Company.</w:t>
      </w:r>
    </w:p>
    <w:p>
      <w:pPr>
        <w:pStyle w:val="Compact"/>
        <w:numPr>
          <w:ilvl w:val="0"/>
          <w:numId w:val="1044"/>
        </w:numPr>
      </w:pPr>
      <w:r>
        <w:t xml:space="preserve">BCG &amp; Semiconductor Industry Association (2024). Emerging Resilience in the Semiconductor Supply Chain.</w:t>
      </w:r>
      <w:r>
        <w:t xml:space="preserve"> </w:t>
      </w:r>
      <w:r>
        <w:t xml:space="preserve">Boston Consulting Group and Semiconductor Industry Association, May 2024.</w:t>
      </w:r>
    </w:p>
    <w:p>
      <w:pPr>
        <w:pStyle w:val="FirstParagraph"/>
      </w:pPr>
      <w:r>
        <w:t xml:space="preserve">112</w:t>
      </w:r>
      <w:r>
        <w:t xml:space="preserve"> </w:t>
      </w:r>
      <w:r>
        <w:t xml:space="preserve">need for advanced-node and leading-edge wafer capacity located mainly in Taiwan, South</w:t>
      </w:r>
      <w:r>
        <w:t xml:space="preserve"> </w:t>
      </w:r>
      <w:r>
        <w:t xml:space="preserve">Korea, and the US. New European fabs stabilise capacity but do not materially change global</w:t>
      </w:r>
      <w:r>
        <w:t xml:space="preserve"> </w:t>
      </w:r>
      <w:r>
        <w:t xml:space="preserve">share or structural dependence.</w:t>
      </w:r>
      <w:r>
        <w:t xml:space="preserve"> </w:t>
      </w:r>
      <w:r>
        <w:t xml:space="preserve">For assembly, test, and packaging (ATP), the baseline dependency of around 64% is</w:t>
      </w:r>
      <w:r>
        <w:t xml:space="preserve"> </w:t>
      </w:r>
      <w:r>
        <w:t xml:space="preserve">derived from the same JRC (2023) (122) “chips” category after disaggregation. IDC reporting</w:t>
      </w:r>
      <w:r>
        <w:t xml:space="preserve"> </w:t>
      </w:r>
      <w:r>
        <w:t xml:space="preserve">shows that that Europe’s market share remains negligible (&lt;1 %), while McKinsey (2024)</w:t>
      </w:r>
      <w:r>
        <w:t xml:space="preserve"> </w:t>
      </w:r>
      <w:r>
        <w:t xml:space="preserve">(123) estimates that 85–90 percent of global packaging value is located in Asia. IFRI (2024)</w:t>
      </w:r>
      <w:r>
        <w:t xml:space="preserve"> </w:t>
      </w:r>
      <w:r>
        <w:t xml:space="preserve">(124) and SIA (2024) (125) note limited reshoring of ATP for automotive and SiC devices,</w:t>
      </w:r>
      <w:r>
        <w:t xml:space="preserve"> </w:t>
      </w:r>
      <w:r>
        <w:t xml:space="preserve">suggesting marginal gains in European share to 5–6 percent by 2035. Nonetheless, McKinsey</w:t>
      </w:r>
      <w:r>
        <w:t xml:space="preserve"> </w:t>
      </w:r>
      <w:r>
        <w:t xml:space="preserve">(2025) (126) emphasises that Europe’s back-end gap will remain its most persistent</w:t>
      </w:r>
      <w:r>
        <w:t xml:space="preserve"> </w:t>
      </w:r>
      <w:r>
        <w:t xml:space="preserve">vulnerability.</w:t>
      </w:r>
      <w:r>
        <w:t xml:space="preserve"> </w:t>
      </w:r>
      <w:r>
        <w:t xml:space="preserve">For semiconductor vendors (including fabless), the baseline market share (~10 %) is drawn</w:t>
      </w:r>
      <w:r>
        <w:t xml:space="preserve"> </w:t>
      </w:r>
      <w:r>
        <w:t xml:space="preserve">from IDC’s semiconductor device estimates, while the import dependency figure (~50 %)</w:t>
      </w:r>
      <w:r>
        <w:t xml:space="preserve"> </w:t>
      </w:r>
      <w:r>
        <w:t xml:space="preserve">derives from the JRC (2023) (127) “chips” dependency measure, adjusted to isolate front-end</w:t>
      </w:r>
      <w:r>
        <w:t xml:space="preserve"> </w:t>
      </w:r>
      <w:r>
        <w:t xml:space="preserve">manufacturing. These values align with BCG–SIA (2024) (128) findings that Europe holds</w:t>
      </w:r>
      <w:r>
        <w:t xml:space="preserve"> </w:t>
      </w:r>
      <w:r>
        <w:t xml:space="preserve">only 9–10 % of global wafer capacity. Resilience is assessed as moderate, supported by</w:t>
      </w:r>
      <w:r>
        <w:t xml:space="preserve"> </w:t>
      </w:r>
      <w:r>
        <w:t xml:space="preserve">Europe’s strong position in mature nodes but limited by minimal participation in leading-edge</w:t>
      </w:r>
      <w:r>
        <w:t xml:space="preserve"> </w:t>
      </w:r>
      <w:r>
        <w:t xml:space="preserve">logic.</w:t>
      </w:r>
      <w:r>
        <w:t xml:space="preserve"> </w:t>
      </w:r>
      <w:r>
        <w:t xml:space="preserve">For materials (including gases, chemicals, and wafer substrates), Europe’s baseline market</w:t>
      </w:r>
      <w:r>
        <w:t xml:space="preserve"> </w:t>
      </w:r>
      <w:r>
        <w:t xml:space="preserve">share (17 % in 2023, rising to 19 % in 2030) follows IDC segmentation, with import</w:t>
      </w:r>
      <w:r>
        <w:t xml:space="preserve"> </w:t>
      </w:r>
      <w:r>
        <w:t xml:space="preserve">dependency values (29–47 %) derived from JRC (2023) (129) estimates for chemicals,</w:t>
      </w:r>
      <w:r>
        <w:t xml:space="preserve"> </w:t>
      </w:r>
      <w:r>
        <w:t xml:space="preserve">precursors, and wafers. Dependency is projected to decline slowly due to CRMA-driven</w:t>
      </w:r>
      <w:r>
        <w:t xml:space="preserve"> </w:t>
      </w:r>
      <w:r>
        <w:t xml:space="preserve">diversification and expanded SiC and GaN substrate production, although structural reliance</w:t>
      </w:r>
      <w:r>
        <w:t xml:space="preserve"> </w:t>
      </w:r>
      <w:r>
        <w:t xml:space="preserve">on Chinese-controlled gallium and germanium continues to constrain resilience.</w:t>
      </w:r>
      <w:r>
        <w:t xml:space="preserve"> </w:t>
      </w:r>
      <w:r>
        <w:t xml:space="preserve">The downstream integration segment (system assembly and electronic manufacturing</w:t>
      </w:r>
      <w:r>
        <w:t xml:space="preserve"> </w:t>
      </w:r>
      <w:r>
        <w:t xml:space="preserve">services) is characterised by high import dependency of around 70% in 2023. This figure is</w:t>
      </w:r>
      <w:r>
        <w:t xml:space="preserve"> </w:t>
      </w:r>
      <w:r>
        <w:t xml:space="preserve">based on Eurostat COMEXT trade statistics, BCG–SIA (2024) (130) global supply chain</w:t>
      </w:r>
      <w:r>
        <w:t xml:space="preserve"> </w:t>
      </w:r>
      <w:r>
        <w:t xml:space="preserve">analysis, and DGE (2024) (131). Minor reductions in dependency are consistent with</w:t>
      </w:r>
    </w:p>
    <w:p>
      <w:pPr>
        <w:pStyle w:val="Compact"/>
        <w:numPr>
          <w:ilvl w:val="0"/>
          <w:numId w:val="1045"/>
        </w:numPr>
      </w:pPr>
      <w:r>
        <w:t xml:space="preserve">Cerutti, Isabella &amp; Nardo, Michela (2023). Semiconductors in the EU: State of play, future trends and vulnerabilities of</w:t>
      </w:r>
      <w:r>
        <w:t xml:space="preserve"> </w:t>
      </w:r>
      <w:r>
        <w:t xml:space="preserve">the semiconductor supply chain. JRC Technical Report, JRC133850.</w:t>
      </w:r>
      <w:r>
        <w:br/>
      </w:r>
    </w:p>
    <w:p>
      <w:pPr>
        <w:pStyle w:val="Compact"/>
        <w:numPr>
          <w:ilvl w:val="0"/>
          <w:numId w:val="1045"/>
        </w:numPr>
      </w:pPr>
      <w:r>
        <w:t xml:space="preserve">McKinsey &amp; Company. (2024). McKinsey on semiconductors: Creating value, pursuing innovation, and optimizing</w:t>
      </w:r>
      <w:r>
        <w:t xml:space="preserve"> </w:t>
      </w:r>
      <w:r>
        <w:t xml:space="preserve">operations (No. 9, March 2024). McKinsey &amp; Company.</w:t>
      </w:r>
    </w:p>
    <w:p>
      <w:pPr>
        <w:pStyle w:val="Compact"/>
        <w:numPr>
          <w:ilvl w:val="0"/>
          <w:numId w:val="1045"/>
        </w:numPr>
      </w:pPr>
      <w:r>
        <w:t xml:space="preserve">Ebrahimi, A. (2024). Groundbreaking chip sovereignty: Europe’s strategic push in the semiconductor race. Ifri Memos,</w:t>
      </w:r>
      <w:r>
        <w:t xml:space="preserve"> </w:t>
      </w:r>
      <w:r>
        <w:t xml:space="preserve">Institut français des relations internationales (IFRI). ISBN 979-10-373-0874-0.</w:t>
      </w:r>
    </w:p>
    <w:p>
      <w:pPr>
        <w:pStyle w:val="Compact"/>
        <w:numPr>
          <w:ilvl w:val="0"/>
          <w:numId w:val="1045"/>
        </w:numPr>
      </w:pPr>
      <w:r>
        <w:t xml:space="preserve">BCG &amp; Semiconductor Industry Association (2024). Emerging Resilience in the Semiconductor Supply Chain.</w:t>
      </w:r>
      <w:r>
        <w:t xml:space="preserve"> </w:t>
      </w:r>
      <w:r>
        <w:t xml:space="preserve">Boston Consulting Group and Semiconductor Industry Association, May 2024.</w:t>
      </w:r>
    </w:p>
    <w:p>
      <w:pPr>
        <w:pStyle w:val="Compact"/>
        <w:numPr>
          <w:ilvl w:val="0"/>
          <w:numId w:val="1045"/>
        </w:numPr>
      </w:pPr>
      <w:r>
        <w:t xml:space="preserve">McKinsey &amp; Company (2025). Semiconductors have a big opportunity but barriers to scale remain. February 2025.</w:t>
      </w:r>
    </w:p>
    <w:p>
      <w:pPr>
        <w:pStyle w:val="Compact"/>
        <w:numPr>
          <w:ilvl w:val="0"/>
          <w:numId w:val="1045"/>
        </w:numPr>
      </w:pPr>
      <w:r>
        <w:t xml:space="preserve">Cerutti, Isabella &amp; Nardo, Michela (2023). Semiconductors in the EU: State of play, future trends and vulnerabilities of</w:t>
      </w:r>
      <w:r>
        <w:t xml:space="preserve"> </w:t>
      </w:r>
      <w:r>
        <w:t xml:space="preserve">the semiconductor supply chain. JRC Technical Report, JRC133850.</w:t>
      </w:r>
    </w:p>
    <w:p>
      <w:pPr>
        <w:pStyle w:val="Compact"/>
        <w:numPr>
          <w:ilvl w:val="0"/>
          <w:numId w:val="1045"/>
        </w:numPr>
      </w:pPr>
      <w:r>
        <w:t xml:space="preserve">BCG &amp; Semiconductor Industry Association (2024). Emerging Resilience in the Semiconductor Supply Chain.</w:t>
      </w:r>
      <w:r>
        <w:t xml:space="preserve"> </w:t>
      </w:r>
      <w:r>
        <w:t xml:space="preserve">Boston Consulting Group and Semiconductor Industry Association, May 2024.</w:t>
      </w:r>
    </w:p>
    <w:p>
      <w:pPr>
        <w:pStyle w:val="Compact"/>
        <w:numPr>
          <w:ilvl w:val="0"/>
          <w:numId w:val="1045"/>
        </w:numPr>
      </w:pPr>
      <w:r>
        <w:t xml:space="preserve">Cerutti, Isabella &amp; Nardo, Michela (2023). Semiconductors in the EU: State of play, future trends and vulnerabilities of</w:t>
      </w:r>
      <w:r>
        <w:t xml:space="preserve"> </w:t>
      </w:r>
      <w:r>
        <w:t xml:space="preserve">the semiconductor supply chain. JRC Technical Report, JRC133850. Publications Office of the European Union. ISBN 978-</w:t>
      </w:r>
      <w:r>
        <w:t xml:space="preserve"> </w:t>
      </w:r>
      <w:r>
        <w:t xml:space="preserve">92-68-06549-5 (online). DOI: 10.2760/038299.</w:t>
      </w:r>
    </w:p>
    <w:p>
      <w:pPr>
        <w:pStyle w:val="Compact"/>
        <w:numPr>
          <w:ilvl w:val="0"/>
          <w:numId w:val="1045"/>
        </w:numPr>
      </w:pPr>
      <w:r>
        <w:t xml:space="preserve">BCG &amp; Semiconductor Industry Association (2024). Emerging Resilience in the Semiconductor Supply Chain.</w:t>
      </w:r>
      <w:r>
        <w:t xml:space="preserve"> </w:t>
      </w:r>
      <w:r>
        <w:t xml:space="preserve">Boston Consulting Group and Semiconductor Industry Association, May 2024.</w:t>
      </w:r>
    </w:p>
    <w:p>
      <w:pPr>
        <w:pStyle w:val="Compact"/>
        <w:numPr>
          <w:ilvl w:val="0"/>
          <w:numId w:val="1045"/>
        </w:numPr>
      </w:pPr>
      <w:r>
        <w:t xml:space="preserve">Direction Générale des Entreprises (DGE) (2024), Les semi-conducteurs: un marché mondialisé et une dépendance</w:t>
      </w:r>
      <w:r>
        <w:t xml:space="preserve"> </w:t>
      </w:r>
      <w:r>
        <w:t xml:space="preserve">européenne, Les Thémas de la DGE, n° 27, Ministère de l’Économie, des Finances et de la Souveraineté industrielle et</w:t>
      </w:r>
      <w:r>
        <w:t xml:space="preserve"> </w:t>
      </w:r>
      <w:r>
        <w:t xml:space="preserve">numérique, January 2024.</w:t>
      </w:r>
    </w:p>
    <w:p>
      <w:pPr>
        <w:pStyle w:val="FirstParagraph"/>
      </w:pPr>
      <w:r>
        <w:t xml:space="preserve">113</w:t>
      </w:r>
      <w:r>
        <w:t xml:space="preserve"> </w:t>
      </w:r>
      <w:r>
        <w:t xml:space="preserve">McKinsey (2025) (132) projections of near-shoring in industrial automation and IFRI (2024)</w:t>
      </w:r>
      <w:r>
        <w:t xml:space="preserve"> </w:t>
      </w:r>
      <w:r>
        <w:t xml:space="preserve">(133) evidence of increased localisation in defence electronics and power systems.</w:t>
      </w:r>
      <w:r>
        <w:t xml:space="preserve"> </w:t>
      </w:r>
      <w:r>
        <w:t xml:space="preserve">Finally, end-use applications rely on WSTS (2024–2025) market data showing that</w:t>
      </w:r>
      <w:r>
        <w:t xml:space="preserve"> </w:t>
      </w:r>
      <w:r>
        <w:t xml:space="preserve">semiconductor shipments to Europe amounted to about EUR 50 billion in 2023, with the</w:t>
      </w:r>
      <w:r>
        <w:t xml:space="preserve"> </w:t>
      </w:r>
      <w:r>
        <w:t xml:space="preserve">automotive sector alone accounting for more than 37% of the semiconductors shipped to the</w:t>
      </w:r>
      <w:r>
        <w:t xml:space="preserve"> </w:t>
      </w:r>
      <w:r>
        <w:t xml:space="preserve">region (134). The WSTS Spring 2025 forecast, together with DGE (2024) (135) and IFRI (2024)</w:t>
      </w:r>
      <w:r>
        <w:t xml:space="preserve"> </w:t>
      </w:r>
      <w:r>
        <w:t xml:space="preserve">(136), indicates that European semiconductor demand will continue expanding at 5–6%</w:t>
      </w:r>
      <w:r>
        <w:t xml:space="preserve"> </w:t>
      </w:r>
      <w:r>
        <w:t xml:space="preserve">annually, with the automotive segment growing particularly fast at roughly 8.2% CAGR</w:t>
      </w:r>
      <w:r>
        <w:t xml:space="preserve"> </w:t>
      </w:r>
      <w:r>
        <w:t xml:space="preserve">between 2023 and 2026. McKinsey (2025) (137) and SIA (2024) (138) imply that demand in</w:t>
      </w:r>
      <w:r>
        <w:t xml:space="preserve"> </w:t>
      </w:r>
      <w:r>
        <w:t xml:space="preserve">embedded sectors will continue to rise faster than Europe’s domestic production capacity,</w:t>
      </w:r>
      <w:r>
        <w:t xml:space="preserve"> </w:t>
      </w:r>
      <w:r>
        <w:t xml:space="preserve">reinforcing persistent import dependence.</w:t>
      </w:r>
      <w:r>
        <w:t xml:space="preserve"> </w:t>
      </w:r>
      <w:r>
        <w:t xml:space="preserve">1.4.</w:t>
      </w:r>
      <w:r>
        <w:t xml:space="preserve"> </w:t>
      </w:r>
      <w:r>
        <w:t xml:space="preserve">The cost (price) competitiveness of the EU industry</w:t>
      </w:r>
      <w:r>
        <w:t xml:space="preserve"> </w:t>
      </w:r>
      <w:r>
        <w:t xml:space="preserve">In line with the Better Regulation Guidelines and the Better Regulation Toolbox (notably</w:t>
      </w:r>
      <w:r>
        <w:t xml:space="preserve"> </w:t>
      </w:r>
      <w:r>
        <w:t xml:space="preserve">Tool #24 on Competition and Tool #21 on Competitiveness), the analysis distinguishes</w:t>
      </w:r>
      <w:r>
        <w:t xml:space="preserve"> </w:t>
      </w:r>
      <w:r>
        <w:t xml:space="preserve">between two interrelated but distinct perspectives: intra-EU competition and extra-EU</w:t>
      </w:r>
      <w:r>
        <w:t xml:space="preserve"> </w:t>
      </w:r>
      <w:r>
        <w:t xml:space="preserve">competitiveness. Here we focus on extra-EU competitiveness.</w:t>
      </w:r>
      <w:r>
        <w:t xml:space="preserve"> </w:t>
      </w:r>
      <w:r>
        <w:t xml:space="preserve">The extra-EU competitiveness perspective focuses on the cost and price competitiveness of</w:t>
      </w:r>
      <w:r>
        <w:t xml:space="preserve"> </w:t>
      </w:r>
      <w:r>
        <w:t xml:space="preserve">EU semiconductor production in relation to global competitors. To assess Europe’s cost and</w:t>
      </w:r>
      <w:r>
        <w:t xml:space="preserve"> </w:t>
      </w:r>
      <w:r>
        <w:t xml:space="preserve">price competitiveness in the global semiconductor industry, the analysis focuses on the</w:t>
      </w:r>
      <w:r>
        <w:t xml:space="preserve"> </w:t>
      </w:r>
      <w:r>
        <w:t xml:space="preserve">relative cost of production in the EU compared with global benchmarks (Asian countries</w:t>
      </w:r>
      <w:r>
        <w:t xml:space="preserve"> </w:t>
      </w:r>
      <w:r>
        <w:t xml:space="preserve">and U.S.), and on the key cost drivers that shape this gap.</w:t>
      </w:r>
      <w:r>
        <w:t xml:space="preserve"> </w:t>
      </w:r>
      <w:r>
        <w:t xml:space="preserve">1.4.1. Establishing a starting point for BAU scenario</w:t>
      </w:r>
      <w:r>
        <w:t xml:space="preserve"> </w:t>
      </w:r>
      <w:r>
        <w:t xml:space="preserve">Semiconductor manufacturing in the EU faces a structurally higher cost base than in</w:t>
      </w:r>
      <w:r>
        <w:t xml:space="preserve"> </w:t>
      </w:r>
      <w:r>
        <w:t xml:space="preserve">leading East Asian hubs, with total fab production costs around 40–50% higher than in</w:t>
      </w:r>
      <w:r>
        <w:t xml:space="preserve"> </w:t>
      </w:r>
      <w:r>
        <w:t xml:space="preserve">Taiwan, South Korea and China. (139) Capital expenditure (CapEx) is the largest cost</w:t>
      </w:r>
      <w:r>
        <w:t xml:space="preserve"> </w:t>
      </w:r>
      <w:r>
        <w:t xml:space="preserve">component, and capital efficiency in Europe is lower: producing a given manufacturing</w:t>
      </w:r>
      <w:r>
        <w:t xml:space="preserve"> </w:t>
      </w:r>
      <w:r>
        <w:t xml:space="preserve">facility requires significantly more investment than in Taiwan, partly because fabs tend to be</w:t>
      </w:r>
      <w:r>
        <w:t xml:space="preserve"> </w:t>
      </w:r>
      <w:r>
        <w:t xml:space="preserve">smaller on average and project lead times longer. Energy prices for industrial users are a</w:t>
      </w:r>
      <w:r>
        <w:t xml:space="preserve"> </w:t>
      </w:r>
      <w:r>
        <w:t xml:space="preserve">major obstacle to investment, with electricity and gas costs well above US and Asian levels.</w:t>
      </w:r>
      <w:r>
        <w:t xml:space="preserve"> </w:t>
      </w:r>
      <w:r>
        <w:t xml:space="preserve">Labour costs are also high when compared to other major regions: unit labour costs in EU</w:t>
      </w:r>
      <w:r>
        <w:t xml:space="preserve"> </w:t>
      </w:r>
      <w:r>
        <w:t xml:space="preserve">fabs exceed those of major competitors, and estimates suggest that fab labour in Europe can</w:t>
      </w:r>
    </w:p>
    <w:p>
      <w:pPr>
        <w:pStyle w:val="BodyText"/>
      </w:pPr>
      <w:r>
        <w:t xml:space="preserve">(132)McKinsey &amp; Company (2025). Semiconductors have a big opportunity but barriers to scale remain. February 2025.</w:t>
      </w:r>
      <w:r>
        <w:t xml:space="preserve"> </w:t>
      </w:r>
      <w:r>
        <w:t xml:space="preserve">(133)Ebrahimi, A. (2024). Groundbreaking chip sovereignty: Europe’s strategic push in the semiconductor race. Ifri Memos,</w:t>
      </w:r>
      <w:r>
        <w:t xml:space="preserve"> </w:t>
      </w:r>
      <w:r>
        <w:t xml:space="preserve">Institut français des relations internationales (IFRI). ISBN 979-10-373-0874-0.</w:t>
      </w:r>
      <w:r>
        <w:t xml:space="preserve"> </w:t>
      </w:r>
      <w:r>
        <w:t xml:space="preserve">(134) World Semiconductor Trade Statistics (WSTS) (2025), Spring 2025 forecast summary and market data, WSTS, Inc.,</w:t>
      </w:r>
      <w:r>
        <w:t xml:space="preserve"> </w:t>
      </w:r>
      <w:r>
        <w:t xml:space="preserve">May 2025</w:t>
      </w:r>
      <w:r>
        <w:t xml:space="preserve"> </w:t>
      </w:r>
      <w:r>
        <w:t xml:space="preserve">(135) Direction Générale des Entreprises (DGE) (2024), Les semi-conducteurs: un marché mondialisé et une dépendance</w:t>
      </w:r>
      <w:r>
        <w:t xml:space="preserve"> </w:t>
      </w:r>
      <w:r>
        <w:t xml:space="preserve">européenne, Ministère de l’Économie, des Finances et de la Souveraineté industrielle et numérique, January 2024.</w:t>
      </w:r>
      <w:r>
        <w:t xml:space="preserve"> </w:t>
      </w:r>
      <w:r>
        <w:t xml:space="preserve">(136) Ebrahimi, A. (2024). Groundbreaking chip sovereignty: Europe’s strategic push in the semiconductor race. Ifri Memos,</w:t>
      </w:r>
      <w:r>
        <w:t xml:space="preserve"> </w:t>
      </w:r>
      <w:r>
        <w:t xml:space="preserve">Institut français des relations internationales (IFRI). ISBN 979-10-373-0874-0.</w:t>
      </w:r>
      <w:r>
        <w:t xml:space="preserve"> </w:t>
      </w:r>
      <w:r>
        <w:t xml:space="preserve">(137) McKinsey &amp; Company (2025). Semiconductors have a big opportunity but barriers to scale remain. February 2025.</w:t>
      </w:r>
      <w:r>
        <w:t xml:space="preserve"> </w:t>
      </w:r>
      <w:r>
        <w:t xml:space="preserve">(138)Boston Consulting Group (BCG) and Semiconductor Industry Association (SIA) (2024), Attracting chips investment:</w:t>
      </w:r>
      <w:r>
        <w:t xml:space="preserve"> </w:t>
      </w:r>
      <w:r>
        <w:t xml:space="preserve">Industry recommendations for policymakers, August 2024.</w:t>
      </w:r>
      <w:r>
        <w:t xml:space="preserve"> </w:t>
      </w:r>
      <w:r>
        <w:t xml:space="preserve">(139)Decision Etudes &amp; Conseil and YOLE Group, Competitiveness of the EU semiconductor manufacturing industry, Nov. </w:t>
      </w:r>
      <w:r>
        <w:t xml:space="preserve"> </w:t>
      </w:r>
      <w:r>
        <w:t xml:space="preserve">2025.</w:t>
      </w:r>
    </w:p>
    <w:p>
      <w:pPr>
        <w:pStyle w:val="BodyText"/>
      </w:pPr>
      <w:r>
        <w:t xml:space="preserve">114</w:t>
      </w:r>
      <w:r>
        <w:t xml:space="preserve"> </w:t>
      </w:r>
      <w:r>
        <w:t xml:space="preserve">be two to three times more expensive than in East Asia, alongside specific bottlenecks in</w:t>
      </w:r>
      <w:r>
        <w:t xml:space="preserve"> </w:t>
      </w:r>
      <w:r>
        <w:t xml:space="preserve">skilled construction trades and some technical roles. At the same time, the semiconductor</w:t>
      </w:r>
      <w:r>
        <w:t xml:space="preserve"> </w:t>
      </w:r>
      <w:r>
        <w:t xml:space="preserve">industry is highly R&amp;D-intensive globally, investing around 22% of revenues in R&amp;D and</w:t>
      </w:r>
      <w:r>
        <w:t xml:space="preserve"> </w:t>
      </w:r>
      <w:r>
        <w:t xml:space="preserve">26% in capital expenditure. Finally, the EU is heavily reliant on imports of many specialty</w:t>
      </w:r>
      <w:r>
        <w:t xml:space="preserve"> </w:t>
      </w:r>
      <w:r>
        <w:t xml:space="preserve">materials, gases and chemicals, which, despite a strong domestic supplier base in some</w:t>
      </w:r>
      <w:r>
        <w:t xml:space="preserve"> </w:t>
      </w:r>
      <w:r>
        <w:t xml:space="preserve">segments, exposes the European semiconductor ecosystem to supply disruptions and price</w:t>
      </w:r>
      <w:r>
        <w:t xml:space="preserve"> </w:t>
      </w:r>
      <w:r>
        <w:t xml:space="preserve">volatility.</w:t>
      </w:r>
      <w:r>
        <w:t xml:space="preserve"> </w:t>
      </w:r>
      <w:r>
        <w:t xml:space="preserve">The newly available evidence(140) confirms and strengthens these patterns. Recent</w:t>
      </w:r>
      <w:r>
        <w:t xml:space="preserve"> </w:t>
      </w:r>
      <w:r>
        <w:t xml:space="preserve">benchmarking of fab-level cost structures shows that total semiconductor production costs in</w:t>
      </w:r>
      <w:r>
        <w:t xml:space="preserve"> </w:t>
      </w:r>
      <w:r>
        <w:t xml:space="preserve">the EU remain structurally above those of all major competitors: EU = 100 (baseline), US =</w:t>
      </w:r>
      <w:r>
        <w:t xml:space="preserve"> </w:t>
      </w:r>
      <w:r>
        <w:t xml:space="preserve">84, Japan = 84, China = 61, Taiwan = 53, and South Korea = 50. This implies that, on</w:t>
      </w:r>
      <w:r>
        <w:t xml:space="preserve"> </w:t>
      </w:r>
      <w:r>
        <w:t xml:space="preserve">average, EU fabs operate at a 16% cost premium relative to the US and at a 40–50 %</w:t>
      </w:r>
      <w:r>
        <w:t xml:space="preserve"> </w:t>
      </w:r>
      <w:r>
        <w:t xml:space="preserve">premium relative to leading Asian hubs.</w:t>
      </w:r>
      <w:r>
        <w:t xml:space="preserve"> </w:t>
      </w:r>
      <w:r>
        <w:t xml:space="preserve">Two additional structural factors further widen the EU cost base (141):</w:t>
      </w:r>
      <w:r>
        <w:t xml:space="preserve"> </w:t>
      </w:r>
      <w:r>
        <w:t xml:space="preserve">• First, the cost of capital is considerably higher in the EU than in competing regions.</w:t>
      </w:r>
      <w:r>
        <w:t xml:space="preserve"> </w:t>
      </w:r>
      <w:r>
        <w:t xml:space="preserve">The weighted average cost of capital (WACC) for semiconductor manufacturers</w:t>
      </w:r>
      <w:r>
        <w:t xml:space="preserve"> </w:t>
      </w:r>
      <w:r>
        <w:t xml:space="preserve">operating in the EU is 8.3 %, exceeding that of the US (7.3 %), Japan (8.2 %), China</w:t>
      </w:r>
      <w:r>
        <w:t xml:space="preserve"> </w:t>
      </w:r>
      <w:r>
        <w:t xml:space="preserve">(6.1 %), Taiwan (4.8 %), and South Korea (4.4 %). Higher equity risk premia in</w:t>
      </w:r>
      <w:r>
        <w:t xml:space="preserve"> </w:t>
      </w:r>
      <w:r>
        <w:t xml:space="preserve">Europe, lower market capitalisation of EU-based semiconductor firms, and high</w:t>
      </w:r>
      <w:r>
        <w:t xml:space="preserve"> </w:t>
      </w:r>
      <w:r>
        <w:t xml:space="preserve">exposure to cyclical automotive markets contribute to elevated financing costs.</w:t>
      </w:r>
      <w:r>
        <w:t xml:space="preserve"> </w:t>
      </w:r>
      <w:r>
        <w:t xml:space="preserve">• Second, unit labour costs in EU manufacturing fabs (0.38 in PPP terms) remain</w:t>
      </w:r>
      <w:r>
        <w:t xml:space="preserve"> </w:t>
      </w:r>
      <w:r>
        <w:t xml:space="preserve">noticeably higher than in the US (0.35) and significantly above levels in China (0.15),</w:t>
      </w:r>
      <w:r>
        <w:t xml:space="preserve"> </w:t>
      </w:r>
      <w:r>
        <w:t xml:space="preserve">Taiwan (0.12), Japan (0.16), and South Korea (0.11). Crucially, this gap is not driven</w:t>
      </w:r>
      <w:r>
        <w:t xml:space="preserve"> </w:t>
      </w:r>
      <w:r>
        <w:t xml:space="preserve">by nominal wages but by lower labour productivity in EU fabs combined with</w:t>
      </w:r>
      <w:r>
        <w:t xml:space="preserve"> </w:t>
      </w:r>
      <w:r>
        <w:t xml:space="preserve">considerably higher employers’ social contributions, which in several EU Member</w:t>
      </w:r>
      <w:r>
        <w:t xml:space="preserve"> </w:t>
      </w:r>
      <w:r>
        <w:t xml:space="preserve">States are among the highest in the OECD.</w:t>
      </w:r>
      <w:r>
        <w:t xml:space="preserve"> </w:t>
      </w:r>
      <w:r>
        <w:t xml:space="preserve">In the table below we outline the available evidence from the literature on the key cost</w:t>
      </w:r>
      <w:r>
        <w:t xml:space="preserve"> </w:t>
      </w:r>
      <w:r>
        <w:t xml:space="preserve">components and possible benchmark figures in comparison to EU’s global competitors such</w:t>
      </w:r>
      <w:r>
        <w:t xml:space="preserve"> </w:t>
      </w:r>
      <w:r>
        <w:t xml:space="preserve">as USA, China and Taiwan.</w:t>
      </w:r>
      <w:r>
        <w:br/>
      </w:r>
      <w:r>
        <w:t xml:space="preserve">Table 11. Key cost drivers in the Chips industry. Source: compiled by the authors.</w:t>
      </w:r>
      <w:r>
        <w:br/>
      </w:r>
      <w:r>
        <w:t xml:space="preserve">Driver</w:t>
      </w:r>
      <w:r>
        <w:t xml:space="preserve"> </w:t>
      </w:r>
      <w:r>
        <w:t xml:space="preserve">Description</w:t>
      </w:r>
      <w:r>
        <w:t xml:space="preserve"> </w:t>
      </w:r>
      <w:r>
        <w:t xml:space="preserve">Knowledge base from the literature and additional</w:t>
      </w:r>
      <w:r>
        <w:t xml:space="preserve"> </w:t>
      </w:r>
      <w:r>
        <w:t xml:space="preserve">details</w:t>
      </w:r>
      <w:r>
        <w:t xml:space="preserve"> </w:t>
      </w:r>
      <w:r>
        <w:t xml:space="preserve">Capital</w:t>
      </w:r>
      <w:r>
        <w:t xml:space="preserve"> </w:t>
      </w:r>
      <w:r>
        <w:t xml:space="preserve">intensity and</w:t>
      </w:r>
      <w:r>
        <w:t xml:space="preserve"> </w:t>
      </w:r>
      <w:r>
        <w:t xml:space="preserve">scale</w:t>
      </w:r>
      <w:r>
        <w:t xml:space="preserve"> </w:t>
      </w:r>
      <w:r>
        <w:t xml:space="preserve">High construction and</w:t>
      </w:r>
      <w:r>
        <w:t xml:space="preserve"> </w:t>
      </w:r>
      <w:r>
        <w:t xml:space="preserve">equipment costs per</w:t>
      </w:r>
      <w:r>
        <w:t xml:space="preserve"> </w:t>
      </w:r>
      <w:r>
        <w:t xml:space="preserve">wafer</w:t>
      </w:r>
      <w:r>
        <w:t xml:space="preserve"> </w:t>
      </w:r>
      <w:r>
        <w:t xml:space="preserve">capacity.</w:t>
      </w:r>
      <w:r>
        <w:t xml:space="preserve"> </w:t>
      </w:r>
      <w:r>
        <w:t xml:space="preserve">Smaller average fab</w:t>
      </w:r>
      <w:r>
        <w:t xml:space="preserve"> </w:t>
      </w:r>
      <w:r>
        <w:t xml:space="preserve">size (142) and higher</w:t>
      </w:r>
      <w:r>
        <w:t xml:space="preserve"> </w:t>
      </w:r>
      <w:r>
        <w:t xml:space="preserve">Constructing a new, state-of-the-art facility is</w:t>
      </w:r>
      <w:r>
        <w:t xml:space="preserve"> </w:t>
      </w:r>
      <w:r>
        <w:t xml:space="preserve">expensive, with location-specific construction and</w:t>
      </w:r>
      <w:r>
        <w:t xml:space="preserve"> </w:t>
      </w:r>
      <w:r>
        <w:t xml:space="preserve">equipment</w:t>
      </w:r>
      <w:r>
        <w:t xml:space="preserve"> </w:t>
      </w:r>
      <w:r>
        <w:t xml:space="preserve">costs</w:t>
      </w:r>
      <w:r>
        <w:t xml:space="preserve"> </w:t>
      </w:r>
      <w:r>
        <w:t xml:space="preserve">being</w:t>
      </w:r>
      <w:r>
        <w:t xml:space="preserve"> </w:t>
      </w:r>
      <w:r>
        <w:t xml:space="preserve">significant</w:t>
      </w:r>
      <w:r>
        <w:t xml:space="preserve"> </w:t>
      </w:r>
      <w:r>
        <w:t xml:space="preserve">drivers</w:t>
      </w:r>
      <w:r>
        <w:t xml:space="preserve"> </w:t>
      </w:r>
      <w:r>
        <w:t xml:space="preserve">of</w:t>
      </w:r>
      <w:r>
        <w:t xml:space="preserve"> </w:t>
      </w:r>
      <w:r>
        <w:t xml:space="preserve">investment decisions (143).</w:t>
      </w:r>
    </w:p>
    <w:p>
      <w:pPr>
        <w:pStyle w:val="BodyText"/>
      </w:pPr>
      <w:r>
        <w:t xml:space="preserve">(140)Decision Etudes &amp; Conseil and YOLE Group, Competitiveness of the EU semiconductor manufacturing industry, Nov. </w:t>
      </w:r>
      <w:r>
        <w:t xml:space="preserve"> </w:t>
      </w:r>
      <w:r>
        <w:t xml:space="preserve">2025.</w:t>
      </w:r>
      <w:r>
        <w:t xml:space="preserve"> </w:t>
      </w:r>
      <w:r>
        <w:t xml:space="preserve">(141)Decision Etudes &amp; Conseil and YOLE Group, Competitiveness of the EU semiconductor manufacturing industry, Nov. </w:t>
      </w:r>
      <w:r>
        <w:t xml:space="preserve"> </w:t>
      </w:r>
      <w:r>
        <w:t xml:space="preserve">2025.</w:t>
      </w:r>
      <w:r>
        <w:t xml:space="preserve"> </w:t>
      </w:r>
      <w:r>
        <w:t xml:space="preserve">(142) The reference to “smaller average fab size” is based on evidence that Europe’s semiconductor ecosystem is dominated</w:t>
      </w:r>
      <w:r>
        <w:t xml:space="preserve"> </w:t>
      </w:r>
      <w:r>
        <w:t xml:space="preserve">by mid-scale fabs focused on mature-node, automotive, power, and analog manufacturing, rather than the large leading-edge</w:t>
      </w:r>
    </w:p>
    <w:p>
      <w:pPr>
        <w:pStyle w:val="BodyText"/>
      </w:pPr>
      <w:r>
        <w:t xml:space="preserve">115</w:t>
      </w:r>
      <w:r>
        <w:t xml:space="preserve"> </w:t>
      </w:r>
      <w:r>
        <w:t xml:space="preserve">compliance</w:t>
      </w:r>
      <w:r>
        <w:t xml:space="preserve"> </w:t>
      </w:r>
      <w:r>
        <w:t xml:space="preserve">costs</w:t>
      </w:r>
      <w:r>
        <w:t xml:space="preserve"> </w:t>
      </w:r>
      <w:r>
        <w:t xml:space="preserve">inflate EU unit costs.</w:t>
      </w:r>
      <w:r>
        <w:t xml:space="preserve"> </w:t>
      </w:r>
      <w:r>
        <w:t xml:space="preserve">Wafer fabrication, or front-end manufacturing,</w:t>
      </w:r>
      <w:r>
        <w:t xml:space="preserve"> </w:t>
      </w:r>
      <w:r>
        <w:t xml:space="preserve">accounts for 64% of the industry’s capital expenditure</w:t>
      </w:r>
      <w:r>
        <w:t xml:space="preserve"> </w:t>
      </w:r>
      <w:r>
        <w:t xml:space="preserve">(144).</w:t>
      </w:r>
      <w:r>
        <w:br/>
      </w:r>
      <w:r>
        <w:t xml:space="preserve">A state-of-the-art semiconductor fab can require</w:t>
      </w:r>
      <w:r>
        <w:t xml:space="preserve"> </w:t>
      </w:r>
      <w:r>
        <w:t xml:space="preserve">roughly USD 5 billion for mature node fabs to USD</w:t>
      </w:r>
      <w:r>
        <w:t xml:space="preserve"> </w:t>
      </w:r>
      <w:r>
        <w:t xml:space="preserve">20 billion for advanced logic and memory fabs in</w:t>
      </w:r>
      <w:r>
        <w:t xml:space="preserve"> </w:t>
      </w:r>
      <w:r>
        <w:t xml:space="preserve">capital expenditure, including land, building, and</w:t>
      </w:r>
      <w:r>
        <w:t xml:space="preserve"> </w:t>
      </w:r>
      <w:r>
        <w:t xml:space="preserve">equipment (145).</w:t>
      </w:r>
      <w:r>
        <w:br/>
      </w:r>
      <w:r>
        <w:t xml:space="preserve">Evidence by Decision &amp; Yole (146) shows that this</w:t>
      </w:r>
      <w:r>
        <w:t xml:space="preserve"> </w:t>
      </w:r>
      <w:r>
        <w:t xml:space="preserve">effect is compounded in the EU by higher financing</w:t>
      </w:r>
      <w:r>
        <w:t xml:space="preserve"> </w:t>
      </w:r>
      <w:r>
        <w:t xml:space="preserve">costs: semiconductor firms operating in Europe face</w:t>
      </w:r>
      <w:r>
        <w:t xml:space="preserve"> </w:t>
      </w:r>
      <w:r>
        <w:t xml:space="preserve">an average WACC of 8.3 %, substantially higher than</w:t>
      </w:r>
      <w:r>
        <w:t xml:space="preserve"> </w:t>
      </w:r>
      <w:r>
        <w:t xml:space="preserve">in Korea (4.4 %), Taiwan (4.8 %), or China (6.1 %).</w:t>
      </w:r>
      <w:r>
        <w:t xml:space="preserve"> </w:t>
      </w:r>
      <w:r>
        <w:t xml:space="preserve">The industry and its supply chain depend on high</w:t>
      </w:r>
      <w:r>
        <w:t xml:space="preserve"> </w:t>
      </w:r>
      <w:r>
        <w:t xml:space="preserve">utilisation (typically more than 75%) for favourable</w:t>
      </w:r>
      <w:r>
        <w:t xml:space="preserve"> </w:t>
      </w:r>
      <w:r>
        <w:t xml:space="preserve">economics, subsidies, and lower capital utilisation</w:t>
      </w:r>
      <w:r>
        <w:t xml:space="preserve"> </w:t>
      </w:r>
      <w:r>
        <w:t xml:space="preserve">could lead to further boom and bust cycles (147).</w:t>
      </w:r>
      <w:r>
        <w:br/>
      </w:r>
      <w:r>
        <w:t xml:space="preserve">Large-scale operations can significantly reduce costs</w:t>
      </w:r>
      <w:r>
        <w:t xml:space="preserve"> </w:t>
      </w:r>
      <w:r>
        <w:t xml:space="preserve">at fabs (148).</w:t>
      </w:r>
      <w:r>
        <w:t xml:space="preserve"> </w:t>
      </w:r>
      <w:r>
        <w:t xml:space="preserve">Energy costs</w:t>
      </w:r>
      <w:r>
        <w:t xml:space="preserve"> </w:t>
      </w:r>
      <w:r>
        <w:t xml:space="preserve">Electricity and gas</w:t>
      </w:r>
      <w:r>
        <w:t xml:space="preserve"> </w:t>
      </w:r>
      <w:r>
        <w:t xml:space="preserve">prices</w:t>
      </w:r>
      <w:r>
        <w:t xml:space="preserve"> </w:t>
      </w:r>
      <w:r>
        <w:t xml:space="preserve">for</w:t>
      </w:r>
      <w:r>
        <w:t xml:space="preserve"> </w:t>
      </w:r>
      <w:r>
        <w:t xml:space="preserve">large</w:t>
      </w:r>
      <w:r>
        <w:t xml:space="preserve"> </w:t>
      </w:r>
      <w:r>
        <w:t xml:space="preserve">industrial consumers;</w:t>
      </w:r>
      <w:r>
        <w:t xml:space="preserve"> </w:t>
      </w:r>
      <w:r>
        <w:t xml:space="preserve">Europe’s exposure to</w:t>
      </w:r>
      <w:r>
        <w:t xml:space="preserve"> </w:t>
      </w:r>
      <w:r>
        <w:t xml:space="preserve">volatile</w:t>
      </w:r>
      <w:r>
        <w:t xml:space="preserve"> </w:t>
      </w:r>
      <w:r>
        <w:t xml:space="preserve">energy</w:t>
      </w:r>
      <w:r>
        <w:t xml:space="preserve"> </w:t>
      </w:r>
      <w:r>
        <w:t xml:space="preserve">markets</w:t>
      </w:r>
      <w:r>
        <w:t xml:space="preserve"> </w:t>
      </w:r>
      <w:r>
        <w:t xml:space="preserve">increases</w:t>
      </w:r>
      <w:r>
        <w:t xml:space="preserve"> </w:t>
      </w:r>
      <w:r>
        <w:t xml:space="preserve">operational</w:t>
      </w:r>
      <w:r>
        <w:t xml:space="preserve"> </w:t>
      </w:r>
      <w:r>
        <w:t xml:space="preserve">expenditure</w:t>
      </w:r>
      <w:r>
        <w:t xml:space="preserve"> </w:t>
      </w:r>
      <w:r>
        <w:t xml:space="preserve">per</w:t>
      </w:r>
      <w:r>
        <w:t xml:space="preserve"> </w:t>
      </w:r>
      <w:r>
        <w:t xml:space="preserve">wafer.</w:t>
      </w:r>
      <w:r>
        <w:t xml:space="preserve"> </w:t>
      </w:r>
      <w:r>
        <w:t xml:space="preserve">Energy prices in Europe are two to three times higher</w:t>
      </w:r>
      <w:r>
        <w:t xml:space="preserve"> </w:t>
      </w:r>
      <w:r>
        <w:t xml:space="preserve">than in the US (149).</w:t>
      </w:r>
      <w:r>
        <w:t xml:space="preserve"> </w:t>
      </w:r>
      <w:r>
        <w:t xml:space="preserve">Subsidies for utilities can also differ, with Mainland</w:t>
      </w:r>
      <w:r>
        <w:t xml:space="preserve"> </w:t>
      </w:r>
      <w:r>
        <w:t xml:space="preserve">China offering up to 70% and Taiwan 30% (150).</w:t>
      </w:r>
      <w:r>
        <w:t xml:space="preserve"> </w:t>
      </w:r>
      <w:r>
        <w:t xml:space="preserve">Some regions, like Germany, may offer caps on</w:t>
      </w:r>
      <w:r>
        <w:t xml:space="preserve"> </w:t>
      </w:r>
      <w:r>
        <w:t xml:space="preserve">energy costs as part of subsidy packages for new fabs</w:t>
      </w:r>
      <w:r>
        <w:t xml:space="preserve"> </w:t>
      </w:r>
      <w:r>
        <w:t xml:space="preserve">(151).</w:t>
      </w:r>
    </w:p>
    <w:p>
      <w:pPr>
        <w:pStyle w:val="BodyText"/>
      </w:pPr>
      <w:r>
        <w:t xml:space="preserve">megafabs typical of Asia and the US, which achieve significantly greater economies of scale. Evidence drawn from JRC,</w:t>
      </w:r>
      <w:r>
        <w:t xml:space="preserve"> </w:t>
      </w:r>
      <w:r>
        <w:t xml:space="preserve">IFRI, Interface, and industry reports (McKinsey, BCG, SIA) supports this structural distinction.</w:t>
      </w:r>
      <w:r>
        <w:t xml:space="preserve"> </w:t>
      </w:r>
      <w:r>
        <w:t xml:space="preserve">(143)Semiconductor Industry Association (SIA) and Boston Consulting Group (BCG), Attracting Chips Investment:</w:t>
      </w:r>
      <w:r>
        <w:t xml:space="preserve"> </w:t>
      </w:r>
      <w:r>
        <w:t xml:space="preserve">Industry Recommendations for Policymakers, August 2024.</w:t>
      </w:r>
      <w:r>
        <w:t xml:space="preserve"> </w:t>
      </w:r>
      <w:r>
        <w:t xml:space="preserve">(144)Boston Consulting Group (2021), Strengthening the Global Semiconductor Supply Chain: A report by BCG and the</w:t>
      </w:r>
      <w:r>
        <w:t xml:space="preserve"> </w:t>
      </w:r>
      <w:r>
        <w:t xml:space="preserve">Semiconductor Industry Association (SIA).</w:t>
      </w:r>
      <w:r>
        <w:t xml:space="preserve"> </w:t>
      </w:r>
      <w:r>
        <w:t xml:space="preserve">(145)Boston Consulting Group (2021), Strengthening the Global Semiconductor Supply Chain: A report by BCG and the</w:t>
      </w:r>
      <w:r>
        <w:t xml:space="preserve"> </w:t>
      </w:r>
      <w:r>
        <w:t xml:space="preserve">Semiconductor Industry Association (SIA).</w:t>
      </w:r>
      <w:r>
        <w:t xml:space="preserve"> </w:t>
      </w:r>
      <w:r>
        <w:t xml:space="preserve">(146)Decision Etudes &amp; Conseil and YOLE Group, Competitiveness of the EU semiconductor manufacturing industry,</w:t>
      </w:r>
      <w:r>
        <w:t xml:space="preserve"> </w:t>
      </w:r>
      <w:r>
        <w:t xml:space="preserve">Nov.2025</w:t>
      </w:r>
      <w:r>
        <w:t xml:space="preserve"> </w:t>
      </w:r>
      <w:r>
        <w:t xml:space="preserve">(147)McKinsey &amp; Company (2025). Semiconductors have a big opportunity but barriers to scale remain. February 2025.</w:t>
      </w:r>
      <w:r>
        <w:t xml:space="preserve"> </w:t>
      </w:r>
      <w:r>
        <w:t xml:space="preserve">(148)McKinsey &amp; Company (2021), McKinsey on Semiconductors: Creating value, pursuing innovation, and optimising</w:t>
      </w:r>
      <w:r>
        <w:t xml:space="preserve"> </w:t>
      </w:r>
      <w:r>
        <w:t xml:space="preserve">operations.</w:t>
      </w:r>
      <w:r>
        <w:t xml:space="preserve"> </w:t>
      </w:r>
      <w:r>
        <w:t xml:space="preserve">(149)DECISION Études &amp; Conseil. (2025). European consumption of mainstream chips from third countries: Draft final</w:t>
      </w:r>
      <w:r>
        <w:t xml:space="preserve"> </w:t>
      </w:r>
      <w:r>
        <w:t xml:space="preserve">report (Contract No. EC-CNECT/2024/LVP/0074). European Commission, Directorate-General for Communications</w:t>
      </w:r>
      <w:r>
        <w:t xml:space="preserve"> </w:t>
      </w:r>
      <w:r>
        <w:t xml:space="preserve">Networks, Content and Technology (DG CNECT).</w:t>
      </w:r>
      <w:r>
        <w:t xml:space="preserve"> </w:t>
      </w:r>
      <w:r>
        <w:t xml:space="preserve">(150)DECISION Études &amp; Conseil. (2025). European consumption of mainstream chips from third countries</w:t>
      </w:r>
      <w:r>
        <w:t xml:space="preserve"> </w:t>
      </w:r>
      <w:r>
        <w:t xml:space="preserve">(151) Boston Consulting Group (BCG) &amp; Semiconductor Industry Association (SIA). (May 2024). Emerging Resilience</w:t>
      </w:r>
      <w:r>
        <w:t xml:space="preserve"> </w:t>
      </w:r>
      <w:r>
        <w:t xml:space="preserve">in the Semiconductor Supply Chain.</w:t>
      </w:r>
    </w:p>
    <w:p>
      <w:pPr>
        <w:pStyle w:val="BodyText"/>
      </w:pPr>
      <w:r>
        <w:t xml:space="preserve">116</w:t>
      </w:r>
      <w:r>
        <w:t xml:space="preserve"> </w:t>
      </w:r>
      <w:r>
        <w:t xml:space="preserve">The updated 2025 data show that wholesale gas prices</w:t>
      </w:r>
      <w:r>
        <w:t xml:space="preserve"> </w:t>
      </w:r>
      <w:r>
        <w:t xml:space="preserve">in the EU are around 2.8 times higher than in the US,</w:t>
      </w:r>
      <w:r>
        <w:t xml:space="preserve"> </w:t>
      </w:r>
      <w:r>
        <w:t xml:space="preserve">directly translating into industrial electricity prices</w:t>
      </w:r>
      <w:r>
        <w:t xml:space="preserve"> </w:t>
      </w:r>
      <w:r>
        <w:t xml:space="preserve">that are 137 % above US levels because of Europe’s</w:t>
      </w:r>
      <w:r>
        <w:t xml:space="preserve"> </w:t>
      </w:r>
      <w:r>
        <w:t xml:space="preserve">marginal pricing system (152).</w:t>
      </w:r>
      <w:r>
        <w:t xml:space="preserve"> </w:t>
      </w:r>
      <w:r>
        <w:t xml:space="preserve">Labour and</w:t>
      </w:r>
      <w:r>
        <w:t xml:space="preserve"> </w:t>
      </w:r>
      <w:r>
        <w:t xml:space="preserve">productivity</w:t>
      </w:r>
      <w:r>
        <w:t xml:space="preserve"> </w:t>
      </w:r>
      <w:r>
        <w:t xml:space="preserve">Labour</w:t>
      </w:r>
      <w:r>
        <w:t xml:space="preserve"> </w:t>
      </w:r>
      <w:r>
        <w:t xml:space="preserve">costs</w:t>
      </w:r>
      <w:r>
        <w:t xml:space="preserve"> </w:t>
      </w:r>
      <w:r>
        <w:t xml:space="preserve">and</w:t>
      </w:r>
      <w:r>
        <w:t xml:space="preserve"> </w:t>
      </w:r>
      <w:r>
        <w:t xml:space="preserve">productivity</w:t>
      </w:r>
      <w:r>
        <w:t xml:space="preserve"> </w:t>
      </w:r>
      <w:r>
        <w:t xml:space="preserve">in</w:t>
      </w:r>
      <w:r>
        <w:t xml:space="preserve"> </w:t>
      </w:r>
      <w:r>
        <w:t xml:space="preserve">semiconductor</w:t>
      </w:r>
      <w:r>
        <w:t xml:space="preserve"> </w:t>
      </w:r>
      <w:r>
        <w:t xml:space="preserve">manufacturing</w:t>
      </w:r>
      <w:r>
        <w:t xml:space="preserve"> </w:t>
      </w:r>
      <w:r>
        <w:t xml:space="preserve">and</w:t>
      </w:r>
      <w:r>
        <w:t xml:space="preserve"> </w:t>
      </w:r>
      <w:r>
        <w:t xml:space="preserve">equipment operation.</w:t>
      </w:r>
      <w:r>
        <w:t xml:space="preserve"> </w:t>
      </w:r>
      <w:r>
        <w:t xml:space="preserve">Labour costs are a major factor in construction cost</w:t>
      </w:r>
      <w:r>
        <w:t xml:space="preserve"> </w:t>
      </w:r>
      <w:r>
        <w:t xml:space="preserve">differences. Labour costs in Europe can be two to</w:t>
      </w:r>
      <w:r>
        <w:t xml:space="preserve"> </w:t>
      </w:r>
      <w:r>
        <w:t xml:space="preserve">three times more expensive than in Asia (153).</w:t>
      </w:r>
      <w:r>
        <w:t xml:space="preserve"> </w:t>
      </w:r>
      <w:r>
        <w:t xml:space="preserve">Furthermore, labour productivity in major US fabs</w:t>
      </w:r>
      <w:r>
        <w:t xml:space="preserve"> </w:t>
      </w:r>
      <w:r>
        <w:t xml:space="preserve">(Intel,</w:t>
      </w:r>
      <w:r>
        <w:t xml:space="preserve"> </w:t>
      </w:r>
      <w:r>
        <w:t xml:space="preserve">Texas</w:t>
      </w:r>
      <w:r>
        <w:t xml:space="preserve"> </w:t>
      </w:r>
      <w:r>
        <w:t xml:space="preserve">Instruments,</w:t>
      </w:r>
      <w:r>
        <w:t xml:space="preserve"> </w:t>
      </w:r>
      <w:r>
        <w:t xml:space="preserve">GlobalFoundries)</w:t>
      </w:r>
      <w:r>
        <w:t xml:space="preserve"> </w:t>
      </w:r>
      <w:r>
        <w:t xml:space="preserve">is</w:t>
      </w:r>
      <w:r>
        <w:t xml:space="preserve"> </w:t>
      </w:r>
      <w:r>
        <w:t xml:space="preserve">roughly twice the level observed in leading EU fabs</w:t>
      </w:r>
      <w:r>
        <w:t xml:space="preserve"> </w:t>
      </w:r>
      <w:r>
        <w:t xml:space="preserve">(Infineon, STMicroelectronics, Bosch), resulting in</w:t>
      </w:r>
      <w:r>
        <w:t xml:space="preserve"> </w:t>
      </w:r>
      <w:r>
        <w:t xml:space="preserve">higher unit labour costs despite comparable nominal</w:t>
      </w:r>
      <w:r>
        <w:t xml:space="preserve"> </w:t>
      </w:r>
      <w:r>
        <w:t xml:space="preserve">wages.</w:t>
      </w:r>
      <w:r>
        <w:t xml:space="preserve"> </w:t>
      </w:r>
      <w:r>
        <w:t xml:space="preserve">Moreover,</w:t>
      </w:r>
      <w:r>
        <w:t xml:space="preserve"> </w:t>
      </w:r>
      <w:r>
        <w:t xml:space="preserve">EU</w:t>
      </w:r>
      <w:r>
        <w:t xml:space="preserve"> </w:t>
      </w:r>
      <w:r>
        <w:t xml:space="preserve">employers’</w:t>
      </w:r>
      <w:r>
        <w:t xml:space="preserve"> </w:t>
      </w:r>
      <w:r>
        <w:t xml:space="preserve">social</w:t>
      </w:r>
      <w:r>
        <w:t xml:space="preserve"> </w:t>
      </w:r>
      <w:r>
        <w:t xml:space="preserve">contributions, often double those in the US, further</w:t>
      </w:r>
      <w:r>
        <w:t xml:space="preserve"> </w:t>
      </w:r>
      <w:r>
        <w:t xml:space="preserve">elevate total labour costs (154).</w:t>
      </w:r>
      <w:r>
        <w:t xml:space="preserve"> </w:t>
      </w:r>
      <w:r>
        <w:t xml:space="preserve">Maintenance costs, heavily influenced by labour rates</w:t>
      </w:r>
      <w:r>
        <w:t xml:space="preserve"> </w:t>
      </w:r>
      <w:r>
        <w:t xml:space="preserve">and overtime, can be up to 50% higher in the US and</w:t>
      </w:r>
      <w:r>
        <w:t xml:space="preserve"> </w:t>
      </w:r>
      <w:r>
        <w:t xml:space="preserve">30% higher in Europe compared to East Asia (155).</w:t>
      </w:r>
      <w:r>
        <w:t xml:space="preserve"> </w:t>
      </w:r>
      <w:r>
        <w:t xml:space="preserve">The increased demand for skilled craft workers means</w:t>
      </w:r>
      <w:r>
        <w:t xml:space="preserve"> </w:t>
      </w:r>
      <w:r>
        <w:t xml:space="preserve">projects often use less experienced workforces,</w:t>
      </w:r>
      <w:r>
        <w:t xml:space="preserve"> </w:t>
      </w:r>
      <w:r>
        <w:t xml:space="preserve">exacerbating productivity issues and extending project</w:t>
      </w:r>
      <w:r>
        <w:t xml:space="preserve"> </w:t>
      </w:r>
      <w:r>
        <w:t xml:space="preserve">timelines (156).</w:t>
      </w:r>
      <w:r>
        <w:t xml:space="preserve"> </w:t>
      </w:r>
      <w:r>
        <w:t xml:space="preserve">The industry faces a massive talent gap for engineers,</w:t>
      </w:r>
      <w:r>
        <w:t xml:space="preserve"> </w:t>
      </w:r>
      <w:r>
        <w:t xml:space="preserve">estimated at over 100,000 each in the US and Europe,</w:t>
      </w:r>
      <w:r>
        <w:t xml:space="preserve"> </w:t>
      </w:r>
      <w:r>
        <w:t xml:space="preserve">and upward of 200,000 in Asia–Pacific (excluding</w:t>
      </w:r>
      <w:r>
        <w:t xml:space="preserve"> </w:t>
      </w:r>
      <w:r>
        <w:t xml:space="preserve">China). This talent challenge extends across the entire</w:t>
      </w:r>
      <w:r>
        <w:t xml:space="preserve"> </w:t>
      </w:r>
      <w:r>
        <w:t xml:space="preserve">semiconductor value chain, including equipment</w:t>
      </w:r>
      <w:r>
        <w:t xml:space="preserve"> </w:t>
      </w:r>
      <w:r>
        <w:t xml:space="preserve">design and manufacturing (157).</w:t>
      </w:r>
      <w:r>
        <w:t xml:space="preserve"> </w:t>
      </w:r>
      <w:r>
        <w:t xml:space="preserve">Research</w:t>
      </w:r>
      <w:r>
        <w:t xml:space="preserve"> </w:t>
      </w:r>
      <w:r>
        <w:t xml:space="preserve">and</w:t>
      </w:r>
      <w:r>
        <w:t xml:space="preserve"> </w:t>
      </w:r>
      <w:r>
        <w:t xml:space="preserve">Development</w:t>
      </w:r>
      <w:r>
        <w:t xml:space="preserve"> </w:t>
      </w:r>
      <w:r>
        <w:t xml:space="preserve">Continuous</w:t>
      </w:r>
      <w:r>
        <w:t xml:space="preserve"> </w:t>
      </w:r>
      <w:r>
        <w:t xml:space="preserve">innovation</w:t>
      </w:r>
      <w:r>
        <w:t xml:space="preserve"> </w:t>
      </w:r>
      <w:r>
        <w:t xml:space="preserve">in</w:t>
      </w:r>
      <w:r>
        <w:t xml:space="preserve"> </w:t>
      </w:r>
      <w:r>
        <w:t xml:space="preserve">chip</w:t>
      </w:r>
      <w:r>
        <w:t xml:space="preserve"> </w:t>
      </w:r>
      <w:r>
        <w:t xml:space="preserve">design, materials, and</w:t>
      </w:r>
      <w:r>
        <w:t xml:space="preserve"> </w:t>
      </w:r>
      <w:r>
        <w:t xml:space="preserve">Designing a new state-of-the-art system-on-chip</w:t>
      </w:r>
      <w:r>
        <w:t xml:space="preserve"> </w:t>
      </w:r>
      <w:r>
        <w:t xml:space="preserve">(SoC) for a flagship smartphone can exceed USD 1</w:t>
      </w:r>
      <w:r>
        <w:t xml:space="preserve"> </w:t>
      </w:r>
      <w:r>
        <w:t xml:space="preserve">billion (158), (159).</w:t>
      </w:r>
    </w:p>
    <w:p>
      <w:pPr>
        <w:pStyle w:val="Compact"/>
        <w:numPr>
          <w:ilvl w:val="0"/>
          <w:numId w:val="1046"/>
        </w:numPr>
      </w:pPr>
      <w:r>
        <w:t xml:space="preserve">Decision Etudes &amp; Conseil and YOLE Group, Competitiveness of the EU semiconductor manufacturing industry,</w:t>
      </w:r>
      <w:r>
        <w:t xml:space="preserve"> </w:t>
      </w:r>
      <w:r>
        <w:t xml:space="preserve">Nov.2025</w:t>
      </w:r>
    </w:p>
    <w:p>
      <w:pPr>
        <w:pStyle w:val="Compact"/>
        <w:numPr>
          <w:ilvl w:val="0"/>
          <w:numId w:val="1046"/>
        </w:numPr>
      </w:pPr>
      <w:r>
        <w:t xml:space="preserve">McKinsey &amp; Company (2025). Semiconductors have a big opportunity but barriers to scale remain. February 2025.</w:t>
      </w:r>
    </w:p>
    <w:p>
      <w:pPr>
        <w:pStyle w:val="Compact"/>
        <w:numPr>
          <w:ilvl w:val="0"/>
          <w:numId w:val="1046"/>
        </w:numPr>
      </w:pPr>
      <w:r>
        <w:t xml:space="preserve">Decision Etudes &amp; Conseil and YOLE Group, Competitiveness of the EU semiconductor manufacturing industry,</w:t>
      </w:r>
      <w:r>
        <w:t xml:space="preserve"> </w:t>
      </w:r>
      <w:r>
        <w:t xml:space="preserve">Nov.2025</w:t>
      </w:r>
    </w:p>
    <w:p>
      <w:pPr>
        <w:pStyle w:val="Compact"/>
        <w:numPr>
          <w:ilvl w:val="0"/>
          <w:numId w:val="1046"/>
        </w:numPr>
      </w:pPr>
      <w:r>
        <w:t xml:space="preserve">DECISION Études &amp; Conseil. (2025). European consumption of mainstream chips from third countries</w:t>
      </w:r>
    </w:p>
    <w:p>
      <w:pPr>
        <w:pStyle w:val="Compact"/>
        <w:numPr>
          <w:ilvl w:val="0"/>
          <w:numId w:val="1046"/>
        </w:numPr>
      </w:pPr>
      <w:r>
        <w:t xml:space="preserve">McKinsey &amp; Company (2025). Semiconductors have a big opportunity but barriers to scale remain. February 2025.</w:t>
      </w:r>
    </w:p>
    <w:p>
      <w:pPr>
        <w:pStyle w:val="Compact"/>
        <w:numPr>
          <w:ilvl w:val="0"/>
          <w:numId w:val="1046"/>
        </w:numPr>
      </w:pPr>
      <w:r>
        <w:t xml:space="preserve">McKinsey &amp; Company (2021), McKinsey on Semiconductors: Creating value, pursuing innovation, and optimising</w:t>
      </w:r>
      <w:r>
        <w:t xml:space="preserve"> </w:t>
      </w:r>
      <w:r>
        <w:t xml:space="preserve">operations.</w:t>
      </w:r>
    </w:p>
    <w:p>
      <w:pPr>
        <w:pStyle w:val="Compact"/>
        <w:numPr>
          <w:ilvl w:val="0"/>
          <w:numId w:val="1046"/>
        </w:numPr>
      </w:pPr>
      <w:r>
        <w:t xml:space="preserve">Boston Consulting Group (2021), Strengthening the Global Semiconductor Supply Chain: A report by BCG and the</w:t>
      </w:r>
      <w:r>
        <w:t xml:space="preserve"> </w:t>
      </w:r>
      <w:r>
        <w:t xml:space="preserve">Semiconductor Industry Association (SIA).</w:t>
      </w:r>
    </w:p>
    <w:p>
      <w:pPr>
        <w:pStyle w:val="FirstParagraph"/>
      </w:pPr>
      <w:r>
        <w:t xml:space="preserve">117</w:t>
      </w:r>
      <w:r>
        <w:t xml:space="preserve"> </w:t>
      </w:r>
      <w:r>
        <w:t xml:space="preserve">(R&amp;D) and</w:t>
      </w:r>
      <w:r>
        <w:t xml:space="preserve"> </w:t>
      </w:r>
      <w:r>
        <w:t xml:space="preserve">design costs</w:t>
      </w:r>
      <w:r>
        <w:br/>
      </w:r>
      <w:r>
        <w:t xml:space="preserve">manufacturing</w:t>
      </w:r>
      <w:r>
        <w:t xml:space="preserve"> </w:t>
      </w:r>
      <w:r>
        <w:t xml:space="preserve">processes</w:t>
      </w:r>
      <w:r>
        <w:t xml:space="preserve"> </w:t>
      </w:r>
      <w:r>
        <w:t xml:space="preserve">requires</w:t>
      </w:r>
      <w:r>
        <w:t xml:space="preserve"> </w:t>
      </w:r>
      <w:r>
        <w:t xml:space="preserve">sustained high R&amp;D</w:t>
      </w:r>
      <w:r>
        <w:t xml:space="preserve"> </w:t>
      </w:r>
      <w:r>
        <w:t xml:space="preserve">spending. Advanced-</w:t>
      </w:r>
      <w:r>
        <w:t xml:space="preserve"> </w:t>
      </w:r>
      <w:r>
        <w:t xml:space="preserve">node</w:t>
      </w:r>
      <w:r>
        <w:t xml:space="preserve"> </w:t>
      </w:r>
      <w:r>
        <w:t xml:space="preserve">development</w:t>
      </w:r>
      <w:r>
        <w:t xml:space="preserve"> </w:t>
      </w:r>
      <w:r>
        <w:t xml:space="preserve">drive significant fixed</w:t>
      </w:r>
      <w:r>
        <w:t xml:space="preserve"> </w:t>
      </w:r>
      <w:r>
        <w:t xml:space="preserve">costs, while limited</w:t>
      </w:r>
      <w:r>
        <w:t xml:space="preserve"> </w:t>
      </w:r>
      <w:r>
        <w:t xml:space="preserve">EU design scale raises</w:t>
      </w:r>
      <w:r>
        <w:t xml:space="preserve"> </w:t>
      </w:r>
      <w:r>
        <w:t xml:space="preserve">per-project</w:t>
      </w:r>
      <w:r>
        <w:t xml:space="preserve"> </w:t>
      </w:r>
      <w:r>
        <w:t xml:space="preserve">expenditure.</w:t>
      </w:r>
      <w:r>
        <w:t xml:space="preserve"> </w:t>
      </w:r>
      <w:r>
        <w:t xml:space="preserve">For a 5nm chip, design costs, including validation and</w:t>
      </w:r>
      <w:r>
        <w:t xml:space="preserve"> </w:t>
      </w:r>
      <w:r>
        <w:t xml:space="preserve">IP qualification, are about USD 540 million,</w:t>
      </w:r>
      <w:r>
        <w:t xml:space="preserve"> </w:t>
      </w:r>
      <w:r>
        <w:t xml:space="preserve">significantly higher than the USD 175 million for a 10</w:t>
      </w:r>
      <w:r>
        <w:t xml:space="preserve"> </w:t>
      </w:r>
      <w:r>
        <w:t xml:space="preserve">nm chip or USD 300 million for a seven nm chip (160).</w:t>
      </w:r>
      <w:r>
        <w:br/>
      </w:r>
      <w:r>
        <w:t xml:space="preserve">The semiconductor industry has a high level of</w:t>
      </w:r>
      <w:r>
        <w:t xml:space="preserve"> </w:t>
      </w:r>
      <w:r>
        <w:t xml:space="preserve">intensity in R&amp;D, accounting for 22% of annual final</w:t>
      </w:r>
      <w:r>
        <w:t xml:space="preserve"> </w:t>
      </w:r>
      <w:r>
        <w:t xml:space="preserve">chip revenues (161).</w:t>
      </w:r>
      <w:r>
        <w:br/>
      </w:r>
      <w:r>
        <w:t xml:space="preserve">Design activities account for 65% of the total industry</w:t>
      </w:r>
      <w:r>
        <w:t xml:space="preserve"> </w:t>
      </w:r>
      <w:r>
        <w:t xml:space="preserve">R&amp;D (162).</w:t>
      </w:r>
      <w:r>
        <w:t xml:space="preserve"> </w:t>
      </w:r>
      <w:r>
        <w:t xml:space="preserve">Materials</w:t>
      </w:r>
      <w:r>
        <w:t xml:space="preserve"> </w:t>
      </w:r>
      <w:r>
        <w:t xml:space="preserve">and inputs</w:t>
      </w:r>
      <w:r>
        <w:t xml:space="preserve"> </w:t>
      </w:r>
      <w:r>
        <w:t xml:space="preserve">Speciality</w:t>
      </w:r>
      <w:r>
        <w:t xml:space="preserve"> </w:t>
      </w:r>
      <w:r>
        <w:t xml:space="preserve">gases,</w:t>
      </w:r>
      <w:r>
        <w:t xml:space="preserve"> </w:t>
      </w:r>
      <w:r>
        <w:t xml:space="preserve">wafers,</w:t>
      </w:r>
      <w:r>
        <w:t xml:space="preserve"> </w:t>
      </w:r>
      <w:r>
        <w:t xml:space="preserve">and</w:t>
      </w:r>
      <w:r>
        <w:t xml:space="preserve"> </w:t>
      </w:r>
      <w:r>
        <w:t xml:space="preserve">chemicals’</w:t>
      </w:r>
      <w:r>
        <w:t xml:space="preserve"> </w:t>
      </w:r>
      <w:r>
        <w:t xml:space="preserve">import</w:t>
      </w:r>
      <w:r>
        <w:t xml:space="preserve"> </w:t>
      </w:r>
      <w:r>
        <w:t xml:space="preserve">dependency adds cost</w:t>
      </w:r>
      <w:r>
        <w:t xml:space="preserve"> </w:t>
      </w:r>
      <w:r>
        <w:t xml:space="preserve">and risk premiums.</w:t>
      </w:r>
      <w:r>
        <w:t xml:space="preserve"> </w:t>
      </w:r>
      <w:r>
        <w:t xml:space="preserve">Specialty gases, chemicals, metals, and other</w:t>
      </w:r>
      <w:r>
        <w:t xml:space="preserve"> </w:t>
      </w:r>
      <w:r>
        <w:t xml:space="preserve">materials are identified as a top cost item in the</w:t>
      </w:r>
      <w:r>
        <w:t xml:space="preserve"> </w:t>
      </w:r>
      <w:r>
        <w:t xml:space="preserve">semiconductor industry (163).</w:t>
      </w:r>
      <w:r>
        <w:t xml:space="preserve"> </w:t>
      </w:r>
      <w:r>
        <w:t xml:space="preserve">Many essential raw materials, such as gallium,</w:t>
      </w:r>
      <w:r>
        <w:t xml:space="preserve"> </w:t>
      </w:r>
      <w:r>
        <w:t xml:space="preserve">germanium, copper, and tungsten, are concentrated in</w:t>
      </w:r>
      <w:r>
        <w:t xml:space="preserve"> </w:t>
      </w:r>
      <w:r>
        <w:t xml:space="preserve">a few locations globally. This concentration increases</w:t>
      </w:r>
      <w:r>
        <w:t xml:space="preserve"> </w:t>
      </w:r>
      <w:r>
        <w:t xml:space="preserve">the dependence of intermediary chemical producers in</w:t>
      </w:r>
      <w:r>
        <w:t xml:space="preserve"> </w:t>
      </w:r>
      <w:r>
        <w:t xml:space="preserve">these specific locations, some of which are</w:t>
      </w:r>
      <w:r>
        <w:t xml:space="preserve"> </w:t>
      </w:r>
      <w:r>
        <w:t xml:space="preserve">geopolitically sensitive. This characteristic makes the</w:t>
      </w:r>
      <w:r>
        <w:t xml:space="preserve"> </w:t>
      </w:r>
      <w:r>
        <w:t xml:space="preserve">supply chain vulnerable to disruptions or necessitates</w:t>
      </w:r>
      <w:r>
        <w:t xml:space="preserve"> </w:t>
      </w:r>
      <w:r>
        <w:t xml:space="preserve">sourcing more expensive alternatives. It may also</w:t>
      </w:r>
      <w:r>
        <w:t xml:space="preserve"> </w:t>
      </w:r>
      <w:r>
        <w:t xml:space="preserve">potentially lead to higher costs if trade restrictions are</w:t>
      </w:r>
      <w:r>
        <w:t xml:space="preserve"> </w:t>
      </w:r>
      <w:r>
        <w:t xml:space="preserve">imposed (164).</w:t>
      </w:r>
      <w:r>
        <w:t xml:space="preserve"> </w:t>
      </w:r>
      <w:r>
        <w:t xml:space="preserve">Since companies often import many materials, border</w:t>
      </w:r>
      <w:r>
        <w:t xml:space="preserve"> </w:t>
      </w:r>
      <w:r>
        <w:t xml:space="preserve">costs such as tariffs, fees, customs clearance, and</w:t>
      </w:r>
      <w:r>
        <w:t xml:space="preserve"> </w:t>
      </w:r>
      <w:r>
        <w:t xml:space="preserve">regulatory approvals are decisive factors in cost</w:t>
      </w:r>
      <w:r>
        <w:t xml:space="preserve"> </w:t>
      </w:r>
      <w:r>
        <w:t xml:space="preserve">assessments (165).</w:t>
      </w:r>
      <w:r>
        <w:br/>
      </w:r>
      <w:r>
        <w:t xml:space="preserve">Overall, we see that capital intensity and scale remain the dominant driver: building and</w:t>
      </w:r>
      <w:r>
        <w:t xml:space="preserve"> </w:t>
      </w:r>
      <w:r>
        <w:t xml:space="preserve">equipping a state-of-the-art fab can require between USD 4 billion and USD 20 billion (166),</w:t>
      </w:r>
      <w:r>
        <w:t xml:space="preserve"> </w:t>
      </w:r>
      <w:r>
        <w:t xml:space="preserve">with wafer fabrication alone accounting for around 64 % of total capital expenditure.</w:t>
      </w:r>
      <w:r>
        <w:t xml:space="preserve"> </w:t>
      </w:r>
      <w:r>
        <w:t xml:space="preserve">Smaller average fab sizes and higher compliance costs in Europe inflate per-wafer unit costs</w:t>
      </w:r>
      <w:r>
        <w:t xml:space="preserve"> </w:t>
      </w:r>
      <w:r>
        <w:t xml:space="preserve">compared with Asia, where large-scale operations achieve substantial economies of scale.</w:t>
      </w:r>
    </w:p>
    <w:p>
      <w:pPr>
        <w:pStyle w:val="Compact"/>
        <w:numPr>
          <w:ilvl w:val="0"/>
          <w:numId w:val="1047"/>
        </w:numPr>
      </w:pPr>
      <w:r>
        <w:t xml:space="preserve">Cerutti, Isabella &amp; Nardo, Michela (2023). Semiconductors in the EU: State of play, future trends and vulnerabilities of</w:t>
      </w:r>
      <w:r>
        <w:t xml:space="preserve"> </w:t>
      </w:r>
      <w:r>
        <w:t xml:space="preserve">the semiconductor supply chain. JRC Technical Report, JRC133850.</w:t>
      </w:r>
    </w:p>
    <w:p>
      <w:pPr>
        <w:pStyle w:val="Compact"/>
        <w:numPr>
          <w:ilvl w:val="0"/>
          <w:numId w:val="1047"/>
        </w:numPr>
      </w:pPr>
      <w:r>
        <w:t xml:space="preserve">McKinsey &amp; Company (2021), McKinsey on Semiconductors: Creating value, pursuing innovation, and optimising</w:t>
      </w:r>
      <w:r>
        <w:t xml:space="preserve"> </w:t>
      </w:r>
      <w:r>
        <w:t xml:space="preserve">operations.</w:t>
      </w:r>
    </w:p>
    <w:p>
      <w:pPr>
        <w:pStyle w:val="Compact"/>
        <w:numPr>
          <w:ilvl w:val="0"/>
          <w:numId w:val="1047"/>
        </w:numPr>
      </w:pPr>
      <w:r>
        <w:t xml:space="preserve">Boston Consulting Group (2021), Strengthening the Global Semiconductor Supply Chain: A report by BCG and the</w:t>
      </w:r>
      <w:r>
        <w:t xml:space="preserve"> </w:t>
      </w:r>
      <w:r>
        <w:t xml:space="preserve">Semiconductor Industry Association (SIA).</w:t>
      </w:r>
    </w:p>
    <w:p>
      <w:pPr>
        <w:pStyle w:val="Compact"/>
        <w:numPr>
          <w:ilvl w:val="0"/>
          <w:numId w:val="1047"/>
        </w:numPr>
      </w:pPr>
      <w:r>
        <w:t xml:space="preserve">Cerutti, Isabella &amp; Nardo, Michela (2023). Semiconductors in the EU: State of play, future trends and vulnerabilities of</w:t>
      </w:r>
      <w:r>
        <w:t xml:space="preserve"> </w:t>
      </w:r>
      <w:r>
        <w:t xml:space="preserve">the semiconductor supply chain. JRC Technical Report, JRC133850.</w:t>
      </w:r>
    </w:p>
    <w:p>
      <w:pPr>
        <w:pStyle w:val="Compact"/>
        <w:numPr>
          <w:ilvl w:val="0"/>
          <w:numId w:val="1047"/>
        </w:numPr>
      </w:pPr>
      <w:r>
        <w:t xml:space="preserve">Boston Consulting Group (BCG) and Semiconductor Industry Association (SIA) (2024), Attracting chips investment:</w:t>
      </w:r>
      <w:r>
        <w:t xml:space="preserve"> </w:t>
      </w:r>
      <w:r>
        <w:t xml:space="preserve">Industry recommendations for policymakers, August 2024.</w:t>
      </w:r>
    </w:p>
    <w:p>
      <w:pPr>
        <w:pStyle w:val="Compact"/>
        <w:numPr>
          <w:ilvl w:val="0"/>
          <w:numId w:val="1047"/>
        </w:numPr>
      </w:pPr>
      <w:r>
        <w:t xml:space="preserve">McKinsey &amp; Company (2025). Semiconductors have a big opportunity but barriers to scale remain. February 2025.</w:t>
      </w:r>
    </w:p>
    <w:p>
      <w:pPr>
        <w:pStyle w:val="Compact"/>
        <w:numPr>
          <w:ilvl w:val="0"/>
          <w:numId w:val="1047"/>
        </w:numPr>
      </w:pPr>
      <w:r>
        <w:t xml:space="preserve">Boston Consulting Group (BCG) and Semiconductor Industry Association (SIA) (2024), Attracting chips investment:</w:t>
      </w:r>
      <w:r>
        <w:t xml:space="preserve"> </w:t>
      </w:r>
      <w:r>
        <w:t xml:space="preserve">Industry recommendations for policymakers, August 2024.</w:t>
      </w:r>
    </w:p>
    <w:p>
      <w:pPr>
        <w:pStyle w:val="Compact"/>
        <w:numPr>
          <w:ilvl w:val="0"/>
          <w:numId w:val="1047"/>
        </w:numPr>
      </w:pPr>
      <w:r>
        <w:t xml:space="preserve">Building on BSC figure, converted to EUR from USD.</w:t>
      </w:r>
    </w:p>
    <w:p>
      <w:pPr>
        <w:pStyle w:val="FirstParagraph"/>
      </w:pPr>
      <w:r>
        <w:t xml:space="preserve">118</w:t>
      </w:r>
      <w:r>
        <w:t xml:space="preserve"> </w:t>
      </w:r>
      <w:r>
        <w:t xml:space="preserve">When all major components (capital, labour, energy, land) are combined, EU fabs remain</w:t>
      </w:r>
      <w:r>
        <w:t xml:space="preserve"> </w:t>
      </w:r>
      <w:r>
        <w:t xml:space="preserve">16% more expensive than US fabs and up to 50% more expensive than leading Asian fabs</w:t>
      </w:r>
      <w:r>
        <w:t xml:space="preserve"> </w:t>
      </w:r>
      <w:r>
        <w:t xml:space="preserve">(167).</w:t>
      </w:r>
      <w:r>
        <w:t xml:space="preserve"> </w:t>
      </w:r>
      <w:r>
        <w:t xml:space="preserve">1.4.2. Modelling the BAU scenario</w:t>
      </w:r>
      <w:r>
        <w:t xml:space="preserve"> </w:t>
      </w:r>
      <w:r>
        <w:t xml:space="preserve">Building on the state of play overview above we provide a logical inference on how EU</w:t>
      </w:r>
      <w:r>
        <w:br/>
      </w:r>
      <w:r>
        <w:t xml:space="preserve">Information anchors</w:t>
      </w:r>
      <w:r>
        <w:t xml:space="preserve"> </w:t>
      </w:r>
      <w:r>
        <w:t xml:space="preserve">Global investment and cost structure: Industry plans roughly USD 1 trillion of new fabs by</w:t>
      </w:r>
      <w:r>
        <w:t xml:space="preserve"> </w:t>
      </w:r>
      <w:r>
        <w:t xml:space="preserve">2030 (168), but structural cost gaps remain due to site productivity, logistics, and cluster effects.</w:t>
      </w:r>
      <w:r>
        <w:t xml:space="preserve"> </w:t>
      </w:r>
      <w:r>
        <w:t xml:space="preserve">Europe faces higher construction and operating costs and slower ramp-ups compared with</w:t>
      </w:r>
      <w:r>
        <w:t xml:space="preserve"> </w:t>
      </w:r>
      <w:r>
        <w:t xml:space="preserve">leading Asian sites. Build-and-commission timelines for EU based fabs are around 34 months,</w:t>
      </w:r>
      <w:r>
        <w:t xml:space="preserve"> </w:t>
      </w:r>
      <w:r>
        <w:t xml:space="preserve">compared to 19 months in Taiwan. (169)</w:t>
      </w:r>
      <w:r>
        <w:t xml:space="preserve"> </w:t>
      </w:r>
      <w:r>
        <w:t xml:space="preserve">Node mix and ecosystem gaps: Europe’s strengths are in automotive, power, analogue and</w:t>
      </w:r>
      <w:r>
        <w:t xml:space="preserve"> </w:t>
      </w:r>
      <w:r>
        <w:t xml:space="preserve">sensors, with limited leading-edge logic. There are clear gaps in back-end, advanced packaging</w:t>
      </w:r>
      <w:r>
        <w:t xml:space="preserve"> </w:t>
      </w:r>
      <w:r>
        <w:t xml:space="preserve">and substrates, which increasingly determine system-level performance and cost.</w:t>
      </w:r>
      <w:r>
        <w:t xml:space="preserve"> </w:t>
      </w:r>
      <w:r>
        <w:t xml:space="preserve">Talent constraints: Skills shortages in engineering and skilled trades are a binding constraint</w:t>
      </w:r>
      <w:r>
        <w:t xml:space="preserve"> </w:t>
      </w:r>
      <w:r>
        <w:t xml:space="preserve">in Europe as well as the US and Asia, affecting time-to-build and OPEX.</w:t>
      </w:r>
      <w:r>
        <w:t xml:space="preserve"> </w:t>
      </w:r>
      <w:r>
        <w:t xml:space="preserve">Materials and inputs: The EU remains dependent on imported specialty gases, chemicals and</w:t>
      </w:r>
      <w:r>
        <w:t xml:space="preserve"> </w:t>
      </w:r>
      <w:r>
        <w:t xml:space="preserve">critical raw materials with concentrated global supply, adding price and disruption risk premia.</w:t>
      </w:r>
    </w:p>
    <w:p>
      <w:pPr>
        <w:pStyle w:val="BodyText"/>
      </w:pPr>
      <w:r>
        <w:t xml:space="preserve">Capital intensity and fab scale</w:t>
      </w:r>
      <w:r>
        <w:br/>
      </w:r>
      <w:r>
        <w:t xml:space="preserve">•</w:t>
      </w:r>
      <w:r>
        <w:t xml:space="preserve"> </w:t>
      </w:r>
      <w:r>
        <w:t xml:space="preserve">Developments expected under BAU: A number of EU greenfield and brownfield</w:t>
      </w:r>
      <w:r>
        <w:t xml:space="preserve"> </w:t>
      </w:r>
      <w:r>
        <w:t xml:space="preserve">projects announced since 2023 complete construction and begin ramping. Local</w:t>
      </w:r>
      <w:r>
        <w:t xml:space="preserve"> </w:t>
      </w:r>
      <w:r>
        <w:t xml:space="preserve">supplier bases deepen marginally, and experience curves reduce overruns. However,</w:t>
      </w:r>
      <w:r>
        <w:t xml:space="preserve"> </w:t>
      </w:r>
      <w:r>
        <w:t xml:space="preserve">average EU fabs remain smaller (170) than Asian mega-fabs and less embedded in</w:t>
      </w:r>
      <w:r>
        <w:t xml:space="preserve"> </w:t>
      </w:r>
      <w:r>
        <w:t xml:space="preserve">very large, turnkey industrial parks.</w:t>
      </w:r>
      <w:r>
        <w:t xml:space="preserve"> </w:t>
      </w:r>
      <w:r>
        <w:t xml:space="preserve">•</w:t>
      </w:r>
      <w:r>
        <w:t xml:space="preserve"> </w:t>
      </w:r>
      <w:r>
        <w:t xml:space="preserve">Rationale: Persistent barriers to scale in Europe and North America include higher</w:t>
      </w:r>
      <w:r>
        <w:t xml:space="preserve"> </w:t>
      </w:r>
      <w:r>
        <w:t xml:space="preserve">construction costs and logistics frictions; the European Court of Auditors (ECA)</w:t>
      </w:r>
      <w:r>
        <w:t xml:space="preserve"> </w:t>
      </w:r>
      <w:r>
        <w:t xml:space="preserve">underlines that public support levels and timelines fall short of transforming EU</w:t>
      </w:r>
      <w:r>
        <w:t xml:space="preserve"> </w:t>
      </w:r>
      <w:r>
        <w:t xml:space="preserve">market share quickly (171). In addition, Europe faces structurally higher financing</w:t>
      </w:r>
      <w:r>
        <w:t xml:space="preserve"> </w:t>
      </w:r>
      <w:r>
        <w:t xml:space="preserve">costs: the weighted average cost of capital (WACC) for semiconductor manufacturers</w:t>
      </w:r>
      <w:r>
        <w:t xml:space="preserve"> </w:t>
      </w:r>
      <w:r>
        <w:t xml:space="preserve">is 8.3% in the EU, compared with 7.3 % in the US, 6.1 % in China, 4.8 % in Taiwan,</w:t>
      </w:r>
    </w:p>
    <w:p>
      <w:pPr>
        <w:pStyle w:val="Compact"/>
        <w:numPr>
          <w:ilvl w:val="0"/>
          <w:numId w:val="1048"/>
        </w:numPr>
      </w:pPr>
      <w:r>
        <w:t xml:space="preserve">Decision Etudes &amp; Conseil and YOLE Group, Competitiveness of the EU semiconductor manufacturing industry,</w:t>
      </w:r>
      <w:r>
        <w:t xml:space="preserve"> </w:t>
      </w:r>
      <w:r>
        <w:t xml:space="preserve">Nov.2025</w:t>
      </w:r>
    </w:p>
    <w:p>
      <w:pPr>
        <w:pStyle w:val="Compact"/>
        <w:numPr>
          <w:ilvl w:val="0"/>
          <w:numId w:val="1048"/>
        </w:numPr>
      </w:pPr>
      <w:r>
        <w:t xml:space="preserve">McKinsey &amp; Company (2025). Semiconductors have a big opportunity but barriers to scale remain. February 2025.</w:t>
      </w:r>
    </w:p>
    <w:p>
      <w:pPr>
        <w:pStyle w:val="Compact"/>
        <w:numPr>
          <w:ilvl w:val="0"/>
          <w:numId w:val="1048"/>
        </w:numPr>
      </w:pPr>
      <w:r>
        <w:t xml:space="preserve">IDC “Semiconductors Market Data by Feature Size, Sector, and Region” Report</w:t>
      </w:r>
    </w:p>
    <w:p>
      <w:pPr>
        <w:pStyle w:val="Compact"/>
        <w:numPr>
          <w:ilvl w:val="0"/>
          <w:numId w:val="1048"/>
        </w:numPr>
      </w:pPr>
      <w:r>
        <w:t xml:space="preserve">The reference to “smaller average fab size” is based on evidence that Europe’s semiconductor ecosystem is dominated</w:t>
      </w:r>
      <w:r>
        <w:t xml:space="preserve"> </w:t>
      </w:r>
      <w:r>
        <w:t xml:space="preserve">by mid-scale fabs focused on mature-node, automotive, power, and analog manufacturing, rather than the large leading-edge</w:t>
      </w:r>
      <w:r>
        <w:t xml:space="preserve"> </w:t>
      </w:r>
      <w:r>
        <w:t xml:space="preserve">megafabs typical of Asia and the US, which achieve significantly greater economies of scale. Evidence drawn from JRC,</w:t>
      </w:r>
      <w:r>
        <w:t xml:space="preserve"> </w:t>
      </w:r>
      <w:r>
        <w:t xml:space="preserve">IFRI, Interface, and industry reports (McKinsey, BCG, SIA) supports this structural distinction.</w:t>
      </w:r>
    </w:p>
    <w:p>
      <w:pPr>
        <w:pStyle w:val="Compact"/>
        <w:numPr>
          <w:ilvl w:val="0"/>
          <w:numId w:val="1048"/>
        </w:numPr>
      </w:pPr>
      <w:r>
        <w:t xml:space="preserve">European Court of Auditors. (2025). Special Report 12/2025 – The EU’s strategy for microchips: Reasonable progress</w:t>
      </w:r>
      <w:r>
        <w:t xml:space="preserve"> </w:t>
      </w:r>
      <w:r>
        <w:t xml:space="preserve">in its implementation, but the Chips Act is very unlikely to be sufficient to reach the overly ambitious Digital Decade target.</w:t>
      </w:r>
    </w:p>
    <w:p>
      <w:pPr>
        <w:pStyle w:val="FirstParagraph"/>
      </w:pPr>
      <w:r>
        <w:t xml:space="preserve">119</w:t>
      </w:r>
      <w:r>
        <w:t xml:space="preserve"> </w:t>
      </w:r>
      <w:r>
        <w:t xml:space="preserve">and 4.4% in South Korea (172). These higher financing costs make large-scale</w:t>
      </w:r>
      <w:r>
        <w:t xml:space="preserve"> </w:t>
      </w:r>
      <w:r>
        <w:t xml:space="preserve">investments more expensive to execute in Europe relative to leading competitors.</w:t>
      </w:r>
      <w:r>
        <w:t xml:space="preserve"> </w:t>
      </w:r>
      <w:r>
        <w:t xml:space="preserve">•</w:t>
      </w:r>
      <w:r>
        <w:t xml:space="preserve"> </w:t>
      </w:r>
      <w:r>
        <w:t xml:space="preserve">Implication for costs: According to the comparative fab cost index by Decision &amp;</w:t>
      </w:r>
      <w:r>
        <w:t xml:space="preserve"> </w:t>
      </w:r>
      <w:r>
        <w:t xml:space="preserve">Yole (173), Europe remains the highest-cost location among the major semiconductor</w:t>
      </w:r>
      <w:r>
        <w:t xml:space="preserve"> </w:t>
      </w:r>
      <w:r>
        <w:t xml:space="preserve">manufacturing regions: EU = 100, US = 84, Japan = 84, China = 61, Taiwan = 53,</w:t>
      </w:r>
      <w:r>
        <w:t xml:space="preserve"> </w:t>
      </w:r>
      <w:r>
        <w:t xml:space="preserve">Korea = 50. This evidence suggests that, even if some cost efficiencies materialise as</w:t>
      </w:r>
      <w:r>
        <w:t xml:space="preserve"> </w:t>
      </w:r>
      <w:r>
        <w:t xml:space="preserve">EU sites mature, a significant structural cost gap remains between the EU and leading</w:t>
      </w:r>
      <w:r>
        <w:t xml:space="preserve"> </w:t>
      </w:r>
      <w:r>
        <w:t xml:space="preserve">Asian ecosystems under a business-as-usual trajectory.</w:t>
      </w:r>
      <w:r>
        <w:t xml:space="preserve"> </w:t>
      </w:r>
      <w:r>
        <w:t xml:space="preserve">Operating expenditure (energy, labour, compliance)</w:t>
      </w:r>
      <w:r>
        <w:t xml:space="preserve"> </w:t>
      </w:r>
      <w:r>
        <w:t xml:space="preserve">•</w:t>
      </w:r>
      <w:r>
        <w:t xml:space="preserve"> </w:t>
      </w:r>
      <w:r>
        <w:t xml:space="preserve">Developments expected under BAU: Energy markets stabilise relative to the 2022–</w:t>
      </w:r>
      <w:r>
        <w:t xml:space="preserve"> </w:t>
      </w:r>
      <w:r>
        <w:t xml:space="preserve">2023 spike, with more long-term power purchase agreements (PPAs), and on-site</w:t>
      </w:r>
      <w:r>
        <w:t xml:space="preserve"> </w:t>
      </w:r>
      <w:r>
        <w:t xml:space="preserve">renewables. Labour productivity improves gradually through automation and</w:t>
      </w:r>
      <w:r>
        <w:t xml:space="preserve"> </w:t>
      </w:r>
      <w:r>
        <w:t xml:space="preserve">learning, but wage levels and compliance costs in Europe remain structurally high.</w:t>
      </w:r>
      <w:r>
        <w:t xml:space="preserve"> </w:t>
      </w:r>
      <w:r>
        <w:t xml:space="preserve">EU skills programmes, increased automation, and migration relieve the worst</w:t>
      </w:r>
      <w:r>
        <w:t xml:space="preserve"> </w:t>
      </w:r>
      <w:r>
        <w:t xml:space="preserve">shortages, but global competition keeps talent tight and expensive. Construction and</w:t>
      </w:r>
      <w:r>
        <w:t xml:space="preserve"> </w:t>
      </w:r>
      <w:r>
        <w:t xml:space="preserve">ramp-up timelines also remain longer in Europe, with typical build-and-commission</w:t>
      </w:r>
      <w:r>
        <w:t xml:space="preserve"> </w:t>
      </w:r>
      <w:r>
        <w:t xml:space="preserve">periods of about 34 months compared with roughly 19 months in Taiwan, reinforcing</w:t>
      </w:r>
      <w:r>
        <w:t xml:space="preserve"> </w:t>
      </w:r>
      <w:r>
        <w:t xml:space="preserve">cost and time-to-market disadvantages.</w:t>
      </w:r>
      <w:r>
        <w:t xml:space="preserve"> </w:t>
      </w:r>
      <w:r>
        <w:t xml:space="preserve">•</w:t>
      </w:r>
      <w:r>
        <w:t xml:space="preserve"> </w:t>
      </w:r>
      <w:r>
        <w:t xml:space="preserve">Rationale: The ECA suggests no near-term step-change in competitiveness drivers</w:t>
      </w:r>
      <w:r>
        <w:t xml:space="preserve"> </w:t>
      </w:r>
      <w:r>
        <w:t xml:space="preserve">from current policies (174); McKinsey points to recurring OPEX headwinds in Europe</w:t>
      </w:r>
      <w:r>
        <w:t xml:space="preserve"> </w:t>
      </w:r>
      <w:r>
        <w:t xml:space="preserve">and North America (175). Europe faces structurally higher energy prices: the report</w:t>
      </w:r>
      <w:r>
        <w:t xml:space="preserve"> </w:t>
      </w:r>
      <w:r>
        <w:t xml:space="preserve">shows that EU wholesale gas prices are around 2.8 times those in the US, which</w:t>
      </w:r>
      <w:r>
        <w:t xml:space="preserve"> </w:t>
      </w:r>
      <w:r>
        <w:t xml:space="preserve">contributes to industrial electricity prices that are 137 % higher in the EU compared</w:t>
      </w:r>
      <w:r>
        <w:t xml:space="preserve"> </w:t>
      </w:r>
      <w:r>
        <w:t xml:space="preserve">with the US. Labour cost pressures also persist with unit labour costs in EU</w:t>
      </w:r>
      <w:r>
        <w:t xml:space="preserve"> </w:t>
      </w:r>
      <w:r>
        <w:t xml:space="preserve">semiconductor manufacturing (0.38) remaining above those in the US (0.35) and</w:t>
      </w:r>
      <w:r>
        <w:t xml:space="preserve"> </w:t>
      </w:r>
      <w:r>
        <w:t xml:space="preserve">significantly above levels in Korea (0.11), Taiwan (0.12), China (0.15), and Japan</w:t>
      </w:r>
      <w:r>
        <w:t xml:space="preserve"> </w:t>
      </w:r>
      <w:r>
        <w:t xml:space="preserve">(0.16), largely due to lower productivity and higher employers’ social contributions in</w:t>
      </w:r>
      <w:r>
        <w:t xml:space="preserve"> </w:t>
      </w:r>
      <w:r>
        <w:t xml:space="preserve">the EU (176).</w:t>
      </w:r>
      <w:r>
        <w:t xml:space="preserve"> </w:t>
      </w:r>
      <w:r>
        <w:t xml:space="preserve">•</w:t>
      </w:r>
      <w:r>
        <w:t xml:space="preserve"> </w:t>
      </w:r>
      <w:r>
        <w:t xml:space="preserve">Implication for costs: Europe remains a structurally higher-cost operating</w:t>
      </w:r>
      <w:r>
        <w:t xml:space="preserve"> </w:t>
      </w:r>
      <w:r>
        <w:t xml:space="preserve">environment compared with major competitors. The report identifies energy and</w:t>
      </w:r>
      <w:r>
        <w:t xml:space="preserve"> </w:t>
      </w:r>
      <w:r>
        <w:t xml:space="preserve">labour costs as two of the main contributors to the EU’s higher fab cost index (EU =</w:t>
      </w:r>
      <w:r>
        <w:t xml:space="preserve"> </w:t>
      </w:r>
      <w:r>
        <w:t xml:space="preserve">100 vs 84 in the US) (177). Under BAU, some efficiency gains may occur, but the</w:t>
      </w:r>
      <w:r>
        <w:t xml:space="preserve"> </w:t>
      </w:r>
      <w:r>
        <w:t xml:space="preserve">evidence suggests that Europe’s operating-cost disadvantage will persist.</w:t>
      </w:r>
      <w:r>
        <w:t xml:space="preserve"> </w:t>
      </w:r>
      <w:r>
        <w:t xml:space="preserve">Advanced packaging and substrates</w:t>
      </w:r>
    </w:p>
    <w:p>
      <w:pPr>
        <w:pStyle w:val="Compact"/>
        <w:numPr>
          <w:ilvl w:val="0"/>
          <w:numId w:val="1049"/>
        </w:numPr>
      </w:pPr>
      <w:r>
        <w:t xml:space="preserve">Decision Etudes &amp; Conseil and YOLE Group, Competitiveness of the EU semiconductor manufacturing industry,</w:t>
      </w:r>
      <w:r>
        <w:t xml:space="preserve"> </w:t>
      </w:r>
      <w:r>
        <w:t xml:space="preserve">Nov.2025</w:t>
      </w:r>
    </w:p>
    <w:p>
      <w:pPr>
        <w:pStyle w:val="Compact"/>
        <w:numPr>
          <w:ilvl w:val="0"/>
          <w:numId w:val="1049"/>
        </w:numPr>
      </w:pPr>
      <w:r>
        <w:t xml:space="preserve">Decision Etudes &amp; Conseil and YOLE Group, Competitiveness of the EU semiconductor manufacturing industry,</w:t>
      </w:r>
      <w:r>
        <w:t xml:space="preserve"> </w:t>
      </w:r>
      <w:r>
        <w:t xml:space="preserve">Nov.2025</w:t>
      </w:r>
    </w:p>
    <w:p>
      <w:pPr>
        <w:pStyle w:val="Compact"/>
        <w:numPr>
          <w:ilvl w:val="0"/>
          <w:numId w:val="1049"/>
        </w:numPr>
      </w:pPr>
      <w:r>
        <w:t xml:space="preserve">European Court of Auditors. (2025). Special Report 12/2025 – The EU’s strategy for microchips: Reasonable progress</w:t>
      </w:r>
      <w:r>
        <w:t xml:space="preserve"> </w:t>
      </w:r>
      <w:r>
        <w:t xml:space="preserve">in its implementation, but the Chips Act is very unlikely to be sufficient to reach the overly ambitious Digital Decade target.</w:t>
      </w:r>
    </w:p>
    <w:p>
      <w:pPr>
        <w:pStyle w:val="Compact"/>
        <w:numPr>
          <w:ilvl w:val="0"/>
          <w:numId w:val="1049"/>
        </w:numPr>
      </w:pPr>
      <w:r>
        <w:t xml:space="preserve">McKinsey &amp; Company (2025). Semiconductors have a big opportunity but barriers to scale remain. February 2025.</w:t>
      </w:r>
    </w:p>
    <w:p>
      <w:pPr>
        <w:pStyle w:val="Compact"/>
        <w:numPr>
          <w:ilvl w:val="0"/>
          <w:numId w:val="1049"/>
        </w:numPr>
      </w:pPr>
      <w:r>
        <w:t xml:space="preserve">Decision Etudes &amp; Conseil and YOLE Group, Competitiveness of the EU semiconductor manufacturing industry,</w:t>
      </w:r>
      <w:r>
        <w:t xml:space="preserve"> </w:t>
      </w:r>
      <w:r>
        <w:t xml:space="preserve">Nov.2025</w:t>
      </w:r>
    </w:p>
    <w:p>
      <w:pPr>
        <w:pStyle w:val="Compact"/>
        <w:numPr>
          <w:ilvl w:val="0"/>
          <w:numId w:val="1049"/>
        </w:numPr>
      </w:pPr>
      <w:r>
        <w:t xml:space="preserve">Decision Etudes &amp; Conseil and YOLE Group, Competitiveness of the EU semiconductor manufacturing industry,</w:t>
      </w:r>
      <w:r>
        <w:t xml:space="preserve"> </w:t>
      </w:r>
      <w:r>
        <w:t xml:space="preserve">Nov.2025</w:t>
      </w:r>
    </w:p>
    <w:p>
      <w:pPr>
        <w:pStyle w:val="FirstParagraph"/>
      </w:pPr>
      <w:r>
        <w:t xml:space="preserve">120</w:t>
      </w:r>
      <w:r>
        <w:t xml:space="preserve"> </w:t>
      </w:r>
      <w:r>
        <w:t xml:space="preserve">•</w:t>
      </w:r>
      <w:r>
        <w:t xml:space="preserve"> </w:t>
      </w:r>
      <w:r>
        <w:t xml:space="preserve">Developments expected under BAU: Europe pilots some advanced-packaging lines</w:t>
      </w:r>
      <w:r>
        <w:t xml:space="preserve"> </w:t>
      </w:r>
      <w:r>
        <w:t xml:space="preserve">and niche OSAT activity, with new investments such as the planned SiliconBox</w:t>
      </w:r>
      <w:r>
        <w:t xml:space="preserve"> </w:t>
      </w:r>
      <w:r>
        <w:t xml:space="preserve">advanced-packaging facility in Novara strengthening capabilities in specialised</w:t>
      </w:r>
      <w:r>
        <w:t xml:space="preserve"> </w:t>
      </w:r>
      <w:r>
        <w:t xml:space="preserve">advanced packaging activities. However, volume capacity remains concentrated in</w:t>
      </w:r>
      <w:r>
        <w:t xml:space="preserve"> </w:t>
      </w:r>
      <w:r>
        <w:t xml:space="preserve">Asia, which increasingly shapes system performance, cost and time-to-market.</w:t>
      </w:r>
      <w:r>
        <w:t xml:space="preserve"> </w:t>
      </w:r>
      <w:r>
        <w:t xml:space="preserve">•</w:t>
      </w:r>
      <w:r>
        <w:t xml:space="preserve"> </w:t>
      </w:r>
      <w:r>
        <w:t xml:space="preserve">Rationale: The JRC (2025) (178) shows Europe’s strategic dependency on the US and</w:t>
      </w:r>
      <w:r>
        <w:t xml:space="preserve"> </w:t>
      </w:r>
      <w:r>
        <w:t xml:space="preserve">Asia for advanced packaging and IC substrates. IFRI (2024) (179) similarly highlights</w:t>
      </w:r>
      <w:r>
        <w:t xml:space="preserve"> </w:t>
      </w:r>
      <w:r>
        <w:t xml:space="preserve">structural gaps in Europe’s back-end capabilities. While Member State support has</w:t>
      </w:r>
      <w:r>
        <w:t xml:space="preserve"> </w:t>
      </w:r>
      <w:r>
        <w:t xml:space="preserve">begun to include back-end initiatives such as Silicon Box in Italy and the (now-</w:t>
      </w:r>
      <w:r>
        <w:t xml:space="preserve"> </w:t>
      </w:r>
      <w:r>
        <w:t xml:space="preserve">cancelled) Intel packaging project in Poland, the bulk of announced investments have</w:t>
      </w:r>
      <w:r>
        <w:t xml:space="preserve"> </w:t>
      </w:r>
      <w:r>
        <w:t xml:space="preserve">been focused on front-end fabrication. Overall, the evidence indicates that Europe’s</w:t>
      </w:r>
      <w:r>
        <w:t xml:space="preserve"> </w:t>
      </w:r>
      <w:r>
        <w:t xml:space="preserve">structural gap in advanced packaging is likely to persist under BAU.</w:t>
      </w:r>
      <w:r>
        <w:t xml:space="preserve"> </w:t>
      </w:r>
      <w:r>
        <w:t xml:space="preserve">•</w:t>
      </w:r>
      <w:r>
        <w:t xml:space="preserve"> </w:t>
      </w:r>
      <w:r>
        <w:t xml:space="preserve">Implication for costs: While firms offshore back-end processing because private</w:t>
      </w:r>
      <w:r>
        <w:t xml:space="preserve"> </w:t>
      </w:r>
      <w:r>
        <w:t xml:space="preserve">production costs are lower in Asia, Europe’s reliance on overseas packaging</w:t>
      </w:r>
      <w:r>
        <w:t xml:space="preserve"> </w:t>
      </w:r>
      <w:r>
        <w:t xml:space="preserve">introduces additional logistics, coordination, and lead-time costs at the system level.</w:t>
      </w:r>
      <w:r>
        <w:t xml:space="preserve"> </w:t>
      </w:r>
      <w:r>
        <w:t xml:space="preserve">As the Nexperia case illustrates, export restrictions imposed on back-end sites can</w:t>
      </w:r>
      <w:r>
        <w:t xml:space="preserve"> </w:t>
      </w:r>
      <w:r>
        <w:t xml:space="preserve">have serious repercussions for European industry. These do not outweigh Asia’s cost</w:t>
      </w:r>
      <w:r>
        <w:t xml:space="preserve"> </w:t>
      </w:r>
      <w:r>
        <w:t xml:space="preserve">advantages for individual firms but nonetheless reduce Europe’s ability to optimise</w:t>
      </w:r>
      <w:r>
        <w:t xml:space="preserve"> </w:t>
      </w:r>
      <w:r>
        <w:t xml:space="preserve">time-to-market and design–manufacturing integration compared with a fully localised</w:t>
      </w:r>
      <w:r>
        <w:t xml:space="preserve"> </w:t>
      </w:r>
      <w:r>
        <w:t xml:space="preserve">supply chain. (Logical chain grounded in cited ecosystem gaps.)</w:t>
      </w:r>
      <w:r>
        <w:t xml:space="preserve"> </w:t>
      </w:r>
      <w:r>
        <w:t xml:space="preserve">Materials, chemicals and gases</w:t>
      </w:r>
      <w:r>
        <w:t xml:space="preserve"> </w:t>
      </w:r>
      <w:r>
        <w:t xml:space="preserve">•</w:t>
      </w:r>
      <w:r>
        <w:t xml:space="preserve"> </w:t>
      </w:r>
      <w:r>
        <w:t xml:space="preserve">Developments expected under BAU: Incremental supplier diversification and</w:t>
      </w:r>
      <w:r>
        <w:t xml:space="preserve"> </w:t>
      </w:r>
      <w:r>
        <w:t xml:space="preserve">recycling reduce some risk premia, but EU remains import-dependent for many</w:t>
      </w:r>
      <w:r>
        <w:t xml:space="preserve"> </w:t>
      </w:r>
      <w:r>
        <w:t xml:space="preserve">critical inputs with geopolitically concentrated supply. Continued investment in</w:t>
      </w:r>
      <w:r>
        <w:t xml:space="preserve"> </w:t>
      </w:r>
      <w:r>
        <w:t xml:space="preserve">semiconductor manufacturing capacity is expected to encourage material suppliers to</w:t>
      </w:r>
      <w:r>
        <w:t xml:space="preserve"> </w:t>
      </w:r>
      <w:r>
        <w:t xml:space="preserve">expand their presence.</w:t>
      </w:r>
      <w:r>
        <w:t xml:space="preserve"> </w:t>
      </w:r>
      <w:r>
        <w:t xml:space="preserve">•</w:t>
      </w:r>
      <w:r>
        <w:t xml:space="preserve"> </w:t>
      </w:r>
      <w:r>
        <w:t xml:space="preserve">Implication for costs: continued exposure to price volatility and border-</w:t>
      </w:r>
      <w:r>
        <w:t xml:space="preserve"> </w:t>
      </w:r>
      <w:r>
        <w:t xml:space="preserve">compliance costs, adding a thin but persistent premium to EU unit costs. (Qualitative</w:t>
      </w:r>
      <w:r>
        <w:t xml:space="preserve"> </w:t>
      </w:r>
      <w:r>
        <w:t xml:space="preserve">inference.)</w:t>
      </w:r>
      <w:r>
        <w:t xml:space="preserve"> </w:t>
      </w:r>
      <w:r>
        <w:t xml:space="preserve">Key uncertainties</w:t>
      </w:r>
      <w:r>
        <w:t xml:space="preserve"> </w:t>
      </w:r>
      <w:r>
        <w:t xml:space="preserve">•</w:t>
      </w:r>
      <w:r>
        <w:t xml:space="preserve"> </w:t>
      </w:r>
      <w:r>
        <w:t xml:space="preserve">Energy price path: faster convergence would narrow OPEX more quickly; renewed</w:t>
      </w:r>
      <w:r>
        <w:t xml:space="preserve"> </w:t>
      </w:r>
      <w:r>
        <w:t xml:space="preserve">volatility would widen it. EU wholesale gas prices are currently 2.8 times higher than</w:t>
      </w:r>
      <w:r>
        <w:t xml:space="preserve"> </w:t>
      </w:r>
      <w:r>
        <w:t xml:space="preserve">in the US and EU industrial electricity prices remain 137% higher (180). These</w:t>
      </w:r>
      <w:r>
        <w:t xml:space="preserve"> </w:t>
      </w:r>
      <w:r>
        <w:t xml:space="preserve">structural differences imply that even moderate volatility could significantly affect the</w:t>
      </w:r>
      <w:r>
        <w:t xml:space="preserve"> </w:t>
      </w:r>
      <w:r>
        <w:t xml:space="preserve">EU cost base because energy is a major driver of fab operating expenditure.</w:t>
      </w:r>
      <w:r>
        <w:t xml:space="preserve"> </w:t>
      </w:r>
      <w:r>
        <w:t xml:space="preserve">•</w:t>
      </w:r>
      <w:r>
        <w:t xml:space="preserve"> </w:t>
      </w:r>
      <w:r>
        <w:t xml:space="preserve">Talent inflows: stronger migration and training outcomes could shorten ramp times</w:t>
      </w:r>
      <w:r>
        <w:t xml:space="preserve"> </w:t>
      </w:r>
      <w:r>
        <w:t xml:space="preserve">and reduce labour premia by the early 2030s. The EU still benefits from 1.1 million</w:t>
      </w:r>
      <w:r>
        <w:t xml:space="preserve"> </w:t>
      </w:r>
      <w:r>
        <w:t xml:space="preserve">STEM graduates per year, more than the US (0.9 million), but growth in STEM output</w:t>
      </w:r>
      <w:r>
        <w:t xml:space="preserve"> </w:t>
      </w:r>
      <w:r>
        <w:t xml:space="preserve">since 2015 has been only 11%, compared with 32% in the US and a near doubling in</w:t>
      </w:r>
    </w:p>
    <w:p>
      <w:pPr>
        <w:pStyle w:val="Compact"/>
        <w:numPr>
          <w:ilvl w:val="0"/>
          <w:numId w:val="1050"/>
        </w:numPr>
      </w:pPr>
      <w:r>
        <w:t xml:space="preserve">Bonnet, P., Ciani, A., Molnar, J., &amp; Nardo, M. (2025). EU’s strengths and weaknesses in the global semiconductor</w:t>
      </w:r>
      <w:r>
        <w:t xml:space="preserve"> </w:t>
      </w:r>
      <w:r>
        <w:t xml:space="preserve">sector (JRC141323, EUR 40253). Luxembourg: Publications Office of the European Union. https://doi.org/10.2760/6302476</w:t>
      </w:r>
    </w:p>
    <w:p>
      <w:pPr>
        <w:pStyle w:val="Compact"/>
        <w:numPr>
          <w:ilvl w:val="0"/>
          <w:numId w:val="1050"/>
        </w:numPr>
      </w:pPr>
      <w:r>
        <w:t xml:space="preserve">Ebrahimi, A. (2024). Groundbreaking chip sovereignty: Europe’s strategic push in the semiconductor race. Ifri Memos,</w:t>
      </w:r>
      <w:r>
        <w:t xml:space="preserve"> </w:t>
      </w:r>
      <w:r>
        <w:t xml:space="preserve">Institut français des relations internationales (IFRI). ISBN 979-10-373-0874-0.</w:t>
      </w:r>
      <w:r>
        <w:t xml:space="preserve"> </w:t>
      </w:r>
      <w:r>
        <w:t xml:space="preserve">(180)Decision Etudes &amp; Conseil and YOLE Group, Competitiveness of the EU semiconductor manufacturing industry,</w:t>
      </w:r>
      <w:r>
        <w:t xml:space="preserve"> </w:t>
      </w:r>
      <w:r>
        <w:t xml:space="preserve">Nov.2025</w:t>
      </w:r>
    </w:p>
    <w:p>
      <w:pPr>
        <w:pStyle w:val="FirstParagraph"/>
      </w:pPr>
      <w:r>
        <w:t xml:space="preserve">121</w:t>
      </w:r>
      <w:r>
        <w:t xml:space="preserve"> </w:t>
      </w:r>
      <w:r>
        <w:t xml:space="preserve">China. This slower growth increases uncertainty regarding the EU’s long-term talent</w:t>
      </w:r>
      <w:r>
        <w:t xml:space="preserve"> </w:t>
      </w:r>
      <w:r>
        <w:t xml:space="preserve">advantage (181).</w:t>
      </w:r>
      <w:r>
        <w:t xml:space="preserve"> </w:t>
      </w:r>
      <w:r>
        <w:t xml:space="preserve">•</w:t>
      </w:r>
      <w:r>
        <w:t xml:space="preserve"> </w:t>
      </w:r>
      <w:r>
        <w:t xml:space="preserve">Global subsidies race: escalation in the US or Asia could further widen gaps if EU</w:t>
      </w:r>
      <w:r>
        <w:t xml:space="preserve"> </w:t>
      </w:r>
      <w:r>
        <w:t xml:space="preserve">support remains static. Japan, China, and the US have all announced larger</w:t>
      </w:r>
      <w:r>
        <w:t xml:space="preserve"> </w:t>
      </w:r>
      <w:r>
        <w:t xml:space="preserve">semiconductor support packages than the EU Chips Act, in some cases several times</w:t>
      </w:r>
      <w:r>
        <w:t xml:space="preserve"> </w:t>
      </w:r>
      <w:r>
        <w:t xml:space="preserve">higher (182), which increases uncertainty about Europe’s relative attractiveness for</w:t>
      </w:r>
      <w:r>
        <w:t xml:space="preserve"> </w:t>
      </w:r>
      <w:r>
        <w:t xml:space="preserve">future capital-intensive projects.</w:t>
      </w:r>
    </w:p>
    <w:p>
      <w:pPr>
        <w:pStyle w:val="BodyText"/>
      </w:pPr>
      <w:r>
        <w:t xml:space="preserve">1.5.</w:t>
      </w:r>
      <w:r>
        <w:t xml:space="preserve"> </w:t>
      </w:r>
      <w:r>
        <w:t xml:space="preserve">Public budget effects</w:t>
      </w:r>
      <w:r>
        <w:t xml:space="preserve"> </w:t>
      </w:r>
      <w:r>
        <w:t xml:space="preserve">1.5.1. Establishing a starting point for BAU scenario</w:t>
      </w:r>
      <w:r>
        <w:t xml:space="preserve"> </w:t>
      </w:r>
      <w:r>
        <w:t xml:space="preserve">Public support for Europe’s semiconductor ecosystem is already substantial, combining EU-</w:t>
      </w:r>
      <w:r>
        <w:t xml:space="preserve"> </w:t>
      </w:r>
      <w:r>
        <w:t xml:space="preserve">level instruments, national state-aid schemes, and regional investment incentives.</w:t>
      </w:r>
      <w:r>
        <w:t xml:space="preserve"> </w:t>
      </w:r>
      <w:r>
        <w:t xml:space="preserve">To date, total announced public funding commitments under the EU Chips Act and related</w:t>
      </w:r>
      <w:r>
        <w:t xml:space="preserve"> </w:t>
      </w:r>
      <w:r>
        <w:t xml:space="preserve">initiatives amount to approximately €32 billion, including both EU and national (without</w:t>
      </w:r>
      <w:r>
        <w:t xml:space="preserve"> </w:t>
      </w:r>
      <w:r>
        <w:t xml:space="preserve">accounting for the IPCEI on Microelectronics and Communication Technologies).</w:t>
      </w:r>
      <w:r>
        <w:t xml:space="preserve"> </w:t>
      </w:r>
      <w:r>
        <w:t xml:space="preserve">At the EU level, the Chips Act also provides an indicative public envelope of additional EUR</w:t>
      </w:r>
      <w:r>
        <w:t xml:space="preserve"> </w:t>
      </w:r>
      <w:r>
        <w:t xml:space="preserve">11 billion over 2021-2030, financed mainly through:</w:t>
      </w:r>
      <w:r>
        <w:t xml:space="preserve"> </w:t>
      </w:r>
      <w:r>
        <w:t xml:space="preserve">• Horizon Europe and Digital Europe programmes for R&amp;D and pilot-line development</w:t>
      </w:r>
      <w:r>
        <w:t xml:space="preserve"> </w:t>
      </w:r>
      <w:r>
        <w:t xml:space="preserve">(Pillar I);</w:t>
      </w:r>
      <w:r>
        <w:t xml:space="preserve"> </w:t>
      </w:r>
      <w:r>
        <w:t xml:space="preserve">• First-of-a-Kind (FoaK) industrial-deployment support (Pillar II);</w:t>
      </w:r>
      <w:r>
        <w:t xml:space="preserve"> </w:t>
      </w:r>
      <w:r>
        <w:t xml:space="preserve">• Coordination, monitoring, and crisis-response measures (Pillar III).</w:t>
      </w:r>
      <w:r>
        <w:t xml:space="preserve"> </w:t>
      </w:r>
      <w:r>
        <w:t xml:space="preserve">At the national level, Member States have pledged the bulk of financial support through the</w:t>
      </w:r>
      <w:r>
        <w:t xml:space="preserve"> </w:t>
      </w:r>
      <w:r>
        <w:t xml:space="preserve">IPCEI on Microelectronics and Communication Technologies and bespoke subsidy schemes.</w:t>
      </w:r>
      <w:r>
        <w:t xml:space="preserve"> </w:t>
      </w:r>
      <w:r>
        <w:t xml:space="preserve">Germany, France, Italy, Ireland, and Austria together account for more than 80% of total</w:t>
      </w:r>
      <w:r>
        <w:t xml:space="preserve"> </w:t>
      </w:r>
      <w:r>
        <w:t xml:space="preserve">national semiconductor funding.</w:t>
      </w:r>
      <w:r>
        <w:br/>
      </w:r>
      <w:r>
        <w:t xml:space="preserve">In terms of fiscal revenues, the semiconductor sector remains modest but rising: it accounts</w:t>
      </w:r>
      <w:r>
        <w:t xml:space="preserve"> </w:t>
      </w:r>
      <w:r>
        <w:t xml:space="preserve">for less than 0.3 % of EU GDP (≈ EUR 44 billion in gross value added) and generates</w:t>
      </w:r>
      <w:r>
        <w:t xml:space="preserve"> </w:t>
      </w:r>
      <w:r>
        <w:t xml:space="preserve">around EUR 7.5 billion annually in tax receipts, (183) (184) mainly through corporate</w:t>
      </w:r>
      <w:r>
        <w:t xml:space="preserve"> </w:t>
      </w:r>
      <w:r>
        <w:t xml:space="preserve">taxation, labour contributions, and indirect taxes on high-value manufacturing (185). The</w:t>
      </w:r>
      <w:r>
        <w:t xml:space="preserve"> </w:t>
      </w:r>
      <w:r>
        <w:t xml:space="preserve">sector’s potential for multiplier effects is high, yet most fiscal returns are geographically</w:t>
      </w:r>
      <w:r>
        <w:t xml:space="preserve"> </w:t>
      </w:r>
      <w:r>
        <w:t xml:space="preserve">concentrated in host regions.</w:t>
      </w:r>
    </w:p>
    <w:p>
      <w:pPr>
        <w:pStyle w:val="BodyText"/>
      </w:pPr>
      <w:r>
        <w:t xml:space="preserve">(181)Decision Etudes &amp; Conseil and YOLE Group, Competitiveness of the EU semiconductor manufacturing industry,</w:t>
      </w:r>
      <w:r>
        <w:t xml:space="preserve"> </w:t>
      </w:r>
      <w:r>
        <w:t xml:space="preserve">Nov.2025</w:t>
      </w:r>
      <w:r>
        <w:t xml:space="preserve"> </w:t>
      </w:r>
      <w:r>
        <w:t xml:space="preserve">(182)Decision Etudes &amp; Conseil and YOLE Group, Competitiveness of the EU semiconductor manufacturing industry,</w:t>
      </w:r>
      <w:r>
        <w:t xml:space="preserve"> </w:t>
      </w:r>
      <w:r>
        <w:t xml:space="preserve">Nov.2025</w:t>
      </w:r>
      <w:r>
        <w:t xml:space="preserve"> </w:t>
      </w:r>
      <w:r>
        <w:t xml:space="preserve">(183) The effective fiscal yield (τ) used in this model represents the average share of gross value added accruing to public</w:t>
      </w:r>
      <w:r>
        <w:t xml:space="preserve"> </w:t>
      </w:r>
      <w:r>
        <w:t xml:space="preserve">finances through corporate, labour, and indirect taxation. Based on OECD (2024) and JRC (2025) fiscal incidence data, and</w:t>
      </w:r>
      <w:r>
        <w:t xml:space="preserve"> </w:t>
      </w:r>
      <w:r>
        <w:t xml:space="preserve">calibrated using semiconductor sector margins (Deloitte 2021; McKinsey 2025), τ is set at 16 % for 2023–2029 and 17 % for</w:t>
      </w:r>
      <w:r>
        <w:t xml:space="preserve"> </w:t>
      </w:r>
      <w:r>
        <w:t xml:space="preserve">2030–2035. This corresponds to approximately 9 % of GVA from payroll and social contributions, 4–5 % from corporate</w:t>
      </w:r>
      <w:r>
        <w:t xml:space="preserve"> </w:t>
      </w:r>
      <w:r>
        <w:t xml:space="preserve">income tax, and 2–3 % from indirect levies.</w:t>
      </w:r>
      <w:r>
        <w:t xml:space="preserve"> </w:t>
      </w:r>
      <w:r>
        <w:t xml:space="preserve">(184) Here the’ semiconductor sector’ refers to semiconductor manufacturers and not the broader semiconductor value chain.</w:t>
      </w:r>
      <w:r>
        <w:br/>
      </w:r>
      <w:r>
        <w:t xml:space="preserve">(185) Bonnet, P., Ciani, A., Molnar, J., &amp; Nardo, M. (2025). EU’s strengths and weaknesses in the global semiconductor</w:t>
      </w:r>
      <w:r>
        <w:t xml:space="preserve"> </w:t>
      </w:r>
      <w:r>
        <w:t xml:space="preserve">sector (EUR 40253 EN). Luxembourg: Publications Office of the European Union. https://doi.org/10.2760/6302476</w:t>
      </w:r>
    </w:p>
    <w:p>
      <w:pPr>
        <w:pStyle w:val="BodyText"/>
      </w:pPr>
      <w:r>
        <w:t xml:space="preserve">122</w:t>
      </w:r>
      <w:r>
        <w:t xml:space="preserve"> </w:t>
      </w:r>
      <w:r>
        <w:t xml:space="preserve">Table 12. Starting parameters. Source: Compiled by authors.</w:t>
      </w:r>
      <w:r>
        <w:br/>
      </w:r>
      <w:r>
        <w:t xml:space="preserve">Variable</w:t>
      </w:r>
      <w:r>
        <w:t xml:space="preserve"> </w:t>
      </w:r>
      <w:r>
        <w:t xml:space="preserve">Description</w:t>
      </w:r>
      <w:r>
        <w:t xml:space="preserve"> </w:t>
      </w:r>
      <w:r>
        <w:t xml:space="preserve">Value</w:t>
      </w:r>
      <w:r>
        <w:t xml:space="preserve"> </w:t>
      </w:r>
      <w:r>
        <w:t xml:space="preserve">Source</w:t>
      </w:r>
      <w:r>
        <w:t xml:space="preserve"> </w:t>
      </w:r>
      <w:r>
        <w:t xml:space="preserve">EU-27 GDP (2023)</w:t>
      </w:r>
      <w:r>
        <w:t xml:space="preserve"> </w:t>
      </w:r>
      <w:r>
        <w:t xml:space="preserve">Nominal GDP baseline</w:t>
      </w:r>
      <w:r>
        <w:t xml:space="preserve"> </w:t>
      </w:r>
      <w:r>
        <w:t xml:space="preserve">€14.6</w:t>
      </w:r>
      <w:r>
        <w:t xml:space="preserve"> </w:t>
      </w:r>
      <w:r>
        <w:t xml:space="preserve">trillion</w:t>
      </w:r>
      <w:r>
        <w:t xml:space="preserve"> </w:t>
      </w:r>
      <w:r>
        <w:t xml:space="preserve">Eurostat (AMECO)</w:t>
      </w:r>
      <w:r>
        <w:t xml:space="preserve"> </w:t>
      </w:r>
      <w:r>
        <w:t xml:space="preserve">Semiconductor sector</w:t>
      </w:r>
      <w:r>
        <w:t xml:space="preserve"> </w:t>
      </w:r>
      <w:r>
        <w:t xml:space="preserve">GVA</w:t>
      </w:r>
      <w:r>
        <w:br/>
      </w:r>
      <w:r>
        <w:t xml:space="preserve">0.3 % of GDP</w:t>
      </w:r>
      <w:r>
        <w:t xml:space="preserve"> </w:t>
      </w:r>
      <w:r>
        <w:t xml:space="preserve">GVA=14,600×0.003=€43.8</w:t>
      </w:r>
      <w:r>
        <w:t xml:space="preserve"> </w:t>
      </w:r>
      <w:r>
        <w:t xml:space="preserve">billion.</w:t>
      </w:r>
      <w:r>
        <w:t xml:space="preserve"> </w:t>
      </w:r>
      <w:r>
        <w:t xml:space="preserve">≈ €44</w:t>
      </w:r>
      <w:r>
        <w:t xml:space="preserve"> </w:t>
      </w:r>
      <w:r>
        <w:t xml:space="preserve">billion</w:t>
      </w:r>
      <w:r>
        <w:t xml:space="preserve"> </w:t>
      </w:r>
      <w:r>
        <w:t xml:space="preserve">JRC (2025) (186)</w:t>
      </w:r>
      <w:r>
        <w:t xml:space="preserve"> </w:t>
      </w:r>
      <w:r>
        <w:t xml:space="preserve">Total public</w:t>
      </w:r>
      <w:r>
        <w:t xml:space="preserve"> </w:t>
      </w:r>
      <w:r>
        <w:t xml:space="preserve">commitments (EU +</w:t>
      </w:r>
      <w:r>
        <w:t xml:space="preserve"> </w:t>
      </w:r>
      <w:r>
        <w:t xml:space="preserve">MS)</w:t>
      </w:r>
      <w:r>
        <w:t xml:space="preserve"> </w:t>
      </w:r>
      <w:r>
        <w:t xml:space="preserve">Chips Act + IPCEI ME2 +</w:t>
      </w:r>
      <w:r>
        <w:t xml:space="preserve"> </w:t>
      </w:r>
      <w:r>
        <w:t xml:space="preserve">national subsidies</w:t>
      </w:r>
      <w:r>
        <w:t xml:space="preserve"> </w:t>
      </w:r>
      <w:r>
        <w:t xml:space="preserve">€32 billion</w:t>
      </w:r>
      <w:r>
        <w:t xml:space="preserve"> </w:t>
      </w:r>
      <w:r>
        <w:t xml:space="preserve">(2023–</w:t>
      </w:r>
      <w:r>
        <w:t xml:space="preserve"> </w:t>
      </w:r>
      <w:r>
        <w:t xml:space="preserve">2030)</w:t>
      </w:r>
      <w:r>
        <w:t xml:space="preserve"> </w:t>
      </w:r>
      <w:r>
        <w:t xml:space="preserve">European Court of</w:t>
      </w:r>
      <w:r>
        <w:t xml:space="preserve"> </w:t>
      </w:r>
      <w:r>
        <w:t xml:space="preserve">Auditors (2025), Special</w:t>
      </w:r>
      <w:r>
        <w:t xml:space="preserve"> </w:t>
      </w:r>
      <w:r>
        <w:t xml:space="preserve">Report 12/2025</w:t>
      </w:r>
      <w:r>
        <w:t xml:space="preserve"> </w:t>
      </w:r>
      <w:r>
        <w:t xml:space="preserve">Effective fiscal yield</w:t>
      </w:r>
      <w:r>
        <w:t xml:space="preserve"> </w:t>
      </w:r>
      <w:r>
        <w:t xml:space="preserve">(corporate, labour,</w:t>
      </w:r>
      <w:r>
        <w:t xml:space="preserve"> </w:t>
      </w:r>
      <w:r>
        <w:t xml:space="preserve">indirect)</w:t>
      </w:r>
      <w:r>
        <w:t xml:space="preserve"> </w:t>
      </w:r>
      <w:r>
        <w:t xml:space="preserve">Average share of value added</w:t>
      </w:r>
      <w:r>
        <w:t xml:space="preserve"> </w:t>
      </w:r>
      <w:r>
        <w:t xml:space="preserve">captured as fiscal revenue</w:t>
      </w:r>
      <w:r>
        <w:t xml:space="preserve"> </w:t>
      </w:r>
      <w:r>
        <w:t xml:space="preserve">EUR 44 billion x 17% ≈ EUR</w:t>
      </w:r>
      <w:r>
        <w:t xml:space="preserve"> </w:t>
      </w:r>
      <w:r>
        <w:t xml:space="preserve">7.7 billion</w:t>
      </w:r>
      <w:r>
        <w:t xml:space="preserve"> </w:t>
      </w:r>
      <w:r>
        <w:t xml:space="preserve">16–17 %</w:t>
      </w:r>
      <w:r>
        <w:t xml:space="preserve"> </w:t>
      </w:r>
      <w:r>
        <w:t xml:space="preserve">JRC (2025) (187); OECD</w:t>
      </w:r>
      <w:r>
        <w:t xml:space="preserve"> </w:t>
      </w:r>
      <w:r>
        <w:t xml:space="preserve">Tax Revenue Database</w:t>
      </w:r>
      <w:r>
        <w:t xml:space="preserve"> </w:t>
      </w:r>
      <w:r>
        <w:t xml:space="preserve">(188)</w:t>
      </w:r>
      <w:r>
        <w:t xml:space="preserve"> </w:t>
      </w:r>
      <w:r>
        <w:t xml:space="preserve">Sectoral output growth</w:t>
      </w:r>
      <w:r>
        <w:t xml:space="preserve"> </w:t>
      </w:r>
      <w:r>
        <w:t xml:space="preserve">(BAU)</w:t>
      </w:r>
      <w:r>
        <w:t xml:space="preserve"> </w:t>
      </w:r>
      <w:r>
        <w:t xml:space="preserve">Compound annual growth rate</w:t>
      </w:r>
      <w:r>
        <w:t xml:space="preserve"> </w:t>
      </w:r>
      <w:r>
        <w:t xml:space="preserve">of semiconductor GVA</w:t>
      </w:r>
      <w:r>
        <w:t xml:space="preserve"> </w:t>
      </w:r>
      <w:r>
        <w:t xml:space="preserve">6.9%</w:t>
      </w:r>
      <w:r>
        <w:t xml:space="preserve"> </w:t>
      </w:r>
      <w:r>
        <w:t xml:space="preserve">From the market size</w:t>
      </w:r>
      <w:r>
        <w:t xml:space="preserve"> </w:t>
      </w:r>
      <w:r>
        <w:t xml:space="preserve">estimations</w:t>
      </w:r>
      <w:r>
        <w:t xml:space="preserve"> </w:t>
      </w:r>
      <w:r>
        <w:t xml:space="preserve">Discount rate</w:t>
      </w:r>
      <w:r>
        <w:t xml:space="preserve"> </w:t>
      </w:r>
      <w:r>
        <w:t xml:space="preserve">Real rate for long-term public</w:t>
      </w:r>
      <w:r>
        <w:t xml:space="preserve"> </w:t>
      </w:r>
      <w:r>
        <w:t xml:space="preserve">investment appraisals</w:t>
      </w:r>
      <w:r>
        <w:t xml:space="preserve"> </w:t>
      </w:r>
      <w:r>
        <w:t xml:space="preserve">3 %</w:t>
      </w:r>
      <w:r>
        <w:t xml:space="preserve"> </w:t>
      </w:r>
      <w:r>
        <w:t xml:space="preserve">European Commission,</w:t>
      </w:r>
      <w:r>
        <w:t xml:space="preserve"> </w:t>
      </w:r>
      <w:r>
        <w:t xml:space="preserve">Better Regulation Tool</w:t>
      </w:r>
      <w:r>
        <w:t xml:space="preserve"> </w:t>
      </w:r>
      <w:r>
        <w:t xml:space="preserve">#61</w:t>
      </w:r>
      <w:r>
        <w:t xml:space="preserve"> </w:t>
      </w:r>
      <w:r>
        <w:t xml:space="preserve">1.5.2. Modelling the BAU scenario</w:t>
      </w:r>
      <w:r>
        <w:t xml:space="preserve"> </w:t>
      </w:r>
      <w:r>
        <w:t xml:space="preserve">Developments expected under BAU</w:t>
      </w:r>
      <w:r>
        <w:br/>
      </w:r>
      <w:r>
        <w:t xml:space="preserve">Under a Business-As-Usual trajectory, the fiscal landscape of the semiconductor industry</w:t>
      </w:r>
      <w:r>
        <w:t xml:space="preserve"> </w:t>
      </w:r>
      <w:r>
        <w:t xml:space="preserve">remains stable, with public-sector expenditure patterns following current commitments and</w:t>
      </w:r>
      <w:r>
        <w:t xml:space="preserve"> </w:t>
      </w:r>
      <w:r>
        <w:t xml:space="preserve">limited expansion beyond projects already announced.</w:t>
      </w:r>
      <w:r>
        <w:t xml:space="preserve"> </w:t>
      </w:r>
      <w:r>
        <w:t xml:space="preserve">• Public expenditure. EU and national support continues through 2030 as existing fab</w:t>
      </w:r>
      <w:r>
        <w:t xml:space="preserve"> </w:t>
      </w:r>
      <w:r>
        <w:t xml:space="preserve">and pilot-line projects are implemented. Expenditure peaks between 2026 and 2029,</w:t>
      </w:r>
      <w:r>
        <w:t xml:space="preserve"> </w:t>
      </w:r>
      <w:r>
        <w:t xml:space="preserve">during the construction and ramp-up phase, and declines thereafter as facilities move</w:t>
      </w:r>
      <w:r>
        <w:t xml:space="preserve"> </w:t>
      </w:r>
      <w:r>
        <w:t xml:space="preserve">to operational self-financing. No significant new EU-level budgetary envelopes are</w:t>
      </w:r>
      <w:r>
        <w:t xml:space="preserve"> </w:t>
      </w:r>
      <w:r>
        <w:t xml:space="preserve">foreseen after 2030.</w:t>
      </w:r>
      <w:r>
        <w:t xml:space="preserve"> </w:t>
      </w:r>
      <w:r>
        <w:t xml:space="preserve">• Public revenues. As fabs reach full operation, corporate-tax revenues and social</w:t>
      </w:r>
      <w:r>
        <w:t xml:space="preserve"> </w:t>
      </w:r>
      <w:r>
        <w:t xml:space="preserve">contributions rise gradually. Most fiscal gains accrue in Germany, France, Ireland, and</w:t>
      </w:r>
      <w:r>
        <w:t xml:space="preserve"> </w:t>
      </w:r>
      <w:r>
        <w:t xml:space="preserve">Austria, where large-scale projects are located.</w:t>
      </w:r>
      <w:r>
        <w:br/>
      </w:r>
      <w:r>
        <w:t xml:space="preserve">• Net budgetary balance. The overall fiscal balance of the Chips Act and related</w:t>
      </w:r>
      <w:r>
        <w:t xml:space="preserve"> </w:t>
      </w:r>
      <w:r>
        <w:t xml:space="preserve">measures remains negative over most of the 2020s, reflecting the long gestation period</w:t>
      </w:r>
      <w:r>
        <w:t xml:space="preserve"> </w:t>
      </w:r>
      <w:r>
        <w:t xml:space="preserve">of semiconductor investments. Only in the 2030s do cumulative public receipts begin</w:t>
      </w:r>
      <w:r>
        <w:t xml:space="preserve"> </w:t>
      </w:r>
      <w:r>
        <w:t xml:space="preserve">to approach prior outlays, assuming stable global demand and high-capacity</w:t>
      </w:r>
      <w:r>
        <w:t xml:space="preserve"> </w:t>
      </w:r>
      <w:r>
        <w:t xml:space="preserve">utilisation.</w:t>
      </w:r>
    </w:p>
    <w:p>
      <w:pPr>
        <w:pStyle w:val="Compact"/>
        <w:numPr>
          <w:ilvl w:val="0"/>
          <w:numId w:val="1051"/>
        </w:numPr>
      </w:pPr>
      <w:r>
        <w:t xml:space="preserve">Bonnet, P., Ciani, A., Molnar, J., &amp; Nardo, M. (2025). EU’s strengths and weaknesses in the global semiconductor</w:t>
      </w:r>
      <w:r>
        <w:t xml:space="preserve"> </w:t>
      </w:r>
      <w:r>
        <w:t xml:space="preserve">sector (EUR 40253 EN). Luxembourg: Publications Office of the European Union. https://doi.org/10.2760/6302476</w:t>
      </w:r>
    </w:p>
    <w:p>
      <w:pPr>
        <w:pStyle w:val="Compact"/>
        <w:numPr>
          <w:ilvl w:val="0"/>
          <w:numId w:val="1051"/>
        </w:numPr>
      </w:pPr>
      <w:r>
        <w:t xml:space="preserve">Bonnet, P., Ciani, A., Molnar, J., &amp; Nardo, M. (2025). EU’s strengths and weaknesses in the global semiconductor</w:t>
      </w:r>
      <w:r>
        <w:t xml:space="preserve"> </w:t>
      </w:r>
      <w:r>
        <w:t xml:space="preserve">sector (EUR 40253 EN). Luxembourg: Publications Office of the European Union. https://doi.org/10.2760/6302476</w:t>
      </w:r>
    </w:p>
    <w:p>
      <w:pPr>
        <w:pStyle w:val="Compact"/>
        <w:numPr>
          <w:ilvl w:val="0"/>
          <w:numId w:val="1051"/>
        </w:numPr>
      </w:pPr>
      <w:r>
        <w:t xml:space="preserve">OECD Tax Revenue Statistics: Comparative Tables and Tax Revenue Database (Edition 2024). Paris: OECD</w:t>
      </w:r>
      <w:r>
        <w:t xml:space="preserve"> </w:t>
      </w:r>
      <w:r>
        <w:t xml:space="preserve">Publishing. Available at https://stats.oecd.org/Index.aspx?DataSetCode=REV</w:t>
      </w:r>
    </w:p>
    <w:p>
      <w:pPr>
        <w:pStyle w:val="FirstParagraph"/>
      </w:pPr>
      <w:r>
        <w:t xml:space="preserve">123</w:t>
      </w:r>
      <w:r>
        <w:t xml:space="preserve"> </w:t>
      </w:r>
      <w:r>
        <w:t xml:space="preserve">Rationale and evidence base</w:t>
      </w:r>
      <w:r>
        <w:t xml:space="preserve"> </w:t>
      </w:r>
      <w:r>
        <w:t xml:space="preserve">The persistence of the current fiscal pattern is explained by structural and institutional factors:</w:t>
      </w:r>
      <w:r>
        <w:t xml:space="preserve"> </w:t>
      </w:r>
      <w:r>
        <w:t xml:space="preserve">1. Capital intensity and sunk costs. Semiconductor fabrication and equipment</w:t>
      </w:r>
      <w:r>
        <w:t xml:space="preserve"> </w:t>
      </w:r>
      <w:r>
        <w:t xml:space="preserve">production are among the most capital-intensive industrial activities. Once established,</w:t>
      </w:r>
      <w:r>
        <w:t xml:space="preserve"> </w:t>
      </w:r>
      <w:r>
        <w:t xml:space="preserve">these facilities create long-term lock-in and relocating them is economically</w:t>
      </w:r>
      <w:r>
        <w:t xml:space="preserve"> </w:t>
      </w:r>
      <w:r>
        <w:t xml:space="preserve">prohibitive (189)</w:t>
      </w:r>
      <w:r>
        <w:t xml:space="preserve"> </w:t>
      </w:r>
      <w:r>
        <w:t xml:space="preserve">2. Fiscal-return dynamics. Empirical modelling by Deloitte (2021) (190) suggests</w:t>
      </w:r>
      <w:r>
        <w:t xml:space="preserve"> </w:t>
      </w:r>
      <w:r>
        <w:t xml:space="preserve">semiconductor multipliers of 1.2–1.5, meaning that for every euro of public</w:t>
      </w:r>
      <w:r>
        <w:t xml:space="preserve"> </w:t>
      </w:r>
      <w:r>
        <w:t xml:space="preserve">investment, between EUR 1.20 and EUR 1.50 of additional economic output is</w:t>
      </w:r>
      <w:r>
        <w:t xml:space="preserve"> </w:t>
      </w:r>
      <w:r>
        <w:t xml:space="preserve">generated. However, the realisation of these multipliers depends on sustained</w:t>
      </w:r>
      <w:r>
        <w:t xml:space="preserve"> </w:t>
      </w:r>
      <w:r>
        <w:t xml:space="preserve">utilisation rates and global market stability.</w:t>
      </w:r>
      <w:r>
        <w:t xml:space="preserve"> </w:t>
      </w:r>
      <w:r>
        <w:t xml:space="preserve">Implications</w:t>
      </w:r>
      <w:r>
        <w:t xml:space="preserve"> </w:t>
      </w:r>
      <w:r>
        <w:t xml:space="preserve">Short-term (2025–2030)</w:t>
      </w:r>
      <w:r>
        <w:t xml:space="preserve"> </w:t>
      </w:r>
      <w:r>
        <w:t xml:space="preserve">• High fiscal outflows linked to construction subsidies and infrastructure provision.</w:t>
      </w:r>
      <w:r>
        <w:t xml:space="preserve"> </w:t>
      </w:r>
      <w:r>
        <w:t xml:space="preserve">• Limited immediate return in tax revenue due to investment write-offs and accelerated</w:t>
      </w:r>
      <w:r>
        <w:t xml:space="preserve"> </w:t>
      </w:r>
      <w:r>
        <w:t xml:space="preserve">depreciation allowances.</w:t>
      </w:r>
      <w:r>
        <w:t xml:space="preserve"> </w:t>
      </w:r>
      <w:r>
        <w:t xml:space="preserve">• National budgets face concentration risks where large individual projects dominate</w:t>
      </w:r>
      <w:r>
        <w:t xml:space="preserve"> </w:t>
      </w:r>
      <w:r>
        <w:t xml:space="preserve">expenditure (191).</w:t>
      </w:r>
      <w:r>
        <w:t xml:space="preserve"> </w:t>
      </w:r>
      <w:r>
        <w:t xml:space="preserve">Medium-term (2030–2035)</w:t>
      </w:r>
      <w:r>
        <w:t xml:space="preserve"> </w:t>
      </w:r>
      <w:r>
        <w:t xml:space="preserve">• Operational fabs generate steady corporate-tax inflows and social contributions.</w:t>
      </w:r>
      <w:r>
        <w:t xml:space="preserve"> </w:t>
      </w:r>
      <w:r>
        <w:t xml:space="preserve">• Spillover effects (supplier VAT, construction, and services) strengthen local fiscal</w:t>
      </w:r>
      <w:r>
        <w:t xml:space="preserve"> </w:t>
      </w:r>
      <w:r>
        <w:t xml:space="preserve">bases around centres of activity, where large scale front-end facilities reach maturity.</w:t>
      </w:r>
      <w:r>
        <w:t xml:space="preserve"> </w:t>
      </w:r>
      <w:r>
        <w:t xml:space="preserve">Other clusters are more focused on R&amp;D, design, and equipment, which yield smaller</w:t>
      </w:r>
      <w:r>
        <w:t xml:space="preserve"> </w:t>
      </w:r>
      <w:r>
        <w:t xml:space="preserve">direct fiscal flows in the short to medium term.</w:t>
      </w:r>
      <w:r>
        <w:t xml:space="preserve"> </w:t>
      </w:r>
      <w:r>
        <w:t xml:space="preserve">• EU-level expenditure declines as pilot lines and competence centres move into self-</w:t>
      </w:r>
      <w:r>
        <w:t xml:space="preserve"> </w:t>
      </w:r>
      <w:r>
        <w:t xml:space="preserve">sustaining models.</w:t>
      </w:r>
      <w:r>
        <w:t xml:space="preserve"> </w:t>
      </w:r>
      <w:r>
        <w:t xml:space="preserve">Long-term (post-2035 trend)</w:t>
      </w:r>
      <w:r>
        <w:t xml:space="preserve"> </w:t>
      </w:r>
      <w:r>
        <w:t xml:space="preserve">• Fiscal breakeven is achievable if facilities remain globally competitive and avoid</w:t>
      </w:r>
      <w:r>
        <w:t xml:space="preserve"> </w:t>
      </w:r>
      <w:r>
        <w:t xml:space="preserve">obsolescence.</w:t>
      </w:r>
      <w:r>
        <w:t xml:space="preserve"> </w:t>
      </w:r>
      <w:r>
        <w:t xml:space="preserve">• Potential positive net position through continued exports and technology spillovers.</w:t>
      </w:r>
      <w:r>
        <w:t xml:space="preserve"> </w:t>
      </w:r>
      <w:r>
        <w:t xml:space="preserve">• Risk remains of fiscal asymmetry between Member States, as larger economies</w:t>
      </w:r>
      <w:r>
        <w:t xml:space="preserve"> </w:t>
      </w:r>
      <w:r>
        <w:t xml:space="preserve">capture most revenue while smaller ones shoulder coordination or cohesion costs</w:t>
      </w:r>
      <w:r>
        <w:t xml:space="preserve"> </w:t>
      </w:r>
      <w:r>
        <w:t xml:space="preserve">without direct returns.</w:t>
      </w:r>
    </w:p>
    <w:p>
      <w:pPr>
        <w:pStyle w:val="Compact"/>
        <w:numPr>
          <w:ilvl w:val="0"/>
          <w:numId w:val="1052"/>
        </w:numPr>
      </w:pPr>
      <w:r>
        <w:t xml:space="preserve">McKinsey &amp; Company. (2025). Semiconductors have a big opportunity, but barriers to scale remain. New York:</w:t>
      </w:r>
      <w:r>
        <w:t xml:space="preserve"> </w:t>
      </w:r>
      <w:r>
        <w:t xml:space="preserve">McKinsey Global Institute.</w:t>
      </w:r>
    </w:p>
    <w:p>
      <w:pPr>
        <w:pStyle w:val="Compact"/>
        <w:numPr>
          <w:ilvl w:val="0"/>
          <w:numId w:val="1052"/>
        </w:numPr>
      </w:pPr>
      <w:r>
        <w:t xml:space="preserve">Deloitte. (2021). Measuring semiconductors’ economic impact: How many jobs does the semiconductor industry</w:t>
      </w:r>
      <w:r>
        <w:t xml:space="preserve"> </w:t>
      </w:r>
      <w:r>
        <w:t xml:space="preserve">create? Deloitte Insights, September 2021.</w:t>
      </w:r>
    </w:p>
    <w:p>
      <w:pPr>
        <w:pStyle w:val="Compact"/>
        <w:numPr>
          <w:ilvl w:val="0"/>
          <w:numId w:val="1052"/>
        </w:numPr>
      </w:pPr>
      <w:r>
        <w:t xml:space="preserve">European Court of Auditors. (2025). Special Report 12/2025 – The EU’s strategy for microchips: Reasonable progress</w:t>
      </w:r>
      <w:r>
        <w:t xml:space="preserve"> </w:t>
      </w:r>
      <w:r>
        <w:t xml:space="preserve">in its implementation, but the Chips Act is very unlikely to be sufficient to reach the overly ambitious Digital Decade target.</w:t>
      </w:r>
    </w:p>
    <w:p>
      <w:pPr>
        <w:pStyle w:val="FirstParagraph"/>
      </w:pPr>
      <w:r>
        <w:t xml:space="preserve">124</w:t>
      </w:r>
      <w:r>
        <w:t xml:space="preserve"> </w:t>
      </w:r>
      <w:r>
        <w:t xml:space="preserve">• High energy and water use in concentrated clusters may necessitate additional public</w:t>
      </w:r>
      <w:r>
        <w:t xml:space="preserve"> </w:t>
      </w:r>
      <w:r>
        <w:t xml:space="preserve">investment in utilities and grid capacity, partly offsetting fiscal gains.</w:t>
      </w:r>
      <w:r>
        <w:br/>
      </w:r>
      <w:r>
        <w:t xml:space="preserve">• Continued labour-market imbalances could require supplementary training budgets to</w:t>
      </w:r>
      <w:r>
        <w:t xml:space="preserve"> </w:t>
      </w:r>
      <w:r>
        <w:t xml:space="preserve">address skills shortages, exerting additional fiscal pressure.</w:t>
      </w:r>
      <w:r>
        <w:t xml:space="preserve"> </w:t>
      </w:r>
      <w:r>
        <w:t xml:space="preserve">2.</w:t>
      </w:r>
      <w:r>
        <w:t xml:space="preserve"> </w:t>
      </w:r>
      <w:r>
        <w:t xml:space="preserve">MODELLING SOCIAL IMPACTS</w:t>
      </w:r>
      <w:r>
        <w:t xml:space="preserve"> </w:t>
      </w:r>
      <w:r>
        <w:t xml:space="preserve">2.1.</w:t>
      </w:r>
      <w:r>
        <w:t xml:space="preserve"> </w:t>
      </w:r>
      <w:r>
        <w:t xml:space="preserve">Jobs in the EU semiconductor industry</w:t>
      </w:r>
      <w:r>
        <w:t xml:space="preserve"> </w:t>
      </w:r>
      <w:r>
        <w:t xml:space="preserve">2.1.1. Establishing a starting point for BAU scenario</w:t>
      </w:r>
      <w:r>
        <w:t xml:space="preserve"> </w:t>
      </w:r>
      <w:r>
        <w:t xml:space="preserve">The semiconductor industry in Europe supports a substantial and growing labour force,</w:t>
      </w:r>
      <w:r>
        <w:t xml:space="preserve"> </w:t>
      </w:r>
      <w:r>
        <w:t xml:space="preserve">concentrated in high-skill and high-value-added activities. In 2023, the European Chips Skills</w:t>
      </w:r>
      <w:r>
        <w:t xml:space="preserve"> </w:t>
      </w:r>
      <w:r>
        <w:t xml:space="preserve">Academy estimated the EU semiconductor workforce at approximately 382 000 jobs</w:t>
      </w:r>
      <w:r>
        <w:t xml:space="preserve"> </w:t>
      </w:r>
      <w:r>
        <w:t xml:space="preserve">across the full value chain, including around 263 000 in core design and production. The</w:t>
      </w:r>
      <w:r>
        <w:t xml:space="preserve"> </w:t>
      </w:r>
      <w:r>
        <w:t xml:space="preserve">top 25 employers account for roughly 40 % of this employment base (192).</w:t>
      </w:r>
      <w:r>
        <w:t xml:space="preserve"> </w:t>
      </w:r>
      <w:r>
        <w:t xml:space="preserve">Employment is concentrated in a few regional clusters such as Saxony, Crolles-Grenoble,</w:t>
      </w:r>
      <w:r>
        <w:t xml:space="preserve"> </w:t>
      </w:r>
      <w:r>
        <w:t xml:space="preserve">Eindhoven-Veldhoven, and Dresden, where manufacturing, equipment supply, and research</w:t>
      </w:r>
      <w:r>
        <w:t xml:space="preserve"> </w:t>
      </w:r>
      <w:r>
        <w:t xml:space="preserve">organisations co-locate. These clusters benefit from strong productivity but face tight local</w:t>
      </w:r>
      <w:r>
        <w:t xml:space="preserve"> </w:t>
      </w:r>
      <w:r>
        <w:t xml:space="preserve">labour markets.</w:t>
      </w:r>
      <w:r>
        <w:t xml:space="preserve"> </w:t>
      </w:r>
      <w:r>
        <w:t xml:space="preserve">Europe’s chip workforce is highly skilled. Deloitte (2021) (193) shows that semiconductor</w:t>
      </w:r>
      <w:r>
        <w:t xml:space="preserve"> </w:t>
      </w:r>
      <w:r>
        <w:t xml:space="preserve">manufacturing employment is concentrated in engineers, technicians, and specialised trades,</w:t>
      </w:r>
      <w:r>
        <w:t xml:space="preserve"> </w:t>
      </w:r>
      <w:r>
        <w:t xml:space="preserve">with wages more than double the private-sector average due to the high skill intensity and</w:t>
      </w:r>
      <w:r>
        <w:t xml:space="preserve"> </w:t>
      </w:r>
      <w:r>
        <w:t xml:space="preserve">continuous-operation environment. ECSA (2024) (194) and McKinsey (2024) (195) confirm</w:t>
      </w:r>
      <w:r>
        <w:t xml:space="preserve"> </w:t>
      </w:r>
      <w:r>
        <w:t xml:space="preserve">that Europe’s semiconductor workforce is dominated by technical and engineering profiles</w:t>
      </w:r>
      <w:r>
        <w:t xml:space="preserve"> </w:t>
      </w:r>
      <w:r>
        <w:t xml:space="preserve">requiring advanced qualifications, with wage premia and strong compliance and safety</w:t>
      </w:r>
      <w:r>
        <w:t xml:space="preserve"> </w:t>
      </w:r>
      <w:r>
        <w:t xml:space="preserve">requirements consistent with global benchmarks. According to Deloitte (2021) (196),</w:t>
      </w:r>
      <w:r>
        <w:t xml:space="preserve"> </w:t>
      </w:r>
      <w:r>
        <w:t xml:space="preserve">semiconductor workers earn on average more than twice the private-sector wage and roughly</w:t>
      </w:r>
      <w:r>
        <w:t xml:space="preserve"> </w:t>
      </w:r>
      <w:r>
        <w:t xml:space="preserve">50% more than the manufacturing average in the US, reflecting the sector’s high skill</w:t>
      </w:r>
      <w:r>
        <w:t xml:space="preserve"> </w:t>
      </w:r>
      <w:r>
        <w:t xml:space="preserve">intensity and 24/7 operations. Although direct EU data is scarce, similar occupational</w:t>
      </w:r>
      <w:r>
        <w:t xml:space="preserve"> </w:t>
      </w:r>
      <w:r>
        <w:t xml:space="preserve">structures suggest a substantial wage premium in Europe as well, conservatively estimated</w:t>
      </w:r>
      <w:r>
        <w:t xml:space="preserve"> </w:t>
      </w:r>
      <w:r>
        <w:t xml:space="preserve">at around 40–50 % above the manufacturing average.</w:t>
      </w:r>
      <w:r>
        <w:t xml:space="preserve"> </w:t>
      </w:r>
      <w:r>
        <w:t xml:space="preserve">The quality of jobs is correspondingly high, with permanent contracts prevailing and</w:t>
      </w:r>
      <w:r>
        <w:t xml:space="preserve"> </w:t>
      </w:r>
      <w:r>
        <w:t xml:space="preserve">considerable investment in training and safety. Indirect and induced employment</w:t>
      </w:r>
      <w:r>
        <w:t xml:space="preserve"> </w:t>
      </w:r>
      <w:r>
        <w:t xml:space="preserve">multipliers are significant: U.S. evidence shows that each semiconductor job supports</w:t>
      </w:r>
      <w:r>
        <w:t xml:space="preserve"> </w:t>
      </w:r>
      <w:r>
        <w:t xml:space="preserve">roughly 5–6 additional jobs in the wider economy (a total multiplier of about 6.7), according</w:t>
      </w:r>
      <w:r>
        <w:t xml:space="preserve"> </w:t>
      </w:r>
      <w:r>
        <w:t xml:space="preserve">to Deloitte (2021) (197) based on SIA/Oxford Economics modelling (198). Given Europe’s</w:t>
      </w:r>
    </w:p>
    <w:p>
      <w:pPr>
        <w:pStyle w:val="Compact"/>
        <w:numPr>
          <w:ilvl w:val="0"/>
          <w:numId w:val="1053"/>
        </w:numPr>
      </w:pPr>
      <w:r>
        <w:t xml:space="preserve">European Chips Skills Academy (ECSA). (2024). European semiconductor skills strategy 2024. Luxembourg:</w:t>
      </w:r>
      <w:r>
        <w:t xml:space="preserve"> </w:t>
      </w:r>
      <w:r>
        <w:t xml:space="preserve">Publications Office of the EU.</w:t>
      </w:r>
    </w:p>
    <w:p>
      <w:pPr>
        <w:pStyle w:val="Compact"/>
        <w:numPr>
          <w:ilvl w:val="0"/>
          <w:numId w:val="1053"/>
        </w:numPr>
      </w:pPr>
      <w:r>
        <w:t xml:space="preserve">Deloitte. (2021). Measuring semiconductors’ economic impact. Deloitte Insights.</w:t>
      </w:r>
      <w:r>
        <w:t xml:space="preserve"> </w:t>
      </w:r>
      <w:r>
        <w:t xml:space="preserve">(194)European Chips Skills Academy (ECSA). (2024). European semiconductor skills strategy 2024. Luxembourg:</w:t>
      </w:r>
      <w:r>
        <w:t xml:space="preserve"> </w:t>
      </w:r>
      <w:r>
        <w:t xml:space="preserve">Publications Office of the EU.</w:t>
      </w:r>
    </w:p>
    <w:p>
      <w:pPr>
        <w:pStyle w:val="Compact"/>
        <w:numPr>
          <w:ilvl w:val="0"/>
          <w:numId w:val="1053"/>
        </w:numPr>
      </w:pPr>
      <w:r>
        <w:t xml:space="preserve">McKinsey &amp; Company. (2024). McKinsey on semiconductors: Creating value, pursuing innovation, and optimizing</w:t>
      </w:r>
      <w:r>
        <w:t xml:space="preserve"> </w:t>
      </w:r>
      <w:r>
        <w:t xml:space="preserve">operations (No. 9, March 2024). McKinsey &amp; Company.</w:t>
      </w:r>
    </w:p>
    <w:p>
      <w:pPr>
        <w:pStyle w:val="Compact"/>
        <w:numPr>
          <w:ilvl w:val="0"/>
          <w:numId w:val="1053"/>
        </w:numPr>
      </w:pPr>
      <w:r>
        <w:t xml:space="preserve">Deloitte. (2021). Measuring semiconductors’ economic impact. Deloitte Insights.</w:t>
      </w:r>
    </w:p>
    <w:p>
      <w:pPr>
        <w:pStyle w:val="Compact"/>
        <w:numPr>
          <w:ilvl w:val="0"/>
          <w:numId w:val="1053"/>
        </w:numPr>
      </w:pPr>
      <w:r>
        <w:t xml:space="preserve">Deloitte. (2021). Measuring semiconductors’ economic impact. Deloitte Insights.</w:t>
      </w:r>
    </w:p>
    <w:p>
      <w:pPr>
        <w:pStyle w:val="Compact"/>
        <w:numPr>
          <w:ilvl w:val="0"/>
          <w:numId w:val="1053"/>
        </w:numPr>
      </w:pPr>
      <w:r>
        <w:t xml:space="preserve">https://www.semiconductors.org/chipping-in-sia-jobs-report/</w:t>
      </w:r>
    </w:p>
    <w:p>
      <w:pPr>
        <w:pStyle w:val="FirstParagraph"/>
      </w:pPr>
      <w:r>
        <w:t xml:space="preserve">125</w:t>
      </w:r>
      <w:r>
        <w:t xml:space="preserve"> </w:t>
      </w:r>
      <w:r>
        <w:t xml:space="preserve">dense supplier ecosystem, particularly in equipment and materials, the EU’s multiplier effects</w:t>
      </w:r>
      <w:r>
        <w:t xml:space="preserve"> </w:t>
      </w:r>
      <w:r>
        <w:t xml:space="preserve">are likely substantial, though not yet formally quantified.</w:t>
      </w:r>
      <w:r>
        <w:t xml:space="preserve"> </w:t>
      </w:r>
      <w:r>
        <w:t xml:space="preserve">The demand for skills already exceeds supply. McKinsey (2024) (199) estimates a shortfall</w:t>
      </w:r>
      <w:r>
        <w:t xml:space="preserve"> </w:t>
      </w:r>
      <w:r>
        <w:t xml:space="preserve">of over 100 000 engineers in Europe, similar in magnitude to the U.S. gap. Online vacancy</w:t>
      </w:r>
      <w:r>
        <w:t xml:space="preserve"> </w:t>
      </w:r>
      <w:r>
        <w:t xml:space="preserve">data show that postings for semiconductor technical roles in the EU grew at over 75 % CAGR</w:t>
      </w:r>
      <w:r>
        <w:t xml:space="preserve"> </w:t>
      </w:r>
      <w:r>
        <w:t xml:space="preserve">between 2018 and 2022, a clear signal of unmet demand (200). SEMI Europe (2024) (201)</w:t>
      </w:r>
      <w:r>
        <w:t xml:space="preserve"> </w:t>
      </w:r>
      <w:r>
        <w:t xml:space="preserve">similarly estimates that approximately 350 000 additional workers would be required by 2030</w:t>
      </w:r>
      <w:r>
        <w:t xml:space="preserve"> </w:t>
      </w:r>
      <w:r>
        <w:t xml:space="preserve">to meet the Chips Act objectives which is well above the current expansion pipeline. The</w:t>
      </w:r>
      <w:r>
        <w:t xml:space="preserve"> </w:t>
      </w:r>
      <w:r>
        <w:t xml:space="preserve">Joint Research Centre (JRC, 2025) (202) lists skills shortages alongside fragmented markets</w:t>
      </w:r>
      <w:r>
        <w:t xml:space="preserve"> </w:t>
      </w:r>
      <w:r>
        <w:t xml:space="preserve">and complex regulation as the main competitiveness constraints of the EU semiconductor</w:t>
      </w:r>
      <w:r>
        <w:t xml:space="preserve"> </w:t>
      </w:r>
      <w:r>
        <w:t xml:space="preserve">ecosystem.</w:t>
      </w:r>
      <w:r>
        <w:t xml:space="preserve"> </w:t>
      </w:r>
      <w:r>
        <w:t xml:space="preserve">This demand projection assumes that only the announced increase in manufacturing capacity</w:t>
      </w:r>
      <w:r>
        <w:t xml:space="preserve"> </w:t>
      </w:r>
      <w:r>
        <w:t xml:space="preserve">will take place over the course of this decade, and that no further significant investments in</w:t>
      </w:r>
      <w:r>
        <w:t xml:space="preserve"> </w:t>
      </w:r>
      <w:r>
        <w:t xml:space="preserve">manufacturing capacity are made, except for organic expansions of current facilities.</w:t>
      </w:r>
      <w:r>
        <w:br/>
      </w:r>
      <w:r>
        <w:t xml:space="preserve">Since job creation is proportional to the investment level, a further increase in public and</w:t>
      </w:r>
      <w:r>
        <w:t xml:space="preserve"> </w:t>
      </w:r>
      <w:r>
        <w:t xml:space="preserve">private investment would result in a commensurate increase in high-quality and high-added</w:t>
      </w:r>
      <w:r>
        <w:t xml:space="preserve"> </w:t>
      </w:r>
      <w:r>
        <w:t xml:space="preserve">value jobs, with the positive spill overs that this would have both from a social and an</w:t>
      </w:r>
      <w:r>
        <w:t xml:space="preserve"> </w:t>
      </w:r>
      <w:r>
        <w:t xml:space="preserve">economic productivity perspective. This factor has not been quantitatively assessed in this</w:t>
      </w:r>
      <w:r>
        <w:t xml:space="preserve"> </w:t>
      </w:r>
      <w:r>
        <w:t xml:space="preserve">social impacts model.</w:t>
      </w:r>
      <w:r>
        <w:br/>
      </w:r>
      <w:r>
        <w:t xml:space="preserve">2.1.2. Modelling the BAU scenario</w:t>
      </w:r>
      <w:r>
        <w:t xml:space="preserve"> </w:t>
      </w:r>
      <w:r>
        <w:t xml:space="preserve">Developments expected under BAU</w:t>
      </w:r>
      <w:r>
        <w:t xml:space="preserve"> </w:t>
      </w:r>
      <w:r>
        <w:t xml:space="preserve">Under a business-as-usual trajectory, the EU semiconductor labour market expands gradually</w:t>
      </w:r>
      <w:r>
        <w:t xml:space="preserve"> </w:t>
      </w:r>
      <w:r>
        <w:t xml:space="preserve">but remains constrained by structural skills shortages and uneven regional capacity.</w:t>
      </w:r>
      <w:r>
        <w:t xml:space="preserve"> </w:t>
      </w:r>
      <w:r>
        <w:t xml:space="preserve">Between 2025 and 2030, the new fabs and expansions already under construction: Intel</w:t>
      </w:r>
      <w:r>
        <w:t xml:space="preserve"> </w:t>
      </w:r>
      <w:r>
        <w:t xml:space="preserve">Ireland, STMicroelectronics–GlobalFoundries Crolles, ESMC Dresden, Infineon</w:t>
      </w:r>
      <w:r>
        <w:t xml:space="preserve"> </w:t>
      </w:r>
      <w:r>
        <w:t xml:space="preserve">Dresden, GlobalFoundries Dresden expansion, and the Catania SiC Campus. They</w:t>
      </w:r>
      <w:r>
        <w:t xml:space="preserve"> </w:t>
      </w:r>
      <w:r>
        <w:t xml:space="preserve">generate direct and indirect job growth as they ramp from construction to production. By</w:t>
      </w:r>
      <w:r>
        <w:t xml:space="preserve"> </w:t>
      </w:r>
      <w:r>
        <w:t xml:space="preserve">2030, the bulk of these facilities are expected to reach steady operation, with employment</w:t>
      </w:r>
      <w:r>
        <w:t xml:space="preserve"> </w:t>
      </w:r>
      <w:r>
        <w:t xml:space="preserve">transitioning from construction trades to production technicians, maintenance engineers, and</w:t>
      </w:r>
      <w:r>
        <w:t xml:space="preserve"> </w:t>
      </w:r>
      <w:r>
        <w:t xml:space="preserve">process specialists.</w:t>
      </w:r>
      <w:r>
        <w:t xml:space="preserve"> </w:t>
      </w:r>
      <w:r>
        <w:t xml:space="preserve">Beyond 2030, employment growth moderates as automation deepens and fabs reach maturity.</w:t>
      </w:r>
      <w:r>
        <w:t xml:space="preserve"> </w:t>
      </w:r>
      <w:r>
        <w:t xml:space="preserve">Job creation increasingly depends on the localisation of advanced packaging, compound-</w:t>
      </w:r>
      <w:r>
        <w:t xml:space="preserve"> </w:t>
      </w:r>
      <w:r>
        <w:t xml:space="preserve">semiconductor production (SiC/GaN), and equipment manufacturing, where Europe</w:t>
      </w:r>
      <w:r>
        <w:t xml:space="preserve"> </w:t>
      </w:r>
      <w:r>
        <w:t xml:space="preserve">holds competitive strengths.</w:t>
      </w:r>
    </w:p>
    <w:p>
      <w:pPr>
        <w:pStyle w:val="Compact"/>
        <w:numPr>
          <w:ilvl w:val="0"/>
          <w:numId w:val="1054"/>
        </w:numPr>
      </w:pPr>
      <w:r>
        <w:t xml:space="preserve">McKinsey &amp; Company. (2024). McKinsey on semiconductors: Creating value, pursuing innovation, and optimizing</w:t>
      </w:r>
      <w:r>
        <w:t xml:space="preserve"> </w:t>
      </w:r>
      <w:r>
        <w:t xml:space="preserve">operations (No. 9, March 2024). McKinsey &amp; Company.</w:t>
      </w:r>
    </w:p>
    <w:p>
      <w:pPr>
        <w:pStyle w:val="Compact"/>
        <w:numPr>
          <w:ilvl w:val="0"/>
          <w:numId w:val="1054"/>
        </w:numPr>
      </w:pPr>
      <w:r>
        <w:t xml:space="preserve">McKinsey &amp; Company. (2024). McKinsey on semiconductors: Creating value, pursuing innovation, and optimizing</w:t>
      </w:r>
      <w:r>
        <w:t xml:space="preserve"> </w:t>
      </w:r>
      <w:r>
        <w:t xml:space="preserve">operations (No. 9, March 2024). McKinsey &amp; Company.</w:t>
      </w:r>
    </w:p>
    <w:p>
      <w:pPr>
        <w:pStyle w:val="Compact"/>
        <w:numPr>
          <w:ilvl w:val="0"/>
          <w:numId w:val="1054"/>
        </w:numPr>
      </w:pPr>
      <w:r>
        <w:t xml:space="preserve">SEMI Europe. (2024). Advocacy White Paper 2024. Brussels: SEMI Europe.</w:t>
      </w:r>
    </w:p>
    <w:p>
      <w:pPr>
        <w:pStyle w:val="Compact"/>
        <w:numPr>
          <w:ilvl w:val="0"/>
          <w:numId w:val="1054"/>
        </w:numPr>
      </w:pPr>
      <w:r>
        <w:t xml:space="preserve">European Commission, Joint Research Centre (JRC). (2025). EU’s strengths and weaknesses in the global</w:t>
      </w:r>
      <w:r>
        <w:t xml:space="preserve"> </w:t>
      </w:r>
      <w:r>
        <w:t xml:space="preserve">semiconductor sector (JRC141323). Luxembourg: Publications Office of the EU.</w:t>
      </w:r>
    </w:p>
    <w:p>
      <w:pPr>
        <w:pStyle w:val="FirstParagraph"/>
      </w:pPr>
      <w:r>
        <w:t xml:space="preserve">126</w:t>
      </w:r>
      <w:r>
        <w:t xml:space="preserve"> </w:t>
      </w:r>
      <w:r>
        <w:t xml:space="preserve">Nevertheless, under BAU, the skills constraint remains binding: the pool of engineers and</w:t>
      </w:r>
      <w:r>
        <w:t xml:space="preserve"> </w:t>
      </w:r>
      <w:r>
        <w:t xml:space="preserve">technicians grows too slowly to meet rising demand, even with national training and mobility</w:t>
      </w:r>
      <w:r>
        <w:t xml:space="preserve"> </w:t>
      </w:r>
      <w:r>
        <w:t xml:space="preserve">programmes. ECSA (2024) (203) projects that, under current policies, the EU semiconductor</w:t>
      </w:r>
      <w:r>
        <w:t xml:space="preserve"> </w:t>
      </w:r>
      <w:r>
        <w:t xml:space="preserve">sector will add around 156 000 new jobs by 2030 (≈ 5 % CAGR) and experience about</w:t>
      </w:r>
      <w:r>
        <w:t xml:space="preserve"> </w:t>
      </w:r>
      <w:r>
        <w:t xml:space="preserve">271,000 cumulative openings when retirements and replacement needs are included.</w:t>
      </w:r>
      <w:r>
        <w:t xml:space="preserve"> </w:t>
      </w:r>
      <w:r>
        <w:t xml:space="preserve">However, graduate inflows are projected to grow by only ≈ 1 % per year, implying a</w:t>
      </w:r>
      <w:r>
        <w:t xml:space="preserve"> </w:t>
      </w:r>
      <w:r>
        <w:t xml:space="preserve">widening shortfall of around 16 800 unfilled technical roles by 2030. Unless the pace of</w:t>
      </w:r>
      <w:r>
        <w:t xml:space="preserve"> </w:t>
      </w:r>
      <w:r>
        <w:t xml:space="preserve">education and reskilling accelerates markedly, the projected headcount increases in</w:t>
      </w:r>
      <w:r>
        <w:t xml:space="preserve"> </w:t>
      </w:r>
      <w:r>
        <w:t xml:space="preserve">announced projects will not translate one-to-one into realised employment.</w:t>
      </w:r>
      <w:r>
        <w:t xml:space="preserve"> </w:t>
      </w:r>
      <w:r>
        <w:t xml:space="preserve">Rationale and evidence base</w:t>
      </w:r>
      <w:r>
        <w:t xml:space="preserve"> </w:t>
      </w:r>
      <w:r>
        <w:t xml:space="preserve">•</w:t>
      </w:r>
      <w:r>
        <w:t xml:space="preserve"> </w:t>
      </w:r>
      <w:r>
        <w:t xml:space="preserve">Industrial context: McKinsey (2024) (204) projects about USD 1 trillion in global</w:t>
      </w:r>
      <w:r>
        <w:t xml:space="preserve"> </w:t>
      </w:r>
      <w:r>
        <w:t xml:space="preserve">fab investments by 2030, implying intense competition for qualified talent. Europe</w:t>
      </w:r>
      <w:r>
        <w:t xml:space="preserve"> </w:t>
      </w:r>
      <w:r>
        <w:t xml:space="preserve">captures a modest share of these projects, insufficient to transform its labour dynamics</w:t>
      </w:r>
      <w:r>
        <w:t xml:space="preserve"> </w:t>
      </w:r>
      <w:r>
        <w:t xml:space="preserve">rapidly.</w:t>
      </w:r>
      <w:r>
        <w:t xml:space="preserve"> </w:t>
      </w:r>
      <w:r>
        <w:t xml:space="preserve">•</w:t>
      </w:r>
      <w:r>
        <w:t xml:space="preserve"> </w:t>
      </w:r>
      <w:r>
        <w:t xml:space="preserve">Policy context: The Chips Act provides support for competence centres, skills</w:t>
      </w:r>
      <w:r>
        <w:t xml:space="preserve"> </w:t>
      </w:r>
      <w:r>
        <w:t xml:space="preserve">initiatives, pilot lines and first-industrial deployment, but these initiatives are only</w:t>
      </w:r>
      <w:r>
        <w:t xml:space="preserve"> </w:t>
      </w:r>
      <w:r>
        <w:t xml:space="preserve">now being implemented. It is therefore too early to assess their full impact on the</w:t>
      </w:r>
      <w:r>
        <w:t xml:space="preserve"> </w:t>
      </w:r>
      <w:r>
        <w:t xml:space="preserve">talent gap, although current evidence suggests that substantial shortages will persist in</w:t>
      </w:r>
      <w:r>
        <w:t xml:space="preserve"> </w:t>
      </w:r>
      <w:r>
        <w:t xml:space="preserve">the near term. The European Court of Auditors (2025) (205) observes that current</w:t>
      </w:r>
      <w:r>
        <w:t xml:space="preserve"> </w:t>
      </w:r>
      <w:r>
        <w:t xml:space="preserve">public support levels and timelines “fall short of transforming EU market share</w:t>
      </w:r>
      <w:r>
        <w:t xml:space="preserve"> </w:t>
      </w:r>
      <w:r>
        <w:t xml:space="preserve">quickly”.</w:t>
      </w:r>
      <w:r>
        <w:t xml:space="preserve"> </w:t>
      </w:r>
      <w:r>
        <w:t xml:space="preserve">•</w:t>
      </w:r>
      <w:r>
        <w:t xml:space="preserve"> </w:t>
      </w:r>
      <w:r>
        <w:t xml:space="preserve">Skills evidence: ECSA (2024) (206) and SEMI Europe (2024) (207) highlight that the</w:t>
      </w:r>
      <w:r>
        <w:t xml:space="preserve"> </w:t>
      </w:r>
      <w:r>
        <w:t xml:space="preserve">largest</w:t>
      </w:r>
      <w:r>
        <w:t xml:space="preserve"> </w:t>
      </w:r>
      <w:r>
        <w:t xml:space="preserve">shortages</w:t>
      </w:r>
      <w:r>
        <w:t xml:space="preserve"> </w:t>
      </w:r>
      <w:r>
        <w:t xml:space="preserve">will</w:t>
      </w:r>
      <w:r>
        <w:t xml:space="preserve"> </w:t>
      </w:r>
      <w:r>
        <w:t xml:space="preserve">occur</w:t>
      </w:r>
      <w:r>
        <w:t xml:space="preserve"> </w:t>
      </w:r>
      <w:r>
        <w:t xml:space="preserve">in</w:t>
      </w:r>
      <w:r>
        <w:t xml:space="preserve"> </w:t>
      </w:r>
      <w:r>
        <w:t xml:space="preserve">technicians,</w:t>
      </w:r>
      <w:r>
        <w:t xml:space="preserve"> </w:t>
      </w:r>
      <w:r>
        <w:t xml:space="preserve">process</w:t>
      </w:r>
      <w:r>
        <w:t xml:space="preserve"> </w:t>
      </w:r>
      <w:r>
        <w:t xml:space="preserve">engineers,</w:t>
      </w:r>
      <w:r>
        <w:t xml:space="preserve"> </w:t>
      </w:r>
      <w:r>
        <w:t xml:space="preserve">and</w:t>
      </w:r>
      <w:r>
        <w:t xml:space="preserve"> </w:t>
      </w:r>
      <w:r>
        <w:t xml:space="preserve">software/automation specialists, reflecting the shift toward smart manufacturing,</w:t>
      </w:r>
      <w:r>
        <w:t xml:space="preserve"> </w:t>
      </w:r>
      <w:r>
        <w:t xml:space="preserve">advanced materials, and digital design integration.</w:t>
      </w:r>
      <w:r>
        <w:t xml:space="preserve"> </w:t>
      </w:r>
      <w:r>
        <w:t xml:space="preserve">•</w:t>
      </w:r>
      <w:r>
        <w:t xml:space="preserve"> </w:t>
      </w:r>
      <w:r>
        <w:t xml:space="preserve">Geographical concentration: Existing clusters (Dresden, Grenoble, Eindhoven,</w:t>
      </w:r>
      <w:r>
        <w:t xml:space="preserve"> </w:t>
      </w:r>
      <w:r>
        <w:t xml:space="preserve">Catania, Southern Austria) attract investment and provide higher hiring efficiency, but</w:t>
      </w:r>
      <w:r>
        <w:t xml:space="preserve"> </w:t>
      </w:r>
      <w:r>
        <w:t xml:space="preserve">new greenfield sites face slower ramp-up due to limited local talent pools which is</w:t>
      </w:r>
      <w:r>
        <w:t xml:space="preserve"> </w:t>
      </w:r>
      <w:r>
        <w:t xml:space="preserve">highlighted in McKinsey’s (2024) (208) analysis.</w:t>
      </w:r>
      <w:r>
        <w:t xml:space="preserve"> </w:t>
      </w:r>
      <w:r>
        <w:t xml:space="preserve">Implications for employment and skills</w:t>
      </w:r>
      <w:r>
        <w:t xml:space="preserve"> </w:t>
      </w:r>
      <w:r>
        <w:t xml:space="preserve">•</w:t>
      </w:r>
      <w:r>
        <w:t xml:space="preserve"> </w:t>
      </w:r>
      <w:r>
        <w:t xml:space="preserve">Job creation: The EU semiconductor workforce is expected to continue expanding</w:t>
      </w:r>
      <w:r>
        <w:t xml:space="preserve"> </w:t>
      </w:r>
      <w:r>
        <w:t xml:space="preserve">through 2030 as ongoing investments reach full capacity. By 2035, employment</w:t>
      </w:r>
      <w:r>
        <w:t xml:space="preserve"> </w:t>
      </w:r>
      <w:r>
        <w:t xml:space="preserve">growth slows but remains positive, driven by ecosystem expansion in equipment,</w:t>
      </w:r>
    </w:p>
    <w:p>
      <w:pPr>
        <w:pStyle w:val="Compact"/>
        <w:numPr>
          <w:ilvl w:val="0"/>
          <w:numId w:val="1055"/>
        </w:numPr>
      </w:pPr>
      <w:r>
        <w:t xml:space="preserve">European Chips Skills Academy (ECSA). (2024). European semiconductor skills strategy 2024. Luxembourg:</w:t>
      </w:r>
      <w:r>
        <w:t xml:space="preserve"> </w:t>
      </w:r>
      <w:r>
        <w:t xml:space="preserve">Publications Office of the EU.</w:t>
      </w:r>
    </w:p>
    <w:p>
      <w:pPr>
        <w:pStyle w:val="Compact"/>
        <w:numPr>
          <w:ilvl w:val="0"/>
          <w:numId w:val="1055"/>
        </w:numPr>
      </w:pPr>
      <w:r>
        <w:t xml:space="preserve">McKinsey &amp; Company. (2024). McKinsey on semiconductors: Creating value, pursuing innovation, and optimizing</w:t>
      </w:r>
      <w:r>
        <w:t xml:space="preserve"> </w:t>
      </w:r>
      <w:r>
        <w:t xml:space="preserve">operations (No. 9, March 2024). McKinsey &amp; Company.</w:t>
      </w:r>
    </w:p>
    <w:p>
      <w:pPr>
        <w:pStyle w:val="Compact"/>
        <w:numPr>
          <w:ilvl w:val="0"/>
          <w:numId w:val="1055"/>
        </w:numPr>
      </w:pPr>
      <w:r>
        <w:t xml:space="preserve">European Court of Auditors. (2025). Special Report 12/2025 – The EU’s strategy for microchips: Reasonable progress</w:t>
      </w:r>
      <w:r>
        <w:t xml:space="preserve"> </w:t>
      </w:r>
      <w:r>
        <w:t xml:space="preserve">in its implementation, but the Chips Act is very unlikely to be sufficient to reach the overly ambitious Digital Decade target.</w:t>
      </w:r>
      <w:r>
        <w:t xml:space="preserve"> </w:t>
      </w:r>
      <w:r>
        <w:t xml:space="preserve">Luxembourg: Publications Office of the European Union.</w:t>
      </w:r>
    </w:p>
    <w:p>
      <w:pPr>
        <w:pStyle w:val="Compact"/>
        <w:numPr>
          <w:ilvl w:val="0"/>
          <w:numId w:val="1055"/>
        </w:numPr>
      </w:pPr>
      <w:r>
        <w:t xml:space="preserve">European Chips Skills Academy (ECSA). (2024). European semiconductor skills strategy 2024. Luxembourg:</w:t>
      </w:r>
      <w:r>
        <w:t xml:space="preserve"> </w:t>
      </w:r>
      <w:r>
        <w:t xml:space="preserve">Publications Office of the EU.</w:t>
      </w:r>
    </w:p>
    <w:p>
      <w:pPr>
        <w:pStyle w:val="Compact"/>
        <w:numPr>
          <w:ilvl w:val="0"/>
          <w:numId w:val="1055"/>
        </w:numPr>
      </w:pPr>
      <w:r>
        <w:t xml:space="preserve">SEMI Europe. (2024). Advocacy White Paper 2024. Brussels: SEMI Europe.</w:t>
      </w:r>
    </w:p>
    <w:p>
      <w:pPr>
        <w:pStyle w:val="Compact"/>
        <w:numPr>
          <w:ilvl w:val="0"/>
          <w:numId w:val="1055"/>
        </w:numPr>
      </w:pPr>
      <w:r>
        <w:t xml:space="preserve">McKinsey &amp; Company. (2024). McKinsey on semiconductors: Creating value, pursuing innovation, and optimizing</w:t>
      </w:r>
      <w:r>
        <w:t xml:space="preserve"> </w:t>
      </w:r>
      <w:r>
        <w:t xml:space="preserve">operations (No. 9, March 2024). McKinsey &amp; Company.</w:t>
      </w:r>
    </w:p>
    <w:p>
      <w:pPr>
        <w:pStyle w:val="FirstParagraph"/>
      </w:pPr>
      <w:r>
        <w:t xml:space="preserve">127</w:t>
      </w:r>
      <w:r>
        <w:t xml:space="preserve"> </w:t>
      </w:r>
      <w:r>
        <w:t xml:space="preserve">materials, and specialised manufacturing. However, realised employment depends on</w:t>
      </w:r>
      <w:r>
        <w:t xml:space="preserve"> </w:t>
      </w:r>
      <w:r>
        <w:t xml:space="preserve">mitigating the skills bottleneck.</w:t>
      </w:r>
      <w:r>
        <w:t xml:space="preserve"> </w:t>
      </w:r>
      <w:r>
        <w:t xml:space="preserve">•</w:t>
      </w:r>
      <w:r>
        <w:t xml:space="preserve"> </w:t>
      </w:r>
      <w:r>
        <w:t xml:space="preserve">Job quality: Semiconductor jobs remain among the most stable and best-paid in</w:t>
      </w:r>
      <w:r>
        <w:t xml:space="preserve"> </w:t>
      </w:r>
      <w:r>
        <w:t xml:space="preserve">manufacturing. High skill intensity and safety standards support good working</w:t>
      </w:r>
      <w:r>
        <w:t xml:space="preserve"> </w:t>
      </w:r>
      <w:r>
        <w:t xml:space="preserve">conditions and strong career progression prospects.</w:t>
      </w:r>
      <w:r>
        <w:t xml:space="preserve"> </w:t>
      </w:r>
      <w:r>
        <w:t xml:space="preserve">•</w:t>
      </w:r>
      <w:r>
        <w:t xml:space="preserve"> </w:t>
      </w:r>
      <w:r>
        <w:t xml:space="preserve">Skills demand: The composition of employment shifts toward process automation,</w:t>
      </w:r>
      <w:r>
        <w:t xml:space="preserve"> </w:t>
      </w:r>
      <w:r>
        <w:t xml:space="preserve">embedded</w:t>
      </w:r>
      <w:r>
        <w:t xml:space="preserve"> </w:t>
      </w:r>
      <w:r>
        <w:t xml:space="preserve">software,</w:t>
      </w:r>
      <w:r>
        <w:t xml:space="preserve"> </w:t>
      </w:r>
      <w:r>
        <w:t xml:space="preserve">AI/ML-assisted</w:t>
      </w:r>
      <w:r>
        <w:t xml:space="preserve"> </w:t>
      </w:r>
      <w:r>
        <w:t xml:space="preserve">design,</w:t>
      </w:r>
      <w:r>
        <w:t xml:space="preserve"> </w:t>
      </w:r>
      <w:r>
        <w:t xml:space="preserve">and</w:t>
      </w:r>
      <w:r>
        <w:t xml:space="preserve"> </w:t>
      </w:r>
      <w:r>
        <w:t xml:space="preserve">compound-materials</w:t>
      </w:r>
      <w:r>
        <w:t xml:space="preserve"> </w:t>
      </w:r>
      <w:r>
        <w:t xml:space="preserve">engineering. Without significant training acceleration, the EU risks persistent reliance</w:t>
      </w:r>
      <w:r>
        <w:t xml:space="preserve"> </w:t>
      </w:r>
      <w:r>
        <w:t xml:space="preserve">on third-country experts and cross-border mobility.</w:t>
      </w:r>
      <w:r>
        <w:t xml:space="preserve"> </w:t>
      </w:r>
      <w:r>
        <w:t xml:space="preserve">•</w:t>
      </w:r>
      <w:r>
        <w:t xml:space="preserve"> </w:t>
      </w:r>
      <w:r>
        <w:t xml:space="preserve">Systemic risk: Labour shortages may become a structural drag on the effectiveness of</w:t>
      </w:r>
      <w:r>
        <w:t xml:space="preserve"> </w:t>
      </w:r>
      <w:r>
        <w:t xml:space="preserve">Chips Act investments, limiting capacity utilisation and slowing Europe’s technology-</w:t>
      </w:r>
      <w:r>
        <w:t xml:space="preserve"> </w:t>
      </w:r>
      <w:r>
        <w:t xml:space="preserve">leadership ambitions.</w:t>
      </w:r>
      <w:r>
        <w:t xml:space="preserve"> </w:t>
      </w:r>
      <w:r>
        <w:t xml:space="preserve">2.2.</w:t>
      </w:r>
      <w:r>
        <w:t xml:space="preserve"> </w:t>
      </w:r>
      <w:r>
        <w:t xml:space="preserve">SME/start-up ecosystem in the EU semiconductor industry</w:t>
      </w:r>
      <w:r>
        <w:t xml:space="preserve"> </w:t>
      </w:r>
      <w:r>
        <w:t xml:space="preserve">2.2.1. Establishing a starting point for BAU scenario</w:t>
      </w:r>
      <w:r>
        <w:t xml:space="preserve"> </w:t>
      </w:r>
      <w:r>
        <w:t xml:space="preserve">Small and Medium-sized Enterprises (SMEs) in the EU semiconductor industry face specific</w:t>
      </w:r>
      <w:r>
        <w:t xml:space="preserve"> </w:t>
      </w:r>
      <w:r>
        <w:t xml:space="preserve">conditions and challenges. Historically, information on smaller players has been limited,</w:t>
      </w:r>
      <w:r>
        <w:t xml:space="preserve"> </w:t>
      </w:r>
      <w:r>
        <w:t xml:space="preserve">providing only a partial picture of their involvement compared to larger companies (209).</w:t>
      </w:r>
      <w:r>
        <w:t xml:space="preserve"> </w:t>
      </w:r>
      <w:r>
        <w:t xml:space="preserve">One significant weakness in the EU semiconductor industry is the need for stronger</w:t>
      </w:r>
      <w:r>
        <w:t xml:space="preserve"> </w:t>
      </w:r>
      <w:r>
        <w:t xml:space="preserve">cooperation between large companies and innovative SMEs, as SMEs currently struggle to</w:t>
      </w:r>
      <w:r>
        <w:t xml:space="preserve"> </w:t>
      </w:r>
      <w:r>
        <w:t xml:space="preserve">gain attention (210). This is particularly evident in the design of advanced processors, despite</w:t>
      </w:r>
      <w:r>
        <w:t xml:space="preserve"> </w:t>
      </w:r>
      <w:r>
        <w:t xml:space="preserve">the EU having a thriving ecosystem of startups in this area (211). Large firms also tend to have</w:t>
      </w:r>
      <w:r>
        <w:t xml:space="preserve"> </w:t>
      </w:r>
      <w:r>
        <w:t xml:space="preserve">more diversified expenditure on inputs across geographical areas than SMEs (212).</w:t>
      </w:r>
      <w:r>
        <w:t xml:space="preserve"> </w:t>
      </w:r>
      <w:r>
        <w:t xml:space="preserve">To address these challenges, the Chips Act includes initiatives aimed at supporting SMEs and</w:t>
      </w:r>
      <w:r>
        <w:t xml:space="preserve"> </w:t>
      </w:r>
      <w:r>
        <w:t xml:space="preserve">startups. These include a design platform designed to lower barriers to entry for chip design.</w:t>
      </w:r>
      <w:r>
        <w:t xml:space="preserve"> </w:t>
      </w:r>
      <w:r>
        <w:t xml:space="preserve">Additionally, the Chips Fund offers various equity and debt solutions for SMEs and startups.</w:t>
      </w:r>
      <w:r>
        <w:t xml:space="preserve"> </w:t>
      </w:r>
      <w:r>
        <w:t xml:space="preserve">Competence Centres are also being established in member states to facilitate access to the</w:t>
      </w:r>
      <w:r>
        <w:t xml:space="preserve"> </w:t>
      </w:r>
      <w:r>
        <w:t xml:space="preserve">virtual design platform and pilot lines. The opening of these pilot lines is intended to provide</w:t>
      </w:r>
      <w:r>
        <w:t xml:space="preserve"> </w:t>
      </w:r>
      <w:r>
        <w:t xml:space="preserve">SMEs and startups with easier and faster access to foundry services for both novel and older</w:t>
      </w:r>
      <w:r>
        <w:t xml:space="preserve"> </w:t>
      </w:r>
      <w:r>
        <w:t xml:space="preserve">technologies.</w:t>
      </w:r>
      <w:r>
        <w:t xml:space="preserve"> </w:t>
      </w:r>
      <w:r>
        <w:t xml:space="preserve">SME and start-up role in the value chain: Europe’s semiconductor ecosystem, in terms of</w:t>
      </w:r>
      <w:r>
        <w:t xml:space="preserve"> </w:t>
      </w:r>
      <w:r>
        <w:t xml:space="preserve">number of companies, is dominated by small and medium-sized enterprises, which account</w:t>
      </w:r>
      <w:r>
        <w:t xml:space="preserve"> </w:t>
      </w:r>
      <w:r>
        <w:t xml:space="preserve">for roughly 69% of all firms across the value chain.</w:t>
      </w:r>
      <w:r>
        <w:t xml:space="preserve"> </w:t>
      </w:r>
      <w:r>
        <w:t xml:space="preserve">The EU hosts a large number of small and mid-sized champions in equipment, specialty</w:t>
      </w:r>
      <w:r>
        <w:t xml:space="preserve"> </w:t>
      </w:r>
      <w:r>
        <w:t xml:space="preserve">materials, sensors and MEMS, power electronics, and optoelectronics, where innovation and</w:t>
      </w:r>
      <w:r>
        <w:t xml:space="preserve"> </w:t>
      </w:r>
      <w:r>
        <w:t xml:space="preserve">domain expertise matter more than scale. However, it has far fewer successful scale-ups in</w:t>
      </w:r>
    </w:p>
    <w:p>
      <w:pPr>
        <w:pStyle w:val="Compact"/>
        <w:numPr>
          <w:ilvl w:val="0"/>
          <w:numId w:val="1056"/>
        </w:numPr>
      </w:pPr>
      <w:r>
        <w:t xml:space="preserve">Rosati, N., Bonnet, P., Ciani, A., Duch Brown, N., Miguez, S., &amp; Zaurino, E. (2023). The EC consultation on the</w:t>
      </w:r>
      <w:r>
        <w:t xml:space="preserve"> </w:t>
      </w:r>
      <w:r>
        <w:t xml:space="preserve">semiconductors’ value chain (JRC133892, EUR 31585 EN).</w:t>
      </w:r>
      <w:r>
        <w:br/>
      </w:r>
    </w:p>
    <w:p>
      <w:pPr>
        <w:pStyle w:val="Compact"/>
        <w:numPr>
          <w:ilvl w:val="0"/>
          <w:numId w:val="1056"/>
        </w:numPr>
      </w:pPr>
      <w:r>
        <w:t xml:space="preserve">DECISION Études &amp; Conseil. (2024). Economic analysis of the EU and global chips ecosystem. European Commission,</w:t>
      </w:r>
      <w:r>
        <w:t xml:space="preserve"> </w:t>
      </w:r>
      <w:r>
        <w:t xml:space="preserve">Directorate-General for Communications Networks, Content and Technology (DG CNECT).</w:t>
      </w:r>
    </w:p>
    <w:p>
      <w:pPr>
        <w:pStyle w:val="Compact"/>
        <w:numPr>
          <w:ilvl w:val="0"/>
          <w:numId w:val="1056"/>
        </w:numPr>
      </w:pPr>
      <w:r>
        <w:t xml:space="preserve">DECISION Études &amp; Conseil. (2024). Economic analysis of the EU and global chips ecosystem. European Commission,</w:t>
      </w:r>
      <w:r>
        <w:t xml:space="preserve"> </w:t>
      </w:r>
      <w:r>
        <w:t xml:space="preserve">Directorate-General for Communications Networks, Content and Technology (DG CNECT).</w:t>
      </w:r>
    </w:p>
    <w:p>
      <w:pPr>
        <w:pStyle w:val="Compact"/>
        <w:numPr>
          <w:ilvl w:val="0"/>
          <w:numId w:val="1056"/>
        </w:numPr>
      </w:pPr>
      <w:r>
        <w:t xml:space="preserve">Rosati, N., Bonnet, P., Ciani, A., Duch Brown, N., Miguez, S., &amp; Zaurino, E. (2023). The EC consultation on the</w:t>
      </w:r>
      <w:r>
        <w:t xml:space="preserve"> </w:t>
      </w:r>
      <w:r>
        <w:t xml:space="preserve">semiconductors’ value chain (JRC133892, EUR 31585 EN).</w:t>
      </w:r>
    </w:p>
    <w:p>
      <w:pPr>
        <w:pStyle w:val="FirstParagraph"/>
      </w:pPr>
      <w:r>
        <w:t xml:space="preserve">128</w:t>
      </w:r>
      <w:r>
        <w:t xml:space="preserve"> </w:t>
      </w:r>
      <w:r>
        <w:t xml:space="preserve">fabless design and virtually no globally competitive EDA providers beyond Siemens EDA</w:t>
      </w:r>
      <w:r>
        <w:t xml:space="preserve"> </w:t>
      </w:r>
      <w:r>
        <w:t xml:space="preserve">(the result of the acquisition of US-based Mentor Graphics by Siemens AG in 2017). This</w:t>
      </w:r>
      <w:r>
        <w:t xml:space="preserve"> </w:t>
      </w:r>
      <w:r>
        <w:t xml:space="preserve">structural pattern mirrors Europe’s technological strengths in optoelectronics, MEMS, and</w:t>
      </w:r>
      <w:r>
        <w:t xml:space="preserve"> </w:t>
      </w:r>
      <w:r>
        <w:t xml:space="preserve">power semiconductors, but also its relative weakness in advanced logic design and digital</w:t>
      </w:r>
      <w:r>
        <w:t xml:space="preserve"> </w:t>
      </w:r>
      <w:r>
        <w:t xml:space="preserve">system-on-chip innovation, where large U.S. and Asian firms dominate (213).</w:t>
      </w:r>
      <w:r>
        <w:t xml:space="preserve"> </w:t>
      </w:r>
      <w:r>
        <w:t xml:space="preserve">Access to finance and scale-up pathways: Persistent late-stage funding gaps constrain EU</w:t>
      </w:r>
      <w:r>
        <w:t xml:space="preserve"> </w:t>
      </w:r>
      <w:r>
        <w:t xml:space="preserve">chip start-ups and fabless SMEs from moving beyond prototypes to growth manufacturing.</w:t>
      </w:r>
      <w:r>
        <w:t xml:space="preserve"> </w:t>
      </w:r>
      <w:r>
        <w:t xml:space="preserve">Although policy instruments such as the Chips Fund and InvestEU exist on paper, Interface</w:t>
      </w:r>
      <w:r>
        <w:t xml:space="preserve"> </w:t>
      </w:r>
      <w:r>
        <w:t xml:space="preserve">(2024) (214), IFRI (2024) (215), and JRC (2025) (216) note that investment capacity and deal</w:t>
      </w:r>
      <w:r>
        <w:t xml:space="preserve"> </w:t>
      </w:r>
      <w:r>
        <w:t xml:space="preserve">flow remain limited compared with U.S. and Asian ecosystems. McKinsey (2024) (217)</w:t>
      </w:r>
      <w:r>
        <w:t xml:space="preserve"> </w:t>
      </w:r>
      <w:r>
        <w:t xml:space="preserve">similarly highlights Europe’s structural deficit in late-stage venture capital and corporate</w:t>
      </w:r>
      <w:r>
        <w:t xml:space="preserve"> </w:t>
      </w:r>
      <w:r>
        <w:t xml:space="preserve">investment.</w:t>
      </w:r>
      <w:r>
        <w:t xml:space="preserve"> </w:t>
      </w:r>
      <w:r>
        <w:t xml:space="preserve">Access to shared infrastructure and tools: The Chips Act introduced a Design Platform</w:t>
      </w:r>
      <w:r>
        <w:t xml:space="preserve"> </w:t>
      </w:r>
      <w:r>
        <w:t xml:space="preserve">(DP), a network of competence centres, pilot lines, and a Chips Fund precisely to lower</w:t>
      </w:r>
      <w:r>
        <w:t xml:space="preserve"> </w:t>
      </w:r>
      <w:r>
        <w:t xml:space="preserve">barriers for SMEs and start-ups. These measures are designed to ease access to EDA/IP,</w:t>
      </w:r>
      <w:r>
        <w:t xml:space="preserve"> </w:t>
      </w:r>
      <w:r>
        <w:t xml:space="preserve">multi-project wafers (MPWs), and expert support, and to blend equity/debt for young firms.</w:t>
      </w:r>
      <w:r>
        <w:t xml:space="preserve"> </w:t>
      </w:r>
      <w:r>
        <w:t xml:space="preserve">Implementation is underway but still maturing; practical access and throughput for SMEs</w:t>
      </w:r>
      <w:r>
        <w:t xml:space="preserve"> </w:t>
      </w:r>
      <w:r>
        <w:t xml:space="preserve">varies by Member State.</w:t>
      </w:r>
      <w:r>
        <w:t xml:space="preserve"> </w:t>
      </w:r>
      <w:r>
        <w:t xml:space="preserve">Administrative burden and access to support: Implementation of the Chips Act spans</w:t>
      </w:r>
      <w:r>
        <w:t xml:space="preserve"> </w:t>
      </w:r>
      <w:r>
        <w:t xml:space="preserve">several overlapping instruments: the Chips Joint Undertaking, the Chips Fund, the Design</w:t>
      </w:r>
      <w:r>
        <w:t xml:space="preserve"> </w:t>
      </w:r>
      <w:r>
        <w:t xml:space="preserve">Platform, national state-aid schemes under Pillar II and IPCEI ME2, as well as Horizon</w:t>
      </w:r>
      <w:r>
        <w:t xml:space="preserve"> </w:t>
      </w:r>
      <w:r>
        <w:t xml:space="preserve">Europe and InvestEU windows. Each of them has a separate application, eligibility, and</w:t>
      </w:r>
      <w:r>
        <w:t xml:space="preserve"> </w:t>
      </w:r>
      <w:r>
        <w:t xml:space="preserve">reporting requirements. For smaller firms, this multi-layered structure results in high fixed</w:t>
      </w:r>
      <w:r>
        <w:t xml:space="preserve"> </w:t>
      </w:r>
      <w:r>
        <w:t xml:space="preserve">compliance costs and lengthy approval timelines. The ECA (2025) (218) and Interface (2024)</w:t>
      </w:r>
      <w:r>
        <w:t xml:space="preserve"> </w:t>
      </w:r>
      <w:r>
        <w:t xml:space="preserve">(219) note that the absence of a single-entry point and duplication between EU and national</w:t>
      </w:r>
      <w:r>
        <w:t xml:space="preserve"> </w:t>
      </w:r>
      <w:r>
        <w:t xml:space="preserve">levels increase transaction costs, while IFRI (2024) (220) and JRC (2025) (221) highlight</w:t>
      </w:r>
      <w:r>
        <w:t xml:space="preserve"> </w:t>
      </w:r>
      <w:r>
        <w:t xml:space="preserve">uneven administrative capacity across Member States, especially in State aid management.</w:t>
      </w:r>
      <w:r>
        <w:t xml:space="preserve"> </w:t>
      </w:r>
      <w:r>
        <w:t xml:space="preserve">SMEs active in cross-border or pilot projects are particularly affected, as differing national</w:t>
      </w:r>
      <w:r>
        <w:t xml:space="preserve"> </w:t>
      </w:r>
      <w:r>
        <w:t xml:space="preserve">procedures often require multiple notifications and audits. Large firms can absorb these costs</w:t>
      </w:r>
      <w:r>
        <w:t xml:space="preserve"> </w:t>
      </w:r>
      <w:r>
        <w:t xml:space="preserve">through dedicated compliance resources, but smaller companies frequently withdraw or forgo</w:t>
      </w:r>
    </w:p>
    <w:p>
      <w:pPr>
        <w:pStyle w:val="Compact"/>
        <w:numPr>
          <w:ilvl w:val="0"/>
          <w:numId w:val="1057"/>
        </w:numPr>
      </w:pPr>
      <w:r>
        <w:t xml:space="preserve">Survey data collected by DG CNECT from Member States for Chips Act Pillar III mapping and elaborated by the JRC.</w:t>
      </w:r>
      <w:r>
        <w:br/>
      </w:r>
    </w:p>
    <w:p>
      <w:pPr>
        <w:pStyle w:val="Compact"/>
        <w:numPr>
          <w:ilvl w:val="0"/>
          <w:numId w:val="1057"/>
        </w:numPr>
      </w:pPr>
      <w:r>
        <w:t xml:space="preserve">Kleinhans, J.-P. (2024), The missing strategy in Europe’s chip ambitions: Member States must drive the next steps,</w:t>
      </w:r>
      <w:r>
        <w:t xml:space="preserve"> </w:t>
      </w:r>
      <w:r>
        <w:t xml:space="preserve">Interface, July 2024.</w:t>
      </w:r>
    </w:p>
    <w:p>
      <w:pPr>
        <w:pStyle w:val="Compact"/>
        <w:numPr>
          <w:ilvl w:val="0"/>
          <w:numId w:val="1057"/>
        </w:numPr>
      </w:pPr>
      <w:r>
        <w:t xml:space="preserve">Ebrahimi, A. (2024). Groundbreaking chip sovereignty: Europe’s strategic push in the semiconductor race. Ifri Memos,</w:t>
      </w:r>
      <w:r>
        <w:t xml:space="preserve"> </w:t>
      </w:r>
      <w:r>
        <w:t xml:space="preserve">Institut français des relations internationales (IFRI). ISBN 979-10-373-0874-0.</w:t>
      </w:r>
    </w:p>
    <w:p>
      <w:pPr>
        <w:pStyle w:val="Compact"/>
        <w:numPr>
          <w:ilvl w:val="0"/>
          <w:numId w:val="1057"/>
        </w:numPr>
      </w:pPr>
      <w:r>
        <w:t xml:space="preserve">Bonnet, P., Ciani, A., Molnar, J., &amp; Nardo, M. (2025). EU’s strengths and weaknesses in the global semiconductor</w:t>
      </w:r>
      <w:r>
        <w:t xml:space="preserve"> </w:t>
      </w:r>
      <w:r>
        <w:t xml:space="preserve">sector (JRC141323, EUR 40253). Luxembourg: Publications Office of the European Union. https://doi.org/10.2760/6302476</w:t>
      </w:r>
    </w:p>
    <w:p>
      <w:pPr>
        <w:pStyle w:val="Compact"/>
        <w:numPr>
          <w:ilvl w:val="0"/>
          <w:numId w:val="1057"/>
        </w:numPr>
      </w:pPr>
      <w:r>
        <w:t xml:space="preserve">McKinsey &amp; Company (2021), McKinsey on Semiconductors: Creating value, pursuing innovation, and optimising</w:t>
      </w:r>
      <w:r>
        <w:t xml:space="preserve"> </w:t>
      </w:r>
      <w:r>
        <w:t xml:space="preserve">operations.</w:t>
      </w:r>
    </w:p>
    <w:p>
      <w:pPr>
        <w:pStyle w:val="Compact"/>
        <w:numPr>
          <w:ilvl w:val="0"/>
          <w:numId w:val="1057"/>
        </w:numPr>
      </w:pPr>
      <w:r>
        <w:t xml:space="preserve">European Court of Auditors. (2025). Special Report 12/2025 – The EU’s strategy for microchips: Reasonable progress</w:t>
      </w:r>
      <w:r>
        <w:t xml:space="preserve"> </w:t>
      </w:r>
      <w:r>
        <w:t xml:space="preserve">in its implementation, but the Chips Act is very unlikely to be sufficient to reach the overly ambitious Digital Decade target.</w:t>
      </w:r>
      <w:r>
        <w:t xml:space="preserve"> </w:t>
      </w:r>
      <w:r>
        <w:t xml:space="preserve">Luxembourg: Publications Office of the European Union.</w:t>
      </w:r>
    </w:p>
    <w:p>
      <w:pPr>
        <w:pStyle w:val="Compact"/>
        <w:numPr>
          <w:ilvl w:val="0"/>
          <w:numId w:val="1057"/>
        </w:numPr>
      </w:pPr>
      <w:r>
        <w:t xml:space="preserve">Kleinhans, J.-P. (2024), The missing strategy in Europe’s chip ambitions: Member States must drive the next steps,</w:t>
      </w:r>
      <w:r>
        <w:t xml:space="preserve"> </w:t>
      </w:r>
      <w:r>
        <w:t xml:space="preserve">Interface, July 2024.</w:t>
      </w:r>
    </w:p>
    <w:p>
      <w:pPr>
        <w:pStyle w:val="Compact"/>
        <w:numPr>
          <w:ilvl w:val="0"/>
          <w:numId w:val="1057"/>
        </w:numPr>
      </w:pPr>
      <w:r>
        <w:t xml:space="preserve">Ebrahimi, A. (2024). Groundbreaking chip sovereignty: Europe’s strategic push in the semiconductor race. Ifri Memos,</w:t>
      </w:r>
      <w:r>
        <w:t xml:space="preserve"> </w:t>
      </w:r>
      <w:r>
        <w:t xml:space="preserve">Institut français des relations internationales (IFRI). ISBN 979-10-373-0874-0.</w:t>
      </w:r>
    </w:p>
    <w:p>
      <w:pPr>
        <w:pStyle w:val="Compact"/>
        <w:numPr>
          <w:ilvl w:val="0"/>
          <w:numId w:val="1057"/>
        </w:numPr>
      </w:pPr>
      <w:r>
        <w:t xml:space="preserve">Bonnet, P., Ciani, A., Molnar, J., &amp; Nardo, M. (2025). EU’s strengths and weaknesses in the global semiconductor</w:t>
      </w:r>
      <w:r>
        <w:t xml:space="preserve"> </w:t>
      </w:r>
      <w:r>
        <w:t xml:space="preserve">sector (JRC141323, EUR 40253). Luxembourg: Publications Office of the European Union. https://doi.org/10.2760/6302476</w:t>
      </w:r>
    </w:p>
    <w:p>
      <w:pPr>
        <w:pStyle w:val="FirstParagraph"/>
      </w:pPr>
      <w:r>
        <w:t xml:space="preserve">129</w:t>
      </w:r>
      <w:r>
        <w:t xml:space="preserve"> </w:t>
      </w:r>
      <w:r>
        <w:t xml:space="preserve">participation. As a result, SMEs face slower access to support and lower participation rates in</w:t>
      </w:r>
      <w:r>
        <w:t xml:space="preserve"> </w:t>
      </w:r>
      <w:r>
        <w:t xml:space="preserve">major semiconductor programmes.</w:t>
      </w:r>
      <w:r>
        <w:br/>
      </w:r>
      <w:r>
        <w:t xml:space="preserve">2.2.2. Modelling the BAU scenario</w:t>
      </w:r>
      <w:r>
        <w:t xml:space="preserve"> </w:t>
      </w:r>
      <w:r>
        <w:t xml:space="preserve">2.2.2.1 Access to finance and scale-up</w:t>
      </w:r>
      <w:r>
        <w:t xml:space="preserve"> </w:t>
      </w:r>
      <w:r>
        <w:t xml:space="preserve">•</w:t>
      </w:r>
      <w:r>
        <w:t xml:space="preserve"> </w:t>
      </w:r>
      <w:r>
        <w:t xml:space="preserve">Developments expected under BAU: Gradual improvement in seed and Series A</w:t>
      </w:r>
      <w:r>
        <w:t xml:space="preserve"> </w:t>
      </w:r>
      <w:r>
        <w:t xml:space="preserve">availability is expected via the Chips Fund, the Design Platform, and InvestEU</w:t>
      </w:r>
      <w:r>
        <w:t xml:space="preserve"> </w:t>
      </w:r>
      <w:r>
        <w:t xml:space="preserve">windows. However, little progress is anticipated at late-stage growth and expansion</w:t>
      </w:r>
      <w:r>
        <w:t xml:space="preserve"> </w:t>
      </w:r>
      <w:r>
        <w:t xml:space="preserve">rounds, as these financing gaps stem from broader structural weaknesses in the EU</w:t>
      </w:r>
      <w:r>
        <w:t xml:space="preserve"> </w:t>
      </w:r>
      <w:r>
        <w:t xml:space="preserve">capital market. These issues go beyond the scope of sector-specific instruments and</w:t>
      </w:r>
      <w:r>
        <w:t xml:space="preserve"> </w:t>
      </w:r>
      <w:r>
        <w:t xml:space="preserve">cannot be resolved without deeper systemic reforms such as a functioning Capital</w:t>
      </w:r>
      <w:r>
        <w:t xml:space="preserve"> </w:t>
      </w:r>
      <w:r>
        <w:t xml:space="preserve">Markets Union.</w:t>
      </w:r>
      <w:r>
        <w:t xml:space="preserve"> </w:t>
      </w:r>
      <w:r>
        <w:t xml:space="preserve">•</w:t>
      </w:r>
      <w:r>
        <w:t xml:space="preserve"> </w:t>
      </w:r>
      <w:r>
        <w:t xml:space="preserve">Rationale: Interface (2024) (222) notes that while the Chips Act’s instruments such as</w:t>
      </w:r>
      <w:r>
        <w:t xml:space="preserve"> </w:t>
      </w:r>
      <w:r>
        <w:t xml:space="preserve">pilot lines, the competence centres and the Chips Fund formally exist, their strategic</w:t>
      </w:r>
      <w:r>
        <w:t xml:space="preserve"> </w:t>
      </w:r>
      <w:r>
        <w:t xml:space="preserve">follow-through and implementation capacity remain limited. Member States differ</w:t>
      </w:r>
      <w:r>
        <w:t xml:space="preserve"> </w:t>
      </w:r>
      <w:r>
        <w:t xml:space="preserve">markedly in how they execute and resource these instruments, creating uneven access</w:t>
      </w:r>
      <w:r>
        <w:t xml:space="preserve"> </w:t>
      </w:r>
      <w:r>
        <w:t xml:space="preserve">for start-ups and SMEs. As a result, the transition from prototype development to</w:t>
      </w:r>
      <w:r>
        <w:t xml:space="preserve"> </w:t>
      </w:r>
      <w:r>
        <w:t xml:space="preserve">commercial manufacturing remains constrained, and the pipeline from pilot to product</w:t>
      </w:r>
      <w:r>
        <w:t xml:space="preserve"> </w:t>
      </w:r>
      <w:r>
        <w:t xml:space="preserve">is only partially functional under current conditions.</w:t>
      </w:r>
      <w:r>
        <w:t xml:space="preserve"> </w:t>
      </w:r>
      <w:r>
        <w:t xml:space="preserve">•</w:t>
      </w:r>
      <w:r>
        <w:t xml:space="preserve"> </w:t>
      </w:r>
      <w:r>
        <w:t xml:space="preserve">Implications for SMEs: By 2028, many SMEs gain first access to the Chips Act’s</w:t>
      </w:r>
      <w:r>
        <w:t xml:space="preserve"> </w:t>
      </w:r>
      <w:r>
        <w:t xml:space="preserve">Design Platform and competence centres, improving their ability to design and</w:t>
      </w:r>
      <w:r>
        <w:t xml:space="preserve"> </w:t>
      </w:r>
      <w:r>
        <w:t xml:space="preserve">prototype new chips. However, access to large-scale follow-on financing for</w:t>
      </w:r>
      <w:r>
        <w:t xml:space="preserve"> </w:t>
      </w:r>
      <w:r>
        <w:t xml:space="preserve">industrialisation and scaling remain scarce, leaving promising fabless firms unable to</w:t>
      </w:r>
      <w:r>
        <w:t xml:space="preserve"> </w:t>
      </w:r>
      <w:r>
        <w:t xml:space="preserve">design at leading edge nodes or move from prototype runs to market-ready production.</w:t>
      </w:r>
      <w:r>
        <w:t xml:space="preserve"> </w:t>
      </w:r>
      <w:r>
        <w:t xml:space="preserve">Some relocate intellectual property or exit early to attract non-EU investment. The</w:t>
      </w:r>
      <w:r>
        <w:t xml:space="preserve"> </w:t>
      </w:r>
      <w:r>
        <w:t xml:space="preserve">critical transition between Technology Readiness Levels 6 and 8 (the “valley of</w:t>
      </w:r>
      <w:r>
        <w:t xml:space="preserve"> </w:t>
      </w:r>
      <w:r>
        <w:t xml:space="preserve">death”) therefore remains a high-risk stage under BAU conditions, and this challenge</w:t>
      </w:r>
      <w:r>
        <w:t xml:space="preserve"> </w:t>
      </w:r>
      <w:r>
        <w:t xml:space="preserve">is unlikely to be fully resolved even under alternative scenarios. The underlying</w:t>
      </w:r>
      <w:r>
        <w:t xml:space="preserve"> </w:t>
      </w:r>
      <w:r>
        <w:t xml:space="preserve">barriers are structural – notably the shortage of late-stage capital, limited domestic</w:t>
      </w:r>
      <w:r>
        <w:t xml:space="preserve"> </w:t>
      </w:r>
      <w:r>
        <w:t xml:space="preserve">demand-pull, and Europe’s fragmented financing landscape – and extend beyond what</w:t>
      </w:r>
      <w:r>
        <w:t xml:space="preserve"> </w:t>
      </w:r>
      <w:r>
        <w:t xml:space="preserve">sectoral instruments such as the Chips Act can realistically address.</w:t>
      </w:r>
      <w:r>
        <w:t xml:space="preserve"> </w:t>
      </w:r>
      <w:r>
        <w:t xml:space="preserve">2.2.2.2 Access to infrastructure and tools (DP, competence centres, pilot lines)</w:t>
      </w:r>
      <w:r>
        <w:t xml:space="preserve"> </w:t>
      </w:r>
      <w:r>
        <w:t xml:space="preserve">•</w:t>
      </w:r>
      <w:r>
        <w:t xml:space="preserve"> </w:t>
      </w:r>
      <w:r>
        <w:t xml:space="preserve">Developments expected under BAU: Access to shared design and prototyping</w:t>
      </w:r>
      <w:r>
        <w:t xml:space="preserve"> </w:t>
      </w:r>
      <w:r>
        <w:t xml:space="preserve">infrastructure improves gradually as the Virtual Design Platform, competence centres,</w:t>
      </w:r>
      <w:r>
        <w:t xml:space="preserve"> </w:t>
      </w:r>
      <w:r>
        <w:t xml:space="preserve">and pilot lines reach maturity. SMEs benefit from expanded multi-project wafer</w:t>
      </w:r>
      <w:r>
        <w:t xml:space="preserve"> </w:t>
      </w:r>
      <w:r>
        <w:t xml:space="preserve">services and more predictable conditions for EDA tools, alongside financial support,</w:t>
      </w:r>
      <w:r>
        <w:t xml:space="preserve"> </w:t>
      </w:r>
      <w:r>
        <w:t xml:space="preserve">which lower entry barriers and accelerate prototyping. Bottlenecks, however, persist in</w:t>
      </w:r>
      <w:r>
        <w:t xml:space="preserve"> </w:t>
      </w:r>
      <w:r>
        <w:t xml:space="preserve">securing affordable access to design tools, navigating heterogeneous access conditions</w:t>
      </w:r>
      <w:r>
        <w:t xml:space="preserve"> </w:t>
      </w:r>
      <w:r>
        <w:t xml:space="preserve">across Member States, and obtaining timely technical assistance, reflecting broader</w:t>
      </w:r>
      <w:r>
        <w:t xml:space="preserve"> </w:t>
      </w:r>
      <w:r>
        <w:t xml:space="preserve">coordination and capacity challenges rather than specific technical constraints.</w:t>
      </w:r>
    </w:p>
    <w:p>
      <w:pPr>
        <w:pStyle w:val="BodyText"/>
      </w:pPr>
      <w:r>
        <w:t xml:space="preserve">(222)Kleinhans, J.-P. (2024), The missing strategy in Europe’s chip ambitions: Member States must drive the next steps,</w:t>
      </w:r>
      <w:r>
        <w:t xml:space="preserve"> </w:t>
      </w:r>
      <w:r>
        <w:t xml:space="preserve">Interface, July 2024.</w:t>
      </w:r>
    </w:p>
    <w:p>
      <w:pPr>
        <w:pStyle w:val="BodyText"/>
      </w:pPr>
      <w:r>
        <w:t xml:space="preserve">130</w:t>
      </w:r>
      <w:r>
        <w:t xml:space="preserve"> </w:t>
      </w:r>
      <w:r>
        <w:t xml:space="preserve">•</w:t>
      </w:r>
      <w:r>
        <w:t xml:space="preserve"> </w:t>
      </w:r>
      <w:r>
        <w:t xml:space="preserve">Rationale: Pillar I of the Chips Act was designed to also ease SME entry into</w:t>
      </w:r>
      <w:r>
        <w:t xml:space="preserve"> </w:t>
      </w:r>
      <w:r>
        <w:t xml:space="preserve">semiconductor innovation, but practical capacity and coordination are still catching</w:t>
      </w:r>
      <w:r>
        <w:t xml:space="preserve"> </w:t>
      </w:r>
      <w:r>
        <w:t xml:space="preserve">up, as noted by Interface (2024) (223) and the ECA (2025) (224).</w:t>
      </w:r>
      <w:r>
        <w:t xml:space="preserve"> </w:t>
      </w:r>
      <w:r>
        <w:t xml:space="preserve">•</w:t>
      </w:r>
      <w:r>
        <w:t xml:space="preserve"> </w:t>
      </w:r>
      <w:r>
        <w:t xml:space="preserve">Implications for SMEs: Entry costs for first-time tape-outs and lab prototyping</w:t>
      </w:r>
      <w:r>
        <w:t xml:space="preserve"> </w:t>
      </w:r>
      <w:r>
        <w:t xml:space="preserve">decline, improving time-to-prototype and customer validation. Yet cross-country</w:t>
      </w:r>
      <w:r>
        <w:t xml:space="preserve"> </w:t>
      </w:r>
      <w:r>
        <w:t xml:space="preserve">disparities persist, and scaling beyond prototype remains constrained by dependence</w:t>
      </w:r>
      <w:r>
        <w:t xml:space="preserve"> </w:t>
      </w:r>
      <w:r>
        <w:t xml:space="preserve">on non-EU foundries and OSATs.</w:t>
      </w:r>
      <w:r>
        <w:t xml:space="preserve"> </w:t>
      </w:r>
      <w:r>
        <w:t xml:space="preserve">Overall, by 2035, it is expected that the Design Platform, competence centres, and pilot lines</w:t>
      </w:r>
      <w:r>
        <w:t xml:space="preserve"> </w:t>
      </w:r>
      <w:r>
        <w:t xml:space="preserve">will have expanded and become accessible, lowering entry barriers and improving</w:t>
      </w:r>
      <w:r>
        <w:t xml:space="preserve"> </w:t>
      </w:r>
      <w:r>
        <w:t xml:space="preserve">prototyping speed for SMEs. Some regional clusters strengthen around Europe’s established</w:t>
      </w:r>
      <w:r>
        <w:t xml:space="preserve"> </w:t>
      </w:r>
      <w:r>
        <w:t xml:space="preserve">niches in equipment, materials, and power electronics. Yet core structural constraints persist</w:t>
      </w:r>
      <w:r>
        <w:t xml:space="preserve"> </w:t>
      </w:r>
      <w:r>
        <w:t xml:space="preserve">and the late-stage financing gap remains wide.</w:t>
      </w:r>
      <w:r>
        <w:br/>
      </w:r>
      <w:r>
        <w:t xml:space="preserve">2.3.</w:t>
      </w:r>
      <w:r>
        <w:t xml:space="preserve"> </w:t>
      </w:r>
      <w:r>
        <w:t xml:space="preserve">R&amp;D&amp;I leadership in the EU semiconductor industry</w:t>
      </w:r>
      <w:r>
        <w:t xml:space="preserve"> </w:t>
      </w:r>
      <w:r>
        <w:t xml:space="preserve">Competitive advantage can be achieved through cost (and hence price) or the innovation,</w:t>
      </w:r>
      <w:r>
        <w:t xml:space="preserve"> </w:t>
      </w:r>
      <w:r>
        <w:t xml:space="preserve">sophistication and quality of chips. As discussed in Section 1.3 of this annex, the EU holds a</w:t>
      </w:r>
      <w:r>
        <w:t xml:space="preserve"> </w:t>
      </w:r>
      <w:r>
        <w:t xml:space="preserve">strong market position in the design and manufacture of analogue chips, radio-frequency (RF)</w:t>
      </w:r>
      <w:r>
        <w:t xml:space="preserve"> </w:t>
      </w:r>
      <w:r>
        <w:t xml:space="preserve">components, sensors and MEMS, power semiconductors, microcontrollers, and silicon</w:t>
      </w:r>
      <w:r>
        <w:t xml:space="preserve"> </w:t>
      </w:r>
      <w:r>
        <w:t xml:space="preserve">photonics (225), (226). European suppliers are global leaders in embedded systems serving</w:t>
      </w:r>
      <w:r>
        <w:t xml:space="preserve"> </w:t>
      </w:r>
      <w:r>
        <w:t xml:space="preserve">strategic industrial sectors such as automotive, robotics, energy, healthcare, aerospace,</w:t>
      </w:r>
      <w:r>
        <w:t xml:space="preserve"> </w:t>
      </w:r>
      <w:r>
        <w:t xml:space="preserve">defence, and telecommunications infrastructures (227), (228), (229). European firms such as</w:t>
      </w:r>
      <w:r>
        <w:t xml:space="preserve"> </w:t>
      </w:r>
      <w:r>
        <w:t xml:space="preserve">STMicroelectronics, Infineon, Robert Bosch, and NXP are recognised global leaders in power</w:t>
      </w:r>
      <w:r>
        <w:t xml:space="preserve"> </w:t>
      </w:r>
      <w:r>
        <w:t xml:space="preserve">electronics and sensors, particularly for heavy industrial and automotive uses (230), (231).</w:t>
      </w:r>
      <w:r>
        <w:t xml:space="preserve"> </w:t>
      </w:r>
      <w:r>
        <w:t xml:space="preserve">The EU is also home to world-class research and innovation centres, including IMEC in</w:t>
      </w:r>
      <w:r>
        <w:t xml:space="preserve"> </w:t>
      </w:r>
      <w:r>
        <w:t xml:space="preserve">Belgium, CEA-Leti in France, and Fraunhofer in Germany, which have contributed to major</w:t>
      </w:r>
      <w:r>
        <w:t xml:space="preserve"> </w:t>
      </w:r>
      <w:r>
        <w:t xml:space="preserve">technological breakthroughs in microelectronics (232), (233), (234).</w:t>
      </w:r>
    </w:p>
    <w:p>
      <w:pPr>
        <w:pStyle w:val="Compact"/>
        <w:numPr>
          <w:ilvl w:val="0"/>
          <w:numId w:val="1058"/>
        </w:numPr>
      </w:pPr>
      <w:r>
        <w:t xml:space="preserve">Kleinhans, J.-P. (2024), The missing strategy in Europe’s chip ambitions: Member States must drive the next steps,</w:t>
      </w:r>
      <w:r>
        <w:t xml:space="preserve"> </w:t>
      </w:r>
      <w:r>
        <w:t xml:space="preserve">Interface, July 2024.</w:t>
      </w:r>
    </w:p>
    <w:p>
      <w:pPr>
        <w:pStyle w:val="Compact"/>
        <w:numPr>
          <w:ilvl w:val="0"/>
          <w:numId w:val="1058"/>
        </w:numPr>
      </w:pPr>
      <w:r>
        <w:t xml:space="preserve">European Court of Auditors. (2025). Special Report 12/2025 – The EU’s strategy for microchips: Reasonable progress</w:t>
      </w:r>
      <w:r>
        <w:t xml:space="preserve"> </w:t>
      </w:r>
      <w:r>
        <w:t xml:space="preserve">in its implementation, but the Chips Act is very unlikely to be sufficient to reach the overly ambitious Digital Decade target.</w:t>
      </w:r>
    </w:p>
    <w:p>
      <w:pPr>
        <w:pStyle w:val="Compact"/>
        <w:numPr>
          <w:ilvl w:val="0"/>
          <w:numId w:val="1058"/>
        </w:numPr>
      </w:pPr>
      <w:r>
        <w:t xml:space="preserve">DECISION Études &amp; Conseil. (2024). Economic analysis of the EU and global chips ecosystem. European Commission,</w:t>
      </w:r>
      <w:r>
        <w:t xml:space="preserve"> </w:t>
      </w:r>
      <w:r>
        <w:t xml:space="preserve">Directorate-General for Communications Networks, Content and Technology (DG CNECT).</w:t>
      </w:r>
    </w:p>
    <w:p>
      <w:pPr>
        <w:pStyle w:val="Compact"/>
        <w:numPr>
          <w:ilvl w:val="0"/>
          <w:numId w:val="1058"/>
        </w:numPr>
      </w:pPr>
      <w:r>
        <w:t xml:space="preserve">Cerutti, I., Nardo, M., et al. (2024). Applying the SCAN methodology to the Semiconductor Supply Chain. JRC Technical</w:t>
      </w:r>
      <w:r>
        <w:t xml:space="preserve"> </w:t>
      </w:r>
      <w:r>
        <w:t xml:space="preserve">Report, JRC141323. Publications Office of the European Union</w:t>
      </w:r>
    </w:p>
    <w:p>
      <w:pPr>
        <w:pStyle w:val="Compact"/>
        <w:numPr>
          <w:ilvl w:val="0"/>
          <w:numId w:val="1058"/>
        </w:numPr>
      </w:pPr>
      <w:r>
        <w:t xml:space="preserve">European Semiconductor Industry Association. (2025). Position paper on EU Chips Act 2. Brussels: ESIA.</w:t>
      </w:r>
    </w:p>
    <w:p>
      <w:pPr>
        <w:pStyle w:val="Compact"/>
        <w:numPr>
          <w:ilvl w:val="0"/>
          <w:numId w:val="1058"/>
        </w:numPr>
      </w:pPr>
      <w:r>
        <w:t xml:space="preserve">DECISION Études &amp; Conseil. (2024). Economic analysis of the EU and global chips ecosystem. European Commission,</w:t>
      </w:r>
      <w:r>
        <w:t xml:space="preserve"> </w:t>
      </w:r>
      <w:r>
        <w:t xml:space="preserve">Directorate-General for Communications Networks, Content and Technology (DG CNECT).</w:t>
      </w:r>
    </w:p>
    <w:p>
      <w:pPr>
        <w:pStyle w:val="Compact"/>
        <w:numPr>
          <w:ilvl w:val="0"/>
          <w:numId w:val="1058"/>
        </w:numPr>
      </w:pPr>
      <w:r>
        <w:t xml:space="preserve">Cerutti, I., Nardo, M., et al. (2024). Applying the SCAN methodology to the Semiconductor Supply Chain. JRC Technical</w:t>
      </w:r>
      <w:r>
        <w:t xml:space="preserve"> </w:t>
      </w:r>
      <w:r>
        <w:t xml:space="preserve">Report, JRC141323. Publications Office of the European Union</w:t>
      </w:r>
    </w:p>
    <w:p>
      <w:pPr>
        <w:pStyle w:val="Compact"/>
        <w:numPr>
          <w:ilvl w:val="0"/>
          <w:numId w:val="1058"/>
        </w:numPr>
      </w:pPr>
      <w:r>
        <w:t xml:space="preserve">Ebrahimi, A. (2024). Groundbreaking chip sovereignty: Europe’s strategic push in the semiconductor race. Ifri Memos,</w:t>
      </w:r>
      <w:r>
        <w:t xml:space="preserve"> </w:t>
      </w:r>
      <w:r>
        <w:t xml:space="preserve">Institut français des relations internationales (IFRI). ISBN 979-10-373-0874-0.</w:t>
      </w:r>
    </w:p>
    <w:p>
      <w:pPr>
        <w:pStyle w:val="Compact"/>
        <w:numPr>
          <w:ilvl w:val="0"/>
          <w:numId w:val="1058"/>
        </w:numPr>
      </w:pPr>
      <w:r>
        <w:t xml:space="preserve">Cerutti, Isabella &amp; Nardo, Michela (2023). Semiconductors in the EU: State of play, future trends and vulnerabilities of</w:t>
      </w:r>
      <w:r>
        <w:t xml:space="preserve"> </w:t>
      </w:r>
      <w:r>
        <w:t xml:space="preserve">the semiconductor supply chain. JRC Technical Report, JRC133850.</w:t>
      </w:r>
    </w:p>
    <w:p>
      <w:pPr>
        <w:pStyle w:val="Compact"/>
        <w:numPr>
          <w:ilvl w:val="0"/>
          <w:numId w:val="1058"/>
        </w:numPr>
      </w:pPr>
      <w:r>
        <w:t xml:space="preserve">DECISION Études &amp; Conseil. (2024). Economic analysis of the EU and global chips ecosystem. European Commission,</w:t>
      </w:r>
      <w:r>
        <w:t xml:space="preserve"> </w:t>
      </w:r>
      <w:r>
        <w:t xml:space="preserve">Directorate-General for Communications Networks, Content and Technology (DG CNECT).</w:t>
      </w:r>
    </w:p>
    <w:p>
      <w:pPr>
        <w:pStyle w:val="Compact"/>
        <w:numPr>
          <w:ilvl w:val="0"/>
          <w:numId w:val="1058"/>
        </w:numPr>
      </w:pPr>
      <w:r>
        <w:t xml:space="preserve">Cerutti, Isabella &amp; Nardo, Michela (2023). Semiconductors in the EU: State of play, future trends and vulnerabilities of</w:t>
      </w:r>
      <w:r>
        <w:t xml:space="preserve"> </w:t>
      </w:r>
      <w:r>
        <w:t xml:space="preserve">the semiconductor supply chain. JRC Technical Report, JRC133850.</w:t>
      </w:r>
    </w:p>
    <w:p>
      <w:pPr>
        <w:pStyle w:val="Compact"/>
        <w:numPr>
          <w:ilvl w:val="0"/>
          <w:numId w:val="1058"/>
        </w:numPr>
      </w:pPr>
      <w:r>
        <w:t xml:space="preserve">Cerutti, I., Nardo, M., et al. (2024). Applying the SCAN methodology to the Semiconductor Supply Chain. JRC Technical</w:t>
      </w:r>
      <w:r>
        <w:t xml:space="preserve"> </w:t>
      </w:r>
      <w:r>
        <w:t xml:space="preserve">Report, JRC141323. Publications Office of the European Union</w:t>
      </w:r>
    </w:p>
    <w:p>
      <w:pPr>
        <w:pStyle w:val="FirstParagraph"/>
      </w:pPr>
      <w:r>
        <w:t xml:space="preserve">131</w:t>
      </w:r>
      <w:r>
        <w:t xml:space="preserve"> </w:t>
      </w:r>
      <w:r>
        <w:t xml:space="preserve">Within the supply chain, the EU possesses a clear competitive advantage in manufacturing</w:t>
      </w:r>
      <w:r>
        <w:t xml:space="preserve"> </w:t>
      </w:r>
      <w:r>
        <w:t xml:space="preserve">equipment, led by ASML in the Netherlands, the world’s sole provider of extreme ultraviolet</w:t>
      </w:r>
      <w:r>
        <w:t xml:space="preserve"> </w:t>
      </w:r>
      <w:r>
        <w:t xml:space="preserve">(EUV) lithography tools and with an 88% market share in the broader lithography market in</w:t>
      </w:r>
      <w:r>
        <w:t xml:space="preserve"> </w:t>
      </w:r>
      <w:r>
        <w:t xml:space="preserve">2022 (235), (236). Germany’s Siemens also plays a critical role in electronic design software</w:t>
      </w:r>
      <w:r>
        <w:t xml:space="preserve"> </w:t>
      </w:r>
      <w:r>
        <w:t xml:space="preserve">(237).</w:t>
      </w:r>
      <w:r>
        <w:br/>
      </w:r>
      <w:r>
        <w:t xml:space="preserve">However, despite these strengths, the EU remains absent from the technological frontier of</w:t>
      </w:r>
      <w:r>
        <w:t xml:space="preserve"> </w:t>
      </w:r>
      <w:r>
        <w:t xml:space="preserve">semiconductor innovation. It plays only a minor role in global chip design, accounting for</w:t>
      </w:r>
      <w:r>
        <w:t xml:space="preserve"> </w:t>
      </w:r>
      <w:r>
        <w:t xml:space="preserve">about 9% of the global market (238), and lacks production capacity for the leading edge and</w:t>
      </w:r>
      <w:r>
        <w:t xml:space="preserve"> </w:t>
      </w:r>
      <w:r>
        <w:t xml:space="preserve">advanced nodes (below 16 nm) (239), which are overwhelmingly concentrated in Taiwan and</w:t>
      </w:r>
      <w:r>
        <w:t xml:space="preserve"> </w:t>
      </w:r>
      <w:r>
        <w:t xml:space="preserve">South Korea, with a smaller share in the US (240), (241). Most EU production focuses on mature</w:t>
      </w:r>
      <w:r>
        <w:t xml:space="preserve"> </w:t>
      </w:r>
      <w:r>
        <w:t xml:space="preserve">nodes (40 nm and above), serving industrial and automotive demand rather than leading-edge</w:t>
      </w:r>
      <w:r>
        <w:t xml:space="preserve"> </w:t>
      </w:r>
      <w:r>
        <w:t xml:space="preserve">computing applications (242). Europe also lacks large-scale pure-play foundries and depends</w:t>
      </w:r>
      <w:r>
        <w:t xml:space="preserve"> </w:t>
      </w:r>
      <w:r>
        <w:t xml:space="preserve">on other regions for advanced-node manufacturing (243). In addition, Europe’s strong public</w:t>
      </w:r>
      <w:r>
        <w:t xml:space="preserve"> </w:t>
      </w:r>
      <w:r>
        <w:t xml:space="preserve">research base does not consistently translate into industrial leadership. Although organisations</w:t>
      </w:r>
      <w:r>
        <w:t xml:space="preserve"> </w:t>
      </w:r>
      <w:r>
        <w:t xml:space="preserve">such</w:t>
      </w:r>
      <w:r>
        <w:t xml:space="preserve"> </w:t>
      </w:r>
      <w:r>
        <w:t xml:space="preserve">as</w:t>
      </w:r>
      <w:r>
        <w:t xml:space="preserve"> </w:t>
      </w:r>
      <w:r>
        <w:t xml:space="preserve">IMEC,</w:t>
      </w:r>
      <w:r>
        <w:t xml:space="preserve"> </w:t>
      </w:r>
      <w:r>
        <w:t xml:space="preserve">CEA-Leti</w:t>
      </w:r>
      <w:r>
        <w:t xml:space="preserve"> </w:t>
      </w:r>
      <w:r>
        <w:t xml:space="preserve">and</w:t>
      </w:r>
      <w:r>
        <w:t xml:space="preserve"> </w:t>
      </w:r>
      <w:r>
        <w:t xml:space="preserve">Fraunhofer</w:t>
      </w:r>
      <w:r>
        <w:t xml:space="preserve"> </w:t>
      </w:r>
      <w:r>
        <w:t xml:space="preserve">develop</w:t>
      </w:r>
      <w:r>
        <w:t xml:space="preserve"> </w:t>
      </w:r>
      <w:r>
        <w:t xml:space="preserve">world-class</w:t>
      </w:r>
      <w:r>
        <w:t xml:space="preserve"> </w:t>
      </w:r>
      <w:r>
        <w:t xml:space="preserve">technologies,</w:t>
      </w:r>
      <w:r>
        <w:t xml:space="preserve"> </w:t>
      </w:r>
      <w:r>
        <w:t xml:space="preserve">commercialisation channels and scaling partnerships remain limited and many innovations</w:t>
      </w:r>
      <w:r>
        <w:t xml:space="preserve"> </w:t>
      </w:r>
      <w:r>
        <w:t xml:space="preserve">pioneered in European pilot lines are industrialised in non-EU foundries. While the EU</w:t>
      </w:r>
      <w:r>
        <w:t xml:space="preserve"> </w:t>
      </w:r>
      <w:r>
        <w:t xml:space="preserve">benefits from a growing base of innovative fabless startups, collaboration between large</w:t>
      </w:r>
      <w:r>
        <w:t xml:space="preserve"> </w:t>
      </w:r>
      <w:r>
        <w:t xml:space="preserve">incumbents and smaller firms remains limited (244). Finally, structural barriers, including</w:t>
      </w:r>
      <w:r>
        <w:t xml:space="preserve"> </w:t>
      </w:r>
      <w:r>
        <w:t xml:space="preserve">fragmented markets, and complex regulatory environments, further constrain the translation</w:t>
      </w:r>
      <w:r>
        <w:t xml:space="preserve"> </w:t>
      </w:r>
      <w:r>
        <w:t xml:space="preserve">of research into competitive industrial capacity. As a result, the EU’s semiconductor</w:t>
      </w:r>
      <w:r>
        <w:t xml:space="preserve"> </w:t>
      </w:r>
      <w:r>
        <w:t xml:space="preserve">ecosystem shows high technological sophistication but does not convert its research</w:t>
      </w:r>
      <w:r>
        <w:t xml:space="preserve"> </w:t>
      </w:r>
      <w:r>
        <w:t xml:space="preserve">excellence into global leadership in advanced chip design and manufacturing (245),(246).</w:t>
      </w:r>
    </w:p>
    <w:p>
      <w:pPr>
        <w:pStyle w:val="Compact"/>
        <w:numPr>
          <w:ilvl w:val="0"/>
          <w:numId w:val="1059"/>
        </w:numPr>
      </w:pPr>
      <w:r>
        <w:t xml:space="preserve">DECISION Études &amp; Conseil. (2024). Economic analysis of the EU and global chips ecosystem. European</w:t>
      </w:r>
      <w:r>
        <w:t xml:space="preserve"> </w:t>
      </w:r>
      <w:r>
        <w:t xml:space="preserve">Commission, Directorate-General for Communications Networks, Content and Technology (DG CNECT).</w:t>
      </w:r>
    </w:p>
    <w:p>
      <w:pPr>
        <w:pStyle w:val="Compact"/>
        <w:numPr>
          <w:ilvl w:val="0"/>
          <w:numId w:val="1059"/>
        </w:numPr>
      </w:pPr>
      <w:r>
        <w:t xml:space="preserve">Ebrahimi, A. (2024). Groundbreaking chip sovereignty: Europe’s strategic push in the semiconductor race. Ifri Memos,</w:t>
      </w:r>
      <w:r>
        <w:t xml:space="preserve"> </w:t>
      </w:r>
      <w:r>
        <w:t xml:space="preserve">Institut français des relations internationales (IFRI). ISBN 979-10-373-0874-0.</w:t>
      </w:r>
    </w:p>
    <w:p>
      <w:pPr>
        <w:pStyle w:val="Compact"/>
        <w:numPr>
          <w:ilvl w:val="0"/>
          <w:numId w:val="1059"/>
        </w:numPr>
      </w:pPr>
      <w:r>
        <w:t xml:space="preserve">Ebrahimi, A. (2024). Groundbreaking chip sovereignty: Europe’s strategic push in the semiconductor race. Ifri Memos,</w:t>
      </w:r>
      <w:r>
        <w:t xml:space="preserve"> </w:t>
      </w:r>
      <w:r>
        <w:t xml:space="preserve">Institut français des relations internationales (IFRI). ISBN 979-10-373-0874-0.</w:t>
      </w:r>
    </w:p>
    <w:p>
      <w:pPr>
        <w:pStyle w:val="Compact"/>
        <w:numPr>
          <w:ilvl w:val="0"/>
          <w:numId w:val="1059"/>
        </w:numPr>
      </w:pPr>
      <w:r>
        <w:t xml:space="preserve">Ebrahimi, A. (2024). Groundbreaking chip sovereignty: Europe’s strategic push in the semiconductor race. Ifri Memos,</w:t>
      </w:r>
      <w:r>
        <w:t xml:space="preserve"> </w:t>
      </w:r>
      <w:r>
        <w:t xml:space="preserve">Institut français des relations internationales (IFRI). ISBN 979-10-373-0874-0.</w:t>
      </w:r>
    </w:p>
    <w:p>
      <w:pPr>
        <w:pStyle w:val="Compact"/>
        <w:numPr>
          <w:ilvl w:val="0"/>
          <w:numId w:val="1059"/>
        </w:numPr>
      </w:pPr>
      <w:r>
        <w:t xml:space="preserve">IDC. (2025). Semiconductors D3: Second interim study report (Version 3.0). Prepared for the European Commission.</w:t>
      </w:r>
    </w:p>
    <w:p>
      <w:pPr>
        <w:pStyle w:val="Compact"/>
        <w:numPr>
          <w:ilvl w:val="0"/>
          <w:numId w:val="1059"/>
        </w:numPr>
      </w:pPr>
      <w:r>
        <w:t xml:space="preserve">Ebrahimi, A. (2024). Groundbreaking chip sovereignty: Europe’s strategic push in the semiconductor race. Ifri Memos,</w:t>
      </w:r>
      <w:r>
        <w:t xml:space="preserve"> </w:t>
      </w:r>
      <w:r>
        <w:t xml:space="preserve">Institut français des relations internationales (IFRI). ISBN 979-10-373-0874-0.</w:t>
      </w:r>
    </w:p>
    <w:p>
      <w:pPr>
        <w:pStyle w:val="Compact"/>
        <w:numPr>
          <w:ilvl w:val="0"/>
          <w:numId w:val="1059"/>
        </w:numPr>
      </w:pPr>
      <w:r>
        <w:t xml:space="preserve">DECISION Études &amp; Conseil. (2024). Economic analysis of the EU and global chips ecosystem. European</w:t>
      </w:r>
      <w:r>
        <w:t xml:space="preserve"> </w:t>
      </w:r>
      <w:r>
        <w:t xml:space="preserve">Commission, Directorate-General for Communications Networks, Content and Technology (DG CNECT).</w:t>
      </w:r>
    </w:p>
    <w:p>
      <w:pPr>
        <w:pStyle w:val="Compact"/>
        <w:numPr>
          <w:ilvl w:val="0"/>
          <w:numId w:val="1059"/>
        </w:numPr>
      </w:pPr>
      <w:r>
        <w:t xml:space="preserve">DECISION Études &amp; Conseil. (2024). Economic analysis of the EU and global chips ecosystem. European</w:t>
      </w:r>
      <w:r>
        <w:t xml:space="preserve"> </w:t>
      </w:r>
      <w:r>
        <w:t xml:space="preserve">Commission, Directorate-General for Communications Networks, Content and Technology (DG CNECT).</w:t>
      </w:r>
    </w:p>
    <w:p>
      <w:pPr>
        <w:pStyle w:val="Compact"/>
        <w:numPr>
          <w:ilvl w:val="0"/>
          <w:numId w:val="1059"/>
        </w:numPr>
      </w:pPr>
      <w:r>
        <w:t xml:space="preserve">DECISION Études &amp; Conseil. (2024). Economic analysis of the EU and global chips ecosystem. European</w:t>
      </w:r>
      <w:r>
        <w:t xml:space="preserve"> </w:t>
      </w:r>
      <w:r>
        <w:t xml:space="preserve">Commission, Directorate-General for Communications Networks, Content and Technology (DG CNECT).</w:t>
      </w:r>
    </w:p>
    <w:p>
      <w:pPr>
        <w:pStyle w:val="Compact"/>
        <w:numPr>
          <w:ilvl w:val="0"/>
          <w:numId w:val="1059"/>
        </w:numPr>
      </w:pPr>
      <w:r>
        <w:t xml:space="preserve">DECISION Études &amp; Conseil. (2024). Economic analysis of the EU and global chips ecosystem. European</w:t>
      </w:r>
      <w:r>
        <w:t xml:space="preserve"> </w:t>
      </w:r>
      <w:r>
        <w:t xml:space="preserve">Commission, Directorate-General for Communications Networks, Content and Technology (DG CNECT).</w:t>
      </w:r>
    </w:p>
    <w:p>
      <w:pPr>
        <w:pStyle w:val="Compact"/>
        <w:numPr>
          <w:ilvl w:val="0"/>
          <w:numId w:val="1059"/>
        </w:numPr>
      </w:pPr>
      <w:r>
        <w:t xml:space="preserve">Cerutti, Isabella &amp; Nardo, Michela (2023). Semiconductors in the EU: State of play, future trends and vulnerabilities of</w:t>
      </w:r>
      <w:r>
        <w:t xml:space="preserve"> </w:t>
      </w:r>
      <w:r>
        <w:t xml:space="preserve">the semiconductor supply chain. JRC Technical Report, JRC133850.</w:t>
      </w:r>
      <w:r>
        <w:br/>
      </w:r>
    </w:p>
    <w:p>
      <w:pPr>
        <w:pStyle w:val="Compact"/>
        <w:numPr>
          <w:ilvl w:val="0"/>
          <w:numId w:val="1059"/>
        </w:numPr>
      </w:pPr>
      <w:r>
        <w:t xml:space="preserve">Bonnet, P., Ciani, A., Molnar, J., &amp; Nardo, M. (2025). EU’s strengths and weaknesses in the global semiconductor</w:t>
      </w:r>
      <w:r>
        <w:t xml:space="preserve"> </w:t>
      </w:r>
      <w:r>
        <w:t xml:space="preserve">sector (JRC141323, EUR 40253). Luxembourg: Publications Office of the European Union. https://doi.org/10.2760/6302476</w:t>
      </w:r>
    </w:p>
    <w:p>
      <w:pPr>
        <w:pStyle w:val="FirstParagraph"/>
      </w:pPr>
      <w:r>
        <w:t xml:space="preserve">132</w:t>
      </w:r>
      <w:r>
        <w:t xml:space="preserve"> </w:t>
      </w:r>
      <w:r>
        <w:t xml:space="preserve">2.3.1. Establishing a starting point for BAU scenario</w:t>
      </w:r>
      <w:r>
        <w:t xml:space="preserve"> </w:t>
      </w:r>
      <w:r>
        <w:t xml:space="preserve">Quantitative indicators of R&amp;D and innovation effort</w:t>
      </w:r>
      <w:r>
        <w:t xml:space="preserve"> </w:t>
      </w:r>
      <w:r>
        <w:t xml:space="preserve">The EU semiconductor ecosystem demonstrates high R&amp;D intensity but remains structurally</w:t>
      </w:r>
      <w:r>
        <w:t xml:space="preserve"> </w:t>
      </w:r>
      <w:r>
        <w:t xml:space="preserve">constrained in scale, market penetration, advanced-node chip design and high-volume</w:t>
      </w:r>
      <w:r>
        <w:t xml:space="preserve"> </w:t>
      </w:r>
      <w:r>
        <w:t xml:space="preserve">manufacturing, despite strong European leadership in process research and enabling</w:t>
      </w:r>
      <w:r>
        <w:t xml:space="preserve"> </w:t>
      </w:r>
      <w:r>
        <w:t xml:space="preserve">technologies such as EUV lithography. The table below summarises the key indicators that</w:t>
      </w:r>
      <w:r>
        <w:t xml:space="preserve"> </w:t>
      </w:r>
      <w:r>
        <w:t xml:space="preserve">define the 2023 starting point, benchmarked against major global competitors.</w:t>
      </w:r>
      <w:r>
        <w:t xml:space="preserve"> </w:t>
      </w:r>
      <w:r>
        <w:t xml:space="preserve">Table 13. Starting point for R&amp;D and innovation BAU. Source: Compiled by the authors.</w:t>
      </w:r>
      <w:r>
        <w:br/>
      </w:r>
      <w:r>
        <w:t xml:space="preserve">Indicator</w:t>
      </w:r>
      <w:r>
        <w:t xml:space="preserve"> </w:t>
      </w:r>
      <w:r>
        <w:t xml:space="preserve">Indicative EU</w:t>
      </w:r>
      <w:r>
        <w:t xml:space="preserve"> </w:t>
      </w:r>
      <w:r>
        <w:t xml:space="preserve">figure (2023)</w:t>
      </w:r>
      <w:r>
        <w:t xml:space="preserve"> </w:t>
      </w:r>
      <w:r>
        <w:t xml:space="preserve">Benchmark</w:t>
      </w:r>
      <w:r>
        <w:t xml:space="preserve"> </w:t>
      </w:r>
      <w:r>
        <w:t xml:space="preserve">comparison</w:t>
      </w:r>
      <w:r>
        <w:t xml:space="preserve"> </w:t>
      </w:r>
      <w:r>
        <w:t xml:space="preserve">Reference and justification</w:t>
      </w:r>
      <w:r>
        <w:t xml:space="preserve"> </w:t>
      </w:r>
      <w:r>
        <w:t xml:space="preserve">Effectiveness of</w:t>
      </w:r>
      <w:r>
        <w:t xml:space="preserve"> </w:t>
      </w:r>
      <w:r>
        <w:t xml:space="preserve">technology transfer</w:t>
      </w:r>
      <w:r>
        <w:t xml:space="preserve"> </w:t>
      </w:r>
      <w:r>
        <w:t xml:space="preserve">(lab-to-fab</w:t>
      </w:r>
      <w:r>
        <w:t xml:space="preserve"> </w:t>
      </w:r>
      <w:r>
        <w:t xml:space="preserve">conversion of</w:t>
      </w:r>
      <w:r>
        <w:t xml:space="preserve"> </w:t>
      </w:r>
      <w:r>
        <w:t xml:space="preserve">research outputs)</w:t>
      </w:r>
      <w:r>
        <w:t xml:space="preserve"> </w:t>
      </w:r>
      <w:r>
        <w:t xml:space="preserve">Low to moderate; a</w:t>
      </w:r>
      <w:r>
        <w:t xml:space="preserve"> </w:t>
      </w:r>
      <w:r>
        <w:t xml:space="preserve">significant</w:t>
      </w:r>
      <w:r>
        <w:t xml:space="preserve"> </w:t>
      </w:r>
      <w:r>
        <w:t xml:space="preserve">proportion of pilot-</w:t>
      </w:r>
      <w:r>
        <w:t xml:space="preserve"> </w:t>
      </w:r>
      <w:r>
        <w:t xml:space="preserve">line technologies</w:t>
      </w:r>
      <w:r>
        <w:t xml:space="preserve"> </w:t>
      </w:r>
      <w:r>
        <w:t xml:space="preserve">are industrialised</w:t>
      </w:r>
      <w:r>
        <w:t xml:space="preserve"> </w:t>
      </w:r>
      <w:r>
        <w:t xml:space="preserve">outside the EU</w:t>
      </w:r>
      <w:r>
        <w:t xml:space="preserve"> </w:t>
      </w:r>
      <w:r>
        <w:t xml:space="preserve">Higher</w:t>
      </w:r>
      <w:r>
        <w:t xml:space="preserve"> </w:t>
      </w:r>
      <w:r>
        <w:t xml:space="preserve">conversion</w:t>
      </w:r>
      <w:r>
        <w:t xml:space="preserve"> </w:t>
      </w:r>
      <w:r>
        <w:t xml:space="preserve">rates in the US,</w:t>
      </w:r>
      <w:r>
        <w:t xml:space="preserve"> </w:t>
      </w:r>
      <w:r>
        <w:t xml:space="preserve">Taiwan, and</w:t>
      </w:r>
      <w:r>
        <w:t xml:space="preserve"> </w:t>
      </w:r>
      <w:r>
        <w:t xml:space="preserve">South Korea</w:t>
      </w:r>
      <w:r>
        <w:t xml:space="preserve"> </w:t>
      </w:r>
      <w:r>
        <w:t xml:space="preserve">JRC</w:t>
      </w:r>
      <w:r>
        <w:t xml:space="preserve"> </w:t>
      </w:r>
      <w:r>
        <w:t xml:space="preserve">(2025)</w:t>
      </w:r>
      <w:r>
        <w:t xml:space="preserve"> </w:t>
      </w:r>
      <w:r>
        <w:t xml:space="preserve">(247)</w:t>
      </w:r>
      <w:r>
        <w:t xml:space="preserve"> </w:t>
      </w:r>
      <w:r>
        <w:t xml:space="preserve">highlights</w:t>
      </w:r>
      <w:r>
        <w:t xml:space="preserve"> </w:t>
      </w:r>
      <w:r>
        <w:t xml:space="preserve">fragmentation between research and</w:t>
      </w:r>
      <w:r>
        <w:t xml:space="preserve"> </w:t>
      </w:r>
      <w:r>
        <w:t xml:space="preserve">manufacturing; ECA (2025) (248)</w:t>
      </w:r>
      <w:r>
        <w:t xml:space="preserve"> </w:t>
      </w:r>
      <w:r>
        <w:t xml:space="preserve">notes that technology developed in</w:t>
      </w:r>
      <w:r>
        <w:t xml:space="preserve"> </w:t>
      </w:r>
      <w:r>
        <w:t xml:space="preserve">EU pilot lines is frequently scaled</w:t>
      </w:r>
      <w:r>
        <w:t xml:space="preserve"> </w:t>
      </w:r>
      <w:r>
        <w:t xml:space="preserve">abroad; IFRI (2024) (249) and BCG &amp;</w:t>
      </w:r>
      <w:r>
        <w:t xml:space="preserve"> </w:t>
      </w:r>
      <w:r>
        <w:t xml:space="preserve">SIA (2024) (250) underline the absence</w:t>
      </w:r>
      <w:r>
        <w:t xml:space="preserve"> </w:t>
      </w:r>
      <w:r>
        <w:t xml:space="preserve">of large-scale EU foundries capable of</w:t>
      </w:r>
      <w:r>
        <w:t xml:space="preserve"> </w:t>
      </w:r>
      <w:r>
        <w:t xml:space="preserve">absorbing advanced research.</w:t>
      </w:r>
      <w:r>
        <w:t xml:space="preserve"> </w:t>
      </w:r>
      <w:r>
        <w:t xml:space="preserve">R&amp;D intensity</w:t>
      </w:r>
      <w:r>
        <w:t xml:space="preserve"> </w:t>
      </w:r>
      <w:r>
        <w:t xml:space="preserve">(R&amp;D expenditure</w:t>
      </w:r>
      <w:r>
        <w:t xml:space="preserve"> </w:t>
      </w:r>
      <w:r>
        <w:t xml:space="preserve">as % of</w:t>
      </w:r>
      <w:r>
        <w:t xml:space="preserve"> </w:t>
      </w:r>
      <w:r>
        <w:t xml:space="preserve">semiconductor</w:t>
      </w:r>
      <w:r>
        <w:t xml:space="preserve"> </w:t>
      </w:r>
      <w:r>
        <w:t xml:space="preserve">revenue)</w:t>
      </w:r>
      <w:r>
        <w:t xml:space="preserve"> </w:t>
      </w:r>
      <w:r>
        <w:t xml:space="preserve">≈ 22 % (± 2 pp)</w:t>
      </w:r>
      <w:r>
        <w:t xml:space="preserve"> </w:t>
      </w:r>
      <w:r>
        <w:t xml:space="preserve">Global average</w:t>
      </w:r>
      <w:r>
        <w:t xml:space="preserve"> </w:t>
      </w:r>
      <w:r>
        <w:t xml:space="preserve">~22 % (U.S. 23</w:t>
      </w:r>
      <w:r>
        <w:t xml:space="preserve"> </w:t>
      </w:r>
      <w:r>
        <w:t xml:space="preserve">%; Asia 21 %)</w:t>
      </w:r>
      <w:r>
        <w:t xml:space="preserve"> </w:t>
      </w:r>
      <w:r>
        <w:t xml:space="preserve">McKinsey &amp; Company (2025) (251):</w:t>
      </w:r>
      <w:r>
        <w:t xml:space="preserve"> </w:t>
      </w:r>
      <w:r>
        <w:t xml:space="preserve">“Semiconductor</w:t>
      </w:r>
      <w:r>
        <w:t xml:space="preserve"> </w:t>
      </w:r>
      <w:r>
        <w:t xml:space="preserve">industry</w:t>
      </w:r>
      <w:r>
        <w:t xml:space="preserve"> </w:t>
      </w:r>
      <w:r>
        <w:t xml:space="preserve">averages</w:t>
      </w:r>
      <w:r>
        <w:t xml:space="preserve"> </w:t>
      </w:r>
      <w:r>
        <w:t xml:space="preserve">about 22 % of revenue in R&amp;D.”</w:t>
      </w:r>
      <w:r>
        <w:t xml:space="preserve"> </w:t>
      </w:r>
      <w:r>
        <w:t xml:space="preserve">Deloitte</w:t>
      </w:r>
      <w:r>
        <w:t xml:space="preserve"> </w:t>
      </w:r>
      <w:r>
        <w:t xml:space="preserve">(2021)</w:t>
      </w:r>
      <w:r>
        <w:t xml:space="preserve"> </w:t>
      </w:r>
      <w:r>
        <w:t xml:space="preserve">(252):</w:t>
      </w:r>
      <w:r>
        <w:t xml:space="preserve"> </w:t>
      </w:r>
      <w:r>
        <w:t xml:space="preserve">“Typically</w:t>
      </w:r>
      <w:r>
        <w:t xml:space="preserve"> </w:t>
      </w:r>
      <w:r>
        <w:t xml:space="preserve">reinvest 20–25 % of revenue in</w:t>
      </w:r>
      <w:r>
        <w:t xml:space="preserve"> </w:t>
      </w:r>
      <w:r>
        <w:t xml:space="preserve">R&amp;D.”</w:t>
      </w:r>
      <w:r>
        <w:br/>
      </w:r>
      <w:r>
        <w:t xml:space="preserve">Company reports: ASML 15 %,</w:t>
      </w:r>
      <w:r>
        <w:t xml:space="preserve"> </w:t>
      </w:r>
      <w:r>
        <w:t xml:space="preserve">Infineon 14 %, ST 13 %, NXP 16 %.</w:t>
      </w:r>
      <w:r>
        <w:t xml:space="preserve"> </w:t>
      </w:r>
      <w:r>
        <w:t xml:space="preserve">Adjusted upward for Europe’s strong</w:t>
      </w:r>
      <w:r>
        <w:t xml:space="preserve"> </w:t>
      </w:r>
      <w:r>
        <w:t xml:space="preserve">public-research component gives ≈ 22</w:t>
      </w:r>
      <w:r>
        <w:t xml:space="preserve"> </w:t>
      </w:r>
      <w:r>
        <w:t xml:space="preserve">%.</w:t>
      </w:r>
      <w:r>
        <w:t xml:space="preserve"> </w:t>
      </w:r>
      <w:r>
        <w:t xml:space="preserve">Share of global</w:t>
      </w:r>
      <w:r>
        <w:t xml:space="preserve"> </w:t>
      </w:r>
      <w:r>
        <w:t xml:space="preserve">≈ 9–10 % (± 2 pp) U.S. ≈ 50 %;</w:t>
      </w:r>
      <w:r>
        <w:t xml:space="preserve"> </w:t>
      </w:r>
      <w:r>
        <w:t xml:space="preserve">McKinsey (2024) (253): Europe’s</w:t>
      </w:r>
    </w:p>
    <w:p>
      <w:pPr>
        <w:pStyle w:val="Compact"/>
        <w:numPr>
          <w:ilvl w:val="0"/>
          <w:numId w:val="1060"/>
        </w:numPr>
      </w:pPr>
      <w:r>
        <w:t xml:space="preserve">European Commission, Joint Research Centre (JRC). (2025). EU’s strengths and weaknesses in the global</w:t>
      </w:r>
      <w:r>
        <w:t xml:space="preserve"> </w:t>
      </w:r>
      <w:r>
        <w:t xml:space="preserve">semiconductor sector (JRC141323). Luxembourg: Publications Office of the European Union.</w:t>
      </w:r>
    </w:p>
    <w:p>
      <w:pPr>
        <w:pStyle w:val="Compact"/>
        <w:numPr>
          <w:ilvl w:val="0"/>
          <w:numId w:val="1060"/>
        </w:numPr>
      </w:pPr>
      <w:r>
        <w:t xml:space="preserve">European Court of Auditors. (2025). Special Report 12/2025 – The EU’s strategy for microchips: Reasonable progress</w:t>
      </w:r>
      <w:r>
        <w:t xml:space="preserve"> </w:t>
      </w:r>
      <w:r>
        <w:t xml:space="preserve">in its implementation, but the Chips Act is very unlikely to be sufficient to reach the overly ambitious Digital Decade target.</w:t>
      </w:r>
      <w:r>
        <w:br/>
      </w:r>
    </w:p>
    <w:p>
      <w:pPr>
        <w:pStyle w:val="Compact"/>
        <w:numPr>
          <w:ilvl w:val="0"/>
          <w:numId w:val="1060"/>
        </w:numPr>
      </w:pPr>
      <w:r>
        <w:t xml:space="preserve">Ebrahimi, A. (2024). Groundbreaking chip sovereignty: Europe’s strategic push in the semiconductor race. Ifri Memos,</w:t>
      </w:r>
      <w:r>
        <w:t xml:space="preserve"> </w:t>
      </w:r>
      <w:r>
        <w:t xml:space="preserve">Institut français des relations internationales (IFRI). ISBN 979-10-373-0874-0.</w:t>
      </w:r>
    </w:p>
    <w:p>
      <w:pPr>
        <w:pStyle w:val="Compact"/>
        <w:numPr>
          <w:ilvl w:val="0"/>
          <w:numId w:val="1060"/>
        </w:numPr>
      </w:pPr>
      <w:r>
        <w:t xml:space="preserve">Boston Consulting Group (BCG) &amp; Semiconductor Industry Association (SIA). (May 2024). Emerging Resilience</w:t>
      </w:r>
      <w:r>
        <w:t xml:space="preserve"> </w:t>
      </w:r>
      <w:r>
        <w:t xml:space="preserve">in the Semiconductor Supply Chain.</w:t>
      </w:r>
      <w:r>
        <w:br/>
      </w:r>
    </w:p>
    <w:p>
      <w:pPr>
        <w:pStyle w:val="Compact"/>
        <w:numPr>
          <w:ilvl w:val="0"/>
          <w:numId w:val="1060"/>
        </w:numPr>
      </w:pPr>
      <w:r>
        <w:t xml:space="preserve">McKinsey &amp; Company (2025). Semiconductors have a big opportunity but barriers to scale remain. February 2025.</w:t>
      </w:r>
    </w:p>
    <w:p>
      <w:pPr>
        <w:pStyle w:val="Compact"/>
        <w:numPr>
          <w:ilvl w:val="0"/>
          <w:numId w:val="1060"/>
        </w:numPr>
      </w:pPr>
      <w:r>
        <w:t xml:space="preserve">Deloitte. (2021). Measuring semiconductors’ economic impact. Deloitte Insights.</w:t>
      </w:r>
    </w:p>
    <w:p>
      <w:pPr>
        <w:pStyle w:val="FirstParagraph"/>
      </w:pPr>
      <w:r>
        <w:t xml:space="preserve">133</w:t>
      </w:r>
      <w:r>
        <w:t xml:space="preserve"> </w:t>
      </w:r>
      <w:r>
        <w:t xml:space="preserve">semiconductor R&amp;D</w:t>
      </w:r>
      <w:r>
        <w:t xml:space="preserve"> </w:t>
      </w:r>
      <w:r>
        <w:t xml:space="preserve">spending</w:t>
      </w:r>
      <w:r>
        <w:t xml:space="preserve"> </w:t>
      </w:r>
      <w:r>
        <w:t xml:space="preserve">Asia ≈ 35 %</w:t>
      </w:r>
      <w:r>
        <w:t xml:space="preserve"> </w:t>
      </w:r>
      <w:r>
        <w:t xml:space="preserve">revenue share ≈ 10 % of global</w:t>
      </w:r>
      <w:r>
        <w:t xml:space="preserve"> </w:t>
      </w:r>
      <w:r>
        <w:t xml:space="preserve">industry → assumed proportional</w:t>
      </w:r>
      <w:r>
        <w:t xml:space="preserve"> </w:t>
      </w:r>
      <w:r>
        <w:t xml:space="preserve">R&amp;D share.</w:t>
      </w:r>
      <w:r>
        <w:br/>
      </w:r>
      <w:r>
        <w:t xml:space="preserve">JRC (2025) (254) reports EU accounts</w:t>
      </w:r>
      <w:r>
        <w:t xml:space="preserve"> </w:t>
      </w:r>
      <w:r>
        <w:t xml:space="preserve">for roughly 10% of semiconductor</w:t>
      </w:r>
      <w:r>
        <w:t xml:space="preserve"> </w:t>
      </w:r>
      <w:r>
        <w:t xml:space="preserve">value-added.</w:t>
      </w:r>
      <w:r>
        <w:t xml:space="preserve"> </w:t>
      </w:r>
      <w:r>
        <w:t xml:space="preserve">Given</w:t>
      </w:r>
      <w:r>
        <w:t xml:space="preserve"> </w:t>
      </w:r>
      <w:r>
        <w:t xml:space="preserve">that</w:t>
      </w:r>
      <w:r>
        <w:t xml:space="preserve"> </w:t>
      </w:r>
      <w:r>
        <w:t xml:space="preserve">semiconductor</w:t>
      </w:r>
      <w:r>
        <w:t xml:space="preserve"> </w:t>
      </w:r>
      <w:r>
        <w:t xml:space="preserve">R&amp;D</w:t>
      </w:r>
      <w:r>
        <w:t xml:space="preserve"> </w:t>
      </w:r>
      <w:r>
        <w:t xml:space="preserve">intensity</w:t>
      </w:r>
      <w:r>
        <w:t xml:space="preserve"> </w:t>
      </w:r>
      <w:r>
        <w:t xml:space="preserve">is</w:t>
      </w:r>
      <w:r>
        <w:t xml:space="preserve"> </w:t>
      </w:r>
      <w:r>
        <w:t xml:space="preserve">relatively</w:t>
      </w:r>
      <w:r>
        <w:t xml:space="preserve"> </w:t>
      </w:r>
      <w:r>
        <w:t xml:space="preserve">constant</w:t>
      </w:r>
      <w:r>
        <w:t xml:space="preserve"> </w:t>
      </w:r>
      <w:r>
        <w:t xml:space="preserve">worldwide (around 20–25 % of</w:t>
      </w:r>
      <w:r>
        <w:t xml:space="preserve"> </w:t>
      </w:r>
      <w:r>
        <w:t xml:space="preserve">revenue; McKinsey 2025; Deloitte</w:t>
      </w:r>
      <w:r>
        <w:t xml:space="preserve"> </w:t>
      </w:r>
      <w:r>
        <w:t xml:space="preserve">2021), it is reasonable to assume that</w:t>
      </w:r>
      <w:r>
        <w:t xml:space="preserve"> </w:t>
      </w:r>
      <w:r>
        <w:t xml:space="preserve">regional</w:t>
      </w:r>
      <w:r>
        <w:t xml:space="preserve"> </w:t>
      </w:r>
      <w:r>
        <w:t xml:space="preserve">R&amp;D</w:t>
      </w:r>
      <w:r>
        <w:t xml:space="preserve"> </w:t>
      </w:r>
      <w:r>
        <w:t xml:space="preserve">spending</w:t>
      </w:r>
      <w:r>
        <w:t xml:space="preserve"> </w:t>
      </w:r>
      <w:r>
        <w:t xml:space="preserve">scales</w:t>
      </w:r>
      <w:r>
        <w:t xml:space="preserve"> </w:t>
      </w:r>
      <w:r>
        <w:t xml:space="preserve">proportionally with regional industry</w:t>
      </w:r>
      <w:r>
        <w:t xml:space="preserve"> </w:t>
      </w:r>
      <w:r>
        <w:t xml:space="preserve">revenue.</w:t>
      </w:r>
      <w:r>
        <w:t xml:space="preserve"> </w:t>
      </w:r>
      <w:r>
        <w:t xml:space="preserve">Accordingly,</w:t>
      </w:r>
      <w:r>
        <w:t xml:space="preserve"> </w:t>
      </w:r>
      <w:r>
        <w:t xml:space="preserve">Europe’s</w:t>
      </w:r>
      <w:r>
        <w:t xml:space="preserve"> </w:t>
      </w:r>
      <w:r>
        <w:t xml:space="preserve">approximate 10% share of global</w:t>
      </w:r>
      <w:r>
        <w:t xml:space="preserve"> </w:t>
      </w:r>
      <w:r>
        <w:t xml:space="preserve">semiconductor revenue implies a</w:t>
      </w:r>
      <w:r>
        <w:t xml:space="preserve"> </w:t>
      </w:r>
      <w:r>
        <w:t xml:space="preserve">similar order of magnitude for its</w:t>
      </w:r>
      <w:r>
        <w:t xml:space="preserve"> </w:t>
      </w:r>
      <w:r>
        <w:t xml:space="preserve">share of global R&amp;D expenditure (≈</w:t>
      </w:r>
      <w:r>
        <w:t xml:space="preserve"> </w:t>
      </w:r>
      <w:r>
        <w:t xml:space="preserve">9–10 %).</w:t>
      </w:r>
      <w:r>
        <w:t xml:space="preserve"> </w:t>
      </w:r>
      <w:r>
        <w:t xml:space="preserve">Share of global chip-</w:t>
      </w:r>
      <w:r>
        <w:t xml:space="preserve"> </w:t>
      </w:r>
      <w:r>
        <w:t xml:space="preserve">design market</w:t>
      </w:r>
      <w:r>
        <w:t xml:space="preserve"> </w:t>
      </w:r>
      <w:r>
        <w:t xml:space="preserve">≈ 9 %</w:t>
      </w:r>
      <w:r>
        <w:t xml:space="preserve"> </w:t>
      </w:r>
      <w:r>
        <w:t xml:space="preserve">`U.S. ≈ 60 %;</w:t>
      </w:r>
      <w:r>
        <w:t xml:space="preserve"> </w:t>
      </w:r>
      <w:r>
        <w:t xml:space="preserve">China ≈ 16 %;</w:t>
      </w:r>
      <w:r>
        <w:t xml:space="preserve"> </w:t>
      </w:r>
      <w:r>
        <w:t xml:space="preserve">Taiwan ≈ 8 %</w:t>
      </w:r>
      <w:r>
        <w:t xml:space="preserve"> </w:t>
      </w:r>
      <w:r>
        <w:t xml:space="preserve">JRC (2025) (255): EU ≈ 9 % of global</w:t>
      </w:r>
      <w:r>
        <w:t xml:space="preserve"> </w:t>
      </w:r>
      <w:r>
        <w:t xml:space="preserve">chip-design</w:t>
      </w:r>
      <w:r>
        <w:t xml:space="preserve"> </w:t>
      </w:r>
      <w:r>
        <w:t xml:space="preserve">revenue</w:t>
      </w:r>
      <w:r>
        <w:t xml:space="preserve"> </w:t>
      </w:r>
      <w:r>
        <w:t xml:space="preserve">(including</w:t>
      </w:r>
      <w:r>
        <w:t xml:space="preserve"> </w:t>
      </w:r>
      <w:r>
        <w:t xml:space="preserve">European IDMs).</w:t>
      </w:r>
      <w:r>
        <w:br/>
      </w:r>
      <w:r>
        <w:t xml:space="preserve">BCG &amp; SIA (2024) (256): “The US</w:t>
      </w:r>
      <w:r>
        <w:t xml:space="preserve"> </w:t>
      </w:r>
      <w:r>
        <w:t xml:space="preserve">retains &gt; 60 % of global chip-design.”</w:t>
      </w:r>
      <w:r>
        <w:t xml:space="preserve"> </w:t>
      </w:r>
      <w:r>
        <w:t xml:space="preserve">Share of global</w:t>
      </w:r>
      <w:r>
        <w:t xml:space="preserve"> </w:t>
      </w:r>
      <w:r>
        <w:t xml:space="preserve">advanced-node</w:t>
      </w:r>
      <w:r>
        <w:t xml:space="preserve"> </w:t>
      </w:r>
      <w:r>
        <w:t xml:space="preserve">patents (&lt; 16 nm)</w:t>
      </w:r>
      <w:r>
        <w:t xml:space="preserve"> </w:t>
      </w:r>
      <w:r>
        <w:t xml:space="preserve">&lt; 5 %</w:t>
      </w:r>
      <w:r>
        <w:t xml:space="preserve"> </w:t>
      </w:r>
      <w:r>
        <w:t xml:space="preserve">Dominated by</w:t>
      </w:r>
      <w:r>
        <w:t xml:space="preserve"> </w:t>
      </w:r>
      <w:r>
        <w:t xml:space="preserve">U.S., Taiwan,</w:t>
      </w:r>
      <w:r>
        <w:t xml:space="preserve"> </w:t>
      </w:r>
      <w:r>
        <w:t xml:space="preserve">Korea</w:t>
      </w:r>
      <w:r>
        <w:t xml:space="preserve"> </w:t>
      </w:r>
      <w:r>
        <w:t xml:space="preserve">JRC (2025), IFRI (2024), and BCG–</w:t>
      </w:r>
      <w:r>
        <w:t xml:space="preserve"> </w:t>
      </w:r>
      <w:r>
        <w:t xml:space="preserve">SIA (2024) show that the EU has</w:t>
      </w:r>
      <w:r>
        <w:t xml:space="preserve"> </w:t>
      </w:r>
      <w:r>
        <w:t xml:space="preserve">limited domestic production capacity</w:t>
      </w:r>
      <w:r>
        <w:t xml:space="preserve"> </w:t>
      </w:r>
      <w:r>
        <w:t xml:space="preserve">at &lt;16 nm except for the Intel</w:t>
      </w:r>
      <w:r>
        <w:t xml:space="preserve"> </w:t>
      </w:r>
      <w:r>
        <w:t xml:space="preserve">manufacturing in Leixlip, Ireland.</w:t>
      </w:r>
      <w:r>
        <w:t xml:space="preserve"> </w:t>
      </w:r>
      <w:r>
        <w:t xml:space="preserve">Advanced-node process innovation is</w:t>
      </w:r>
      <w:r>
        <w:t xml:space="preserve"> </w:t>
      </w:r>
      <w:r>
        <w:t xml:space="preserve">concentrated in Taiwan (TSMC),</w:t>
      </w:r>
      <w:r>
        <w:t xml:space="preserve"> </w:t>
      </w:r>
      <w:r>
        <w:t xml:space="preserve">South Korea (Samsung) and the US</w:t>
      </w:r>
      <w:r>
        <w:t xml:space="preserve"> </w:t>
      </w:r>
      <w:r>
        <w:t xml:space="preserve">(Intel and leading U.S. design–EDA</w:t>
      </w:r>
      <w:r>
        <w:t xml:space="preserve"> </w:t>
      </w:r>
      <w:r>
        <w:t xml:space="preserve">ecosystems), though IMEC and CEA-</w:t>
      </w:r>
      <w:r>
        <w:t xml:space="preserve"> </w:t>
      </w:r>
      <w:r>
        <w:t xml:space="preserve">Leti</w:t>
      </w:r>
      <w:r>
        <w:t xml:space="preserve"> </w:t>
      </w:r>
      <w:r>
        <w:t xml:space="preserve">are</w:t>
      </w:r>
      <w:r>
        <w:t xml:space="preserve"> </w:t>
      </w:r>
      <w:r>
        <w:t xml:space="preserve">innovating</w:t>
      </w:r>
      <w:r>
        <w:t xml:space="preserve"> </w:t>
      </w:r>
      <w:r>
        <w:t xml:space="preserve">a</w:t>
      </w:r>
      <w:r>
        <w:t xml:space="preserve"> </w:t>
      </w:r>
      <w:r>
        <w:t xml:space="preserve">lot</w:t>
      </w:r>
      <w:r>
        <w:t xml:space="preserve"> </w:t>
      </w:r>
      <w:r>
        <w:t xml:space="preserve">for</w:t>
      </w:r>
      <w:r>
        <w:t xml:space="preserve"> </w:t>
      </w:r>
      <w:r>
        <w:t xml:space="preserve">manufacturing below 2nm and FD-</w:t>
      </w:r>
      <w:r>
        <w:t xml:space="preserve"> </w:t>
      </w:r>
      <w:r>
        <w:t xml:space="preserve">SOI below 7nm. Outside of the</w:t>
      </w:r>
    </w:p>
    <w:p>
      <w:pPr>
        <w:pStyle w:val="Compact"/>
        <w:numPr>
          <w:ilvl w:val="0"/>
          <w:numId w:val="1061"/>
        </w:numPr>
      </w:pPr>
      <w:r>
        <w:t xml:space="preserve">McKinsey &amp; Company. (2024). McKinsey on Semiconductors: Creating value, pursuing innovation, and optimizing</w:t>
      </w:r>
      <w:r>
        <w:t xml:space="preserve"> </w:t>
      </w:r>
      <w:r>
        <w:t xml:space="preserve">operations. McKinsey &amp; Company.</w:t>
      </w:r>
    </w:p>
    <w:p>
      <w:pPr>
        <w:pStyle w:val="Compact"/>
        <w:numPr>
          <w:ilvl w:val="0"/>
          <w:numId w:val="1061"/>
        </w:numPr>
      </w:pPr>
      <w:r>
        <w:t xml:space="preserve">European Commission, Joint Research Centre (JRC). (2025). EU’s strengths and weaknesses in the global</w:t>
      </w:r>
      <w:r>
        <w:t xml:space="preserve"> </w:t>
      </w:r>
      <w:r>
        <w:t xml:space="preserve">semiconductor sector (JRC141323). Luxembourg: Publications Office of the European Union.</w:t>
      </w:r>
    </w:p>
    <w:p>
      <w:pPr>
        <w:pStyle w:val="Compact"/>
        <w:numPr>
          <w:ilvl w:val="0"/>
          <w:numId w:val="1061"/>
        </w:numPr>
      </w:pPr>
      <w:r>
        <w:t xml:space="preserve">European Commission, Joint Research Centre (JRC). (2025). EU’s strengths and weaknesses in the global</w:t>
      </w:r>
      <w:r>
        <w:t xml:space="preserve"> </w:t>
      </w:r>
      <w:r>
        <w:t xml:space="preserve">semiconductor sector (JRC141323). Luxembourg: Publications Office of the European Union.</w:t>
      </w:r>
    </w:p>
    <w:p>
      <w:pPr>
        <w:pStyle w:val="Compact"/>
        <w:numPr>
          <w:ilvl w:val="0"/>
          <w:numId w:val="1061"/>
        </w:numPr>
      </w:pPr>
      <w:r>
        <w:t xml:space="preserve">Boston Consulting Group (BCG) &amp; Semiconductor Industry Association (SIA). (May 2024). Emerging Resilience</w:t>
      </w:r>
      <w:r>
        <w:t xml:space="preserve"> </w:t>
      </w:r>
      <w:r>
        <w:t xml:space="preserve">in the Semiconductor Supply Chain.</w:t>
      </w:r>
    </w:p>
    <w:p>
      <w:pPr>
        <w:pStyle w:val="FirstParagraph"/>
      </w:pPr>
      <w:r>
        <w:t xml:space="preserve">134</w:t>
      </w:r>
      <w:r>
        <w:t xml:space="preserve"> </w:t>
      </w:r>
      <w:r>
        <w:t xml:space="preserve">patents hold by RTOs, European</w:t>
      </w:r>
      <w:r>
        <w:t xml:space="preserve"> </w:t>
      </w:r>
      <w:r>
        <w:t xml:space="preserve">patenting strength lies in equipment,</w:t>
      </w:r>
      <w:r>
        <w:t xml:space="preserve"> </w:t>
      </w:r>
      <w:r>
        <w:t xml:space="preserve">materials, lithography and photonics</w:t>
      </w:r>
      <w:r>
        <w:t xml:space="preserve"> </w:t>
      </w:r>
      <w:r>
        <w:t xml:space="preserve">rather than advanced CMOS logic.</w:t>
      </w:r>
      <w:r>
        <w:t xml:space="preserve"> </w:t>
      </w:r>
      <w:r>
        <w:t xml:space="preserve">Given the strong correlation between</w:t>
      </w:r>
      <w:r>
        <w:t xml:space="preserve"> </w:t>
      </w:r>
      <w:r>
        <w:t xml:space="preserve">leading-edge</w:t>
      </w:r>
      <w:r>
        <w:t xml:space="preserve"> </w:t>
      </w:r>
      <w:r>
        <w:t xml:space="preserve">manufacturing</w:t>
      </w:r>
      <w:r>
        <w:t xml:space="preserve"> </w:t>
      </w:r>
      <w:r>
        <w:t xml:space="preserve">and</w:t>
      </w:r>
      <w:r>
        <w:t xml:space="preserve"> </w:t>
      </w:r>
      <w:r>
        <w:t xml:space="preserve">process-technology</w:t>
      </w:r>
      <w:r>
        <w:t xml:space="preserve"> </w:t>
      </w:r>
      <w:r>
        <w:t xml:space="preserve">patenting,</w:t>
      </w:r>
      <w:r>
        <w:t xml:space="preserve"> </w:t>
      </w:r>
      <w:r>
        <w:t xml:space="preserve">Europe’s share of &lt;16 nm patents is</w:t>
      </w:r>
      <w:r>
        <w:t xml:space="preserve"> </w:t>
      </w:r>
      <w:r>
        <w:t xml:space="preserve">therefore inferred to be very small,</w:t>
      </w:r>
      <w:r>
        <w:t xml:space="preserve"> </w:t>
      </w:r>
      <w:r>
        <w:t xml:space="preserve">typically estimated at below 5 %.</w:t>
      </w:r>
      <w:r>
        <w:t xml:space="preserve"> </w:t>
      </w:r>
      <w:r>
        <w:t xml:space="preserve">Top 10 EDA/design-</w:t>
      </w:r>
      <w:r>
        <w:t xml:space="preserve"> </w:t>
      </w:r>
      <w:r>
        <w:t xml:space="preserve">tool vendors</w:t>
      </w:r>
      <w:r>
        <w:t xml:space="preserve"> </w:t>
      </w:r>
      <w:r>
        <w:t xml:space="preserve">headquartered in EU</w:t>
      </w:r>
      <w:r>
        <w:t xml:space="preserve"> </w:t>
      </w:r>
      <w:r>
        <w:t xml:space="preserve">1 (Siemens EDA) 3 in U.S.</w:t>
      </w:r>
      <w:r>
        <w:t xml:space="preserve"> </w:t>
      </w:r>
      <w:r>
        <w:t xml:space="preserve">IFRI (2024) (257): lists Siemens EDA</w:t>
      </w:r>
      <w:r>
        <w:t xml:space="preserve"> </w:t>
      </w:r>
      <w:r>
        <w:t xml:space="preserve">as Europe’s sole global-tier EDA</w:t>
      </w:r>
      <w:r>
        <w:t xml:space="preserve"> </w:t>
      </w:r>
      <w:r>
        <w:t xml:space="preserve">provider.</w:t>
      </w:r>
      <w:r>
        <w:br/>
      </w:r>
      <w:r>
        <w:t xml:space="preserve">Public R&amp;D funding</w:t>
      </w:r>
      <w:r>
        <w:t xml:space="preserve"> </w:t>
      </w:r>
      <w:r>
        <w:t xml:space="preserve">for microelectronics</w:t>
      </w:r>
      <w:r>
        <w:t xml:space="preserve"> </w:t>
      </w:r>
      <w:r>
        <w:t xml:space="preserve">(EU + MS)</w:t>
      </w:r>
      <w:r>
        <w:t xml:space="preserve"> </w:t>
      </w:r>
      <w:r>
        <w:t xml:space="preserve">≈ EUR 3–4 billion</w:t>
      </w:r>
      <w:r>
        <w:t xml:space="preserve"> </w:t>
      </w:r>
      <w:r>
        <w:t xml:space="preserve">annually</w:t>
      </w:r>
      <w:r>
        <w:t xml:space="preserve"> </w:t>
      </w:r>
      <w:r>
        <w:t xml:space="preserve">U.S./Asia ≈</w:t>
      </w:r>
      <w:r>
        <w:t xml:space="preserve"> </w:t>
      </w:r>
      <w:r>
        <w:t xml:space="preserve">EUR 7–15</w:t>
      </w:r>
      <w:r>
        <w:t xml:space="preserve"> </w:t>
      </w:r>
      <w:r>
        <w:t xml:space="preserve">billion</w:t>
      </w:r>
      <w:r>
        <w:t xml:space="preserve"> </w:t>
      </w:r>
      <w:r>
        <w:t xml:space="preserve">ECA (2025) (258): notes Chips Act</w:t>
      </w:r>
      <w:r>
        <w:t xml:space="preserve"> </w:t>
      </w:r>
      <w:r>
        <w:t xml:space="preserve">public component “covers a small</w:t>
      </w:r>
      <w:r>
        <w:t xml:space="preserve"> </w:t>
      </w:r>
      <w:r>
        <w:t xml:space="preserve">fraction”</w:t>
      </w:r>
      <w:r>
        <w:t xml:space="preserve"> </w:t>
      </w:r>
      <w:r>
        <w:t xml:space="preserve">of</w:t>
      </w:r>
      <w:r>
        <w:t xml:space="preserve"> </w:t>
      </w:r>
      <w:r>
        <w:t xml:space="preserve">global</w:t>
      </w:r>
      <w:r>
        <w:t xml:space="preserve"> </w:t>
      </w:r>
      <w:r>
        <w:t xml:space="preserve">subsidies;</w:t>
      </w:r>
      <w:r>
        <w:t xml:space="preserve"> </w:t>
      </w:r>
      <w:r>
        <w:t xml:space="preserve">combined</w:t>
      </w:r>
      <w:r>
        <w:t xml:space="preserve"> </w:t>
      </w:r>
      <w:r>
        <w:t xml:space="preserve">EU-level</w:t>
      </w:r>
      <w:r>
        <w:t xml:space="preserve"> </w:t>
      </w:r>
      <w:r>
        <w:t xml:space="preserve">and</w:t>
      </w:r>
      <w:r>
        <w:t xml:space="preserve"> </w:t>
      </w:r>
      <w:r>
        <w:t xml:space="preserve">national</w:t>
      </w:r>
      <w:r>
        <w:t xml:space="preserve"> </w:t>
      </w:r>
      <w:r>
        <w:t xml:space="preserve">programmes ≈ EUR 43 billion over</w:t>
      </w:r>
      <w:r>
        <w:t xml:space="preserve"> </w:t>
      </w:r>
      <w:r>
        <w:t xml:space="preserve">2021–2030, this translates to an</w:t>
      </w:r>
      <w:r>
        <w:t xml:space="preserve"> </w:t>
      </w:r>
      <w:r>
        <w:t xml:space="preserve">annual average of roughly EUR 4</w:t>
      </w:r>
      <w:r>
        <w:t xml:space="preserve"> </w:t>
      </w:r>
      <w:r>
        <w:t xml:space="preserve">billion per year.</w:t>
      </w:r>
      <w:r>
        <w:t xml:space="preserve"> </w:t>
      </w:r>
      <w:r>
        <w:t xml:space="preserve">2.3.2. Modelling the BAU scenario</w:t>
      </w:r>
      <w:r>
        <w:t xml:space="preserve"> </w:t>
      </w:r>
      <w:r>
        <w:t xml:space="preserve">In the BAU model, we explicitly assume that Europe’s strong research base does not translate</w:t>
      </w:r>
      <w:r>
        <w:t xml:space="preserve"> </w:t>
      </w:r>
      <w:r>
        <w:t xml:space="preserve">proportionally into industrial capacity, due to persistent lab-to-fab bottlenecks, limited</w:t>
      </w:r>
      <w:r>
        <w:t xml:space="preserve"> </w:t>
      </w:r>
      <w:r>
        <w:t xml:space="preserve">domestic absorption capacity, and structural fragmentation. As a result, R&amp;D inputs increase,</w:t>
      </w:r>
      <w:r>
        <w:t xml:space="preserve"> </w:t>
      </w:r>
      <w:r>
        <w:t xml:space="preserve">but technology-transfer outcomes remain modest, in line with the evidence from JRC (2025)</w:t>
      </w:r>
      <w:r>
        <w:br/>
      </w:r>
      <w:r>
        <w:t xml:space="preserve">(259), ECA (2025) (260), IFRI (2024) (261), and BCG–SIA (2024) (262).</w:t>
      </w:r>
      <w:r>
        <w:t xml:space="preserve"> </w:t>
      </w:r>
      <w:r>
        <w:t xml:space="preserve">Technology transfer and industrial scaling (lab-to-fab)</w:t>
      </w:r>
      <w:r>
        <w:t xml:space="preserve"> </w:t>
      </w:r>
      <w:r>
        <w:t xml:space="preserve">• Developments expected under BAU: Under the business-as-usual scenario, Europe’s</w:t>
      </w:r>
      <w:r>
        <w:t xml:space="preserve"> </w:t>
      </w:r>
      <w:r>
        <w:t xml:space="preserve">pilot lines continue to generate high-quality scientific outputs in advanced logic,</w:t>
      </w:r>
      <w:r>
        <w:t xml:space="preserve"> </w:t>
      </w:r>
      <w:r>
        <w:t xml:space="preserve">power electronics, compound semiconductors, photonics, and materials engineering.</w:t>
      </w:r>
      <w:r>
        <w:t xml:space="preserve"> </w:t>
      </w:r>
      <w:r>
        <w:t xml:space="preserve">However, the rate of industrial uptake remains limited. Most European IDMs operate</w:t>
      </w:r>
      <w:r>
        <w:t xml:space="preserve"> </w:t>
      </w:r>
      <w:r>
        <w:t xml:space="preserve">at mature nodes and demonstrate only partial incentives to integrate new process</w:t>
      </w:r>
    </w:p>
    <w:p>
      <w:pPr>
        <w:pStyle w:val="Compact"/>
        <w:numPr>
          <w:ilvl w:val="0"/>
          <w:numId w:val="1062"/>
        </w:numPr>
      </w:pPr>
      <w:r>
        <w:t xml:space="preserve">Ebrahimi, A. (2024). Groundbreaking chip sovereignty: Europe’s strategic push in the semiconductor race. Ifri Memos,</w:t>
      </w:r>
      <w:r>
        <w:t xml:space="preserve"> </w:t>
      </w:r>
      <w:r>
        <w:t xml:space="preserve">Institut français des relations internationales (IFRI). ISBN 979-10-373-0874-0.</w:t>
      </w:r>
    </w:p>
    <w:p>
      <w:pPr>
        <w:pStyle w:val="Compact"/>
        <w:numPr>
          <w:ilvl w:val="0"/>
          <w:numId w:val="1062"/>
        </w:numPr>
      </w:pPr>
      <w:r>
        <w:t xml:space="preserve">European Court of Auditors. (2025). Special Report 12/2025 – The EU’s strategy for microchips: Reasonable progress</w:t>
      </w:r>
      <w:r>
        <w:t xml:space="preserve"> </w:t>
      </w:r>
      <w:r>
        <w:t xml:space="preserve">in its implementation, but the Chips Act is very unlikely to be sufficient to reach the overly ambitious Digital Decade target.</w:t>
      </w:r>
      <w:r>
        <w:br/>
      </w:r>
    </w:p>
    <w:p>
      <w:pPr>
        <w:pStyle w:val="Compact"/>
        <w:numPr>
          <w:ilvl w:val="0"/>
          <w:numId w:val="1062"/>
        </w:numPr>
      </w:pPr>
      <w:r>
        <w:t xml:space="preserve">European Commission, Joint Research Centre (JRC). (2025). EU’s strengths and weaknesses in the global</w:t>
      </w:r>
      <w:r>
        <w:t xml:space="preserve"> </w:t>
      </w:r>
      <w:r>
        <w:t xml:space="preserve">semiconductor sector (JRC141323). Luxembourg: Publications Office of the European Union.</w:t>
      </w:r>
    </w:p>
    <w:p>
      <w:pPr>
        <w:pStyle w:val="Compact"/>
        <w:numPr>
          <w:ilvl w:val="0"/>
          <w:numId w:val="1062"/>
        </w:numPr>
      </w:pPr>
      <w:r>
        <w:t xml:space="preserve">European Court of Auditors. (2025). Special Report 12/2025 – The EU’s strategy for microchips: Reasonable progress</w:t>
      </w:r>
      <w:r>
        <w:t xml:space="preserve"> </w:t>
      </w:r>
      <w:r>
        <w:t xml:space="preserve">in its implementation, but the Chips Act is very unlikely to be sufficient to reach the overly ambitious Digital Decade target.</w:t>
      </w:r>
      <w:r>
        <w:br/>
      </w:r>
    </w:p>
    <w:p>
      <w:pPr>
        <w:pStyle w:val="Compact"/>
        <w:numPr>
          <w:ilvl w:val="0"/>
          <w:numId w:val="1062"/>
        </w:numPr>
      </w:pPr>
      <w:r>
        <w:t xml:space="preserve">Ebrahimi, A. (2024). Groundbreaking chip sovereignty: Europe’s strategic push in the semiconductor race. Ifri Memos,</w:t>
      </w:r>
      <w:r>
        <w:t xml:space="preserve"> </w:t>
      </w:r>
      <w:r>
        <w:t xml:space="preserve">Institut français des relations internationales (IFRI). ISBN 979-10-373-0874-0.</w:t>
      </w:r>
    </w:p>
    <w:p>
      <w:pPr>
        <w:pStyle w:val="Compact"/>
        <w:numPr>
          <w:ilvl w:val="0"/>
          <w:numId w:val="1062"/>
        </w:numPr>
      </w:pPr>
      <w:r>
        <w:t xml:space="preserve">Boston Consulting Group (BCG) &amp; Semiconductor Industry Association (SIA). (May 2024). Emerging Resilience</w:t>
      </w:r>
      <w:r>
        <w:t xml:space="preserve"> </w:t>
      </w:r>
      <w:r>
        <w:t xml:space="preserve">in the Semiconductor Supply Chain.</w:t>
      </w:r>
    </w:p>
    <w:p>
      <w:pPr>
        <w:pStyle w:val="FirstParagraph"/>
      </w:pPr>
      <w:r>
        <w:t xml:space="preserve">135</w:t>
      </w:r>
      <w:r>
        <w:t xml:space="preserve"> </w:t>
      </w:r>
      <w:r>
        <w:t xml:space="preserve">modules that require costly requalification. The EU’s limited presence in advanced-</w:t>
      </w:r>
      <w:r>
        <w:t xml:space="preserve"> </w:t>
      </w:r>
      <w:r>
        <w:t xml:space="preserve">node manufacturing further restricts opportunities for domestic scaling. Consequently,</w:t>
      </w:r>
      <w:r>
        <w:t xml:space="preserve"> </w:t>
      </w:r>
      <w:r>
        <w:t xml:space="preserve">although pilot lines strengthen Europe’s technological capabilities, a significant share</w:t>
      </w:r>
      <w:r>
        <w:t xml:space="preserve"> </w:t>
      </w:r>
      <w:r>
        <w:t xml:space="preserve">of innovations is expected to be commercialised in non-EU foundries where larger</w:t>
      </w:r>
      <w:r>
        <w:t xml:space="preserve"> </w:t>
      </w:r>
      <w:r>
        <w:t xml:space="preserve">design ecosystems and high-volume manufacturing platforms are available.</w:t>
      </w:r>
      <w:r>
        <w:t xml:space="preserve"> </w:t>
      </w:r>
      <w:r>
        <w:t xml:space="preserve">• Rationale: Evidence from the JRC (2025) (263), IFRI (2024) (264), and BCG–SIA</w:t>
      </w:r>
      <w:r>
        <w:t xml:space="preserve"> </w:t>
      </w:r>
      <w:r>
        <w:t xml:space="preserve">(2024) (265) shows that the EU’s innovation pipeline is weakened by structural</w:t>
      </w:r>
      <w:r>
        <w:t xml:space="preserve"> </w:t>
      </w:r>
      <w:r>
        <w:t xml:space="preserve">fragmentation between research organisations, early-stage firms, and large industrial</w:t>
      </w:r>
      <w:r>
        <w:t xml:space="preserve"> </w:t>
      </w:r>
      <w:r>
        <w:t xml:space="preserve">players. The ECA (2025) (266) stresses that technologies developed within EU-funded</w:t>
      </w:r>
      <w:r>
        <w:t xml:space="preserve"> </w:t>
      </w:r>
      <w:r>
        <w:t xml:space="preserve">pilot lines are often industrialised abroad, underscoring limited domestic absorption</w:t>
      </w:r>
      <w:r>
        <w:t xml:space="preserve"> </w:t>
      </w:r>
      <w:r>
        <w:t xml:space="preserve">capacity. In contrast, the US, Taiwan, and South Korea benefit from dense co-</w:t>
      </w:r>
      <w:r>
        <w:t xml:space="preserve"> </w:t>
      </w:r>
      <w:r>
        <w:t xml:space="preserve">development ecosystems in which research institutes, EDA suppliers, design houses,</w:t>
      </w:r>
      <w:r>
        <w:t xml:space="preserve"> </w:t>
      </w:r>
      <w:r>
        <w:t xml:space="preserve">and advanced foundries jointly validate and scale innovations. Without a comparable</w:t>
      </w:r>
      <w:r>
        <w:t xml:space="preserve"> </w:t>
      </w:r>
      <w:r>
        <w:t xml:space="preserve">industrial base, Europe’s capability to transform research excellence into competitive</w:t>
      </w:r>
      <w:r>
        <w:t xml:space="preserve"> </w:t>
      </w:r>
      <w:r>
        <w:t xml:space="preserve">market positions remains constrained.</w:t>
      </w:r>
      <w:r>
        <w:t xml:space="preserve"> </w:t>
      </w:r>
      <w:r>
        <w:t xml:space="preserve">• Implication for competitiveness: Under BAU, Europe’s research institutions</w:t>
      </w:r>
      <w:r>
        <w:t xml:space="preserve"> </w:t>
      </w:r>
      <w:r>
        <w:t xml:space="preserve">consolidate their position as global leaders in semiconductor science, but the Union</w:t>
      </w:r>
      <w:r>
        <w:t xml:space="preserve"> </w:t>
      </w:r>
      <w:r>
        <w:t xml:space="preserve">makes only modest progress in commercialising these advances domestically. Weak</w:t>
      </w:r>
      <w:r>
        <w:t xml:space="preserve"> </w:t>
      </w:r>
      <w:r>
        <w:t xml:space="preserve">lab-to-fab scaling reduces the economic return on public R&amp;D investment, slows the</w:t>
      </w:r>
      <w:r>
        <w:t xml:space="preserve"> </w:t>
      </w:r>
      <w:r>
        <w:t xml:space="preserve">emergence of European design champions, and allows competing regions to capture</w:t>
      </w:r>
      <w:r>
        <w:t xml:space="preserve"> </w:t>
      </w:r>
      <w:r>
        <w:t xml:space="preserve">value added from technologies that originate in Europe. As a result, Europe’s</w:t>
      </w:r>
      <w:r>
        <w:t xml:space="preserve"> </w:t>
      </w:r>
      <w:r>
        <w:t xml:space="preserve">innovation strengths translate into incremental rather than structural competitiveness</w:t>
      </w:r>
      <w:r>
        <w:t xml:space="preserve"> </w:t>
      </w:r>
      <w:r>
        <w:t xml:space="preserve">gains in high-growth semiconductor segments.</w:t>
      </w:r>
      <w:r>
        <w:t xml:space="preserve"> </w:t>
      </w:r>
      <w:r>
        <w:t xml:space="preserve">R&amp;D intensity (R&amp;D as % of semiconductor revenue)</w:t>
      </w:r>
      <w:r>
        <w:t xml:space="preserve"> </w:t>
      </w:r>
      <w:r>
        <w:t xml:space="preserve">•</w:t>
      </w:r>
      <w:r>
        <w:t xml:space="preserve"> </w:t>
      </w:r>
      <w:r>
        <w:t xml:space="preserve">Developments expected under BAU: The European semiconductor ecosystem</w:t>
      </w:r>
      <w:r>
        <w:t xml:space="preserve"> </w:t>
      </w:r>
      <w:r>
        <w:t xml:space="preserve">maintains a structurally high R&amp;D intensity. Newly built fabs in Ireland, France,</w:t>
      </w:r>
      <w:r>
        <w:t xml:space="preserve"> </w:t>
      </w:r>
      <w:r>
        <w:t xml:space="preserve">Germany, and Italy reinforce the applied-research interface between equipment</w:t>
      </w:r>
      <w:r>
        <w:t xml:space="preserve"> </w:t>
      </w:r>
      <w:r>
        <w:t xml:space="preserve">suppliers, materials firms, and integrated device manufacturers. Pilot lines increase</w:t>
      </w:r>
      <w:r>
        <w:t xml:space="preserve"> </w:t>
      </w:r>
      <w:r>
        <w:t xml:space="preserve">Europe’s leadership in the development of process technology. However, these</w:t>
      </w:r>
      <w:r>
        <w:t xml:space="preserve"> </w:t>
      </w:r>
      <w:r>
        <w:t xml:space="preserve">additions mainly broaden production rather than altering the R&amp;D-to-revenue ratio,</w:t>
      </w:r>
      <w:r>
        <w:t xml:space="preserve"> </w:t>
      </w:r>
      <w:r>
        <w:t xml:space="preserve">which remains close to the global average.</w:t>
      </w:r>
      <w:r>
        <w:br/>
      </w:r>
      <w:r>
        <w:t xml:space="preserve">•</w:t>
      </w:r>
      <w:r>
        <w:t xml:space="preserve"> </w:t>
      </w:r>
      <w:r>
        <w:t xml:space="preserve">Rationale: McKinsey (2025) (267) and Deloitte (2021) (268) find that R&amp;D intensity in</w:t>
      </w:r>
      <w:r>
        <w:t xml:space="preserve"> </w:t>
      </w:r>
      <w:r>
        <w:t xml:space="preserve">semiconductors is remarkably uniform worldwide at about one-fifth of revenue.</w:t>
      </w:r>
      <w:r>
        <w:t xml:space="preserve"> </w:t>
      </w:r>
      <w:r>
        <w:t xml:space="preserve">Company data for ASML, Infineon, STMicroelectronics, and NXP confirm that</w:t>
      </w:r>
      <w:r>
        <w:t xml:space="preserve"> </w:t>
      </w:r>
      <w:r>
        <w:t xml:space="preserve">European firms already operate within this band. Neither new subsidies nor new fabs</w:t>
      </w:r>
      <w:r>
        <w:t xml:space="preserve"> </w:t>
      </w:r>
      <w:r>
        <w:t xml:space="preserve">are expected to change this structural parameter.</w:t>
      </w:r>
      <w:r>
        <w:br/>
      </w:r>
      <w:r>
        <w:t xml:space="preserve">•</w:t>
      </w:r>
      <w:r>
        <w:t xml:space="preserve"> </w:t>
      </w:r>
      <w:r>
        <w:t xml:space="preserve">Implication for competitiveness: The EU sustains a world-class research effort and</w:t>
      </w:r>
      <w:r>
        <w:t xml:space="preserve"> </w:t>
      </w:r>
      <w:r>
        <w:t xml:space="preserve">strong public-private science base, but high R&amp;D intensity alone does not guarantee</w:t>
      </w:r>
    </w:p>
    <w:p>
      <w:pPr>
        <w:pStyle w:val="Compact"/>
        <w:numPr>
          <w:ilvl w:val="0"/>
          <w:numId w:val="1063"/>
        </w:numPr>
      </w:pPr>
      <w:r>
        <w:t xml:space="preserve">European Commission, Joint Research Centre (JRC). (2025). EU’s strengths and weaknesses in the global</w:t>
      </w:r>
      <w:r>
        <w:t xml:space="preserve"> </w:t>
      </w:r>
      <w:r>
        <w:t xml:space="preserve">semiconductor sector (JRC141323). Luxembourg: Publications Office of the European Union.</w:t>
      </w:r>
    </w:p>
    <w:p>
      <w:pPr>
        <w:pStyle w:val="Compact"/>
        <w:numPr>
          <w:ilvl w:val="0"/>
          <w:numId w:val="1063"/>
        </w:numPr>
      </w:pPr>
      <w:r>
        <w:t xml:space="preserve">Ebrahimi, A. (2024). Groundbreaking chip sovereignty: Europe’s strategic push in the semiconductor race. Ifri Memos,</w:t>
      </w:r>
      <w:r>
        <w:t xml:space="preserve"> </w:t>
      </w:r>
      <w:r>
        <w:t xml:space="preserve">Institut français des relations internationales (IFRI). ISBN 979-10-373-0874-0.</w:t>
      </w:r>
    </w:p>
    <w:p>
      <w:pPr>
        <w:pStyle w:val="Compact"/>
        <w:numPr>
          <w:ilvl w:val="0"/>
          <w:numId w:val="1063"/>
        </w:numPr>
      </w:pPr>
      <w:r>
        <w:t xml:space="preserve">Boston Consulting Group (BCG) &amp; Semiconductor Industry Association (SIA). (May 2024). Emerging Resilience in the</w:t>
      </w:r>
      <w:r>
        <w:t xml:space="preserve"> </w:t>
      </w:r>
      <w:r>
        <w:t xml:space="preserve">Semiconductor Supply Chain.</w:t>
      </w:r>
      <w:r>
        <w:br/>
      </w:r>
    </w:p>
    <w:p>
      <w:pPr>
        <w:pStyle w:val="Compact"/>
        <w:numPr>
          <w:ilvl w:val="0"/>
          <w:numId w:val="1063"/>
        </w:numPr>
      </w:pPr>
      <w:r>
        <w:t xml:space="preserve">European Court of Auditors. (2025). Special Report 12/2025 – The EU’s strategy for microchips: Reasonable progress</w:t>
      </w:r>
      <w:r>
        <w:t xml:space="preserve"> </w:t>
      </w:r>
      <w:r>
        <w:t xml:space="preserve">in its implementation, but the Chips Act is very unlikely to be sufficient to reach the overly ambitious Digital Decade target.</w:t>
      </w:r>
      <w:r>
        <w:br/>
      </w:r>
    </w:p>
    <w:p>
      <w:pPr>
        <w:pStyle w:val="Compact"/>
        <w:numPr>
          <w:ilvl w:val="0"/>
          <w:numId w:val="1063"/>
        </w:numPr>
      </w:pPr>
      <w:r>
        <w:t xml:space="preserve">McKinsey &amp; Company (2025). Semiconductors have a big opportunity but barriers to scale remain. February 2025.</w:t>
      </w:r>
    </w:p>
    <w:p>
      <w:pPr>
        <w:pStyle w:val="Compact"/>
        <w:numPr>
          <w:ilvl w:val="0"/>
          <w:numId w:val="1063"/>
        </w:numPr>
      </w:pPr>
      <w:r>
        <w:t xml:space="preserve">Deloitte. (2021). Measuring semiconductors’ economic impact. Deloitte Insights.</w:t>
      </w:r>
    </w:p>
    <w:p>
      <w:pPr>
        <w:pStyle w:val="FirstParagraph"/>
      </w:pPr>
      <w:r>
        <w:t xml:space="preserve">136</w:t>
      </w:r>
      <w:r>
        <w:t xml:space="preserve"> </w:t>
      </w:r>
      <w:r>
        <w:t xml:space="preserve">technological leadership. Without greater design scale or faster commercialisation,</w:t>
      </w:r>
      <w:r>
        <w:t xml:space="preserve"> </w:t>
      </w:r>
      <w:r>
        <w:t xml:space="preserve">high R&amp;D effort continues to yield incremental rather than transformational</w:t>
      </w:r>
      <w:r>
        <w:t xml:space="preserve"> </w:t>
      </w:r>
      <w:r>
        <w:t xml:space="preserve">advantages.</w:t>
      </w:r>
      <w:r>
        <w:t xml:space="preserve"> </w:t>
      </w:r>
      <w:r>
        <w:t xml:space="preserve">Share of global semiconductor R&amp;D spending</w:t>
      </w:r>
      <w:r>
        <w:t xml:space="preserve"> </w:t>
      </w:r>
      <w:r>
        <w:t xml:space="preserve">•</w:t>
      </w:r>
      <w:r>
        <w:t xml:space="preserve"> </w:t>
      </w:r>
      <w:r>
        <w:t xml:space="preserve">Developments expected under BAU: Absolute R&amp;D spending in Europe rises as</w:t>
      </w:r>
      <w:r>
        <w:t xml:space="preserve"> </w:t>
      </w:r>
      <w:r>
        <w:t xml:space="preserve">new fabs and pilot lines come online, yet the EU’s global share changes little. Growth</w:t>
      </w:r>
      <w:r>
        <w:t xml:space="preserve"> </w:t>
      </w:r>
      <w:r>
        <w:t xml:space="preserve">elsewhere, particularly in Asia and the US, keeps relative positions broadly stable</w:t>
      </w:r>
      <w:r>
        <w:t xml:space="preserve"> </w:t>
      </w:r>
      <w:r>
        <w:t xml:space="preserve">through 2035. European technology developed in the pilot lines is industrialised</w:t>
      </w:r>
      <w:r>
        <w:t xml:space="preserve"> </w:t>
      </w:r>
      <w:r>
        <w:t xml:space="preserve">elsewhere.</w:t>
      </w:r>
      <w:r>
        <w:br/>
      </w:r>
      <w:r>
        <w:t xml:space="preserve">•</w:t>
      </w:r>
      <w:r>
        <w:t xml:space="preserve"> </w:t>
      </w:r>
      <w:r>
        <w:t xml:space="preserve">Rationale: Global R&amp;D intensity remains constant, meaning regional spending scales</w:t>
      </w:r>
      <w:r>
        <w:t xml:space="preserve"> </w:t>
      </w:r>
      <w:r>
        <w:t xml:space="preserve">with output. Europe’s announced fabs expand capacity but not enough to alter the</w:t>
      </w:r>
      <w:r>
        <w:t xml:space="preserve"> </w:t>
      </w:r>
      <w:r>
        <w:t xml:space="preserve">global distribution. The ECA (2025) (269) and JRC (2025) (270) both note that current</w:t>
      </w:r>
      <w:r>
        <w:t xml:space="preserve"> </w:t>
      </w:r>
      <w:r>
        <w:t xml:space="preserve">investment levels are modest compared with the subsidy waves in Asia and North</w:t>
      </w:r>
      <w:r>
        <w:t xml:space="preserve"> </w:t>
      </w:r>
      <w:r>
        <w:t xml:space="preserve">America.</w:t>
      </w:r>
      <w:r>
        <w:t xml:space="preserve"> </w:t>
      </w:r>
      <w:r>
        <w:t xml:space="preserve">•</w:t>
      </w:r>
      <w:r>
        <w:t xml:space="preserve"> </w:t>
      </w:r>
      <w:r>
        <w:t xml:space="preserve">Implication for competitiveness: Europe strengthens its applied-research network</w:t>
      </w:r>
      <w:r>
        <w:t xml:space="preserve"> </w:t>
      </w:r>
      <w:r>
        <w:t xml:space="preserve">and process-engineering skills, but its overall share of global semiconductor R&amp;D</w:t>
      </w:r>
      <w:r>
        <w:t xml:space="preserve"> </w:t>
      </w:r>
      <w:r>
        <w:t xml:space="preserve">remains modest. Without a wider industrial base, Europe’s innovation influence grows</w:t>
      </w:r>
      <w:r>
        <w:t xml:space="preserve"> </w:t>
      </w:r>
      <w:r>
        <w:t xml:space="preserve">only gradually.</w:t>
      </w:r>
      <w:r>
        <w:t xml:space="preserve"> </w:t>
      </w:r>
      <w:r>
        <w:t xml:space="preserve">Share of global chip-design market</w:t>
      </w:r>
      <w:r>
        <w:t xml:space="preserve"> </w:t>
      </w:r>
      <w:r>
        <w:t xml:space="preserve">•</w:t>
      </w:r>
      <w:r>
        <w:t xml:space="preserve"> </w:t>
      </w:r>
      <w:r>
        <w:t xml:space="preserve">Developments expected under BAU: The EU’s design activity grows within its</w:t>
      </w:r>
      <w:r>
        <w:t xml:space="preserve"> </w:t>
      </w:r>
      <w:r>
        <w:t xml:space="preserve">established strengths such as embedded systems, automotive, industrial control, and</w:t>
      </w:r>
      <w:r>
        <w:t xml:space="preserve"> </w:t>
      </w:r>
      <w:r>
        <w:t xml:space="preserve">RF/power electronics. New FD-SOI and automotive-logic fabs stimulate local design</w:t>
      </w:r>
      <w:r>
        <w:t xml:space="preserve"> </w:t>
      </w:r>
      <w:r>
        <w:t xml:space="preserve">collaboration but this does not alter Europe’s marginal position in the global fabless</w:t>
      </w:r>
      <w:r>
        <w:t xml:space="preserve"> </w:t>
      </w:r>
      <w:r>
        <w:t xml:space="preserve">design market, which remains dominated by U.S. and Asian firms.</w:t>
      </w:r>
      <w:r>
        <w:t xml:space="preserve"> </w:t>
      </w:r>
      <w:r>
        <w:t xml:space="preserve">•</w:t>
      </w:r>
      <w:r>
        <w:t xml:space="preserve"> </w:t>
      </w:r>
      <w:r>
        <w:t xml:space="preserve">Rationale: The JRC (2025) (271) reports that Europe accounts for around 9 % of</w:t>
      </w:r>
      <w:r>
        <w:t xml:space="preserve"> </w:t>
      </w:r>
      <w:r>
        <w:t xml:space="preserve">global design revenues when including design carried out within IDMs and</w:t>
      </w:r>
      <w:r>
        <w:t xml:space="preserve"> </w:t>
      </w:r>
      <w:r>
        <w:t xml:space="preserve">embedded-system suppliers, while the BCG &amp; SIA (2024) (272) estimate that the US</w:t>
      </w:r>
      <w:r>
        <w:t xml:space="preserve"> </w:t>
      </w:r>
      <w:r>
        <w:t xml:space="preserve">retains more than 60 %. However, Europe’s share of the global fabless</w:t>
      </w:r>
      <w:r>
        <w:t xml:space="preserve"> </w:t>
      </w:r>
      <w:r>
        <w:t xml:space="preserve">semiconductor market, the segment that defines global competitiveness in advanced</w:t>
      </w:r>
      <w:r>
        <w:t xml:space="preserve"> </w:t>
      </w:r>
      <w:r>
        <w:t xml:space="preserve">chip design, is below 1 %, according to IFRI (2024) and BCG–SIA (2024). This</w:t>
      </w:r>
      <w:r>
        <w:t xml:space="preserve"> </w:t>
      </w:r>
      <w:r>
        <w:t xml:space="preserve">reflects both the limited scale of Europe’s fabless sector and persistent dependence on</w:t>
      </w:r>
      <w:r>
        <w:t xml:space="preserve"> </w:t>
      </w:r>
      <w:r>
        <w:t xml:space="preserve">non-EU EDA tools and manufacturing ecosystems.</w:t>
      </w:r>
      <w:r>
        <w:t xml:space="preserve"> </w:t>
      </w:r>
      <w:r>
        <w:t xml:space="preserve">•</w:t>
      </w:r>
      <w:r>
        <w:t xml:space="preserve"> </w:t>
      </w:r>
      <w:r>
        <w:t xml:space="preserve">Implication for competitiveness: Incremental design growth reinforces Europe’s role</w:t>
      </w:r>
      <w:r>
        <w:t xml:space="preserve"> </w:t>
      </w:r>
      <w:r>
        <w:t xml:space="preserve">in high-reliability and industrial segments but Europe’s position in globally</w:t>
      </w:r>
      <w:r>
        <w:t xml:space="preserve"> </w:t>
      </w:r>
      <w:r>
        <w:t xml:space="preserve">competitive fabless design remains largely unchanged. Limited EDA autonomy, scale</w:t>
      </w:r>
      <w:r>
        <w:t xml:space="preserve"> </w:t>
      </w:r>
      <w:r>
        <w:t xml:space="preserve">constraints, and shallow late-stage venture capital restrict the emergence of European</w:t>
      </w:r>
      <w:r>
        <w:t xml:space="preserve"> </w:t>
      </w:r>
      <w:r>
        <w:t xml:space="preserve">design champions capable of competing in leading-edge markets.</w:t>
      </w:r>
    </w:p>
    <w:p>
      <w:pPr>
        <w:pStyle w:val="Compact"/>
        <w:numPr>
          <w:ilvl w:val="0"/>
          <w:numId w:val="1064"/>
        </w:numPr>
      </w:pPr>
      <w:r>
        <w:t xml:space="preserve">European Court of Auditors. (2025). Special Report 12/2025 – The EU’s strategy for microchips: Reasonable progress</w:t>
      </w:r>
      <w:r>
        <w:t xml:space="preserve"> </w:t>
      </w:r>
      <w:r>
        <w:t xml:space="preserve">in its implementation, but the Chips Act is very unlikely to be sufficient to reach the overly ambitious Digital Decade target.</w:t>
      </w:r>
      <w:r>
        <w:br/>
      </w:r>
    </w:p>
    <w:p>
      <w:pPr>
        <w:pStyle w:val="Compact"/>
        <w:numPr>
          <w:ilvl w:val="0"/>
          <w:numId w:val="1064"/>
        </w:numPr>
      </w:pPr>
      <w:r>
        <w:t xml:space="preserve">European Commission, Joint Research Centre (JRC). (2025). EU’s strengths and weaknesses in the global</w:t>
      </w:r>
      <w:r>
        <w:t xml:space="preserve"> </w:t>
      </w:r>
      <w:r>
        <w:t xml:space="preserve">semiconductor sector (JRC141323). Luxembourg: Publications Office of the European Union.</w:t>
      </w:r>
    </w:p>
    <w:p>
      <w:pPr>
        <w:pStyle w:val="Compact"/>
        <w:numPr>
          <w:ilvl w:val="0"/>
          <w:numId w:val="1064"/>
        </w:numPr>
      </w:pPr>
      <w:r>
        <w:t xml:space="preserve">European Commission, Joint Research Centre (JRC). (2025). EU’s strengths and weaknesses in the global</w:t>
      </w:r>
      <w:r>
        <w:t xml:space="preserve"> </w:t>
      </w:r>
      <w:r>
        <w:t xml:space="preserve">semiconductor sector (JRC141323). Luxembourg: Publications Office of the European Union.</w:t>
      </w:r>
    </w:p>
    <w:p>
      <w:pPr>
        <w:pStyle w:val="Compact"/>
        <w:numPr>
          <w:ilvl w:val="0"/>
          <w:numId w:val="1064"/>
        </w:numPr>
      </w:pPr>
      <w:r>
        <w:t xml:space="preserve">Boston Consulting Group (BCG) &amp; Semiconductor Industry Association (SIA). (May 2024). Emerging Resilience</w:t>
      </w:r>
      <w:r>
        <w:t xml:space="preserve"> </w:t>
      </w:r>
      <w:r>
        <w:t xml:space="preserve">in the Semiconductor Supply Chain.</w:t>
      </w:r>
    </w:p>
    <w:p>
      <w:pPr>
        <w:pStyle w:val="FirstParagraph"/>
      </w:pPr>
      <w:r>
        <w:t xml:space="preserve">137</w:t>
      </w:r>
      <w:r>
        <w:t xml:space="preserve"> </w:t>
      </w:r>
      <w:r>
        <w:t xml:space="preserve">Share of global advanced-node patents</w:t>
      </w:r>
      <w:r>
        <w:t xml:space="preserve"> </w:t>
      </w:r>
      <w:r>
        <w:t xml:space="preserve">•</w:t>
      </w:r>
      <w:r>
        <w:t xml:space="preserve"> </w:t>
      </w:r>
      <w:r>
        <w:t xml:space="preserve">Developments expected under BAU: Most leading-edge process patents continue to</w:t>
      </w:r>
      <w:r>
        <w:t xml:space="preserve"> </w:t>
      </w:r>
      <w:r>
        <w:t xml:space="preserve">originate outside the EU. New facilities hosting advanced-node production (e.g. Intel</w:t>
      </w:r>
      <w:r>
        <w:t xml:space="preserve"> </w:t>
      </w:r>
      <w:r>
        <w:t xml:space="preserve">Ireland and ESMC Dresden) operate with process IP developed abroad. European</w:t>
      </w:r>
      <w:r>
        <w:t xml:space="preserve"> </w:t>
      </w:r>
      <w:r>
        <w:t xml:space="preserve">patenting remains concentrated in enabling technologies, notably EUV lithography,</w:t>
      </w:r>
      <w:r>
        <w:t xml:space="preserve"> </w:t>
      </w:r>
      <w:r>
        <w:t xml:space="preserve">advanced metrology, power devices, SiC/GaN, and photonics. These fields are at the</w:t>
      </w:r>
      <w:r>
        <w:t xml:space="preserve"> </w:t>
      </w:r>
      <w:r>
        <w:t xml:space="preserve">cutting edge of semiconductor innovation, but they do not substitute for the scale and</w:t>
      </w:r>
      <w:r>
        <w:t xml:space="preserve"> </w:t>
      </w:r>
      <w:r>
        <w:t xml:space="preserve">design ecosystems required for advanced-node CMOS process development.</w:t>
      </w:r>
      <w:r>
        <w:t xml:space="preserve"> </w:t>
      </w:r>
      <w:r>
        <w:t xml:space="preserve">•</w:t>
      </w:r>
      <w:r>
        <w:t xml:space="preserve"> </w:t>
      </w:r>
      <w:r>
        <w:t xml:space="preserve">Rationale: Bruegel (2025) (273) shows that the EU accounts for only a small fraction</w:t>
      </w:r>
      <w:r>
        <w:t xml:space="preserve"> </w:t>
      </w:r>
      <w:r>
        <w:t xml:space="preserve">of radical innovation patents (274), while McKinsey (2025) (275)and JRC (2025) (276)</w:t>
      </w:r>
      <w:r>
        <w:t xml:space="preserve"> </w:t>
      </w:r>
      <w:r>
        <w:t xml:space="preserve">confirm that Europe’s innovation strength lies upstream in equipment and materials</w:t>
      </w:r>
      <w:r>
        <w:t xml:space="preserve"> </w:t>
      </w:r>
      <w:r>
        <w:t xml:space="preserve">rather than node development.</w:t>
      </w:r>
      <w:r>
        <w:t xml:space="preserve"> </w:t>
      </w:r>
      <w:r>
        <w:t xml:space="preserve">•</w:t>
      </w:r>
      <w:r>
        <w:t xml:space="preserve"> </w:t>
      </w:r>
      <w:r>
        <w:t xml:space="preserve">Implication for competitiveness: The EU maintains technological leadership in</w:t>
      </w:r>
      <w:r>
        <w:t xml:space="preserve"> </w:t>
      </w:r>
      <w:r>
        <w:t xml:space="preserve">production equipment and materials science, but it does not close the frontier gap in</w:t>
      </w:r>
      <w:r>
        <w:t xml:space="preserve"> </w:t>
      </w:r>
      <w:r>
        <w:t xml:space="preserve">logic and memory process innovation. Its comparative advantage remains in enabling</w:t>
      </w:r>
      <w:r>
        <w:t xml:space="preserve"> </w:t>
      </w:r>
      <w:r>
        <w:t xml:space="preserve">rather than defining the leading edge.</w:t>
      </w:r>
      <w:r>
        <w:t xml:space="preserve"> </w:t>
      </w:r>
      <w:r>
        <w:t xml:space="preserve">Public R&amp;D funding for microelectronics (EU + Member States)</w:t>
      </w:r>
      <w:r>
        <w:t xml:space="preserve"> </w:t>
      </w:r>
      <w:r>
        <w:t xml:space="preserve">•</w:t>
      </w:r>
      <w:r>
        <w:t xml:space="preserve"> </w:t>
      </w:r>
      <w:r>
        <w:t xml:space="preserve">Developments expected under BAU: Public support through the Chips Act, IPCEI</w:t>
      </w:r>
      <w:r>
        <w:t xml:space="preserve"> </w:t>
      </w:r>
      <w:r>
        <w:t xml:space="preserve">ME2, and national programmes remains broadly stable at around the current annual</w:t>
      </w:r>
      <w:r>
        <w:t xml:space="preserve"> </w:t>
      </w:r>
      <w:r>
        <w:t xml:space="preserve">level. Funding streams shift towards construction phases of the new fabs but remain</w:t>
      </w:r>
      <w:r>
        <w:t xml:space="preserve"> </w:t>
      </w:r>
      <w:r>
        <w:t xml:space="preserve">modest compared with U.S. and Asian subsidy envelopes.</w:t>
      </w:r>
      <w:r>
        <w:t xml:space="preserve"> </w:t>
      </w:r>
      <w:r>
        <w:t xml:space="preserve">•</w:t>
      </w:r>
      <w:r>
        <w:t xml:space="preserve"> </w:t>
      </w:r>
      <w:r>
        <w:t xml:space="preserve">Rationale: ECA (2025) (277) calculates combined EU and Member-State</w:t>
      </w:r>
      <w:r>
        <w:t xml:space="preserve"> </w:t>
      </w:r>
      <w:r>
        <w:t xml:space="preserve">commitments at about EUR 11 billion over 2021–2030 and describes this as “a small</w:t>
      </w:r>
      <w:r>
        <w:t xml:space="preserve"> </w:t>
      </w:r>
      <w:r>
        <w:t xml:space="preserve">fraction” of global support. The JRC (2025) (278) confirms that Asian and U.S.</w:t>
      </w:r>
      <w:r>
        <w:t xml:space="preserve"> </w:t>
      </w:r>
      <w:r>
        <w:t xml:space="preserve">programmes are considerably larger in scale and faster in implementation.</w:t>
      </w:r>
      <w:r>
        <w:t xml:space="preserve"> </w:t>
      </w:r>
      <w:r>
        <w:t xml:space="preserve">•</w:t>
      </w:r>
      <w:r>
        <w:t xml:space="preserve"> </w:t>
      </w:r>
      <w:r>
        <w:t xml:space="preserve">Implication for competitiveness: Existing funding is sufficient to maintain Europe’s</w:t>
      </w:r>
      <w:r>
        <w:t xml:space="preserve"> </w:t>
      </w:r>
      <w:r>
        <w:t xml:space="preserve">strong research institutions and pilot lines but not to transform its position in global</w:t>
      </w:r>
      <w:r>
        <w:t xml:space="preserve"> </w:t>
      </w:r>
      <w:r>
        <w:t xml:space="preserve">innovation hierarchies. Without a significant increase in scale or focus on design and</w:t>
      </w:r>
      <w:r>
        <w:t xml:space="preserve"> </w:t>
      </w:r>
      <w:r>
        <w:t xml:space="preserve">back-end innovation, structural gaps persist.</w:t>
      </w:r>
      <w:r>
        <w:t xml:space="preserve"> </w:t>
      </w:r>
      <w:r>
        <w:t xml:space="preserve">3.</w:t>
      </w:r>
      <w:r>
        <w:t xml:space="preserve"> </w:t>
      </w:r>
      <w:r>
        <w:t xml:space="preserve">REGIONAL AND TERRITORIAL EFFECTS</w:t>
      </w:r>
      <w:r>
        <w:t xml:space="preserve"> </w:t>
      </w:r>
      <w:r>
        <w:t xml:space="preserve">3.1.</w:t>
      </w:r>
      <w:r>
        <w:t xml:space="preserve"> </w:t>
      </w:r>
      <w:r>
        <w:t xml:space="preserve">Establishing a starting point for BAU scenario</w:t>
      </w:r>
      <w:r>
        <w:t xml:space="preserve"> </w:t>
      </w:r>
      <w:r>
        <w:t xml:space="preserve">The European semiconductor landscape is polycentric but highly uneven. A handful of core</w:t>
      </w:r>
      <w:r>
        <w:t xml:space="preserve"> </w:t>
      </w:r>
      <w:r>
        <w:t xml:space="preserve">clusters such as Leuven-Eindhoven (Belgium – the Netherlands), the Dresden area /</w:t>
      </w:r>
    </w:p>
    <w:p>
      <w:pPr>
        <w:pStyle w:val="Compact"/>
        <w:numPr>
          <w:ilvl w:val="0"/>
          <w:numId w:val="1065"/>
        </w:numPr>
      </w:pPr>
      <w:r>
        <w:t xml:space="preserve">Bruegel. (2025). Europe’s technological divide: Radical novelties, diffusion, and the global race for frontier innovation</w:t>
      </w:r>
      <w:r>
        <w:t xml:space="preserve"> </w:t>
      </w:r>
      <w:r>
        <w:t xml:space="preserve">(Working Paper 07/2025). Brussels: Bruegel. https://www.bruegel.org/sites/default/files/2025-07/WP%2007%202025.pdf</w:t>
      </w:r>
      <w:r>
        <w:br/>
      </w:r>
    </w:p>
    <w:p>
      <w:pPr>
        <w:pStyle w:val="Compact"/>
        <w:numPr>
          <w:ilvl w:val="0"/>
          <w:numId w:val="1065"/>
        </w:numPr>
      </w:pPr>
      <w:r>
        <w:t xml:space="preserve">Patent families representing entirely new combinations of technology codes in the global patent system. In</w:t>
      </w:r>
      <w:r>
        <w:t xml:space="preserve"> </w:t>
      </w:r>
      <w:r>
        <w:t xml:space="preserve">semiconductors, these identify frontier breakthroughs in materials, device structures, and manufacturing processes. Between</w:t>
      </w:r>
      <w:r>
        <w:t xml:space="preserve"> </w:t>
      </w:r>
      <w:r>
        <w:t xml:space="preserve">2019 and 2023, the EU produced only 804 such patents, compared with 3 203 in the US and 2 892 in China.</w:t>
      </w:r>
    </w:p>
    <w:p>
      <w:pPr>
        <w:pStyle w:val="Compact"/>
        <w:numPr>
          <w:ilvl w:val="0"/>
          <w:numId w:val="1065"/>
        </w:numPr>
      </w:pPr>
      <w:r>
        <w:t xml:space="preserve">McKinsey &amp; Company (2025). Semiconductors have a big opportunity but barriers to scale remain. February 2025.</w:t>
      </w:r>
    </w:p>
    <w:p>
      <w:pPr>
        <w:pStyle w:val="Compact"/>
        <w:numPr>
          <w:ilvl w:val="0"/>
          <w:numId w:val="1065"/>
        </w:numPr>
      </w:pPr>
      <w:r>
        <w:t xml:space="preserve">European Commission, Joint Research Centre (JRC). (2025). EU’s strengths and weaknesses in the global</w:t>
      </w:r>
      <w:r>
        <w:t xml:space="preserve"> </w:t>
      </w:r>
      <w:r>
        <w:t xml:space="preserve">semiconductor sector (JRC141323). Luxembourg: Publications Office of the European Union.</w:t>
      </w:r>
    </w:p>
    <w:p>
      <w:pPr>
        <w:pStyle w:val="Compact"/>
        <w:numPr>
          <w:ilvl w:val="0"/>
          <w:numId w:val="1065"/>
        </w:numPr>
      </w:pPr>
      <w:r>
        <w:t xml:space="preserve">European Court of Auditors. (2025). Special Report 12/2025 – The EU’s strategy for microchips: Reasonable progress</w:t>
      </w:r>
      <w:r>
        <w:t xml:space="preserve"> </w:t>
      </w:r>
      <w:r>
        <w:t xml:space="preserve">in its implementation, but the Chips Act is very unlikely to be sufficient to reach the overly ambitious Digital Decade target.</w:t>
      </w:r>
      <w:r>
        <w:br/>
      </w:r>
    </w:p>
    <w:p>
      <w:pPr>
        <w:pStyle w:val="Compact"/>
        <w:numPr>
          <w:ilvl w:val="0"/>
          <w:numId w:val="1065"/>
        </w:numPr>
      </w:pPr>
      <w:r>
        <w:t xml:space="preserve">European Commission, Joint Research Centre (JRC). (2025). EU’s strengths and weaknesses in the global</w:t>
      </w:r>
      <w:r>
        <w:t xml:space="preserve"> </w:t>
      </w:r>
      <w:r>
        <w:t xml:space="preserve">semiconductor sector (JRC141323). Luxembourg: Publications Office of the European Union.</w:t>
      </w:r>
    </w:p>
    <w:p>
      <w:pPr>
        <w:pStyle w:val="FirstParagraph"/>
      </w:pPr>
      <w:r>
        <w:t xml:space="preserve">138</w:t>
      </w:r>
      <w:r>
        <w:t xml:space="preserve"> </w:t>
      </w:r>
      <w:r>
        <w:t xml:space="preserve">Saxony (Germany), the Munich area (Germany), the Grenoble area (France), Ireland,</w:t>
      </w:r>
      <w:r>
        <w:t xml:space="preserve"> </w:t>
      </w:r>
      <w:r>
        <w:t xml:space="preserve">the axis Graz-Villach (Austria), and the axis Milano-Turino (Italy) account for the</w:t>
      </w:r>
      <w:r>
        <w:t xml:space="preserve"> </w:t>
      </w:r>
      <w:r>
        <w:t xml:space="preserve">majority of industrial output, R&amp;D investment, and employment. Other regions contribute</w:t>
      </w:r>
      <w:r>
        <w:t xml:space="preserve"> </w:t>
      </w:r>
      <w:r>
        <w:t xml:space="preserve">mainly through packaging, materials, or design services (279).</w:t>
      </w:r>
      <w:r>
        <w:br/>
      </w:r>
      <w:r>
        <w:t xml:space="preserve">The six core clusters, that collectively cover less than 8 % of the EU population, account for</w:t>
      </w:r>
      <w:r>
        <w:t xml:space="preserve"> </w:t>
      </w:r>
      <w:r>
        <w:t xml:space="preserve">the vast majority of semiconductor value creation. Data from McKinsey (2025) (280) indicate</w:t>
      </w:r>
      <w:r>
        <w:t xml:space="preserve"> </w:t>
      </w:r>
      <w:r>
        <w:t xml:space="preserve">that approximately 80 % of wafer-fabrication capacity and over 70 % of semiconductor-</w:t>
      </w:r>
      <w:r>
        <w:t xml:space="preserve"> </w:t>
      </w:r>
      <w:r>
        <w:t xml:space="preserve">related R&amp;D personnel are concentrated in these areas, confirming Europe’s exceptionally</w:t>
      </w:r>
      <w:r>
        <w:t xml:space="preserve"> </w:t>
      </w:r>
      <w:r>
        <w:t xml:space="preserve">high locational concentration relative to other advanced industries.</w:t>
      </w:r>
      <w:r>
        <w:t xml:space="preserve"> </w:t>
      </w:r>
      <w:r>
        <w:t xml:space="preserve">The Joint Research Centre (281) similarly identifies this pattern as one of geographical lock-</w:t>
      </w:r>
      <w:r>
        <w:t xml:space="preserve"> </w:t>
      </w:r>
      <w:r>
        <w:t xml:space="preserve">in, where existing clusters continue to attract incremental investment due to cumulative</w:t>
      </w:r>
      <w:r>
        <w:t xml:space="preserve"> </w:t>
      </w:r>
      <w:r>
        <w:t xml:space="preserve">advantages in know-how, infrastructure, and established industrial ecosystems. These regions</w:t>
      </w:r>
      <w:r>
        <w:t xml:space="preserve"> </w:t>
      </w:r>
      <w:r>
        <w:t xml:space="preserve">have become self-reinforcing “centres of gravity” within the European semiconductor</w:t>
      </w:r>
      <w:r>
        <w:t xml:space="preserve"> </w:t>
      </w:r>
      <w:r>
        <w:t xml:space="preserve">landscape, benefiting disproportionately from new fab announcements under the Chips Act</w:t>
      </w:r>
      <w:r>
        <w:t xml:space="preserve"> </w:t>
      </w:r>
      <w:r>
        <w:t xml:space="preserve">and IPCEI ME2.</w:t>
      </w:r>
      <w:r>
        <w:t xml:space="preserve"> </w:t>
      </w:r>
      <w:r>
        <w:t xml:space="preserve">JRC (2025) (282) explains that more than 85 % of EU semiconductor exports originate in</w:t>
      </w:r>
      <w:r>
        <w:t xml:space="preserve"> </w:t>
      </w:r>
      <w:r>
        <w:t xml:space="preserve">just five Member States (Germany, France, the Netherlands, Ireland, and Austria),</w:t>
      </w:r>
      <w:r>
        <w:t xml:space="preserve"> </w:t>
      </w:r>
      <w:r>
        <w:t xml:space="preserve">underscoring the strong asymmetry between core and peripheral regions. McKinsey (2024)</w:t>
      </w:r>
      <w:r>
        <w:t xml:space="preserve"> </w:t>
      </w:r>
      <w:r>
        <w:t xml:space="preserve">(283) also notes that semiconductor ecosystems exhibit strong path-dependence: once</w:t>
      </w:r>
      <w:r>
        <w:t xml:space="preserve"> </w:t>
      </w:r>
      <w:r>
        <w:t xml:space="preserve">established, clusters maintain durable competitive advantages through cumulative knowledge</w:t>
      </w:r>
      <w:r>
        <w:t xml:space="preserve"> </w:t>
      </w:r>
      <w:r>
        <w:t xml:space="preserve">spillovers and sunk infrastructure costs, making it extremely difficult for new regions to catch</w:t>
      </w:r>
      <w:r>
        <w:t xml:space="preserve"> </w:t>
      </w:r>
      <w:r>
        <w:t xml:space="preserve">up without major coordinated interventions.</w:t>
      </w:r>
      <w:r>
        <w:t xml:space="preserve"> </w:t>
      </w:r>
      <w:r>
        <w:t xml:space="preserve">The European semiconductor system thus exhibits certain regional specialisations</w:t>
      </w:r>
      <w:r>
        <w:t xml:space="preserve"> </w:t>
      </w:r>
      <w:r>
        <w:t xml:space="preserve">•</w:t>
      </w:r>
      <w:r>
        <w:t xml:space="preserve"> </w:t>
      </w:r>
      <w:r>
        <w:t xml:space="preserve">Regions with broad semiconductor activity (Dresden, Grenoble, Eindhoven–Leuven,</w:t>
      </w:r>
      <w:r>
        <w:t xml:space="preserve"> </w:t>
      </w:r>
      <w:r>
        <w:t xml:space="preserve">Munich, Ireland, Milano-Turino, and Graz–Vienna) host IDMs, equipment suppliers,</w:t>
      </w:r>
      <w:r>
        <w:t xml:space="preserve"> </w:t>
      </w:r>
      <w:r>
        <w:t xml:space="preserve">and major R&amp;D institutes.</w:t>
      </w:r>
      <w:r>
        <w:t xml:space="preserve"> </w:t>
      </w:r>
      <w:r>
        <w:t xml:space="preserve">•</w:t>
      </w:r>
      <w:r>
        <w:t xml:space="preserve"> </w:t>
      </w:r>
      <w:r>
        <w:t xml:space="preserve">Regions with focused technological specialisations (Catania, Regensburg, Villach,</w:t>
      </w:r>
      <w:r>
        <w:t xml:space="preserve"> </w:t>
      </w:r>
      <w:r>
        <w:t xml:space="preserve">Brno, and Wrocław) concentrate on areas including power electronics, metrology, and</w:t>
      </w:r>
      <w:r>
        <w:t xml:space="preserve"> </w:t>
      </w:r>
      <w:r>
        <w:t xml:space="preserve">automotive applications.</w:t>
      </w:r>
      <w:r>
        <w:t xml:space="preserve"> </w:t>
      </w:r>
      <w:r>
        <w:t xml:space="preserve">•</w:t>
      </w:r>
      <w:r>
        <w:t xml:space="preserve"> </w:t>
      </w:r>
      <w:r>
        <w:t xml:space="preserve">Regions with strong support and complementary activities (Portugal, Hungary, parts</w:t>
      </w:r>
      <w:r>
        <w:t xml:space="preserve"> </w:t>
      </w:r>
      <w:r>
        <w:t xml:space="preserve">of Eastern and Southern Europe) primarily host assembly, testing, or material-</w:t>
      </w:r>
      <w:r>
        <w:t xml:space="preserve"> </w:t>
      </w:r>
      <w:r>
        <w:t xml:space="preserve">processing activities which are more labour intensive.</w:t>
      </w:r>
    </w:p>
    <w:p>
      <w:pPr>
        <w:pStyle w:val="Compact"/>
        <w:numPr>
          <w:ilvl w:val="0"/>
          <w:numId w:val="1066"/>
        </w:numPr>
      </w:pPr>
      <w:r>
        <w:t xml:space="preserve">DECISION Études &amp; Conseil (2024), Mapping of the European Semiconductor Industry and Value Chain: Company</w:t>
      </w:r>
      <w:r>
        <w:t xml:space="preserve"> </w:t>
      </w:r>
      <w:r>
        <w:t xml:space="preserve">Distribution, Regional Clusters and Investment Dynamics, study prepared for DG CONNECT, European Commission,</w:t>
      </w:r>
      <w:r>
        <w:t xml:space="preserve"> </w:t>
      </w:r>
      <w:r>
        <w:t xml:space="preserve">Brussels.</w:t>
      </w:r>
    </w:p>
    <w:p>
      <w:pPr>
        <w:pStyle w:val="Compact"/>
        <w:numPr>
          <w:ilvl w:val="0"/>
          <w:numId w:val="1066"/>
        </w:numPr>
      </w:pPr>
      <w:r>
        <w:t xml:space="preserve">McKinsey &amp; Company (2025), Semiconductors Have a Big Opportunity, but Barriers to Scale Remain, McKinsey</w:t>
      </w:r>
      <w:r>
        <w:t xml:space="preserve"> </w:t>
      </w:r>
      <w:r>
        <w:t xml:space="preserve">Global Institute, April 2025.</w:t>
      </w:r>
    </w:p>
    <w:p>
      <w:pPr>
        <w:pStyle w:val="Compact"/>
        <w:numPr>
          <w:ilvl w:val="0"/>
          <w:numId w:val="1066"/>
        </w:numPr>
      </w:pPr>
      <w:r>
        <w:t xml:space="preserve">European Commission, Joint Research Centre (2025), EU’s Strengths and Weaknesses in the Global Semiconductor</w:t>
      </w:r>
      <w:r>
        <w:t xml:space="preserve"> </w:t>
      </w:r>
      <w:r>
        <w:t xml:space="preserve">Sector, Publications Office of the European Union, Luxembourg, doi:10.2760/6302476.</w:t>
      </w:r>
    </w:p>
    <w:p>
      <w:pPr>
        <w:pStyle w:val="Compact"/>
        <w:numPr>
          <w:ilvl w:val="0"/>
          <w:numId w:val="1066"/>
        </w:numPr>
      </w:pPr>
      <w:r>
        <w:t xml:space="preserve">Bonnet, P., Ciani, A., Molnar, J., &amp; Nardo, M. (2025). EU’s strengths and weaknesses in the global semiconductor</w:t>
      </w:r>
      <w:r>
        <w:t xml:space="preserve"> </w:t>
      </w:r>
      <w:r>
        <w:t xml:space="preserve">sector (EUR 40253 EN). Luxembourg: Publications Office of the European Union. https://doi.org/10.2760/6302476</w:t>
      </w:r>
    </w:p>
    <w:p>
      <w:pPr>
        <w:pStyle w:val="Compact"/>
        <w:numPr>
          <w:ilvl w:val="0"/>
          <w:numId w:val="1066"/>
        </w:numPr>
      </w:pPr>
      <w:r>
        <w:t xml:space="preserve">McKinsey &amp; Company. (2024). McKinsey on semiconductors: Creating value, pursuing innovation, and optimizing</w:t>
      </w:r>
      <w:r>
        <w:t xml:space="preserve"> </w:t>
      </w:r>
      <w:r>
        <w:t xml:space="preserve">operations. New York: McKinsey Global Institute.</w:t>
      </w:r>
    </w:p>
    <w:p>
      <w:pPr>
        <w:pStyle w:val="FirstParagraph"/>
      </w:pPr>
      <w:r>
        <w:t xml:space="preserve">139</w:t>
      </w:r>
      <w:r>
        <w:t xml:space="preserve"> </w:t>
      </w:r>
      <w:r>
        <w:t xml:space="preserve">This division reflects both market forces and policy design: state-aid frameworks and</w:t>
      </w:r>
      <w:r>
        <w:t xml:space="preserve"> </w:t>
      </w:r>
      <w:r>
        <w:t xml:space="preserve">investment incentives have largely supported existing industrial bases where returns are</w:t>
      </w:r>
      <w:r>
        <w:t xml:space="preserve"> </w:t>
      </w:r>
      <w:r>
        <w:t xml:space="preserve">highest, rather than diffusing activity geographically. The ECA (2025) (284) confirms that</w:t>
      </w:r>
      <w:r>
        <w:t xml:space="preserve"> </w:t>
      </w:r>
      <w:r>
        <w:t xml:space="preserve">national co-financing under the Chips Act and IPCEI schemes has been predominantly</w:t>
      </w:r>
      <w:r>
        <w:t xml:space="preserve"> </w:t>
      </w:r>
      <w:r>
        <w:t xml:space="preserve">channelled toward incumbent centres, given their readiness and project scale.</w:t>
      </w:r>
      <w:r>
        <w:t xml:space="preserve"> </w:t>
      </w:r>
      <w:r>
        <w:t xml:space="preserve">Economic and policy implications</w:t>
      </w:r>
      <w:r>
        <w:t xml:space="preserve"> </w:t>
      </w:r>
      <w:r>
        <w:t xml:space="preserve">The current degree of concentration delivers clear efficiency gains through agglomeration,</w:t>
      </w:r>
      <w:r>
        <w:t xml:space="preserve"> </w:t>
      </w:r>
      <w:r>
        <w:t xml:space="preserve">but it raises territorial cohesion concerns:</w:t>
      </w:r>
      <w:r>
        <w:t xml:space="preserve"> </w:t>
      </w:r>
      <w:r>
        <w:t xml:space="preserve">•</w:t>
      </w:r>
      <w:r>
        <w:t xml:space="preserve"> </w:t>
      </w:r>
      <w:r>
        <w:t xml:space="preserve">Positive effects:</w:t>
      </w:r>
      <w:r>
        <w:t xml:space="preserve"> </w:t>
      </w:r>
      <w:r>
        <w:t xml:space="preserve">o Deepened regional specialisation and productivity gains from clustering.</w:t>
      </w:r>
      <w:r>
        <w:t xml:space="preserve"> </w:t>
      </w:r>
      <w:r>
        <w:t xml:space="preserve">o Enhanced innovation networks between firms, research institutes, and</w:t>
      </w:r>
      <w:r>
        <w:t xml:space="preserve"> </w:t>
      </w:r>
      <w:r>
        <w:t xml:space="preserve">universities.</w:t>
      </w:r>
      <w:r>
        <w:t xml:space="preserve"> </w:t>
      </w:r>
      <w:r>
        <w:t xml:space="preserve">o Economies of scale in infrastructure, logistics, and skilled-labour attraction.</w:t>
      </w:r>
      <w:r>
        <w:t xml:space="preserve"> </w:t>
      </w:r>
      <w:r>
        <w:t xml:space="preserve">•</w:t>
      </w:r>
      <w:r>
        <w:t xml:space="preserve"> </w:t>
      </w:r>
      <w:r>
        <w:t xml:space="preserve">Negative effects:</w:t>
      </w:r>
      <w:r>
        <w:t xml:space="preserve"> </w:t>
      </w:r>
      <w:r>
        <w:t xml:space="preserve">o Persistent geographic inequality between innovation-intensive regions and</w:t>
      </w:r>
      <w:r>
        <w:t xml:space="preserve"> </w:t>
      </w:r>
      <w:r>
        <w:t xml:space="preserve">the rest of the EU.</w:t>
      </w:r>
      <w:r>
        <w:t xml:space="preserve"> </w:t>
      </w:r>
      <w:r>
        <w:t xml:space="preserve">o Barriers to entry for emerging regions lacking pre-existing semiconductor</w:t>
      </w:r>
      <w:r>
        <w:t xml:space="preserve"> </w:t>
      </w:r>
      <w:r>
        <w:t xml:space="preserve">capacity or infrastructure.</w:t>
      </w:r>
      <w:r>
        <w:t xml:space="preserve"> </w:t>
      </w:r>
      <w:r>
        <w:t xml:space="preserve">o Skill and wage polarisation, as talent and investment concentrate further in</w:t>
      </w:r>
      <w:r>
        <w:t xml:space="preserve"> </w:t>
      </w:r>
      <w:r>
        <w:t xml:space="preserve">core clusters.</w:t>
      </w:r>
      <w:r>
        <w:t xml:space="preserve"> </w:t>
      </w:r>
      <w:r>
        <w:t xml:space="preserve">3.2.</w:t>
      </w:r>
      <w:r>
        <w:t xml:space="preserve"> </w:t>
      </w:r>
      <w:r>
        <w:t xml:space="preserve">Modelling the BAU scenario</w:t>
      </w:r>
      <w:r>
        <w:t xml:space="preserve"> </w:t>
      </w:r>
      <w:r>
        <w:t xml:space="preserve">Under a Business-as-usual (BAU) trajectory, Europe’s semiconductor geography remains</w:t>
      </w:r>
      <w:r>
        <w:t xml:space="preserve"> </w:t>
      </w:r>
      <w:r>
        <w:t xml:space="preserve">highly concentrated and path-dependent. The major industrial and research hubs</w:t>
      </w:r>
      <w:r>
        <w:t xml:space="preserve"> </w:t>
      </w:r>
      <w:r>
        <w:t xml:space="preserve">established before 2025 continue to attract the vast majority of investments, talent, and public</w:t>
      </w:r>
      <w:r>
        <w:t xml:space="preserve"> </w:t>
      </w:r>
      <w:r>
        <w:t xml:space="preserve">support. While new fabs and R&amp;D facilities expand capacity within existing clusters, there is</w:t>
      </w:r>
      <w:r>
        <w:t xml:space="preserve"> </w:t>
      </w:r>
      <w:r>
        <w:t xml:space="preserve">limited diffusion of semiconductor activity to peripheral regions. This results in gradual</w:t>
      </w:r>
      <w:r>
        <w:t xml:space="preserve"> </w:t>
      </w:r>
      <w:r>
        <w:t xml:space="preserve">strengthening of existing agglomerations rather than a structural shift in the European</w:t>
      </w:r>
      <w:r>
        <w:t xml:space="preserve"> </w:t>
      </w:r>
      <w:r>
        <w:t xml:space="preserve">territorial landscape.</w:t>
      </w:r>
      <w:r>
        <w:t xml:space="preserve"> </w:t>
      </w:r>
      <w:r>
        <w:t xml:space="preserve">Developments expected under BAU</w:t>
      </w:r>
      <w:r>
        <w:t xml:space="preserve"> </w:t>
      </w:r>
      <w:r>
        <w:t xml:space="preserve">Continuation of core-cluster dominance. Between 2025 and 2035, announced</w:t>
      </w:r>
      <w:r>
        <w:t xml:space="preserve"> </w:t>
      </w:r>
      <w:r>
        <w:t xml:space="preserve">semiconductor investments, including Intel Ireland, STMicroelectronics–GlobalFoundries</w:t>
      </w:r>
      <w:r>
        <w:t xml:space="preserve"> </w:t>
      </w:r>
      <w:r>
        <w:t xml:space="preserve">Crolles, ESMC Dresden, Infineon Dresden and Villach, and Catania SiC Campus,</w:t>
      </w:r>
      <w:r>
        <w:t xml:space="preserve"> </w:t>
      </w:r>
      <w:r>
        <w:t xml:space="preserve">consolidate existing regional ecosystems rather than create new ones. By 2035, approximately</w:t>
      </w:r>
      <w:r>
        <w:t xml:space="preserve"> </w:t>
      </w:r>
      <w:r>
        <w:t xml:space="preserve">80 % of EU semiconductor employment and value added remains concentrated in the</w:t>
      </w:r>
      <w:r>
        <w:t xml:space="preserve"> </w:t>
      </w:r>
      <w:r>
        <w:t xml:space="preserve">same six core clusters.</w:t>
      </w:r>
      <w:r>
        <w:br/>
      </w:r>
      <w:r>
        <w:t xml:space="preserve">Peripheral or emerging regions (e.g. Poland, Czech Republic, Hungary, Portugal, southern</w:t>
      </w:r>
      <w:r>
        <w:t xml:space="preserve"> </w:t>
      </w:r>
      <w:r>
        <w:t xml:space="preserve">Italy) experience moderate growth through supplier linkages, logistics, and equipment sub-</w:t>
      </w:r>
      <w:r>
        <w:t xml:space="preserve"> </w:t>
      </w:r>
      <w:r>
        <w:t xml:space="preserve">contracting but remain secondary players. This spatial concentration mirrors the industrial</w:t>
      </w:r>
    </w:p>
    <w:p>
      <w:pPr>
        <w:pStyle w:val="Compact"/>
        <w:numPr>
          <w:ilvl w:val="0"/>
          <w:numId w:val="1067"/>
        </w:numPr>
      </w:pPr>
      <w:r>
        <w:t xml:space="preserve">European Court of Auditors. (2025). Special report 12/2025: The EU’s strategy for microchips – Reasonable progress</w:t>
      </w:r>
      <w:r>
        <w:t xml:space="preserve"> </w:t>
      </w:r>
      <w:r>
        <w:t xml:space="preserve">in its implementation, but the Chips Act is very unlikely to be sufficient to reach the overly ambitious Digital Decade target.</w:t>
      </w:r>
    </w:p>
    <w:p>
      <w:pPr>
        <w:pStyle w:val="FirstParagraph"/>
      </w:pPr>
      <w:r>
        <w:t xml:space="preserve">140</w:t>
      </w:r>
      <w:r>
        <w:t xml:space="preserve"> </w:t>
      </w:r>
      <w:r>
        <w:t xml:space="preserve">geography of other global semiconductor ecosystems, such as the U.S. ‘Silicon Triangle’</w:t>
      </w:r>
      <w:r>
        <w:t xml:space="preserve"> </w:t>
      </w:r>
      <w:r>
        <w:t xml:space="preserve">(linking California, Arizona, and Texas) and the East Asian manufacturing corridor</w:t>
      </w:r>
      <w:r>
        <w:t xml:space="preserve"> </w:t>
      </w:r>
      <w:r>
        <w:t xml:space="preserve">connecting Taiwan, Japan, and South Korea (285), (286).</w:t>
      </w:r>
      <w:r>
        <w:br/>
      </w:r>
      <w:r>
        <w:t xml:space="preserve">Limited emergence of new hubs. Despite EU policy efforts to enhance territorial cohesion,</w:t>
      </w:r>
      <w:r>
        <w:t xml:space="preserve"> </w:t>
      </w:r>
      <w:r>
        <w:t xml:space="preserve">most new greenfield fabs and pilot lines locate near existing ecosystems to exploit</w:t>
      </w:r>
      <w:r>
        <w:t xml:space="preserve"> </w:t>
      </w:r>
      <w:r>
        <w:t xml:space="preserve">established infrastructure, supplier proximity, and skilled labour pools. New entrants in</w:t>
      </w:r>
      <w:r>
        <w:t xml:space="preserve"> </w:t>
      </w:r>
      <w:r>
        <w:t xml:space="preserve">Central and Eastern Europe mainly target packaging, assembly, or materials production rather</w:t>
      </w:r>
      <w:r>
        <w:t xml:space="preserve"> </w:t>
      </w:r>
      <w:r>
        <w:t xml:space="preserve">than high-value design or advanced-node manufacturing. JRC (2025) (287) projects that under</w:t>
      </w:r>
      <w:r>
        <w:t xml:space="preserve"> </w:t>
      </w:r>
      <w:r>
        <w:t xml:space="preserve">current policies, fewer than 20 % of new semiconductor investments by 2035 will occur</w:t>
      </w:r>
      <w:r>
        <w:t xml:space="preserve"> </w:t>
      </w:r>
      <w:r>
        <w:t xml:space="preserve">outside the existing top-tier regions.</w:t>
      </w:r>
      <w:r>
        <w:t xml:space="preserve"> </w:t>
      </w:r>
      <w:r>
        <w:t xml:space="preserve">Cross-border consolidation and functional integration. Core regions become increasingly</w:t>
      </w:r>
      <w:r>
        <w:t xml:space="preserve"> </w:t>
      </w:r>
      <w:r>
        <w:t xml:space="preserve">interconnected across borders, forming a North-Central European semiconductor corridor</w:t>
      </w:r>
      <w:r>
        <w:t xml:space="preserve"> </w:t>
      </w:r>
      <w:r>
        <w:t xml:space="preserve">linking</w:t>
      </w:r>
      <w:r>
        <w:t xml:space="preserve"> </w:t>
      </w:r>
      <w:r>
        <w:t xml:space="preserve">the</w:t>
      </w:r>
      <w:r>
        <w:t xml:space="preserve"> </w:t>
      </w:r>
      <w:r>
        <w:t xml:space="preserve">Netherlands,</w:t>
      </w:r>
      <w:r>
        <w:t xml:space="preserve"> </w:t>
      </w:r>
      <w:r>
        <w:t xml:space="preserve">Belgium,</w:t>
      </w:r>
      <w:r>
        <w:t xml:space="preserve"> </w:t>
      </w:r>
      <w:r>
        <w:t xml:space="preserve">Germany,</w:t>
      </w:r>
      <w:r>
        <w:t xml:space="preserve"> </w:t>
      </w:r>
      <w:r>
        <w:t xml:space="preserve">France,</w:t>
      </w:r>
      <w:r>
        <w:t xml:space="preserve"> </w:t>
      </w:r>
      <w:r>
        <w:t xml:space="preserve">and</w:t>
      </w:r>
      <w:r>
        <w:t xml:space="preserve"> </w:t>
      </w:r>
      <w:r>
        <w:t xml:space="preserve">Austria.</w:t>
      </w:r>
      <w:r>
        <w:t xml:space="preserve"> </w:t>
      </w:r>
      <w:r>
        <w:t xml:space="preserve">Industrial</w:t>
      </w:r>
      <w:r>
        <w:t xml:space="preserve"> </w:t>
      </w:r>
      <w:r>
        <w:t xml:space="preserve">interdependencies, e.g. between ASML (Netherlands) and imec (Belgium) strengthen vertical</w:t>
      </w:r>
      <w:r>
        <w:t xml:space="preserve"> </w:t>
      </w:r>
      <w:r>
        <w:t xml:space="preserve">integration within this corridor. This cross-border clustering reinforces Europe’s strengths in</w:t>
      </w:r>
      <w:r>
        <w:t xml:space="preserve"> </w:t>
      </w:r>
      <w:r>
        <w:t xml:space="preserve">equipment, materials, and power devices but further marginalises outer regions.</w:t>
      </w:r>
      <w:r>
        <w:t xml:space="preserve"> </w:t>
      </w:r>
      <w:r>
        <w:t xml:space="preserve">Regional spillovers and supplier linkages. Peripheral regions benefit from indirect</w:t>
      </w:r>
      <w:r>
        <w:t xml:space="preserve"> </w:t>
      </w:r>
      <w:r>
        <w:t xml:space="preserve">employment and supply chain effects during fab construction and through service provision.</w:t>
      </w:r>
      <w:r>
        <w:t xml:space="preserve"> </w:t>
      </w:r>
      <w:r>
        <w:t xml:space="preserve">Supplier multipliers estimated by Deloitte (2021) (288) and McKinsey (2024) (289) suggest</w:t>
      </w:r>
      <w:r>
        <w:t xml:space="preserve"> </w:t>
      </w:r>
      <w:r>
        <w:t xml:space="preserve">that each direct semiconductor job supports 5–6 indirect jobs, mainly in construction, utilities,</w:t>
      </w:r>
      <w:r>
        <w:t xml:space="preserve"> </w:t>
      </w:r>
      <w:r>
        <w:t xml:space="preserve">and logistics. However, these spillovers remain largely localised near established hubs;</w:t>
      </w:r>
      <w:r>
        <w:t xml:space="preserve"> </w:t>
      </w:r>
      <w:r>
        <w:t xml:space="preserve">broader diffusion toward less developed regions is minimal without additional policy</w:t>
      </w:r>
      <w:r>
        <w:t xml:space="preserve"> </w:t>
      </w:r>
      <w:r>
        <w:t xml:space="preserve">intervention.</w:t>
      </w:r>
      <w:r>
        <w:t xml:space="preserve"> </w:t>
      </w:r>
      <w:r>
        <w:t xml:space="preserve">Rationale and evidence base</w:t>
      </w:r>
      <w:r>
        <w:t xml:space="preserve"> </w:t>
      </w:r>
      <w:r>
        <w:t xml:space="preserve">The persistence of concentration under BAU reflects several reinforcing factors:</w:t>
      </w:r>
      <w:r>
        <w:t xml:space="preserve"> </w:t>
      </w:r>
      <w:r>
        <w:t xml:space="preserve">1. Infrastructure and sunk capital: Semiconductor fabs and equipment clusters are</w:t>
      </w:r>
      <w:r>
        <w:t xml:space="preserve"> </w:t>
      </w:r>
      <w:r>
        <w:t xml:space="preserve">among the most capital-intensive industrial assets, creating long-term lock-in effects</w:t>
      </w:r>
      <w:r>
        <w:t xml:space="preserve"> </w:t>
      </w:r>
      <w:r>
        <w:t xml:space="preserve">once located. McKinsey (2025) (290) explains that global semiconductor investments</w:t>
      </w:r>
      <w:r>
        <w:t xml:space="preserve"> </w:t>
      </w:r>
      <w:r>
        <w:t xml:space="preserve">show strong path-dependence due to the high irreversibility of capital expenditure and</w:t>
      </w:r>
      <w:r>
        <w:t xml:space="preserve"> </w:t>
      </w:r>
      <w:r>
        <w:t xml:space="preserve">skill accumulation.</w:t>
      </w:r>
    </w:p>
    <w:p>
      <w:pPr>
        <w:pStyle w:val="Compact"/>
        <w:numPr>
          <w:ilvl w:val="0"/>
          <w:numId w:val="1068"/>
        </w:numPr>
      </w:pPr>
      <w:r>
        <w:t xml:space="preserve">McKinsey &amp; Company. (2025). Semiconductors have a big opportunity, but barriers to scale remain. New York:</w:t>
      </w:r>
      <w:r>
        <w:t xml:space="preserve"> </w:t>
      </w:r>
      <w:r>
        <w:t xml:space="preserve">McKinsey Global Institute.</w:t>
      </w:r>
    </w:p>
    <w:p>
      <w:pPr>
        <w:pStyle w:val="Compact"/>
        <w:numPr>
          <w:ilvl w:val="0"/>
          <w:numId w:val="1068"/>
        </w:numPr>
      </w:pPr>
      <w:r>
        <w:t xml:space="preserve">Boston Consulting Group (BCG) &amp; Semiconductor Industry Association (SIA). (2024). Emerging resilience in the</w:t>
      </w:r>
      <w:r>
        <w:t xml:space="preserve"> </w:t>
      </w:r>
      <w:r>
        <w:t xml:space="preserve">semiconductor supply chain. May 2024. Boston: Boston Consulting Group and Semiconductor Industry Association.</w:t>
      </w:r>
    </w:p>
    <w:p>
      <w:pPr>
        <w:pStyle w:val="Compact"/>
        <w:numPr>
          <w:ilvl w:val="0"/>
          <w:numId w:val="1068"/>
        </w:numPr>
      </w:pPr>
      <w:r>
        <w:t xml:space="preserve">Bonnet, P., Ciani, A., Molnar, J., &amp; Nardo, M. (2025). EU’s strengths and weaknesses in the global semiconductor</w:t>
      </w:r>
      <w:r>
        <w:t xml:space="preserve"> </w:t>
      </w:r>
      <w:r>
        <w:t xml:space="preserve">sector (EUR 40253 EN). Luxembourg: Publications Office of the European Union. https://doi.org/10.2760/6302476</w:t>
      </w:r>
    </w:p>
    <w:p>
      <w:pPr>
        <w:pStyle w:val="Compact"/>
        <w:numPr>
          <w:ilvl w:val="0"/>
          <w:numId w:val="1068"/>
        </w:numPr>
      </w:pPr>
      <w:r>
        <w:t xml:space="preserve">Deloitte. (2021). Measuring semiconductors’ economic impact: How many jobs does the semiconductor industry</w:t>
      </w:r>
      <w:r>
        <w:t xml:space="preserve"> </w:t>
      </w:r>
      <w:r>
        <w:t xml:space="preserve">create? Deloitte Insights, September 2021.</w:t>
      </w:r>
    </w:p>
    <w:p>
      <w:pPr>
        <w:pStyle w:val="Compact"/>
        <w:numPr>
          <w:ilvl w:val="0"/>
          <w:numId w:val="1068"/>
        </w:numPr>
      </w:pPr>
      <w:r>
        <w:t xml:space="preserve">McKinsey &amp; Company. (2024). McKinsey on semiconductors: Creating value, pursuing innovation, and optimizing</w:t>
      </w:r>
      <w:r>
        <w:t xml:space="preserve"> </w:t>
      </w:r>
      <w:r>
        <w:t xml:space="preserve">operations. New York: McKinsey Global Institute.</w:t>
      </w:r>
    </w:p>
    <w:p>
      <w:pPr>
        <w:pStyle w:val="Compact"/>
        <w:numPr>
          <w:ilvl w:val="0"/>
          <w:numId w:val="1068"/>
        </w:numPr>
      </w:pPr>
      <w:r>
        <w:t xml:space="preserve">McKinsey &amp; Company. (2025). Semiconductors have a big opportunity, but barriers to scale remain. New York:</w:t>
      </w:r>
      <w:r>
        <w:t xml:space="preserve"> </w:t>
      </w:r>
      <w:r>
        <w:t xml:space="preserve">McKinsey Global Institute.</w:t>
      </w:r>
    </w:p>
    <w:p>
      <w:pPr>
        <w:pStyle w:val="FirstParagraph"/>
      </w:pPr>
      <w:r>
        <w:t xml:space="preserve">141</w:t>
      </w:r>
      <w:r>
        <w:t xml:space="preserve"> </w:t>
      </w:r>
      <w:r>
        <w:t xml:space="preserve">2. Talent availability: The European Chips Skills Academy (291) and JRC (2025) (292)</w:t>
      </w:r>
      <w:r>
        <w:t xml:space="preserve"> </w:t>
      </w:r>
      <w:r>
        <w:t xml:space="preserve">highlight persistent labour shortages, with engineering and technician gaps particularly</w:t>
      </w:r>
      <w:r>
        <w:t xml:space="preserve"> </w:t>
      </w:r>
      <w:r>
        <w:t xml:space="preserve">acute outside existing hubs. Firms therefore concentrate expansion where talent pools</w:t>
      </w:r>
      <w:r>
        <w:t xml:space="preserve"> </w:t>
      </w:r>
      <w:r>
        <w:t xml:space="preserve">and training infrastructure already exist. Although Competence Centres are being</w:t>
      </w:r>
      <w:r>
        <w:t xml:space="preserve"> </w:t>
      </w:r>
      <w:r>
        <w:t xml:space="preserve">established in all Member States to broaden access to design support, specialised</w:t>
      </w:r>
      <w:r>
        <w:t xml:space="preserve"> </w:t>
      </w:r>
      <w:r>
        <w:t xml:space="preserve">training, and prototyping services, their impact under BAU is expected to improve</w:t>
      </w:r>
      <w:r>
        <w:t xml:space="preserve"> </w:t>
      </w:r>
      <w:r>
        <w:t xml:space="preserve">participation rather than materially shift the location of large-scale industrial</w:t>
      </w:r>
      <w:r>
        <w:t xml:space="preserve"> </w:t>
      </w:r>
      <w:r>
        <w:t xml:space="preserve">investments.</w:t>
      </w:r>
      <w:r>
        <w:t xml:space="preserve"> </w:t>
      </w:r>
      <w:r>
        <w:t xml:space="preserve">3. Network and innovation effects: Co-location of R&amp;D, suppliers, and production</w:t>
      </w:r>
      <w:r>
        <w:t xml:space="preserve"> </w:t>
      </w:r>
      <w:r>
        <w:t xml:space="preserve">drives economies of scope. BCG (2024) (293) notes that advanced-packaging and</w:t>
      </w:r>
      <w:r>
        <w:t xml:space="preserve"> </w:t>
      </w:r>
      <w:r>
        <w:t xml:space="preserve">materials innovation depend on physical proximity between design centres and fabs,</w:t>
      </w:r>
      <w:r>
        <w:t xml:space="preserve"> </w:t>
      </w:r>
      <w:r>
        <w:t xml:space="preserve">favouring the established clusters.</w:t>
      </w:r>
      <w:r>
        <w:t xml:space="preserve"> </w:t>
      </w:r>
      <w:r>
        <w:t xml:space="preserve">4. Policy structure: State-aid rules and IPCEI frameworks incentivise large-scale</w:t>
      </w:r>
      <w:r>
        <w:t xml:space="preserve"> </w:t>
      </w:r>
      <w:r>
        <w:t xml:space="preserve">projects requiring national co-financing. ECA (2025) (294) reports that this has</w:t>
      </w:r>
      <w:r>
        <w:t xml:space="preserve"> </w:t>
      </w:r>
      <w:r>
        <w:t xml:space="preserve">channelled most support to high-capacity incumbents in Germany, France, Ireland,</w:t>
      </w:r>
      <w:r>
        <w:t xml:space="preserve"> </w:t>
      </w:r>
      <w:r>
        <w:t xml:space="preserve">and the Netherlands, limiting the potential for geographical diversification. While</w:t>
      </w:r>
      <w:r>
        <w:t xml:space="preserve"> </w:t>
      </w:r>
      <w:r>
        <w:t xml:space="preserve">Competence Centres provide nationwide support services, they do not alter the</w:t>
      </w:r>
      <w:r>
        <w:t xml:space="preserve"> </w:t>
      </w:r>
      <w:r>
        <w:t xml:space="preserve">underlying factors shaping the siting of major manufacturing projects under BAU.</w:t>
      </w:r>
      <w:r>
        <w:t xml:space="preserve"> </w:t>
      </w:r>
      <w:r>
        <w:t xml:space="preserve">Implications</w:t>
      </w:r>
      <w:r>
        <w:t xml:space="preserve"> </w:t>
      </w:r>
      <w:r>
        <w:t xml:space="preserve">Regional concentration and productivity. Under BAU, the top six NUTS-2 regions slowly</w:t>
      </w:r>
      <w:r>
        <w:t xml:space="preserve"> </w:t>
      </w:r>
      <w:r>
        <w:t xml:space="preserve">increase their combined share of semiconductor-related value added, driven by cumulative</w:t>
      </w:r>
      <w:r>
        <w:t xml:space="preserve"> </w:t>
      </w:r>
      <w:r>
        <w:t xml:space="preserve">investment and productivity gains. Agglomeration effects enhance efficiency and innovation</w:t>
      </w:r>
      <w:r>
        <w:t xml:space="preserve"> </w:t>
      </w:r>
      <w:r>
        <w:t xml:space="preserve">capacity but create structural divergence between high-performing clusters and lagging</w:t>
      </w:r>
      <w:r>
        <w:t xml:space="preserve"> </w:t>
      </w:r>
      <w:r>
        <w:t xml:space="preserve">regions.</w:t>
      </w:r>
      <w:r>
        <w:t xml:space="preserve"> </w:t>
      </w:r>
      <w:r>
        <w:t xml:space="preserve">Labour markets and skills. Regional labour-market effects mirror the overall pattern of</w:t>
      </w:r>
      <w:r>
        <w:t xml:space="preserve"> </w:t>
      </w:r>
      <w:r>
        <w:t xml:space="preserve">agglomeration. Core regions face tight labour markets and wage pressures, while peripheral</w:t>
      </w:r>
      <w:r>
        <w:t xml:space="preserve"> </w:t>
      </w:r>
      <w:r>
        <w:t xml:space="preserve">regions experience limited job creation. Cross-border mobility of engineers remains</w:t>
      </w:r>
      <w:r>
        <w:t xml:space="preserve"> </w:t>
      </w:r>
      <w:r>
        <w:t xml:space="preserve">insufficient to offset regional imbalances, as McKinsey (2024) (295) and ECSA (2024) (296)</w:t>
      </w:r>
      <w:r>
        <w:t xml:space="preserve"> </w:t>
      </w:r>
      <w:r>
        <w:t xml:space="preserve">report.</w:t>
      </w:r>
      <w:r>
        <w:t xml:space="preserve"> </w:t>
      </w:r>
      <w:r>
        <w:t xml:space="preserve">Environmental and infrastructure pressures. High-capacity clusters such as Dresden,</w:t>
      </w:r>
      <w:r>
        <w:t xml:space="preserve"> </w:t>
      </w:r>
      <w:r>
        <w:t xml:space="preserve">Crolles–Grenoble, and Dublin experience growing strain on local energy and water systems,</w:t>
      </w:r>
      <w:r>
        <w:t xml:space="preserve"> </w:t>
      </w:r>
      <w:r>
        <w:t xml:space="preserve">reinforcing regional environmental pressures identified in section 3.3. In contrast, potential</w:t>
      </w:r>
      <w:r>
        <w:t xml:space="preserve"> </w:t>
      </w:r>
      <w:r>
        <w:t xml:space="preserve">sites with available capacity in peripheral regions remain underutilised.</w:t>
      </w:r>
    </w:p>
    <w:p>
      <w:pPr>
        <w:pStyle w:val="Compact"/>
        <w:numPr>
          <w:ilvl w:val="0"/>
          <w:numId w:val="1069"/>
        </w:numPr>
      </w:pPr>
      <w:r>
        <w:t xml:space="preserve">European Chips Skills Academy. (2024). ECSA Skills Strategy 2024 (rev 20052025). https://chipsacademy.eu/wp-</w:t>
      </w:r>
      <w:r>
        <w:t xml:space="preserve"> </w:t>
      </w:r>
      <w:r>
        <w:t xml:space="preserve">content/uploads/2025/05/ECSA-Skills-Strategy-2024-rev-20052025.pdf</w:t>
      </w:r>
    </w:p>
    <w:p>
      <w:pPr>
        <w:pStyle w:val="Compact"/>
        <w:numPr>
          <w:ilvl w:val="0"/>
          <w:numId w:val="1069"/>
        </w:numPr>
      </w:pPr>
      <w:r>
        <w:t xml:space="preserve">Bonnet, P., Ciani, A., Molnar, J., &amp; Nardo, M. (2025). EU’s strengths and weaknesses in the global semiconductor</w:t>
      </w:r>
      <w:r>
        <w:t xml:space="preserve"> </w:t>
      </w:r>
      <w:r>
        <w:t xml:space="preserve">sector (EUR 40253 EN). Luxembourg: Publications Office of the European Union. https://doi.org/10.2760/6302476</w:t>
      </w:r>
    </w:p>
    <w:p>
      <w:pPr>
        <w:pStyle w:val="Compact"/>
        <w:numPr>
          <w:ilvl w:val="0"/>
          <w:numId w:val="1069"/>
        </w:numPr>
      </w:pPr>
      <w:r>
        <w:t xml:space="preserve">Boston Consulting Group. (2024). Advanced packaging is reshaping the chip industry. Boston: Boston Consulting</w:t>
      </w:r>
      <w:r>
        <w:t xml:space="preserve"> </w:t>
      </w:r>
      <w:r>
        <w:t xml:space="preserve">Group, February 2024.</w:t>
      </w:r>
    </w:p>
    <w:p>
      <w:pPr>
        <w:pStyle w:val="Compact"/>
        <w:numPr>
          <w:ilvl w:val="0"/>
          <w:numId w:val="1069"/>
        </w:numPr>
      </w:pPr>
      <w:r>
        <w:t xml:space="preserve">European Court of Auditors. (2025). Special Report 12/2025 – The EU’s strategy for microchips: Reasonable progress</w:t>
      </w:r>
      <w:r>
        <w:t xml:space="preserve"> </w:t>
      </w:r>
      <w:r>
        <w:t xml:space="preserve">in its implementation, but the Chips Act is very unlikely to be sufficient to reach the overly ambitious Digital Decade target.</w:t>
      </w:r>
      <w:r>
        <w:br/>
      </w:r>
    </w:p>
    <w:p>
      <w:pPr>
        <w:pStyle w:val="Compact"/>
        <w:numPr>
          <w:ilvl w:val="0"/>
          <w:numId w:val="1069"/>
        </w:numPr>
      </w:pPr>
      <w:r>
        <w:t xml:space="preserve">McKinsey &amp; Company. (2024). McKinsey on semiconductors: Creating value, pursuing innovation, and optimizing</w:t>
      </w:r>
      <w:r>
        <w:t xml:space="preserve"> </w:t>
      </w:r>
      <w:r>
        <w:t xml:space="preserve">operations. New York: McKinsey Global Institute.</w:t>
      </w:r>
    </w:p>
    <w:p>
      <w:pPr>
        <w:pStyle w:val="Compact"/>
        <w:numPr>
          <w:ilvl w:val="0"/>
          <w:numId w:val="1069"/>
        </w:numPr>
      </w:pPr>
      <w:r>
        <w:t xml:space="preserve">European Chips Skills Academy. (2024). ECSA Skills Strategy 2024 (rev 20052025). https://chipsacademy.eu/wp-</w:t>
      </w:r>
      <w:r>
        <w:t xml:space="preserve"> </w:t>
      </w:r>
      <w:r>
        <w:t xml:space="preserve">content/uploads/2025/05/ECSA-Skills-Strategy-2024-rev-20052025.pdf</w:t>
      </w:r>
    </w:p>
    <w:p>
      <w:pPr>
        <w:pStyle w:val="FirstParagraph"/>
      </w:pPr>
      <w:r>
        <w:t xml:space="preserve">142</w:t>
      </w:r>
      <w:r>
        <w:t xml:space="preserve"> </w:t>
      </w:r>
      <w:r>
        <w:t xml:space="preserve">Overall, under BAU conditions, the regional geography of Europe’s semiconductor</w:t>
      </w:r>
      <w:r>
        <w:t xml:space="preserve"> </w:t>
      </w:r>
      <w:r>
        <w:t xml:space="preserve">industry remains largely unchanged through 2035.</w:t>
      </w:r>
      <w:r>
        <w:t xml:space="preserve"> </w:t>
      </w:r>
      <w:r>
        <w:t xml:space="preserve">•</w:t>
      </w:r>
      <w:r>
        <w:t xml:space="preserve"> </w:t>
      </w:r>
      <w:r>
        <w:t xml:space="preserve">Existing high-tech clusters consolidate their dominance, benefiting from cumulative</w:t>
      </w:r>
      <w:r>
        <w:t xml:space="preserve"> </w:t>
      </w:r>
      <w:r>
        <w:t xml:space="preserve">investment, infrastructure, and skills ecosystems.</w:t>
      </w:r>
      <w:r>
        <w:t xml:space="preserve"> </w:t>
      </w:r>
      <w:r>
        <w:t xml:space="preserve">•</w:t>
      </w:r>
      <w:r>
        <w:t xml:space="preserve"> </w:t>
      </w:r>
      <w:r>
        <w:t xml:space="preserve">Cross-border integration between Benelux, Germany, France, and Austria forms a</w:t>
      </w:r>
      <w:r>
        <w:t xml:space="preserve"> </w:t>
      </w:r>
      <w:r>
        <w:t xml:space="preserve">competitive “semiconductor corridor”, but without significant geographic expansion.</w:t>
      </w:r>
      <w:r>
        <w:t xml:space="preserve"> </w:t>
      </w:r>
      <w:r>
        <w:t xml:space="preserve">•</w:t>
      </w:r>
      <w:r>
        <w:t xml:space="preserve"> </w:t>
      </w:r>
      <w:r>
        <w:t xml:space="preserve">Peripheral Member States gain limited spillovers, primarily through supply chain</w:t>
      </w:r>
      <w:r>
        <w:t xml:space="preserve"> </w:t>
      </w:r>
      <w:r>
        <w:t xml:space="preserve">participation and service contracts, without achieving substantial localisation of high-</w:t>
      </w:r>
      <w:r>
        <w:t xml:space="preserve"> </w:t>
      </w:r>
      <w:r>
        <w:t xml:space="preserve">value activities.</w:t>
      </w:r>
      <w:r>
        <w:t xml:space="preserve"> </w:t>
      </w:r>
      <w:r>
        <w:t xml:space="preserve">•</w:t>
      </w:r>
      <w:r>
        <w:t xml:space="preserve"> </w:t>
      </w:r>
      <w:r>
        <w:t xml:space="preserve">Territorial cohesion objectives therefore remain only partially fulfilled, as structural</w:t>
      </w:r>
      <w:r>
        <w:t xml:space="preserve"> </w:t>
      </w:r>
      <w:r>
        <w:t xml:space="preserve">imbalances persist between innovation-intensive core regions and industrial</w:t>
      </w:r>
      <w:r>
        <w:t xml:space="preserve"> </w:t>
      </w:r>
      <w:r>
        <w:t xml:space="preserve">peripheries.</w:t>
      </w:r>
      <w:r>
        <w:t xml:space="preserve"> </w:t>
      </w:r>
      <w:r>
        <w:t xml:space="preserve">4.</w:t>
      </w:r>
      <w:r>
        <w:t xml:space="preserve"> </w:t>
      </w:r>
      <w:r>
        <w:t xml:space="preserve">MODELLING ENVIRONMENTAL IMPACTS</w:t>
      </w:r>
      <w:r>
        <w:t xml:space="preserve"> </w:t>
      </w:r>
      <w:r>
        <w:t xml:space="preserve">4.1.</w:t>
      </w:r>
      <w:r>
        <w:t xml:space="preserve"> </w:t>
      </w:r>
      <w:r>
        <w:t xml:space="preserve">Environmental impacts</w:t>
      </w:r>
      <w:r>
        <w:br/>
      </w:r>
      <w:r>
        <w:t xml:space="preserve">4.1.1. Establishing a starting point for BAU scenario</w:t>
      </w:r>
      <w:r>
        <w:t xml:space="preserve"> </w:t>
      </w:r>
      <w:r>
        <w:t xml:space="preserve">When addressing sustainability in semiconductor manufacturing, attention often alternates</w:t>
      </w:r>
      <w:r>
        <w:t xml:space="preserve"> </w:t>
      </w:r>
      <w:r>
        <w:t xml:space="preserve">between climate-related and broader environmental considerations. Climate concerns</w:t>
      </w:r>
      <w:r>
        <w:t xml:space="preserve"> </w:t>
      </w:r>
      <w:r>
        <w:t xml:space="preserve">primarily pertain to greenhouse gas (GHG) emissions, including those from high global</w:t>
      </w:r>
      <w:r>
        <w:t xml:space="preserve"> </w:t>
      </w:r>
      <w:r>
        <w:t xml:space="preserve">warming potential (GWP) gases and the energy consumption associated with raw materials</w:t>
      </w:r>
      <w:r>
        <w:t xml:space="preserve"> </w:t>
      </w:r>
      <w:r>
        <w:t xml:space="preserve">mining and processing as well as chemicals refinement and wafer fabrication. These factors</w:t>
      </w:r>
      <w:r>
        <w:t xml:space="preserve"> </w:t>
      </w:r>
      <w:r>
        <w:t xml:space="preserve">are commonly monitored using the Greenhouse Gas (GHG) Protocol, a widely adopted and</w:t>
      </w:r>
      <w:r>
        <w:t xml:space="preserve"> </w:t>
      </w:r>
      <w:r>
        <w:t xml:space="preserve">standardised global framework.</w:t>
      </w:r>
      <w:r>
        <w:br/>
      </w:r>
      <w:r>
        <w:t xml:space="preserve">Regarding the climate impact of chip production in Europe, scope 1 (mainly fluorinated</w:t>
      </w:r>
      <w:r>
        <w:t xml:space="preserve"> </w:t>
      </w:r>
      <w:r>
        <w:t xml:space="preserve">gases) and scope 2 (mainly energy consumption) emissions are dominating the sectors carbon</w:t>
      </w:r>
      <w:r>
        <w:t xml:space="preserve"> </w:t>
      </w:r>
      <w:r>
        <w:t xml:space="preserve">footprint (see below). (297) Scope 3 covers emissions across the entire value chain, both</w:t>
      </w:r>
      <w:r>
        <w:t xml:space="preserve"> </w:t>
      </w:r>
      <w:r>
        <w:t xml:space="preserve">upstream and downstream. Semiconductor manufacturers generally do not report the climate</w:t>
      </w:r>
      <w:r>
        <w:t xml:space="preserve"> </w:t>
      </w:r>
      <w:r>
        <w:t xml:space="preserve">footprint of their products, as these are classified as intermediate goods. This lack of</w:t>
      </w:r>
      <w:r>
        <w:t xml:space="preserve"> </w:t>
      </w:r>
      <w:r>
        <w:t xml:space="preserve">disclosure, combined with limited research on the ecological footprint during end-product</w:t>
      </w:r>
      <w:r>
        <w:t xml:space="preserve"> </w:t>
      </w:r>
      <w:r>
        <w:t xml:space="preserve">operation, makes it challenging to obtain reliable and granular data on overall environmental</w:t>
      </w:r>
      <w:r>
        <w:t xml:space="preserve"> </w:t>
      </w:r>
      <w:r>
        <w:t xml:space="preserve">impacts. (298) It is nevertheless important to note that the ecological impact during the</w:t>
      </w:r>
      <w:r>
        <w:t xml:space="preserve"> </w:t>
      </w:r>
      <w:r>
        <w:t xml:space="preserve">operational phase of end-products varies substantially depending on their final application.</w:t>
      </w:r>
      <w:r>
        <w:t xml:space="preserve"> </w:t>
      </w:r>
      <w:r>
        <w:t xml:space="preserve">Battery-powered devices such as tablets and smartphones exhibit higher emissions during</w:t>
      </w:r>
      <w:r>
        <w:t xml:space="preserve"> </w:t>
      </w:r>
      <w:r>
        <w:t xml:space="preserve">manufacturing, whereas data centres - characterised by intensive energy use - generate</w:t>
      </w:r>
      <w:r>
        <w:t xml:space="preserve"> </w:t>
      </w:r>
      <w:r>
        <w:t xml:space="preserve">significant emissions during operation. This issue is particularly pronounced in GPU-based</w:t>
      </w:r>
      <w:r>
        <w:t xml:space="preserve"> </w:t>
      </w:r>
      <w:r>
        <w:t xml:space="preserve">data centres used for artificial intelligence (AI), where extreme thermal stress leads to</w:t>
      </w:r>
      <w:r>
        <w:t xml:space="preserve"> </w:t>
      </w:r>
      <w:r>
        <w:t xml:space="preserve">accelerated hardware degradation. As a result, GPUs often need to be replaced every two to</w:t>
      </w:r>
      <w:r>
        <w:t xml:space="preserve"> </w:t>
      </w:r>
      <w:r>
        <w:t xml:space="preserve">four years, a phenomenon known as chip aging.</w:t>
      </w:r>
    </w:p>
    <w:p>
      <w:pPr>
        <w:pStyle w:val="Compact"/>
        <w:numPr>
          <w:ilvl w:val="0"/>
          <w:numId w:val="1070"/>
        </w:numPr>
      </w:pPr>
      <w:r>
        <w:t xml:space="preserve">Interface (2024). Chip Production’s Ecological Footprint: Mapping Climate and Environmental Impact.</w:t>
      </w:r>
      <w:r>
        <w:t xml:space="preserve"> </w:t>
      </w:r>
      <w:r>
        <w:t xml:space="preserve">https://www.interface-eu.org/publications/chip-productions-ecological-footprint</w:t>
      </w:r>
    </w:p>
    <w:p>
      <w:pPr>
        <w:pStyle w:val="Compact"/>
        <w:numPr>
          <w:ilvl w:val="0"/>
          <w:numId w:val="1070"/>
        </w:numPr>
      </w:pPr>
      <w:r>
        <w:t xml:space="preserve">Interface (2024). Chip Production’s Ecological Footprint: Mapping Climate and Environmental Impact.</w:t>
      </w:r>
      <w:r>
        <w:br/>
      </w:r>
      <w:r>
        <w:t xml:space="preserve">https://www.interface-eu.org/publications/chip-productions-ecological-footprint</w:t>
      </w:r>
    </w:p>
    <w:p>
      <w:pPr>
        <w:pStyle w:val="FirstParagraph"/>
      </w:pPr>
      <w:r>
        <w:t xml:space="preserve">143</w:t>
      </w:r>
      <w:r>
        <w:t xml:space="preserve"> </w:t>
      </w:r>
      <w:r>
        <w:t xml:space="preserve">Environmental considerations, by contrast, encompass aspects such as water consumption, the</w:t>
      </w:r>
      <w:r>
        <w:t xml:space="preserve"> </w:t>
      </w:r>
      <w:r>
        <w:t xml:space="preserve">ecological impacts of raw material extraction, risks of chemical contamination to ecosystems</w:t>
      </w:r>
      <w:r>
        <w:t xml:space="preserve"> </w:t>
      </w:r>
      <w:r>
        <w:t xml:space="preserve">and human health via forever chemicals (such as PFAS), and the challenges of waste</w:t>
      </w:r>
      <w:r>
        <w:t xml:space="preserve"> </w:t>
      </w:r>
      <w:r>
        <w:t xml:space="preserve">management arising from chip production and electronic device end-of-life processes. In</w:t>
      </w:r>
      <w:r>
        <w:t xml:space="preserve"> </w:t>
      </w:r>
      <w:r>
        <w:t xml:space="preserve">addition, greenfield investments are requiring massive land to host the large-scale clean-room</w:t>
      </w:r>
      <w:r>
        <w:t xml:space="preserve"> </w:t>
      </w:r>
      <w:r>
        <w:t xml:space="preserve">infrastructure. (299)</w:t>
      </w:r>
      <w:r>
        <w:br/>
      </w:r>
      <w:r>
        <w:t xml:space="preserve">Scope 1 emissions (direct emissions) and PFAS</w:t>
      </w:r>
      <w:r>
        <w:br/>
      </w:r>
      <w:r>
        <w:t xml:space="preserve">The environmental impacts of semiconductor production in the EU are regulated, inter alia,</w:t>
      </w:r>
      <w:r>
        <w:t xml:space="preserve"> </w:t>
      </w:r>
      <w:r>
        <w:t xml:space="preserve">by Regulation (EU) No 2024/573 on fluorinated greenhouse gases (F-gases). F-gases are</w:t>
      </w:r>
      <w:r>
        <w:t xml:space="preserve"> </w:t>
      </w:r>
      <w:r>
        <w:t xml:space="preserve">human-made chemicals that are very strong greenhouse gases (GHG), often several thousand</w:t>
      </w:r>
      <w:r>
        <w:t xml:space="preserve"> </w:t>
      </w:r>
      <w:r>
        <w:t xml:space="preserve">times stronger than carbon dioxide (CO2). Under the F-gas Regulation, the semiconductor</w:t>
      </w:r>
      <w:r>
        <w:t xml:space="preserve"> </w:t>
      </w:r>
      <w:r>
        <w:t xml:space="preserve">industry sector is covered by a prohibition to intentionally emit F-gases as well as</w:t>
      </w:r>
      <w:r>
        <w:t xml:space="preserve"> </w:t>
      </w:r>
      <w:r>
        <w:t xml:space="preserve">requirements to take technically and economically feasible measures to minimise</w:t>
      </w:r>
      <w:r>
        <w:t xml:space="preserve"> </w:t>
      </w:r>
      <w:r>
        <w:t xml:space="preserve">unintentional (“leakage”) of these gases. These rules have been reinforced recently with the</w:t>
      </w:r>
      <w:r>
        <w:t xml:space="preserve"> </w:t>
      </w:r>
      <w:r>
        <w:t xml:space="preserve">new 2024 update of the Regulation.</w:t>
      </w:r>
      <w:r>
        <w:t xml:space="preserve"> </w:t>
      </w:r>
      <w:r>
        <w:t xml:space="preserve">While the production of semiconductors uses some of the F-gases with the highest global</w:t>
      </w:r>
      <w:r>
        <w:t xml:space="preserve"> </w:t>
      </w:r>
      <w:r>
        <w:t xml:space="preserve">warming potential (e.g. trifluoromethane (HFC-23), perfuorocarbons (PFCs), nitrogen</w:t>
      </w:r>
      <w:r>
        <w:t xml:space="preserve"> </w:t>
      </w:r>
      <w:r>
        <w:t xml:space="preserve">trifluoride (NF3), sulphur hexafluoride (SF6) etc.), the quantities are still modest amounting</w:t>
      </w:r>
      <w:r>
        <w:t xml:space="preserve"> </w:t>
      </w:r>
      <w:r>
        <w:t xml:space="preserve">currently to about a few percent of total current F-gas emissions in the EU. (300)</w:t>
      </w:r>
      <w:r>
        <w:t xml:space="preserve"> </w:t>
      </w:r>
      <w:r>
        <w:t xml:space="preserve">Generally, the EU semiconductor industry is taking stricter measures during its manufacturing</w:t>
      </w:r>
      <w:r>
        <w:t xml:space="preserve"> </w:t>
      </w:r>
      <w:r>
        <w:t xml:space="preserve">processes to prevent emitting F-gases compared to other world regions. The sector is claiming</w:t>
      </w:r>
      <w:r>
        <w:t xml:space="preserve"> </w:t>
      </w:r>
      <w:r>
        <w:t xml:space="preserve">to have made substantial investments to implement reduction practices at operations across</w:t>
      </w:r>
      <w:r>
        <w:t xml:space="preserve"> </w:t>
      </w:r>
      <w:r>
        <w:t xml:space="preserve">Europe. The European Semiconductor Industry Association (ESIA) estimated in 2021 that the</w:t>
      </w:r>
      <w:r>
        <w:t xml:space="preserve"> </w:t>
      </w:r>
      <w:r>
        <w:t xml:space="preserve">industry had achieved a 42% absolute emission reduction of PFCs between 2010 and 2020.</w:t>
      </w:r>
      <w:r>
        <w:t xml:space="preserve"> </w:t>
      </w:r>
      <w:r>
        <w:t xml:space="preserve">(301) If looked at from a global perspective, an increased and significant production of</w:t>
      </w:r>
      <w:r>
        <w:t xml:space="preserve"> </w:t>
      </w:r>
      <w:r>
        <w:t xml:space="preserve">semiconductors in the EU while minimising where possible emissions, is likely to save</w:t>
      </w:r>
      <w:r>
        <w:t xml:space="preserve"> </w:t>
      </w:r>
      <w:r>
        <w:t xml:space="preserve">emissions from F-gases at global scale.</w:t>
      </w:r>
      <w:r>
        <w:br/>
      </w:r>
      <w:r>
        <w:t xml:space="preserve">While past efforts have reduced emissions by substituting longer-chain per-and</w:t>
      </w:r>
      <w:r>
        <w:t xml:space="preserve"> </w:t>
      </w:r>
      <w:r>
        <w:t xml:space="preserve">polyfluoroalkyl substances (PFAS) with short-chain alternatives, further reductions</w:t>
      </w:r>
      <w:r>
        <w:t xml:space="preserve"> </w:t>
      </w:r>
      <w:r>
        <w:t xml:space="preserve">necessitate entirely new compounds, presenting a complex challenge. Switching to alternative</w:t>
      </w:r>
      <w:r>
        <w:t xml:space="preserve"> </w:t>
      </w:r>
      <w:r>
        <w:t xml:space="preserve">chemicals involves balancing global warming potential (GWP) and atmospheric persistence,</w:t>
      </w:r>
      <w:r>
        <w:t xml:space="preserve"> </w:t>
      </w:r>
      <w:r>
        <w:t xml:space="preserve">often leading to trade-offs. For instance, while CHF3 has a higher GWP than CF4, CF4 stays</w:t>
      </w:r>
      <w:r>
        <w:t xml:space="preserve"> </w:t>
      </w:r>
      <w:r>
        <w:t xml:space="preserve">longer in the atmosphere.</w:t>
      </w:r>
      <w:r>
        <w:t xml:space="preserve"> </w:t>
      </w:r>
      <w:r>
        <w:t xml:space="preserve">Despite the urgency, transitioning away from harmful compounds will require time, with</w:t>
      </w:r>
      <w:r>
        <w:t xml:space="preserve"> </w:t>
      </w:r>
      <w:r>
        <w:t xml:space="preserve">challenges varying across processes. Solutions for cleaning processes may emerge within 5–</w:t>
      </w:r>
      <w:r>
        <w:t xml:space="preserve"> </w:t>
      </w:r>
      <w:r>
        <w:t xml:space="preserve">10 years, while alternatives for dry etching could take more than 15 years. Generally,</w:t>
      </w:r>
    </w:p>
    <w:p>
      <w:pPr>
        <w:pStyle w:val="Compact"/>
        <w:numPr>
          <w:ilvl w:val="0"/>
          <w:numId w:val="1071"/>
        </w:numPr>
      </w:pPr>
      <w:r>
        <w:t xml:space="preserve">Interface (2024). Chip Production’s Ecological Footprint: Mapping Climate and Environmental Impact.</w:t>
      </w:r>
      <w:r>
        <w:br/>
      </w:r>
      <w:r>
        <w:t xml:space="preserve">https://www.interface-eu.org/publications/chip-productions-ecological-footprint</w:t>
      </w:r>
    </w:p>
    <w:p>
      <w:pPr>
        <w:pStyle w:val="Compact"/>
        <w:numPr>
          <w:ilvl w:val="0"/>
          <w:numId w:val="1071"/>
        </w:numPr>
      </w:pPr>
      <w:r>
        <w:t xml:space="preserve">See Impact Assessment to: Regulation (EU) No 517/2014 of the European Parliament and of the Council of 16 April</w:t>
      </w:r>
      <w:r>
        <w:t xml:space="preserve"> </w:t>
      </w:r>
      <w:r>
        <w:t xml:space="preserve">2014 on fluorinated greenhouse gases and repealing Regulation (EC) No 842/2006 Text with EEA relevance:</w:t>
      </w:r>
      <w:r>
        <w:br/>
      </w:r>
      <w:r>
        <w:t xml:space="preserve">https://ec.europa.eu/clima/document/download/9013881e-8d5d-429e-9112-c908f127c833_en?filename=f-</w:t>
      </w:r>
      <w:r>
        <w:t xml:space="preserve"> </w:t>
      </w:r>
      <w:r>
        <w:t xml:space="preserve">gases_impact_assessment_en.pdf</w:t>
      </w:r>
    </w:p>
    <w:p>
      <w:pPr>
        <w:pStyle w:val="Compact"/>
        <w:numPr>
          <w:ilvl w:val="0"/>
          <w:numId w:val="1071"/>
        </w:numPr>
      </w:pPr>
      <w:r>
        <w:t xml:space="preserve">https://www.electronicspecifier.com/industries/alternative-energy/european-fluorinated-greenhouse-gas-emissions-cut-</w:t>
      </w:r>
      <w:r>
        <w:t xml:space="preserve"> </w:t>
      </w:r>
      <w:r>
        <w:t xml:space="preserve">by-42</w:t>
      </w:r>
    </w:p>
    <w:p>
      <w:pPr>
        <w:pStyle w:val="FirstParagraph"/>
      </w:pPr>
      <w:r>
        <w:t xml:space="preserve">144</w:t>
      </w:r>
      <w:r>
        <w:t xml:space="preserve"> </w:t>
      </w:r>
      <w:r>
        <w:t xml:space="preserve">implementation of non-PFAS alternatives is expected to take 15 to more than 20 years. This</w:t>
      </w:r>
      <w:r>
        <w:t xml:space="preserve"> </w:t>
      </w:r>
      <w:r>
        <w:t xml:space="preserve">transition incurs substantial research and transition costs, underscoring the need for a long-</w:t>
      </w:r>
      <w:r>
        <w:t xml:space="preserve"> </w:t>
      </w:r>
      <w:r>
        <w:t xml:space="preserve">term commitment to sustainability. Certain of these forever chemicals used in semiconductor</w:t>
      </w:r>
      <w:r>
        <w:t xml:space="preserve"> </w:t>
      </w:r>
      <w:r>
        <w:t xml:space="preserve">manufacturing are included in the proposed ban on PFAS under the REACH regulation. (302)</w:t>
      </w:r>
      <w:r>
        <w:t xml:space="preserve"> </w:t>
      </w:r>
      <w:r>
        <w:t xml:space="preserve">Scope 2 emissions (indirect emissions)</w:t>
      </w:r>
      <w:r>
        <w:br/>
      </w:r>
      <w:r>
        <w:t xml:space="preserve">Electricity represents the largest share of energy consumption in semiconductor</w:t>
      </w:r>
      <w:r>
        <w:t xml:space="preserve"> </w:t>
      </w:r>
      <w:r>
        <w:t xml:space="preserve">manufacturing and is the primary source of GHG emissions in chip production. The amount</w:t>
      </w:r>
      <w:r>
        <w:t xml:space="preserve"> </w:t>
      </w:r>
      <w:r>
        <w:t xml:space="preserve">of electricity used varies significantly depending on factors such as chip type, manufacturing</w:t>
      </w:r>
      <w:r>
        <w:t xml:space="preserve"> </w:t>
      </w:r>
      <w:r>
        <w:t xml:space="preserve">process complexity, and lithography technology. More advanced processes, such as extreme</w:t>
      </w:r>
      <w:r>
        <w:t xml:space="preserve"> </w:t>
      </w:r>
      <w:r>
        <w:t xml:space="preserve">ultraviolet (EUV) lithography, consume substantially more energy. For instance, 5 nm logic</w:t>
      </w:r>
      <w:r>
        <w:t xml:space="preserve"> </w:t>
      </w:r>
      <w:r>
        <w:t xml:space="preserve">manufacturing processes require roughly three times as much electricity as 32 nm processes.</w:t>
      </w:r>
      <w:r>
        <w:t xml:space="preserve"> </w:t>
      </w:r>
      <w:r>
        <w:t xml:space="preserve">This illustrates that it is not possible to provide a general estimate of energy consumption per</w:t>
      </w:r>
      <w:r>
        <w:t xml:space="preserve"> </w:t>
      </w:r>
      <w:r>
        <w:t xml:space="preserve">wafer without specifying the manufacturing process, technology type, and node. (303)</w:t>
      </w:r>
      <w:r>
        <w:t xml:space="preserve"> </w:t>
      </w:r>
      <w:r>
        <w:t xml:space="preserve">Very broadly speaking estimates suggest that large, advanced wafer fabrication facilities can</w:t>
      </w:r>
      <w:r>
        <w:t xml:space="preserve"> </w:t>
      </w:r>
      <w:r>
        <w:t xml:space="preserve">draw more than 100 MW of continuous power - comparable to the electricity demand of a</w:t>
      </w:r>
      <w:r>
        <w:t xml:space="preserve"> </w:t>
      </w:r>
      <w:r>
        <w:t xml:space="preserve">small city. From a global perspective, total energy consumption in semiconductor</w:t>
      </w:r>
      <w:r>
        <w:t xml:space="preserve"> </w:t>
      </w:r>
      <w:r>
        <w:t xml:space="preserve">manufacturing increased by approximately 125% between 2015 and 2023. This growth is</w:t>
      </w:r>
      <w:r>
        <w:t xml:space="preserve"> </w:t>
      </w:r>
      <w:r>
        <w:t xml:space="preserve">driven not only by the increasing complexity of manufacturing processes and equipment but</w:t>
      </w:r>
      <w:r>
        <w:t xml:space="preserve"> </w:t>
      </w:r>
      <w:r>
        <w:t xml:space="preserve">also by the substantial expansion of global production capacity and increased operation of</w:t>
      </w:r>
      <w:r>
        <w:t xml:space="preserve"> </w:t>
      </w:r>
      <w:r>
        <w:t xml:space="preserve">abatement equipment. (304)</w:t>
      </w:r>
      <w:r>
        <w:t xml:space="preserve"> </w:t>
      </w:r>
      <w:r>
        <w:t xml:space="preserve">There are two distinct methods for scope 2 accounting. A location-based method reflects the</w:t>
      </w:r>
      <w:r>
        <w:t xml:space="preserve"> </w:t>
      </w:r>
      <w:r>
        <w:t xml:space="preserve">average emissions intensity of grids on which energy consumption occurs (using mostly grid-</w:t>
      </w:r>
      <w:r>
        <w:t xml:space="preserve"> </w:t>
      </w:r>
      <w:r>
        <w:t xml:space="preserve">average emission factor data). (305) A market-based method reflects emissions from electricity</w:t>
      </w:r>
      <w:r>
        <w:t xml:space="preserve"> </w:t>
      </w:r>
      <w:r>
        <w:t xml:space="preserve">that companies have purposefully chosen (or their lack of choice). (306) In the estimations</w:t>
      </w:r>
      <w:r>
        <w:t xml:space="preserve"> </w:t>
      </w:r>
      <w:r>
        <w:t xml:space="preserve">below, both scope 2 accounting methods will be presented.</w:t>
      </w:r>
      <w:r>
        <w:br/>
      </w:r>
      <w:r>
        <w:t xml:space="preserve">4.1.2. Environmental impact assessment for BAU scenario</w:t>
      </w:r>
      <w:r>
        <w:t xml:space="preserve"> </w:t>
      </w:r>
      <w:r>
        <w:t xml:space="preserve">Reported total emissions from EU chip production in 2021 amounted to be between 10.67</w:t>
      </w:r>
      <w:r>
        <w:t xml:space="preserve"> </w:t>
      </w:r>
      <w:r>
        <w:t xml:space="preserve">Mio tCO2e and 13.67 Mio tCO2e. (307) Assuming, no major changes in total emissions by</w:t>
      </w:r>
      <w:r>
        <w:t xml:space="preserve"> </w:t>
      </w:r>
      <w:r>
        <w:t xml:space="preserve">2024, this matches our own calculations for scope 1 and 2 emissions in Europe. Assuming</w:t>
      </w:r>
      <w:r>
        <w:t xml:space="preserve"> </w:t>
      </w:r>
      <w:r>
        <w:t xml:space="preserve">that Europe’s current yearly manufacturing capacity of wafers is around 12.84 Mio, scope 1</w:t>
      </w:r>
      <w:r>
        <w:t xml:space="preserve"> </w:t>
      </w:r>
      <w:r>
        <w:t xml:space="preserve">emissions are estimated to reach between 821 760 (308) – 1 027 000 (309) tCO2e, with scope 2</w:t>
      </w:r>
      <w:r>
        <w:t xml:space="preserve"> </w:t>
      </w:r>
      <w:r>
        <w:t xml:space="preserve">(location-based) being around 4 173 000 (290) – 5 392 800 (308) tCO2e. Our analysis lacks the</w:t>
      </w:r>
      <w:r>
        <w:t xml:space="preserve"> </w:t>
      </w:r>
      <w:r>
        <w:t xml:space="preserve">reporting on scope 3 emissions due to missing standardisation. However, as the average share</w:t>
      </w:r>
    </w:p>
    <w:p>
      <w:pPr>
        <w:pStyle w:val="Compact"/>
        <w:numPr>
          <w:ilvl w:val="0"/>
          <w:numId w:val="1072"/>
        </w:numPr>
      </w:pPr>
      <w:r>
        <w:t xml:space="preserve">https://www.interface-eu.org/publications/chip-productions-ecological-footprint</w:t>
      </w:r>
    </w:p>
    <w:p>
      <w:pPr>
        <w:pStyle w:val="Compact"/>
        <w:numPr>
          <w:ilvl w:val="0"/>
          <w:numId w:val="1072"/>
        </w:numPr>
      </w:pPr>
      <w:r>
        <w:t xml:space="preserve">https://www.interface-eu.org/publications/semiconductor-emission-explorer</w:t>
      </w:r>
    </w:p>
    <w:p>
      <w:pPr>
        <w:pStyle w:val="Compact"/>
        <w:numPr>
          <w:ilvl w:val="0"/>
          <w:numId w:val="1072"/>
        </w:numPr>
      </w:pPr>
      <w:r>
        <w:t xml:space="preserve">https://www.interface-eu.org/publications/semiconductor-emission-explorer</w:t>
      </w:r>
      <w:r>
        <w:br/>
      </w:r>
    </w:p>
    <w:p>
      <w:pPr>
        <w:pStyle w:val="Compact"/>
        <w:numPr>
          <w:ilvl w:val="0"/>
          <w:numId w:val="1072"/>
        </w:numPr>
      </w:pPr>
      <w:r>
        <w:t xml:space="preserve">Scope 2 Guidance.pdf</w:t>
      </w:r>
    </w:p>
    <w:p>
      <w:pPr>
        <w:pStyle w:val="Compact"/>
        <w:numPr>
          <w:ilvl w:val="0"/>
          <w:numId w:val="1072"/>
        </w:numPr>
      </w:pPr>
      <w:r>
        <w:t xml:space="preserve">Scope 2 Guidance.pdf</w:t>
      </w:r>
    </w:p>
    <w:p>
      <w:pPr>
        <w:pStyle w:val="Compact"/>
        <w:numPr>
          <w:ilvl w:val="0"/>
          <w:numId w:val="1072"/>
        </w:numPr>
      </w:pPr>
      <w:r>
        <w:t xml:space="preserve">https://www.interface-eu.org/publications/chip-productions-ecological-footprint</w:t>
      </w:r>
      <w:r>
        <w:t xml:space="preserve"> </w:t>
      </w:r>
      <w:r>
        <w:t xml:space="preserve">(308)Own calculations</w:t>
      </w:r>
      <w:r>
        <w:t xml:space="preserve"> </w:t>
      </w:r>
      <w:r>
        <w:t xml:space="preserve">(309)Die Setup - imec.netzero; technologies: N28 (Logic Mobile SoC, 300 mm), Germany - average ; 10 mm die size X and</w:t>
      </w:r>
      <w:r>
        <w:t xml:space="preserve"> </w:t>
      </w:r>
      <w:r>
        <w:t xml:space="preserve">die size Y: yield 85%; IPCC Tier 2C with combustion abatement model</w:t>
      </w:r>
    </w:p>
    <w:p>
      <w:pPr>
        <w:pStyle w:val="FirstParagraph"/>
      </w:pPr>
      <w:r>
        <w:t xml:space="preserve">145</w:t>
      </w:r>
      <w:r>
        <w:t xml:space="preserve"> </w:t>
      </w:r>
      <w:r>
        <w:t xml:space="preserve">of scope 3 emissions among the 20 largest chip manufacturers was 65% in 2021 (310), and</w:t>
      </w:r>
      <w:r>
        <w:t xml:space="preserve"> </w:t>
      </w:r>
      <w:r>
        <w:t xml:space="preserve">assuming scope 3 emissions did not change significantly over the last 3 years, the total</w:t>
      </w:r>
      <w:r>
        <w:t xml:space="preserve"> </w:t>
      </w:r>
      <w:r>
        <w:t xml:space="preserve">emissions from EU chip manufacturing in 2024 are indeed estimated to be between 10.67 Mio</w:t>
      </w:r>
      <w:r>
        <w:t xml:space="preserve"> </w:t>
      </w:r>
      <w:r>
        <w:t xml:space="preserve">tCO2e and 13.67 Mio tCO2e. Using imec.netzero model (311), total scope 3 emissions are</w:t>
      </w:r>
      <w:r>
        <w:t xml:space="preserve"> </w:t>
      </w:r>
      <w:r>
        <w:t xml:space="preserve">estimated to be around 3 466 800 tCO2e.</w:t>
      </w:r>
      <w:r>
        <w:t xml:space="preserve"> </w:t>
      </w:r>
      <w:r>
        <w:t xml:space="preserve">Estimated EU’s total scope 1 and 2 emissions (location and market-based) were calculated</w:t>
      </w:r>
      <w:r>
        <w:t xml:space="preserve"> </w:t>
      </w:r>
      <w:r>
        <w:t xml:space="preserve">based on scope 1 and 2 emissions reported for the Global Foundries (GF) fab in Dresden in</w:t>
      </w:r>
      <w:r>
        <w:t xml:space="preserve"> </w:t>
      </w:r>
      <w:r>
        <w:t xml:space="preserve">2023 assuming maximum yearly wafer capacity of 950 000. (312) Data from Global Foundries</w:t>
      </w:r>
      <w:r>
        <w:t xml:space="preserve"> </w:t>
      </w:r>
      <w:r>
        <w:t xml:space="preserve">fab in Dresden were purposefully chosen to reflect as much as possible the European reality.</w:t>
      </w:r>
      <w:r>
        <w:t xml:space="preserve"> </w:t>
      </w:r>
      <w:r>
        <w:t xml:space="preserve">Among available disclosures, only GlobalFoundries provided both site-level emissions data</w:t>
      </w:r>
      <w:r>
        <w:t xml:space="preserve"> </w:t>
      </w:r>
      <w:r>
        <w:t xml:space="preserve">and corresponding wafer capacity, which enabled transparent calculation of emissions</w:t>
      </w:r>
      <w:r>
        <w:t xml:space="preserve"> </w:t>
      </w:r>
      <w:r>
        <w:t xml:space="preserve">intensity and supports a defensible proxy for European fab operations.</w:t>
      </w:r>
      <w:r>
        <w:br/>
      </w:r>
      <w:r>
        <w:t xml:space="preserve">Additionally, imec.netzero multi-parametric Life-Cycle Assessment model that calculates the</w:t>
      </w:r>
      <w:r>
        <w:t xml:space="preserve"> </w:t>
      </w:r>
      <w:r>
        <w:t xml:space="preserve">environmental footprint for the fabrication of integrated circuits in a high-volume</w:t>
      </w:r>
      <w:r>
        <w:t xml:space="preserve"> </w:t>
      </w:r>
      <w:r>
        <w:t xml:space="preserve">semiconductor fab was also used and the data achieved are consistent with our own</w:t>
      </w:r>
      <w:r>
        <w:t xml:space="preserve"> </w:t>
      </w:r>
      <w:r>
        <w:t xml:space="preserve">calculations. (313) One of the major additional benefits of the imec.netzero model is the</w:t>
      </w:r>
      <w:r>
        <w:t xml:space="preserve"> </w:t>
      </w:r>
      <w:r>
        <w:t xml:space="preserve">inclusion of scope 3 emissions.</w:t>
      </w:r>
      <w:r>
        <w:t xml:space="preserve"> </w:t>
      </w:r>
      <w:r>
        <w:t xml:space="preserve">To estimate total EU emissions for scope 1 and 2, first emissions per wafer were calculated</w:t>
      </w:r>
      <w:r>
        <w:t xml:space="preserve"> </w:t>
      </w:r>
      <w:r>
        <w:t xml:space="preserve">for the Global Foundries fab in Dresden.</w:t>
      </w:r>
      <w:r>
        <w:t xml:space="preserve"> </w:t>
      </w:r>
      <w:r>
        <w:t xml:space="preserve">Maximum yearly wafer capacity /wpy</w:t>
      </w:r>
      <w:r>
        <w:t xml:space="preserve"> </w:t>
      </w:r>
      <w:r>
        <w:t xml:space="preserve">950 000 (314)</w:t>
      </w:r>
      <w:r>
        <w:t xml:space="preserve"> </w:t>
      </w:r>
      <w:r>
        <w:t xml:space="preserve">Scope 1 emissions / tCO2e</w:t>
      </w:r>
      <w:r>
        <w:t xml:space="preserve"> </w:t>
      </w:r>
      <w:r>
        <w:t xml:space="preserve">60 831 (315)</w:t>
      </w:r>
      <w:r>
        <w:t xml:space="preserve"> </w:t>
      </w:r>
      <w:r>
        <w:t xml:space="preserve">Scope 2 emissions (location-based) / tCO2e</w:t>
      </w:r>
      <w:r>
        <w:t xml:space="preserve"> </w:t>
      </w:r>
      <w:r>
        <w:t xml:space="preserve">308 337 (316)</w:t>
      </w:r>
      <w:r>
        <w:t xml:space="preserve"> </w:t>
      </w:r>
      <w:r>
        <w:t xml:space="preserve">Scope 2 emissions (market-based) / tCO2e</w:t>
      </w:r>
      <w:r>
        <w:t xml:space="preserve"> </w:t>
      </w:r>
      <w:r>
        <w:t xml:space="preserve">273 995 (317)</w:t>
      </w:r>
      <w:r>
        <w:t xml:space="preserve"> </w:t>
      </w:r>
      <w:r>
        <w:t xml:space="preserve">Scope 1 emissions / tCO2e/wafer</w:t>
      </w:r>
      <w:r>
        <w:t xml:space="preserve"> </w:t>
      </w:r>
      <w:r>
        <w:t xml:space="preserve">≈ 0.064</w:t>
      </w:r>
      <w:r>
        <w:t xml:space="preserve"> </w:t>
      </w:r>
      <w:r>
        <w:t xml:space="preserve">Scope 2(location-based) emissions / tCO2e/wafer</w:t>
      </w:r>
      <w:r>
        <w:t xml:space="preserve"> </w:t>
      </w:r>
      <w:r>
        <w:t xml:space="preserve">≈ 0.325</w:t>
      </w:r>
      <w:r>
        <w:t xml:space="preserve"> </w:t>
      </w:r>
      <w:r>
        <w:t xml:space="preserve">Scope 2 (market-based) emissions / tCO2e/wafer</w:t>
      </w:r>
      <w:r>
        <w:t xml:space="preserve"> </w:t>
      </w:r>
      <w:r>
        <w:t xml:space="preserve">≈ 0.288</w:t>
      </w:r>
      <w:r>
        <w:t xml:space="preserve"> </w:t>
      </w:r>
      <w:r>
        <w:t xml:space="preserve">Total current capacity /wpy</w:t>
      </w:r>
      <w:r>
        <w:t xml:space="preserve"> </w:t>
      </w:r>
      <w:r>
        <w:t xml:space="preserve">≈ 12.84 Mio</w:t>
      </w:r>
      <w:r>
        <w:t xml:space="preserve"> </w:t>
      </w:r>
      <w:r>
        <w:t xml:space="preserve">Estimated total scope 1 emissions / tCO2e</w:t>
      </w:r>
      <w:r>
        <w:t xml:space="preserve"> </w:t>
      </w:r>
      <w:r>
        <w:t xml:space="preserve">≈ 821 760</w:t>
      </w:r>
    </w:p>
    <w:p>
      <w:pPr>
        <w:pStyle w:val="Compact"/>
        <w:numPr>
          <w:ilvl w:val="0"/>
          <w:numId w:val="1073"/>
        </w:numPr>
      </w:pPr>
      <w:r>
        <w:t xml:space="preserve">https://www.interface-eu.org/publications/chip-productions-ecological-footprint</w:t>
      </w:r>
    </w:p>
    <w:p>
      <w:pPr>
        <w:pStyle w:val="Compact"/>
        <w:numPr>
          <w:ilvl w:val="0"/>
          <w:numId w:val="1073"/>
        </w:numPr>
      </w:pPr>
      <w:r>
        <w:t xml:space="preserve">Die Setup - imec.netzero; technologies: N28 (Logic Mobile SoC, 300 mm), Germany - average ; 10 mm die size X and</w:t>
      </w:r>
      <w:r>
        <w:t xml:space="preserve"> </w:t>
      </w:r>
      <w:r>
        <w:t xml:space="preserve">die size Y: yield 85%; IPCC Tier 2C with combustion abatement model</w:t>
      </w:r>
    </w:p>
    <w:p>
      <w:pPr>
        <w:pStyle w:val="Compact"/>
        <w:numPr>
          <w:ilvl w:val="0"/>
          <w:numId w:val="1073"/>
        </w:numPr>
      </w:pPr>
      <w:r>
        <w:t xml:space="preserve">2023 data are taken into account as from 1st January 2024, a cogeneration plant at the Dresden site came under the</w:t>
      </w:r>
      <w:r>
        <w:t xml:space="preserve"> </w:t>
      </w:r>
      <w:r>
        <w:t xml:space="preserve">operational control of GF and the emissions from the plant are being reported as scope 1 emissions. Before 1st January 2024</w:t>
      </w:r>
      <w:r>
        <w:t xml:space="preserve"> </w:t>
      </w:r>
      <w:r>
        <w:t xml:space="preserve">they were categorised as scope 2 emissions.</w:t>
      </w:r>
    </w:p>
    <w:p>
      <w:pPr>
        <w:pStyle w:val="Compact"/>
        <w:numPr>
          <w:ilvl w:val="0"/>
          <w:numId w:val="1073"/>
        </w:numPr>
      </w:pPr>
      <w:r>
        <w:t xml:space="preserve">Die Setup - imec.netzero; technologies: N28 (Logic Mobile SoC, 300 mm), Germany - average ; 10 mm die size X and</w:t>
      </w:r>
      <w:r>
        <w:t xml:space="preserve"> </w:t>
      </w:r>
      <w:r>
        <w:t xml:space="preserve">die size Y: yield 85%; IPCC Tier 2C with combustion abatement model</w:t>
      </w:r>
    </w:p>
    <w:p>
      <w:pPr>
        <w:pStyle w:val="Compact"/>
        <w:numPr>
          <w:ilvl w:val="0"/>
          <w:numId w:val="1073"/>
        </w:numPr>
      </w:pPr>
      <w:r>
        <w:t xml:space="preserve">Dresden: Facts, figures, data | GlobalFoundries</w:t>
      </w:r>
    </w:p>
    <w:p>
      <w:pPr>
        <w:pStyle w:val="Compact"/>
        <w:numPr>
          <w:ilvl w:val="0"/>
          <w:numId w:val="1073"/>
        </w:numPr>
      </w:pPr>
      <w:r>
        <w:t xml:space="preserve">CDP_-GlobalFoundries-Inc.-09-10-2024-CORPORATE_public_version.pdf</w:t>
      </w:r>
    </w:p>
    <w:p>
      <w:pPr>
        <w:pStyle w:val="Compact"/>
        <w:numPr>
          <w:ilvl w:val="0"/>
          <w:numId w:val="1073"/>
        </w:numPr>
      </w:pPr>
      <w:r>
        <w:t xml:space="preserve">CDP_-GlobalFoundries-Inc.-09-10-2024-CORPORATE_public_version.pdf</w:t>
      </w:r>
    </w:p>
    <w:p>
      <w:pPr>
        <w:pStyle w:val="Compact"/>
        <w:numPr>
          <w:ilvl w:val="0"/>
          <w:numId w:val="1073"/>
        </w:numPr>
      </w:pPr>
      <w:r>
        <w:t xml:space="preserve">CDP_-GlobalFoundries-Inc.-09-10-2024-CORPORATE_public_version.pdf</w:t>
      </w:r>
    </w:p>
    <w:p>
      <w:pPr>
        <w:pStyle w:val="FirstParagraph"/>
      </w:pPr>
      <w:r>
        <w:t xml:space="preserve">146</w:t>
      </w:r>
      <w:r>
        <w:t xml:space="preserve"> </w:t>
      </w:r>
      <w:r>
        <w:t xml:space="preserve">Estimated total current scope 2 (location-based) emissions / tCO2e ≈ 4 173 000</w:t>
      </w:r>
      <w:r>
        <w:t xml:space="preserve"> </w:t>
      </w:r>
      <w:r>
        <w:t xml:space="preserve">Estimated total current scope 2 (market-based) emissions / tCO2e</w:t>
      </w:r>
      <w:r>
        <w:t xml:space="preserve"> </w:t>
      </w:r>
      <w:r>
        <w:t xml:space="preserve">≈ 3 697 920</w:t>
      </w:r>
      <w:r>
        <w:t xml:space="preserve"> </w:t>
      </w:r>
      <w:r>
        <w:t xml:space="preserve">Data achieved from imec.netzero model for N28 (Logic Mobile SoC, 300 mm) are presented</w:t>
      </w:r>
      <w:r>
        <w:t xml:space="preserve"> </w:t>
      </w:r>
      <w:r>
        <w:t xml:space="preserve">in the Table below. (318)</w:t>
      </w:r>
      <w:r>
        <w:t xml:space="preserve"> </w:t>
      </w:r>
      <w:r>
        <w:t xml:space="preserve">Scope 1 emissions / tCO2e/wafer</w:t>
      </w:r>
      <w:r>
        <w:t xml:space="preserve"> </w:t>
      </w:r>
      <w:r>
        <w:t xml:space="preserve">0.08 (317)</w:t>
      </w:r>
      <w:r>
        <w:t xml:space="preserve"> </w:t>
      </w:r>
      <w:r>
        <w:t xml:space="preserve">Estimated total scope 1 emissions / tCO2e</w:t>
      </w:r>
      <w:r>
        <w:t xml:space="preserve"> </w:t>
      </w:r>
      <w:r>
        <w:t xml:space="preserve">1 027 000</w:t>
      </w:r>
      <w:r>
        <w:t xml:space="preserve"> </w:t>
      </w:r>
      <w:r>
        <w:t xml:space="preserve">Scope 2 emissions / tCO2e/wafer</w:t>
      </w:r>
      <w:r>
        <w:t xml:space="preserve"> </w:t>
      </w:r>
      <w:r>
        <w:t xml:space="preserve">0.42 (317)</w:t>
      </w:r>
      <w:r>
        <w:t xml:space="preserve"> </w:t>
      </w:r>
      <w:r>
        <w:t xml:space="preserve">Estimated total current scope 2 (location-based) emissions / tCO2e 5 392 800</w:t>
      </w:r>
      <w:r>
        <w:t xml:space="preserve"> </w:t>
      </w:r>
      <w:r>
        <w:t xml:space="preserve">Scope 3 emissions / tCO2e/wafer</w:t>
      </w:r>
      <w:r>
        <w:t xml:space="preserve"> </w:t>
      </w:r>
      <w:r>
        <w:t xml:space="preserve">0.27 (317)</w:t>
      </w:r>
      <w:r>
        <w:t xml:space="preserve"> </w:t>
      </w:r>
      <w:r>
        <w:t xml:space="preserve">Estimated total current scope 3 emissions / tCO2e</w:t>
      </w:r>
      <w:r>
        <w:t xml:space="preserve"> </w:t>
      </w:r>
      <w:r>
        <w:t xml:space="preserve">3 466 800</w:t>
      </w:r>
      <w:r>
        <w:t xml:space="preserve"> </w:t>
      </w:r>
      <w:r>
        <w:t xml:space="preserve">However, because Europe accounts for only a small share of global semiconductor</w:t>
      </w:r>
      <w:r>
        <w:t xml:space="preserve"> </w:t>
      </w:r>
      <w:r>
        <w:t xml:space="preserve">manufacturing capacity compared with its Asian counterparts, its associated emissions remain</w:t>
      </w:r>
      <w:r>
        <w:t xml:space="preserve"> </w:t>
      </w:r>
      <w:r>
        <w:t xml:space="preserve">well below those of high-emitting sectors.</w:t>
      </w:r>
      <w:r>
        <w:br/>
      </w:r>
      <w:r>
        <w:t xml:space="preserve">Water</w:t>
      </w:r>
      <w:r>
        <w:t xml:space="preserve"> </w:t>
      </w:r>
      <w:r>
        <w:t xml:space="preserve">A large semiconductor fabrication plant (fab) uses up to 38 million litres per day, equivalent</w:t>
      </w:r>
      <w:r>
        <w:t xml:space="preserve"> </w:t>
      </w:r>
      <w:r>
        <w:t xml:space="preserve">to the daily water consumption of around 300,000 people in Germany. (319) Water is primarily</w:t>
      </w:r>
      <w:r>
        <w:t xml:space="preserve"> </w:t>
      </w:r>
      <w:r>
        <w:t xml:space="preserve">used for ultrapure water (UPW) production, a complex process that involves multi-stage</w:t>
      </w:r>
      <w:r>
        <w:t xml:space="preserve"> </w:t>
      </w:r>
      <w:r>
        <w:t xml:space="preserve">treatments, such as reverse osmosis and ultrafiltration, with water reuse and recycling being</w:t>
      </w:r>
      <w:r>
        <w:t xml:space="preserve"> </w:t>
      </w:r>
      <w:r>
        <w:t xml:space="preserve">common on-site practices. (320)</w:t>
      </w:r>
      <w:r>
        <w:t xml:space="preserve"> </w:t>
      </w:r>
      <w:r>
        <w:t xml:space="preserve">Semiconductor manufacturing in Europe reflects the global characteristics of the industry: it is</w:t>
      </w:r>
      <w:r>
        <w:t xml:space="preserve"> </w:t>
      </w:r>
      <w:r>
        <w:t xml:space="preserve">among the most resource- and energy-intensive industrial activities per unit of value added.</w:t>
      </w:r>
      <w:r>
        <w:br/>
      </w:r>
      <w:r>
        <w:t xml:space="preserve">The deployment of advanced wafer fabrication processes in Europe would likely result in a</w:t>
      </w:r>
      <w:r>
        <w:t xml:space="preserve"> </w:t>
      </w:r>
      <w:r>
        <w:t xml:space="preserve">substantial increase in emissions. However, European fabs benefit from a comparatively low-</w:t>
      </w:r>
      <w:r>
        <w:t xml:space="preserve"> </w:t>
      </w:r>
      <w:r>
        <w:t xml:space="preserve">carbon electricity mix: the average grid emission intensity is roughly one-third that of major</w:t>
      </w:r>
      <w:r>
        <w:t xml:space="preserve"> </w:t>
      </w:r>
      <w:r>
        <w:t xml:space="preserve">East Asian manufacturing regions. (321) Despite this advantage, electricity use remains the</w:t>
      </w:r>
      <w:r>
        <w:t xml:space="preserve"> </w:t>
      </w:r>
      <w:r>
        <w:t xml:space="preserve">single largest contributor to lifecycle emissions, accounting for approximately 60–70% of</w:t>
      </w:r>
      <w:r>
        <w:t xml:space="preserve"> </w:t>
      </w:r>
      <w:r>
        <w:t xml:space="preserve">total CO₂-equivalent emissions in front-end manufacturing. (322)(323)(324)</w:t>
      </w:r>
    </w:p>
    <w:p>
      <w:pPr>
        <w:pStyle w:val="Compact"/>
        <w:numPr>
          <w:ilvl w:val="0"/>
          <w:numId w:val="1074"/>
        </w:numPr>
      </w:pPr>
      <w:r>
        <w:t xml:space="preserve">Die Setup - imec.netzero; technologies: N28 (Logic Mobile SoC, 300 mm), Germany - average ; 10 mm die size X and</w:t>
      </w:r>
      <w:r>
        <w:t xml:space="preserve"> </w:t>
      </w:r>
      <w:r>
        <w:t xml:space="preserve">die size Y: yield 85%; IPCC Tier 2C with combustion abatement model</w:t>
      </w:r>
    </w:p>
    <w:p>
      <w:pPr>
        <w:pStyle w:val="Compact"/>
        <w:numPr>
          <w:ilvl w:val="0"/>
          <w:numId w:val="1074"/>
        </w:numPr>
      </w:pPr>
      <w:r>
        <w:t xml:space="preserve">Interface (2024). Chip Production’s Ecological Footprint: Mapping Climate and Environmental Impact.</w:t>
      </w:r>
      <w:r>
        <w:br/>
      </w:r>
      <w:r>
        <w:t xml:space="preserve">https://www.interface-eu.org/publications/chip-productions-ecological-footprint</w:t>
      </w:r>
    </w:p>
    <w:p>
      <w:pPr>
        <w:pStyle w:val="Compact"/>
        <w:numPr>
          <w:ilvl w:val="0"/>
          <w:numId w:val="1074"/>
        </w:numPr>
      </w:pPr>
      <w:r>
        <w:t xml:space="preserve">IMEC. (2022). Sustainable Semiconductor Manufacturing: A Path Forward. IMEC Research Report.</w:t>
      </w:r>
    </w:p>
    <w:p>
      <w:pPr>
        <w:pStyle w:val="Compact"/>
        <w:numPr>
          <w:ilvl w:val="0"/>
          <w:numId w:val="1074"/>
        </w:numPr>
      </w:pPr>
      <w:r>
        <w:t xml:space="preserve">International Energy Agency (IEA). (2023). Energy Efficiency in Industry: Semiconductor Manufacturing Focus. Paris:</w:t>
      </w:r>
      <w:r>
        <w:t xml:space="preserve"> </w:t>
      </w:r>
      <w:r>
        <w:t xml:space="preserve">IEA.</w:t>
      </w:r>
    </w:p>
    <w:p>
      <w:pPr>
        <w:pStyle w:val="Compact"/>
        <w:numPr>
          <w:ilvl w:val="0"/>
          <w:numId w:val="1074"/>
        </w:numPr>
      </w:pPr>
      <w:r>
        <w:t xml:space="preserve">European Commission, Joint Research Centre (JRC). (2025). EU’s strengths and weaknesses in the global</w:t>
      </w:r>
      <w:r>
        <w:t xml:space="preserve"> </w:t>
      </w:r>
      <w:r>
        <w:t xml:space="preserve">semiconductor sector (JRC141323). Luxembourg: Publications Office of the European Union.</w:t>
      </w:r>
    </w:p>
    <w:p>
      <w:pPr>
        <w:pStyle w:val="Compact"/>
        <w:numPr>
          <w:ilvl w:val="0"/>
          <w:numId w:val="1074"/>
        </w:numPr>
      </w:pPr>
      <w:r>
        <w:t xml:space="preserve">McKinsey &amp; Company. (2025). Semiconductors have a big opportunity—but barriers to scale remain. McKinsey Global</w:t>
      </w:r>
      <w:r>
        <w:t xml:space="preserve"> </w:t>
      </w:r>
      <w:r>
        <w:t xml:space="preserve">Institute.</w:t>
      </w:r>
    </w:p>
    <w:p>
      <w:pPr>
        <w:pStyle w:val="FirstParagraph"/>
      </w:pPr>
      <w:r>
        <w:t xml:space="preserve">147</w:t>
      </w:r>
      <w:r>
        <w:t xml:space="preserve"> </w:t>
      </w:r>
      <w:r>
        <w:t xml:space="preserve">Overall, semiconductor manufacturing is extremely water intensive. Current water withdrawal</w:t>
      </w:r>
      <w:r>
        <w:t xml:space="preserve"> </w:t>
      </w:r>
      <w:r>
        <w:t xml:space="preserve">per wafer in Europe is estimated to be about 10.75 m3 (325) (some reports give even higher</w:t>
      </w:r>
      <w:r>
        <w:t xml:space="preserve"> </w:t>
      </w:r>
      <w:r>
        <w:t xml:space="preserve">values of 15 m3 per 12-inch wafer (326), which accounts for around 138 Mio m3 water used per</w:t>
      </w:r>
      <w:r>
        <w:t xml:space="preserve"> </w:t>
      </w:r>
      <w:r>
        <w:t xml:space="preserve">year during semiconductor manufacturing, assuming 12.8 Mio wafer capacity in the EU.</w:t>
      </w:r>
      <w:r>
        <w:t xml:space="preserve"> </w:t>
      </w:r>
      <w:r>
        <w:t xml:space="preserve">Waste</w:t>
      </w:r>
      <w:r>
        <w:br/>
      </w:r>
      <w:r>
        <w:t xml:space="preserve">Apart from GHG emissions and various volatile organic compounds that are released into the</w:t>
      </w:r>
      <w:r>
        <w:t xml:space="preserve"> </w:t>
      </w:r>
      <w:r>
        <w:t xml:space="preserve">atmosphere, front-end manufacturing generates chemical waste, solid waste, wastewater,</w:t>
      </w:r>
      <w:r>
        <w:t xml:space="preserve"> </w:t>
      </w:r>
      <w:r>
        <w:t xml:space="preserve">slurries and abrasives and packaging waste. In the last eight years, the amount of waste</w:t>
      </w:r>
      <w:r>
        <w:t xml:space="preserve"> </w:t>
      </w:r>
      <w:r>
        <w:t xml:space="preserve">generated in the semiconductor industry has nearly doubled. (327)</w:t>
      </w:r>
      <w:r>
        <w:t xml:space="preserve"> </w:t>
      </w:r>
      <w:r>
        <w:t xml:space="preserve">Regarding the environmental impact, it is important to differentiate between general or non-</w:t>
      </w:r>
      <w:r>
        <w:t xml:space="preserve"> </w:t>
      </w:r>
      <w:r>
        <w:t xml:space="preserve">hazardous waste and hazardous waste. (328) For most semiconductor manufacturers, the ratio</w:t>
      </w:r>
      <w:r>
        <w:t xml:space="preserve"> </w:t>
      </w:r>
      <w:r>
        <w:t xml:space="preserve">between hazardous and non-hazardous waste is 40%–60%. (329) Unused or spent chemicals,</w:t>
      </w:r>
      <w:r>
        <w:t xml:space="preserve"> </w:t>
      </w:r>
      <w:r>
        <w:t xml:space="preserve">such as those that can be categorised as PFAS, often contain waste acids, waste solvents,</w:t>
      </w:r>
      <w:r>
        <w:t xml:space="preserve"> </w:t>
      </w:r>
      <w:r>
        <w:t xml:space="preserve">waste copper sulphate, heavy metals, etc., which end up in either chemical waste or</w:t>
      </w:r>
      <w:r>
        <w:t xml:space="preserve"> </w:t>
      </w:r>
      <w:r>
        <w:t xml:space="preserve">wastewater. (330) If not treated properly, they pose a high risk to environmental and human</w:t>
      </w:r>
      <w:r>
        <w:t xml:space="preserve"> </w:t>
      </w:r>
      <w:r>
        <w:t xml:space="preserve">health. The same applies to waste slurries, which consist of solid and potentially abrasive and</w:t>
      </w:r>
      <w:r>
        <w:t xml:space="preserve"> </w:t>
      </w:r>
      <w:r>
        <w:t xml:space="preserve">hazardous particles suspended in water from chemical mechanical polishing (CMP)</w:t>
      </w:r>
      <w:r>
        <w:t xml:space="preserve"> </w:t>
      </w:r>
      <w:r>
        <w:t xml:space="preserve">processes. (331)</w:t>
      </w:r>
      <w:r>
        <w:t xml:space="preserve"> </w:t>
      </w:r>
      <w:r>
        <w:t xml:space="preserve">Front-end manufacturers have put in place waste classification and separation, as well as safe</w:t>
      </w:r>
      <w:r>
        <w:t xml:space="preserve"> </w:t>
      </w:r>
      <w:r>
        <w:t xml:space="preserve">treatment practices to comply with regulations and increase the share of recyclable waste.</w:t>
      </w:r>
      <w:r>
        <w:t xml:space="preserve"> </w:t>
      </w:r>
      <w:r>
        <w:t xml:space="preserve">Within the last decade, most manufacturers have achieved high external recycling rates and</w:t>
      </w:r>
      <w:r>
        <w:t xml:space="preserve"> </w:t>
      </w:r>
      <w:r>
        <w:t xml:space="preserve">very low rates of disposal to landfill. A low share of hazardous waste needs to be treated by</w:t>
      </w:r>
      <w:r>
        <w:t xml:space="preserve"> </w:t>
      </w:r>
      <w:r>
        <w:t xml:space="preserve">specially authorised companies. On average, around 70% of all hazardous and non-hazardous</w:t>
      </w:r>
      <w:r>
        <w:t xml:space="preserve"> </w:t>
      </w:r>
      <w:r>
        <w:t xml:space="preserve">wastes can be recycled for reuse in other industries. (332) It is much more difficult to recycle</w:t>
      </w:r>
      <w:r>
        <w:t xml:space="preserve"> </w:t>
      </w:r>
      <w:r>
        <w:t xml:space="preserve">waste to be reused within the front-end manufacturing process itself. The share of preparation</w:t>
      </w:r>
      <w:r>
        <w:t xml:space="preserve"> </w:t>
      </w:r>
      <w:r>
        <w:t xml:space="preserve">for reuse in a fab varies significantly and is mostly applied to chemical reuse from hazardous</w:t>
      </w:r>
      <w:r>
        <w:t xml:space="preserve"> </w:t>
      </w:r>
      <w:r>
        <w:t xml:space="preserve">waste. A recent example is the invention of neon gas recycling technology, which can reduce</w:t>
      </w:r>
      <w:r>
        <w:t xml:space="preserve"> </w:t>
      </w:r>
      <w:r>
        <w:t xml:space="preserve">emissions in the production and usage of neon gas, as well as in waste treatment. (333)</w:t>
      </w:r>
      <w:r>
        <w:t xml:space="preserve"> </w:t>
      </w:r>
      <w:r>
        <w:t xml:space="preserve">Additionally, waste is burnt with recovery for energy; only 1%–5% of waste is sent to</w:t>
      </w:r>
      <w:r>
        <w:t xml:space="preserve"> </w:t>
      </w:r>
      <w:r>
        <w:t xml:space="preserve">landfill. (334)</w:t>
      </w:r>
    </w:p>
    <w:p>
      <w:pPr>
        <w:pStyle w:val="Compact"/>
        <w:numPr>
          <w:ilvl w:val="0"/>
          <w:numId w:val="1075"/>
        </w:numPr>
      </w:pPr>
      <w:r>
        <w:t xml:space="preserve">IMEC. (2022). Sustainable Semiconductor Manufacturing: A Path Forward. IMEC Research Report.</w:t>
      </w:r>
    </w:p>
    <w:p>
      <w:pPr>
        <w:pStyle w:val="Compact"/>
        <w:numPr>
          <w:ilvl w:val="0"/>
          <w:numId w:val="1075"/>
        </w:numPr>
      </w:pPr>
      <w:r>
        <w:t xml:space="preserve">Calculations based on total water withdrawals by Global Foundries in 2023 (CDP_-GlobalFoundries-Inc.-09-10-2024-</w:t>
      </w:r>
      <w:r>
        <w:t xml:space="preserve"> </w:t>
      </w:r>
      <w:r>
        <w:t xml:space="preserve">CORPORATE_public_version.pdf ) assuming total wafer shipments of 2.2 Mio wpy</w:t>
      </w:r>
      <w:r>
        <w:t xml:space="preserve"> </w:t>
      </w:r>
      <w:r>
        <w:t xml:space="preserve">326 Water-Europe-Socio-Economic-Study-1.pdf</w:t>
      </w:r>
    </w:p>
    <w:p>
      <w:pPr>
        <w:pStyle w:val="Compact"/>
        <w:numPr>
          <w:ilvl w:val="0"/>
          <w:numId w:val="1075"/>
        </w:numPr>
      </w:pPr>
      <w:r>
        <w:t xml:space="preserve">Ian King (2022): Chipmakers’ $52 Billion US Bonanza Imperils Environmental Gains. Bloomberg.</w:t>
      </w:r>
    </w:p>
    <w:p>
      <w:pPr>
        <w:pStyle w:val="Compact"/>
        <w:numPr>
          <w:ilvl w:val="0"/>
          <w:numId w:val="1075"/>
        </w:numPr>
      </w:pPr>
      <w:r>
        <w:t xml:space="preserve">Waste | NXP Semiconductors</w:t>
      </w:r>
    </w:p>
    <w:p>
      <w:pPr>
        <w:pStyle w:val="Compact"/>
        <w:numPr>
          <w:ilvl w:val="0"/>
          <w:numId w:val="1075"/>
        </w:numPr>
      </w:pPr>
      <w:r>
        <w:t xml:space="preserve">Interface (2024). Chip Production’s Ecological Footprint: Mapping Climate and Environmental Impact. Chip</w:t>
      </w:r>
      <w:r>
        <w:t xml:space="preserve"> </w:t>
      </w:r>
      <w:r>
        <w:t xml:space="preserve">Production’s Ecological Footprint: Mapping Climate and Environmental Impact</w:t>
      </w:r>
    </w:p>
    <w:p>
      <w:pPr>
        <w:pStyle w:val="Compact"/>
        <w:numPr>
          <w:ilvl w:val="0"/>
          <w:numId w:val="1075"/>
        </w:numPr>
      </w:pPr>
      <w:r>
        <w:t xml:space="preserve">Waste | NXP Semiconductors</w:t>
      </w:r>
    </w:p>
    <w:p>
      <w:pPr>
        <w:pStyle w:val="Compact"/>
        <w:numPr>
          <w:ilvl w:val="0"/>
          <w:numId w:val="1075"/>
        </w:numPr>
      </w:pPr>
      <w:r>
        <w:t xml:space="preserve">Waste | NXP Semiconductors</w:t>
      </w:r>
    </w:p>
    <w:p>
      <w:pPr>
        <w:pStyle w:val="Compact"/>
        <w:numPr>
          <w:ilvl w:val="0"/>
          <w:numId w:val="1075"/>
        </w:numPr>
      </w:pPr>
      <w:r>
        <w:t xml:space="preserve">Interface (2024). Chip Production’s Ecological Footprint: Mapping Climate and Environmental Impact. Chip</w:t>
      </w:r>
      <w:r>
        <w:t xml:space="preserve"> </w:t>
      </w:r>
      <w:r>
        <w:t xml:space="preserve">Production’s Ecological Footprint: Mapping Climate and Environmental Impact</w:t>
      </w:r>
    </w:p>
    <w:p>
      <w:pPr>
        <w:pStyle w:val="Compact"/>
        <w:numPr>
          <w:ilvl w:val="0"/>
          <w:numId w:val="1075"/>
        </w:numPr>
      </w:pPr>
      <w:r>
        <w:t xml:space="preserve">https://www.gasworld.com/story/industrys-first-neon-gas-recycling-technology-announced-by-sk-hynix-</w:t>
      </w:r>
      <w:r>
        <w:t xml:space="preserve"> </w:t>
      </w:r>
      <w:r>
        <w:t xml:space="preserve">temc/2136766.article/</w:t>
      </w:r>
    </w:p>
    <w:p>
      <w:pPr>
        <w:pStyle w:val="Compact"/>
        <w:numPr>
          <w:ilvl w:val="0"/>
          <w:numId w:val="1075"/>
        </w:numPr>
      </w:pPr>
      <w:r>
        <w:t xml:space="preserve">Ibid Interface (2024). Chip Production’s Ecological Footprint: Mapping Climate and Environmental Impact. Chip</w:t>
      </w:r>
      <w:r>
        <w:t xml:space="preserve"> </w:t>
      </w:r>
      <w:r>
        <w:t xml:space="preserve">Production’s Ecological Footprint: Mapping Climate and Environmental Impact</w:t>
      </w:r>
    </w:p>
    <w:p>
      <w:pPr>
        <w:pStyle w:val="FirstParagraph"/>
      </w:pPr>
      <w:r>
        <w:t xml:space="preserve">148</w:t>
      </w:r>
      <w:r>
        <w:t xml:space="preserve"> </w:t>
      </w:r>
      <w:r>
        <w:t xml:space="preserve">4.1.3. Modelling for different scenarios</w:t>
      </w:r>
      <w:r>
        <w:t xml:space="preserve"> </w:t>
      </w:r>
      <w:r>
        <w:t xml:space="preserve">Developments expected under BAU to 2035</w:t>
      </w:r>
      <w:r>
        <w:t xml:space="preserve"> </w:t>
      </w:r>
      <w:r>
        <w:t xml:space="preserve">Energy consumption: Under BAU, the total energy demand of Europe’s semiconductor</w:t>
      </w:r>
      <w:r>
        <w:t xml:space="preserve"> </w:t>
      </w:r>
      <w:r>
        <w:t xml:space="preserve">industry increases substantially as announced fabs in Germany, France, Ireland, and Italy</w:t>
      </w:r>
      <w:r>
        <w:t xml:space="preserve"> </w:t>
      </w:r>
      <w:r>
        <w:t xml:space="preserve">become operational. Despite continued grid decarbonisation and growing uptake of power</w:t>
      </w:r>
      <w:r>
        <w:t xml:space="preserve"> </w:t>
      </w:r>
      <w:r>
        <w:t xml:space="preserve">purchase agreements (PPAs) and on-site renewables, absolute electricity use more than</w:t>
      </w:r>
      <w:r>
        <w:t xml:space="preserve"> </w:t>
      </w:r>
      <w:r>
        <w:t xml:space="preserve">doubles by 2035. Energy intensity per wafer will most likely grow due to the transition to</w:t>
      </w:r>
      <w:r>
        <w:t xml:space="preserve"> </w:t>
      </w:r>
      <w:r>
        <w:t xml:space="preserve">more advanced lithography equipment, growing overall complexity in manufacturing</w:t>
      </w:r>
      <w:r>
        <w:t xml:space="preserve"> </w:t>
      </w:r>
      <w:r>
        <w:t xml:space="preserve">processes and increased use of abatement equipment.</w:t>
      </w:r>
      <w:r>
        <w:br/>
      </w:r>
      <w:r>
        <w:t xml:space="preserve">Water use and waste treatment: Water stress becomes an increasing constraint on site</w:t>
      </w:r>
      <w:r>
        <w:t xml:space="preserve"> </w:t>
      </w:r>
      <w:r>
        <w:t xml:space="preserve">selection, particularly in regions with limited freshwater availability such as Saxony and</w:t>
      </w:r>
      <w:r>
        <w:t xml:space="preserve"> </w:t>
      </w:r>
      <w:r>
        <w:t xml:space="preserve">southern France. (335) Most new fabs incorporate water-recycling systems targeting 75–85 %</w:t>
      </w:r>
      <w:r>
        <w:t xml:space="preserve"> </w:t>
      </w:r>
      <w:r>
        <w:t xml:space="preserve">reuse, yet total consumption still rises with industry expansion and growing complexity of</w:t>
      </w:r>
      <w:r>
        <w:t xml:space="preserve"> </w:t>
      </w:r>
      <w:r>
        <w:t xml:space="preserve">manufacturing processes. (336)(337) Chemical-waste treatment and ultrapure-water systems</w:t>
      </w:r>
      <w:r>
        <w:t xml:space="preserve"> </w:t>
      </w:r>
      <w:r>
        <w:t xml:space="preserve">continue to account for roughly 20–30 % of fab operating expenditure related to utilities.</w:t>
      </w:r>
      <w:r>
        <w:t xml:space="preserve"> </w:t>
      </w:r>
      <w:r>
        <w:t xml:space="preserve">(338)(339)</w:t>
      </w:r>
      <w:r>
        <w:t xml:space="preserve"> </w:t>
      </w:r>
      <w:r>
        <w:t xml:space="preserve">With the estimated 20.28 Mio wpy produced in Europe in 2035, the water withdrawal will</w:t>
      </w:r>
      <w:r>
        <w:t xml:space="preserve"> </w:t>
      </w:r>
      <w:r>
        <w:t xml:space="preserve">reach 218 Mio m3.</w:t>
      </w:r>
      <w:r>
        <w:t xml:space="preserve"> </w:t>
      </w:r>
      <w:r>
        <w:t xml:space="preserve">Land use and spatial footprint: Land requirements expand through new industrial parks and</w:t>
      </w:r>
      <w:r>
        <w:t xml:space="preserve"> </w:t>
      </w:r>
      <w:r>
        <w:t xml:space="preserve">fab extensions, but EU planning and permitting rules constrain excessive sprawl. (340)</w:t>
      </w:r>
      <w:r>
        <w:t xml:space="preserve"> </w:t>
      </w:r>
      <w:r>
        <w:t xml:space="preserve">Environmental impact assessments (EIAs) and biodiversity-offset obligations remain</w:t>
      </w:r>
      <w:r>
        <w:t xml:space="preserve"> </w:t>
      </w:r>
      <w:r>
        <w:t xml:space="preserve">stringent, while approval timelines continue to be long due to the environmental sensitivity of</w:t>
      </w:r>
      <w:r>
        <w:t xml:space="preserve"> </w:t>
      </w:r>
      <w:r>
        <w:t xml:space="preserve">large-scale semiconductor sites. (341)</w:t>
      </w:r>
      <w:r>
        <w:t xml:space="preserve"> </w:t>
      </w:r>
      <w:r>
        <w:t xml:space="preserve">Emissions:</w:t>
      </w:r>
      <w:r>
        <w:br/>
      </w:r>
      <w:r>
        <w:t xml:space="preserve">Under BAU, EU front-end manufacturing capacity grows, from 1.07 million wpm in 2023 to</w:t>
      </w:r>
      <w:r>
        <w:t xml:space="preserve"> </w:t>
      </w:r>
      <w:r>
        <w:t xml:space="preserve">around 1.48 million wpm by 2030 and 1.56–1.82 million wpm by 2035, maintaining a stable</w:t>
      </w:r>
      <w:r>
        <w:t xml:space="preserve"> </w:t>
      </w:r>
      <w:r>
        <w:t xml:space="preserve">8–9% of global capacity share. Taking the average of this range, under BAU the EU’s front-</w:t>
      </w:r>
      <w:r>
        <w:t xml:space="preserve"> </w:t>
      </w:r>
      <w:r>
        <w:t xml:space="preserve">end manufacturing capacity in 2035 will reach 1.69 Mio wpm, which is 20.28 Mio wpy (as</w:t>
      </w:r>
      <w:r>
        <w:t xml:space="preserve"> </w:t>
      </w:r>
      <w:r>
        <w:t xml:space="preserve">estimated in Annex 4, Section 1.2). Therefore, based on the scope 1 and 2 emissions reported</w:t>
      </w:r>
      <w:r>
        <w:t xml:space="preserve"> </w:t>
      </w:r>
      <w:r>
        <w:t xml:space="preserve">for the Global Foundries (GF) fab in Dresden in 2023, and extrapolating to European wafer</w:t>
      </w:r>
      <w:r>
        <w:t xml:space="preserve"> </w:t>
      </w:r>
      <w:r>
        <w:t xml:space="preserve">production capacity, the total Europe’s scope 1 and 2 emissions from front-end manufacturing</w:t>
      </w:r>
      <w:r>
        <w:t xml:space="preserve"> </w:t>
      </w:r>
      <w:r>
        <w:t xml:space="preserve">in 2035 can be estimated.</w:t>
      </w:r>
    </w:p>
    <w:p>
      <w:pPr>
        <w:pStyle w:val="Compact"/>
        <w:numPr>
          <w:ilvl w:val="0"/>
          <w:numId w:val="1076"/>
        </w:numPr>
      </w:pPr>
      <w:r>
        <w:t xml:space="preserve">European Commission, Joint Research Centre (JRC). (2025). EU’s strengths and weaknesses in the global</w:t>
      </w:r>
      <w:r>
        <w:t xml:space="preserve"> </w:t>
      </w:r>
      <w:r>
        <w:t xml:space="preserve">semiconductor sector (JRC141323). Luxembourg: Publications Office of the European Union.</w:t>
      </w:r>
    </w:p>
    <w:p>
      <w:pPr>
        <w:pStyle w:val="Compact"/>
        <w:numPr>
          <w:ilvl w:val="0"/>
          <w:numId w:val="1076"/>
        </w:numPr>
      </w:pPr>
      <w:r>
        <w:t xml:space="preserve">SEMI. (2023). Sustainability in the Semiconductor Manufacturing Supply Chain. SEMI Global Update.</w:t>
      </w:r>
    </w:p>
    <w:p>
      <w:pPr>
        <w:pStyle w:val="Compact"/>
        <w:numPr>
          <w:ilvl w:val="0"/>
          <w:numId w:val="1076"/>
        </w:numPr>
      </w:pPr>
      <w:r>
        <w:t xml:space="preserve">McKinsey &amp; Company. (2025). Semiconductors have a big opportunity—but barriers to scale remain. McKinsey</w:t>
      </w:r>
      <w:r>
        <w:t xml:space="preserve"> </w:t>
      </w:r>
      <w:r>
        <w:t xml:space="preserve">Global Institute.</w:t>
      </w:r>
    </w:p>
    <w:p>
      <w:pPr>
        <w:pStyle w:val="Compact"/>
        <w:numPr>
          <w:ilvl w:val="0"/>
          <w:numId w:val="1076"/>
        </w:numPr>
      </w:pPr>
      <w:r>
        <w:t xml:space="preserve">IMEC. (2022). Sustainable Semiconductor Manufacturing: A Path Forward. IMEC Research Report.</w:t>
      </w:r>
    </w:p>
    <w:p>
      <w:pPr>
        <w:pStyle w:val="Compact"/>
        <w:numPr>
          <w:ilvl w:val="0"/>
          <w:numId w:val="1076"/>
        </w:numPr>
      </w:pPr>
      <w:r>
        <w:t xml:space="preserve">SEMI. (2023). Sustainability in the Semiconductor Manufacturing Supply Chain. SEMI Global Update.</w:t>
      </w:r>
    </w:p>
    <w:p>
      <w:pPr>
        <w:pStyle w:val="Compact"/>
        <w:numPr>
          <w:ilvl w:val="0"/>
          <w:numId w:val="1076"/>
        </w:numPr>
      </w:pPr>
      <w:r>
        <w:t xml:space="preserve">European Court of Auditors. (2025). Special Report 12/2025 – The EU’s strategy for microchips: Reasonable progress</w:t>
      </w:r>
      <w:r>
        <w:t xml:space="preserve"> </w:t>
      </w:r>
      <w:r>
        <w:t xml:space="preserve">in its implementation, but the Chips Act is very unlikely to be sufficient to reach the overly ambitious Digital Decade target.</w:t>
      </w:r>
      <w:r>
        <w:br/>
      </w:r>
    </w:p>
    <w:p>
      <w:pPr>
        <w:pStyle w:val="Compact"/>
        <w:numPr>
          <w:ilvl w:val="0"/>
          <w:numId w:val="1076"/>
        </w:numPr>
      </w:pPr>
      <w:r>
        <w:t xml:space="preserve">European Commission, Joint Research Centre (JRC). (2025). EU’s strengths and weaknesses in the global</w:t>
      </w:r>
      <w:r>
        <w:t xml:space="preserve"> </w:t>
      </w:r>
      <w:r>
        <w:t xml:space="preserve">semiconductor sector (JRC141323). Luxembourg: Publications Office of the European Union.</w:t>
      </w:r>
    </w:p>
    <w:p>
      <w:pPr>
        <w:pStyle w:val="FirstParagraph"/>
      </w:pPr>
      <w:r>
        <w:t xml:space="preserve">149</w:t>
      </w:r>
      <w:r>
        <w:t xml:space="preserve"> </w:t>
      </w:r>
      <w:r>
        <w:t xml:space="preserve">Estimated average capacity in 2035 / wpy</w:t>
      </w:r>
      <w:r>
        <w:t xml:space="preserve"> </w:t>
      </w:r>
      <w:r>
        <w:t xml:space="preserve">≈ 20.28 Mio</w:t>
      </w:r>
      <w:r>
        <w:t xml:space="preserve"> </w:t>
      </w:r>
      <w:r>
        <w:t xml:space="preserve">Estimated total scope 1 emissions in 2035 under BAU / tCO2e</w:t>
      </w:r>
      <w:r>
        <w:t xml:space="preserve"> </w:t>
      </w:r>
      <w:r>
        <w:t xml:space="preserve">≈ 1 297 920</w:t>
      </w:r>
      <w:r>
        <w:t xml:space="preserve"> </w:t>
      </w:r>
      <w:r>
        <w:t xml:space="preserve">Estimated total scope 2 (location-based) emissions in 2035 under</w:t>
      </w:r>
      <w:r>
        <w:t xml:space="preserve"> </w:t>
      </w:r>
      <w:r>
        <w:t xml:space="preserve">BAU / tCO2e</w:t>
      </w:r>
      <w:r>
        <w:t xml:space="preserve"> </w:t>
      </w:r>
      <w:r>
        <w:t xml:space="preserve">≈ 6 591 000</w:t>
      </w:r>
      <w:r>
        <w:t xml:space="preserve"> </w:t>
      </w:r>
      <w:r>
        <w:t xml:space="preserve">Estimated total scope 2 (market-based) emissions in 2035 under BAU</w:t>
      </w:r>
      <w:r>
        <w:t xml:space="preserve"> </w:t>
      </w:r>
      <w:r>
        <w:t xml:space="preserve">/ tCO2e</w:t>
      </w:r>
      <w:r>
        <w:t xml:space="preserve"> </w:t>
      </w:r>
      <w:r>
        <w:t xml:space="preserve">≈ 5 840 640</w:t>
      </w:r>
      <w:r>
        <w:t xml:space="preserve"> </w:t>
      </w:r>
      <w:r>
        <w:t xml:space="preserve">Estimated total scope 1 emissions in 2035 under BAU using</w:t>
      </w:r>
      <w:r>
        <w:t xml:space="preserve"> </w:t>
      </w:r>
      <w:r>
        <w:t xml:space="preserve">imec.netzero model (342) / tCO2e</w:t>
      </w:r>
      <w:r>
        <w:t xml:space="preserve"> </w:t>
      </w:r>
      <w:r>
        <w:t xml:space="preserve">1 622 400</w:t>
      </w:r>
      <w:r>
        <w:t xml:space="preserve"> </w:t>
      </w:r>
      <w:r>
        <w:t xml:space="preserve">Estimated total scope 2 emissions in 2035 under BAU using</w:t>
      </w:r>
      <w:r>
        <w:t xml:space="preserve"> </w:t>
      </w:r>
      <w:r>
        <w:t xml:space="preserve">imec.netzero model (343) / tCO2e</w:t>
      </w:r>
      <w:r>
        <w:t xml:space="preserve"> </w:t>
      </w:r>
      <w:r>
        <w:t xml:space="preserve">8 517 600</w:t>
      </w:r>
      <w:r>
        <w:t xml:space="preserve"> </w:t>
      </w:r>
      <w:r>
        <w:t xml:space="preserve">Estimated total scope 3 emissions in 2035 under BAU using</w:t>
      </w:r>
      <w:r>
        <w:t xml:space="preserve"> </w:t>
      </w:r>
      <w:r>
        <w:t xml:space="preserve">imec.netzero model (344) / tCO2e</w:t>
      </w:r>
      <w:r>
        <w:t xml:space="preserve"> </w:t>
      </w:r>
      <w:r>
        <w:t xml:space="preserve">5 475 600</w:t>
      </w:r>
      <w:r>
        <w:t xml:space="preserve"> </w:t>
      </w:r>
      <w:r>
        <w:t xml:space="preserve">Emissions from fluorinated gases (e.g. perfluorocarbons [PFCs], SF₆) decline slightly owing</w:t>
      </w:r>
      <w:r>
        <w:t xml:space="preserve"> </w:t>
      </w:r>
      <w:r>
        <w:t xml:space="preserve">to substitution and abatement technologies, supported by international efforts under the</w:t>
      </w:r>
      <w:r>
        <w:t xml:space="preserve"> </w:t>
      </w:r>
      <w:r>
        <w:t xml:space="preserve">Kyoto-Protocol gases framework. (345) Nevertheless, indirect emissions from electricity</w:t>
      </w:r>
      <w:r>
        <w:t xml:space="preserve"> </w:t>
      </w:r>
      <w:r>
        <w:t xml:space="preserve">consumption dominate the sector’s carbon balance until full grid decarbonisation is achieved.</w:t>
      </w:r>
      <w:r>
        <w:t xml:space="preserve"> </w:t>
      </w:r>
      <w:r>
        <w:t xml:space="preserve">(346)(347) By 2035, Europe’s fab-related emissions intensity is expected to fall by roughly 20–</w:t>
      </w:r>
      <w:r>
        <w:t xml:space="preserve"> </w:t>
      </w:r>
      <w:r>
        <w:t xml:space="preserve">25 %, but total emissions still rise in line with overall capacity growth. (348)(349)</w:t>
      </w:r>
      <w:r>
        <w:t xml:space="preserve"> </w:t>
      </w:r>
      <w:r>
        <w:t xml:space="preserve">Rationale</w:t>
      </w:r>
      <w:r>
        <w:br/>
      </w:r>
      <w:r>
        <w:t xml:space="preserve">Environmental performance improves gradually under BAU thanks to incremental technology</w:t>
      </w:r>
      <w:r>
        <w:t xml:space="preserve"> </w:t>
      </w:r>
      <w:r>
        <w:t xml:space="preserve">gains, stricter EU environmental standards, and a cleaner electricity mix. (350)(351) European</w:t>
      </w:r>
      <w:r>
        <w:t xml:space="preserve"> </w:t>
      </w:r>
      <w:r>
        <w:t xml:space="preserve">fabs benefit from ongoing grid decarbonisation, adoption of power purchase agreements</w:t>
      </w:r>
      <w:r>
        <w:t xml:space="preserve"> </w:t>
      </w:r>
      <w:r>
        <w:t xml:space="preserve">(PPAs), and diffusion of energy- and water-efficiency technologies such as heat recovery and</w:t>
      </w:r>
      <w:r>
        <w:t xml:space="preserve"> </w:t>
      </w:r>
      <w:r>
        <w:t xml:space="preserve">closed-loop recycling. (352)(353)</w:t>
      </w:r>
    </w:p>
    <w:p>
      <w:pPr>
        <w:pStyle w:val="Compact"/>
        <w:numPr>
          <w:ilvl w:val="0"/>
          <w:numId w:val="1077"/>
        </w:numPr>
      </w:pPr>
      <w:r>
        <w:t xml:space="preserve">Die Setup - imec.netzero; technologies: N28 (Logic Mobile SoC, 300 mm), Germany - average ; 10 mm die size X and</w:t>
      </w:r>
      <w:r>
        <w:t xml:space="preserve"> </w:t>
      </w:r>
      <w:r>
        <w:t xml:space="preserve">die size Y: yield 85%; IPCC Tier 2C with combustion abatement model</w:t>
      </w:r>
    </w:p>
    <w:p>
      <w:pPr>
        <w:pStyle w:val="Compact"/>
        <w:numPr>
          <w:ilvl w:val="0"/>
          <w:numId w:val="1077"/>
        </w:numPr>
      </w:pPr>
      <w:r>
        <w:t xml:space="preserve">Die Setup - imec.netzero; technologies: N28 (Logic Mobile SoC, 300 mm), Germany - average ; 10 mm die size X and</w:t>
      </w:r>
      <w:r>
        <w:t xml:space="preserve"> </w:t>
      </w:r>
      <w:r>
        <w:t xml:space="preserve">die size Y: yield 85%; IPCC Tier 2C with combustion abatement model</w:t>
      </w:r>
    </w:p>
    <w:p>
      <w:pPr>
        <w:pStyle w:val="Compact"/>
        <w:numPr>
          <w:ilvl w:val="0"/>
          <w:numId w:val="1077"/>
        </w:numPr>
      </w:pPr>
      <w:r>
        <w:t xml:space="preserve">Die Setup - imec.netzero; technologies: N28 (Logic Mobile SoC, 300 mm), Germany - average ; 10 mm die size X and</w:t>
      </w:r>
      <w:r>
        <w:t xml:space="preserve"> </w:t>
      </w:r>
      <w:r>
        <w:t xml:space="preserve">die size Y: yield 85%; IPCC Tier 2C with combustion abatement model</w:t>
      </w:r>
    </w:p>
    <w:p>
      <w:pPr>
        <w:pStyle w:val="Compact"/>
        <w:numPr>
          <w:ilvl w:val="0"/>
          <w:numId w:val="1077"/>
        </w:numPr>
      </w:pPr>
      <w:r>
        <w:t xml:space="preserve">IMEC. (2022). Sustainable Semiconductor Manufacturing: A Path Forward. IMEC Research Report.</w:t>
      </w:r>
    </w:p>
    <w:p>
      <w:pPr>
        <w:pStyle w:val="Compact"/>
        <w:numPr>
          <w:ilvl w:val="0"/>
          <w:numId w:val="1077"/>
        </w:numPr>
      </w:pPr>
      <w:r>
        <w:t xml:space="preserve">McKinsey (2025). Semiconductors have a big opportunity—but barriers to scale remain. McKinsey Global Institute.</w:t>
      </w:r>
    </w:p>
    <w:p>
      <w:pPr>
        <w:pStyle w:val="Compact"/>
        <w:numPr>
          <w:ilvl w:val="0"/>
          <w:numId w:val="1077"/>
        </w:numPr>
      </w:pPr>
      <w:r>
        <w:t xml:space="preserve">International Energy Agency (IEA). (2023). Energy Efficiency in Industry: Semiconductor Manufacturing Focus. Paris:</w:t>
      </w:r>
      <w:r>
        <w:t xml:space="preserve"> </w:t>
      </w:r>
      <w:r>
        <w:t xml:space="preserve">IEA.</w:t>
      </w:r>
    </w:p>
    <w:p>
      <w:pPr>
        <w:pStyle w:val="Compact"/>
        <w:numPr>
          <w:ilvl w:val="0"/>
          <w:numId w:val="1077"/>
        </w:numPr>
      </w:pPr>
      <w:r>
        <w:t xml:space="preserve">European Commission, Joint Research Centre (JRC). (2025). EU’s strengths and weaknesses in the global</w:t>
      </w:r>
      <w:r>
        <w:t xml:space="preserve"> </w:t>
      </w:r>
      <w:r>
        <w:t xml:space="preserve">semiconductor sector (JRC141323). Luxembourg: Publications Office of the European Union.</w:t>
      </w:r>
    </w:p>
    <w:p>
      <w:pPr>
        <w:pStyle w:val="Compact"/>
        <w:numPr>
          <w:ilvl w:val="0"/>
          <w:numId w:val="1077"/>
        </w:numPr>
      </w:pPr>
      <w:r>
        <w:t xml:space="preserve">McKinsey (2025). Semiconductors have a big opportunity—but barriers to scale remain. McKinsey Global Institute.</w:t>
      </w:r>
    </w:p>
    <w:p>
      <w:pPr>
        <w:pStyle w:val="Compact"/>
        <w:numPr>
          <w:ilvl w:val="0"/>
          <w:numId w:val="1077"/>
        </w:numPr>
      </w:pPr>
      <w:r>
        <w:t xml:space="preserve">European Commission, Joint Research Centre (JRC). (2025). EU’s strengths and weaknesses in the global</w:t>
      </w:r>
      <w:r>
        <w:t xml:space="preserve"> </w:t>
      </w:r>
      <w:r>
        <w:t xml:space="preserve">semiconductor sector (JRC141323). Luxembourg: Publications Office of the European Union.</w:t>
      </w:r>
    </w:p>
    <w:p>
      <w:pPr>
        <w:pStyle w:val="Compact"/>
        <w:numPr>
          <w:ilvl w:val="0"/>
          <w:numId w:val="1077"/>
        </w:numPr>
      </w:pPr>
      <w:r>
        <w:t xml:space="preserve">International Energy Agency (IEA). (2023). Energy Efficiency in Industry: Semiconductor Manufacturing Focus. Paris:</w:t>
      </w:r>
      <w:r>
        <w:t xml:space="preserve"> </w:t>
      </w:r>
      <w:r>
        <w:t xml:space="preserve">IEA.</w:t>
      </w:r>
    </w:p>
    <w:p>
      <w:pPr>
        <w:pStyle w:val="Compact"/>
        <w:numPr>
          <w:ilvl w:val="0"/>
          <w:numId w:val="1077"/>
        </w:numPr>
      </w:pPr>
      <w:r>
        <w:t xml:space="preserve">IMEC. (2022). Sustainable Semiconductor Manufacturing: A Path Forward. IMEC Research Report.</w:t>
      </w:r>
    </w:p>
    <w:p>
      <w:pPr>
        <w:pStyle w:val="Compact"/>
        <w:numPr>
          <w:ilvl w:val="0"/>
          <w:numId w:val="1077"/>
        </w:numPr>
      </w:pPr>
      <w:r>
        <w:t xml:space="preserve">McKinsey (2025). Semiconductors have a big opportunity—but barriers to scale remain. McKinsey Global Institute.</w:t>
      </w:r>
    </w:p>
    <w:p>
      <w:pPr>
        <w:pStyle w:val="FirstParagraph"/>
      </w:pPr>
      <w:r>
        <w:t xml:space="preserve">150</w:t>
      </w:r>
      <w:r>
        <w:t xml:space="preserve"> </w:t>
      </w:r>
      <w:r>
        <w:t xml:space="preserve">However, structural factors such as high capital intensity, dependence on specialty chemicals,</w:t>
      </w:r>
      <w:r>
        <w:t xml:space="preserve"> </w:t>
      </w:r>
      <w:r>
        <w:t xml:space="preserve">and the 24/7 operational nature of fabs limit the scope for deep decarbonisation without major</w:t>
      </w:r>
      <w:r>
        <w:t xml:space="preserve"> </w:t>
      </w:r>
      <w:r>
        <w:t xml:space="preserve">technological or process breakthroughs. (354)(355)(356)</w:t>
      </w:r>
      <w:r>
        <w:t xml:space="preserve"> </w:t>
      </w:r>
      <w:r>
        <w:t xml:space="preserve">Implications</w:t>
      </w:r>
      <w:r>
        <w:t xml:space="preserve"> </w:t>
      </w:r>
      <w:r>
        <w:t xml:space="preserve">Under BAU conditions, Europe’s semiconductor expansion increases the industry’s absolute</w:t>
      </w:r>
      <w:r>
        <w:t xml:space="preserve"> </w:t>
      </w:r>
      <w:r>
        <w:t xml:space="preserve">environmental footprint despite moderate efficiency gains. (357)(358) SMEs in supply chain</w:t>
      </w:r>
      <w:r>
        <w:t xml:space="preserve"> </w:t>
      </w:r>
      <w:r>
        <w:t xml:space="preserve">segments particularly in materials, chemicals, and component processing face higher</w:t>
      </w:r>
      <w:r>
        <w:t xml:space="preserve"> </w:t>
      </w:r>
      <w:r>
        <w:t xml:space="preserve">compliance costs as environmental reporting and permitting become more stringent under EU</w:t>
      </w:r>
      <w:r>
        <w:t xml:space="preserve"> </w:t>
      </w:r>
      <w:r>
        <w:t xml:space="preserve">legislation such as the Industrial Emissions Directive and CSRD, while large fabs are better</w:t>
      </w:r>
      <w:r>
        <w:t xml:space="preserve"> </w:t>
      </w:r>
      <w:r>
        <w:t xml:space="preserve">positioned to absorb these through scale and dedicated compliance teams. (359)(360) Water and</w:t>
      </w:r>
      <w:r>
        <w:t xml:space="preserve"> </w:t>
      </w:r>
      <w:r>
        <w:t xml:space="preserve">energy efficiency technologies, including closed-loop recycling, waste-heat recovery, and</w:t>
      </w:r>
      <w:r>
        <w:t xml:space="preserve"> </w:t>
      </w:r>
      <w:r>
        <w:t xml:space="preserve">renewable PPAs, become standard features of new facilities by the early 2030s, (361)(362) but</w:t>
      </w:r>
      <w:r>
        <w:t xml:space="preserve"> </w:t>
      </w:r>
      <w:r>
        <w:t xml:space="preserve">their diffusion across smaller suppliers remains uneven. In comparison to other manufacturing</w:t>
      </w:r>
      <w:r>
        <w:t xml:space="preserve"> </w:t>
      </w:r>
      <w:r>
        <w:t xml:space="preserve">regions internationally, Europe has positioned itself as the frontier manufacturing hub when it</w:t>
      </w:r>
      <w:r>
        <w:t xml:space="preserve"> </w:t>
      </w:r>
      <w:r>
        <w:t xml:space="preserve">comes to more sustainable solutions not only due to the availability of renewable energy but</w:t>
      </w:r>
      <w:r>
        <w:t xml:space="preserve"> </w:t>
      </w:r>
      <w:r>
        <w:t xml:space="preserve">also due to its excellent research and development strengths in the supplier markets</w:t>
      </w:r>
      <w:r>
        <w:t xml:space="preserve"> </w:t>
      </w:r>
      <w:r>
        <w:t xml:space="preserve">(equipment &amp; chemicals) as well as in chip production.</w:t>
      </w:r>
      <w:r>
        <w:br/>
      </w:r>
      <w:r>
        <w:t xml:space="preserve">4.1.4. Developments expected under Policy Option 1</w:t>
      </w:r>
      <w:r>
        <w:t xml:space="preserve"> </w:t>
      </w:r>
      <w:r>
        <w:t xml:space="preserve">It was assumed that, under Policy Option 1 (PO1), more favourable policy frameworks would</w:t>
      </w:r>
      <w:r>
        <w:t xml:space="preserve"> </w:t>
      </w:r>
      <w:r>
        <w:t xml:space="preserve">lead to a growth rate of 4% from 2030 onwards. This would lead to the capacity of 20.3 Mio</w:t>
      </w:r>
      <w:r>
        <w:t xml:space="preserve"> </w:t>
      </w:r>
      <w:r>
        <w:t xml:space="preserve">wafer per year, which in turn would account to between 1.3 – 1.6 MtCO2 in scope 1</w:t>
      </w:r>
      <w:r>
        <w:t xml:space="preserve"> </w:t>
      </w:r>
      <w:r>
        <w:t xml:space="preserve">emissions and 6.6 – 8.526 MtCO2 in scope 2 emissions (location-based). Estimated EU’s total</w:t>
      </w:r>
      <w:r>
        <w:t xml:space="preserve"> </w:t>
      </w:r>
      <w:r>
        <w:t xml:space="preserve">scope 1 and 2 emissions (location-based) of PO1 were calculated based on scope 1 and 2</w:t>
      </w:r>
      <w:r>
        <w:t xml:space="preserve"> </w:t>
      </w:r>
      <w:r>
        <w:t xml:space="preserve">emissions reported for the Global Foundries (GF) fab in Dresden in 2023 and imec.netzero</w:t>
      </w:r>
      <w:r>
        <w:t xml:space="preserve"> </w:t>
      </w:r>
      <w:r>
        <w:t xml:space="preserve">model. (363)(364)</w:t>
      </w:r>
      <w:r>
        <w:t xml:space="preserve"> </w:t>
      </w:r>
      <w:r>
        <w:t xml:space="preserve">4.1.5. Developments expected under Policy Option 2</w:t>
      </w:r>
      <w:r>
        <w:t xml:space="preserve"> </w:t>
      </w:r>
      <w:r>
        <w:t xml:space="preserve">Under Policy Option 2, two scenarios were envisaged:</w:t>
      </w:r>
      <w:r>
        <w:t xml:space="preserve"> </w:t>
      </w:r>
      <w:r>
        <w:t xml:space="preserve">1. Scenario 1 - in which new investments broadly replicate the current European wafer</w:t>
      </w:r>
      <w:r>
        <w:t xml:space="preserve"> </w:t>
      </w:r>
      <w:r>
        <w:t xml:space="preserve">mix and technology profile;</w:t>
      </w:r>
    </w:p>
    <w:p>
      <w:pPr>
        <w:pStyle w:val="Compact"/>
        <w:numPr>
          <w:ilvl w:val="0"/>
          <w:numId w:val="1078"/>
        </w:numPr>
      </w:pPr>
      <w:r>
        <w:t xml:space="preserve">IMEC. (2022). Sustainable Semiconductor Manufacturing: A Path Forward. IMEC Research Report.</w:t>
      </w:r>
    </w:p>
    <w:p>
      <w:pPr>
        <w:pStyle w:val="Compact"/>
        <w:numPr>
          <w:ilvl w:val="0"/>
          <w:numId w:val="1078"/>
        </w:numPr>
      </w:pPr>
      <w:r>
        <w:t xml:space="preserve">McKinsey (2025). Semiconductors have a big opportunity—but barriers to scale remain. McKinsey Global Institute.</w:t>
      </w:r>
    </w:p>
    <w:p>
      <w:pPr>
        <w:pStyle w:val="Compact"/>
        <w:numPr>
          <w:ilvl w:val="0"/>
          <w:numId w:val="1078"/>
        </w:numPr>
      </w:pPr>
      <w:r>
        <w:t xml:space="preserve">Boston Consulting Group (BCG). (2024). Advanced packaging is reshaping the chip industry. BCG Report.</w:t>
      </w:r>
    </w:p>
    <w:p>
      <w:pPr>
        <w:pStyle w:val="Compact"/>
        <w:numPr>
          <w:ilvl w:val="0"/>
          <w:numId w:val="1078"/>
        </w:numPr>
      </w:pPr>
      <w:r>
        <w:t xml:space="preserve">European Commission, Joint Research Centre (JRC). (2025). EU’s strengths and weaknesses in the global</w:t>
      </w:r>
      <w:r>
        <w:t xml:space="preserve"> </w:t>
      </w:r>
      <w:r>
        <w:t xml:space="preserve">semiconductor sector (JRC141323). Luxembourg: Publications Office of the European Union.</w:t>
      </w:r>
    </w:p>
    <w:p>
      <w:pPr>
        <w:pStyle w:val="Compact"/>
        <w:numPr>
          <w:ilvl w:val="0"/>
          <w:numId w:val="1078"/>
        </w:numPr>
      </w:pPr>
      <w:r>
        <w:t xml:space="preserve">McKinsey (2025). Semiconductors have a big opportunity—but barriers to scale remain. McKinsey Global Institute.</w:t>
      </w:r>
    </w:p>
    <w:p>
      <w:pPr>
        <w:pStyle w:val="Compact"/>
        <w:numPr>
          <w:ilvl w:val="0"/>
          <w:numId w:val="1078"/>
        </w:numPr>
      </w:pPr>
      <w:r>
        <w:t xml:space="preserve">European Court of Auditors. (2025). Special Report 12/2025 – The EU’s strategy for microchips: Reasonable progress</w:t>
      </w:r>
      <w:r>
        <w:t xml:space="preserve"> </w:t>
      </w:r>
      <w:r>
        <w:t xml:space="preserve">in its implementation, but the Chips Act is very unlikely to be sufficient to reach the overly ambitious Digital Decade target.</w:t>
      </w:r>
      <w:r>
        <w:br/>
      </w:r>
    </w:p>
    <w:p>
      <w:pPr>
        <w:pStyle w:val="Compact"/>
        <w:numPr>
          <w:ilvl w:val="0"/>
          <w:numId w:val="1078"/>
        </w:numPr>
      </w:pPr>
      <w:r>
        <w:t xml:space="preserve">Ebrahimi, A. (2024). Groundbreaking chip sovereignty: Europe’s strategic push in the semiconductor race. Ifri Memos,</w:t>
      </w:r>
      <w:r>
        <w:t xml:space="preserve"> </w:t>
      </w:r>
      <w:r>
        <w:t xml:space="preserve">Institut français des relations internationales (IFRI). ISBN 979-10-373-0874-0.</w:t>
      </w:r>
    </w:p>
    <w:p>
      <w:pPr>
        <w:pStyle w:val="Compact"/>
        <w:numPr>
          <w:ilvl w:val="0"/>
          <w:numId w:val="1078"/>
        </w:numPr>
      </w:pPr>
      <w:r>
        <w:t xml:space="preserve">IMEC. (2022). Sustainable Semiconductor Manufacturing: A Path Forward. IMEC Research Report.</w:t>
      </w:r>
    </w:p>
    <w:p>
      <w:pPr>
        <w:pStyle w:val="Compact"/>
        <w:numPr>
          <w:ilvl w:val="0"/>
          <w:numId w:val="1078"/>
        </w:numPr>
      </w:pPr>
      <w:r>
        <w:t xml:space="preserve">SEMI. (2023). Sustainability in the Semiconductor Manufacturing Supply Chain. SEMI Global Update.</w:t>
      </w:r>
    </w:p>
    <w:p>
      <w:pPr>
        <w:pStyle w:val="Compact"/>
        <w:numPr>
          <w:ilvl w:val="0"/>
          <w:numId w:val="1078"/>
        </w:numPr>
      </w:pPr>
      <w:r>
        <w:t xml:space="preserve">CDP_-GlobalFoundries-Inc.-09-10-2024-CORPORATE_public_version.pdf</w:t>
      </w:r>
    </w:p>
    <w:p>
      <w:pPr>
        <w:pStyle w:val="Compact"/>
        <w:numPr>
          <w:ilvl w:val="0"/>
          <w:numId w:val="1078"/>
        </w:numPr>
      </w:pPr>
      <w:r>
        <w:t xml:space="preserve">Die Setup - imec.netzero; technologies: N28 (Logic Mobile SoC, 300 mm), Germany - average ; 10 mm die size X and</w:t>
      </w:r>
      <w:r>
        <w:t xml:space="preserve"> </w:t>
      </w:r>
      <w:r>
        <w:t xml:space="preserve">die size Y: yield 85%; IPCC Tier 2C with combustion abatement model</w:t>
      </w:r>
    </w:p>
    <w:p>
      <w:pPr>
        <w:pStyle w:val="FirstParagraph"/>
      </w:pPr>
      <w:r>
        <w:t xml:space="preserve">151</w:t>
      </w:r>
      <w:r>
        <w:t xml:space="preserve"> </w:t>
      </w:r>
      <w:r>
        <w:t xml:space="preserve">2. Scenario 2 - in which part of the investment is redirected towards a cutting-edge logic</w:t>
      </w:r>
      <w:r>
        <w:t xml:space="preserve"> </w:t>
      </w:r>
      <w:r>
        <w:t xml:space="preserve">fab, with the remainder following the current European mix.</w:t>
      </w:r>
      <w:r>
        <w:br/>
      </w:r>
      <w:r>
        <w:t xml:space="preserve">The estimation of additional scope 1 and 2 emissions resulting from future investments for</w:t>
      </w:r>
      <w:r>
        <w:t xml:space="preserve"> </w:t>
      </w:r>
      <w:r>
        <w:t xml:space="preserve">scenario 1 was based on emissions from Global Foundries fab in Dresden in 2023 and taking</w:t>
      </w:r>
      <w:r>
        <w:t xml:space="preserve"> </w:t>
      </w:r>
      <w:r>
        <w:t xml:space="preserve">into consideration the expansion of the current European wafer mix as presented in Annex 4,</w:t>
      </w:r>
      <w:r>
        <w:t xml:space="preserve"> </w:t>
      </w:r>
      <w:r>
        <w:t xml:space="preserve">section 1.2.</w:t>
      </w:r>
      <w:r>
        <w:t xml:space="preserve"> </w:t>
      </w:r>
      <w:r>
        <w:t xml:space="preserve">Scenario 1:</w:t>
      </w:r>
      <w:r>
        <w:t xml:space="preserve"> </w:t>
      </w:r>
      <w:r>
        <w:t xml:space="preserve">Total estimated capacity in 2035 in scenario 1/wpy</w:t>
      </w:r>
      <w:r>
        <w:t xml:space="preserve"> </w:t>
      </w:r>
      <w:r>
        <w:t xml:space="preserve">≈ 22.0 Mio</w:t>
      </w:r>
      <w:r>
        <w:t xml:space="preserve"> </w:t>
      </w:r>
      <w:r>
        <w:t xml:space="preserve">Estimated total scope 1 emissions in 2035 in scenario 1/ tCO2e</w:t>
      </w:r>
      <w:r>
        <w:t xml:space="preserve"> </w:t>
      </w:r>
      <w:r>
        <w:t xml:space="preserve">≈ 1 409 859</w:t>
      </w:r>
      <w:r>
        <w:br/>
      </w:r>
      <w:r>
        <w:t xml:space="preserve">Estimated total scope 2 (location-based) emissions in 2035 in scenario</w:t>
      </w:r>
      <w:r>
        <w:t xml:space="preserve"> </w:t>
      </w:r>
      <w:r>
        <w:t xml:space="preserve">1 / tCO2e</w:t>
      </w:r>
      <w:r>
        <w:t xml:space="preserve"> </w:t>
      </w:r>
      <w:r>
        <w:t xml:space="preserve">≈ 7 146 221</w:t>
      </w:r>
      <w:r>
        <w:t xml:space="preserve"> </w:t>
      </w:r>
      <w:r>
        <w:t xml:space="preserve">Estimated total scope 2 (market-based) emissions in 2035 in scenario 1</w:t>
      </w:r>
      <w:r>
        <w:t xml:space="preserve"> </w:t>
      </w:r>
      <w:r>
        <w:t xml:space="preserve">/ tCO2e</w:t>
      </w:r>
      <w:r>
        <w:t xml:space="preserve"> </w:t>
      </w:r>
      <w:r>
        <w:t xml:space="preserve">≈ 6 350 288</w:t>
      </w:r>
      <w:r>
        <w:t xml:space="preserve"> </w:t>
      </w:r>
      <w:r>
        <w:t xml:space="preserve">Total estimated water withdrawal per year in 2035 in scenario 1/ Mio</w:t>
      </w:r>
      <w:r>
        <w:t xml:space="preserve"> </w:t>
      </w:r>
      <w:r>
        <w:t xml:space="preserve">m3</w:t>
      </w:r>
      <w:r>
        <w:t xml:space="preserve"> </w:t>
      </w:r>
      <w:r>
        <w:t xml:space="preserve">≈ 236.5</w:t>
      </w:r>
      <w:r>
        <w:t xml:space="preserve"> </w:t>
      </w:r>
      <w:r>
        <w:t xml:space="preserve">Estimated total scope 1 emissions in 2035 in scenario 1 using</w:t>
      </w:r>
      <w:r>
        <w:t xml:space="preserve"> </w:t>
      </w:r>
      <w:r>
        <w:t xml:space="preserve">imec.netzero model (365) / tCO2e</w:t>
      </w:r>
      <w:r>
        <w:t xml:space="preserve"> </w:t>
      </w:r>
      <w:r>
        <w:t xml:space="preserve">1 761 426</w:t>
      </w:r>
      <w:r>
        <w:t xml:space="preserve"> </w:t>
      </w:r>
      <w:r>
        <w:t xml:space="preserve">Estimated total scope 2 emissions in 2035 in scenario 1 using</w:t>
      </w:r>
      <w:r>
        <w:t xml:space="preserve"> </w:t>
      </w:r>
      <w:r>
        <w:t xml:space="preserve">imec.netzero model (366) / tCO2e</w:t>
      </w:r>
      <w:r>
        <w:t xml:space="preserve"> </w:t>
      </w:r>
      <w:r>
        <w:t xml:space="preserve">9 247 486</w:t>
      </w:r>
      <w:r>
        <w:t xml:space="preserve"> </w:t>
      </w:r>
      <w:r>
        <w:t xml:space="preserve">Estimated total scope 3 emissions in 2035 in scenario 1 using</w:t>
      </w:r>
      <w:r>
        <w:t xml:space="preserve"> </w:t>
      </w:r>
      <w:r>
        <w:t xml:space="preserve">imec.netzero model (367) / tCO2e</w:t>
      </w:r>
      <w:r>
        <w:t xml:space="preserve"> </w:t>
      </w:r>
      <w:r>
        <w:t xml:space="preserve">5 944 813</w:t>
      </w:r>
      <w:r>
        <w:t xml:space="preserve"> </w:t>
      </w:r>
      <w:r>
        <w:t xml:space="preserve">In scenario 1, the total water withdrawal would increase to 236.5 Mio m3 per year, which is</w:t>
      </w:r>
      <w:r>
        <w:t xml:space="preserve"> </w:t>
      </w:r>
      <w:r>
        <w:t xml:space="preserve">around 8.5% increase in water withdrawal compared to the baseline scenario.</w:t>
      </w:r>
      <w:r>
        <w:br/>
      </w:r>
      <w:r>
        <w:t xml:space="preserve">The estimation of additional scope 1 and 2 emissions resulting from future investments for</w:t>
      </w:r>
      <w:r>
        <w:t xml:space="preserve"> </w:t>
      </w:r>
      <w:r>
        <w:t xml:space="preserve">scenario 2 was based on emissions from Global Foundries fab in Dresden in 2023 and as well</w:t>
      </w:r>
      <w:r>
        <w:t xml:space="preserve"> </w:t>
      </w:r>
      <w:r>
        <w:t xml:space="preserve">as scope 1 and 2 emissions of TSMC fabs Japan, also taking into consideration the expansion</w:t>
      </w:r>
      <w:r>
        <w:t xml:space="preserve"> </w:t>
      </w:r>
      <w:r>
        <w:t xml:space="preserve">of mainstream manufacturing capacities and assuming emergence of leading-edge</w:t>
      </w:r>
      <w:r>
        <w:t xml:space="preserve"> </w:t>
      </w:r>
      <w:r>
        <w:t xml:space="preserve">manufacturing as presented in Annex 4, Section 1.1 and 1.2.</w:t>
      </w:r>
    </w:p>
    <w:p>
      <w:pPr>
        <w:pStyle w:val="Compact"/>
        <w:numPr>
          <w:ilvl w:val="0"/>
          <w:numId w:val="1079"/>
        </w:numPr>
      </w:pPr>
      <w:r>
        <w:t xml:space="preserve">Die Setup - imec.netzero; technologies: N28 (Logic Mobile SoC, 300 mm), Germany - average ; 10 mm die size X and</w:t>
      </w:r>
      <w:r>
        <w:t xml:space="preserve"> </w:t>
      </w:r>
      <w:r>
        <w:t xml:space="preserve">die size Y: yield 85%; IPCC Tier 2C with combustion abatement model</w:t>
      </w:r>
    </w:p>
    <w:p>
      <w:pPr>
        <w:pStyle w:val="Compact"/>
        <w:numPr>
          <w:ilvl w:val="0"/>
          <w:numId w:val="1079"/>
        </w:numPr>
      </w:pPr>
      <w:r>
        <w:t xml:space="preserve">Die Setup - imec.netzero; technologies: N28 (Logic Mobile SoC, 300 mm), Germany - average ; 10 mm die size X and</w:t>
      </w:r>
      <w:r>
        <w:t xml:space="preserve"> </w:t>
      </w:r>
      <w:r>
        <w:t xml:space="preserve">die size Y: yield 85%; IPCC Tier 2C with combustion abatement model</w:t>
      </w:r>
    </w:p>
    <w:p>
      <w:pPr>
        <w:pStyle w:val="Compact"/>
        <w:numPr>
          <w:ilvl w:val="0"/>
          <w:numId w:val="1079"/>
        </w:numPr>
      </w:pPr>
      <w:r>
        <w:t xml:space="preserve">Die Setup - imec.netzero; technologies: N28 (Logic Mobile SoC, 300 mm), Germany - average ; 10 mm die size X and</w:t>
      </w:r>
      <w:r>
        <w:t xml:space="preserve"> </w:t>
      </w:r>
      <w:r>
        <w:t xml:space="preserve">die size Y: yield 85%; IPCC Tier 2C with combustion abatement model</w:t>
      </w:r>
    </w:p>
    <w:p>
      <w:pPr>
        <w:pStyle w:val="FirstParagraph"/>
      </w:pPr>
      <w:r>
        <w:t xml:space="preserve">152</w:t>
      </w:r>
      <w:r>
        <w:t xml:space="preserve"> </w:t>
      </w:r>
      <w:r>
        <w:t xml:space="preserve">Scenario 2:</w:t>
      </w:r>
      <w:r>
        <w:t xml:space="preserve"> </w:t>
      </w:r>
      <w:r>
        <w:t xml:space="preserve">Total estimated capacity in 2035 of mainstream manufacturing in</w:t>
      </w:r>
      <w:r>
        <w:t xml:space="preserve"> </w:t>
      </w:r>
      <w:r>
        <w:t xml:space="preserve">scenario 2 / wpy</w:t>
      </w:r>
      <w:r>
        <w:t xml:space="preserve"> </w:t>
      </w:r>
      <w:r>
        <w:t xml:space="preserve">≈ 20.4 Mio</w:t>
      </w:r>
      <w:r>
        <w:t xml:space="preserve"> </w:t>
      </w:r>
      <w:r>
        <w:t xml:space="preserve">Estimated total scope 1 emissions in 2035 of mainstream</w:t>
      </w:r>
      <w:r>
        <w:t xml:space="preserve"> </w:t>
      </w:r>
      <w:r>
        <w:t xml:space="preserve">manufacturing in scenario 2/ tCO2e per year</w:t>
      </w:r>
      <w:r>
        <w:t xml:space="preserve"> </w:t>
      </w:r>
      <w:r>
        <w:t xml:space="preserve">≈ 1 303 394</w:t>
      </w:r>
      <w:r>
        <w:br/>
      </w:r>
      <w:r>
        <w:t xml:space="preserve">Estimated total scope 2 (location-based) emissions in 2035 of</w:t>
      </w:r>
      <w:r>
        <w:t xml:space="preserve"> </w:t>
      </w:r>
      <w:r>
        <w:t xml:space="preserve">mainstream manufacturing in scenario 2/ tCO2e per year</w:t>
      </w:r>
      <w:r>
        <w:t xml:space="preserve"> </w:t>
      </w:r>
      <w:r>
        <w:t xml:space="preserve">≈ 6 606 576</w:t>
      </w:r>
      <w:r>
        <w:br/>
      </w:r>
      <w:r>
        <w:t xml:space="preserve">Estimated total scope 2 (market-based) emissions in 2035 of</w:t>
      </w:r>
      <w:r>
        <w:t xml:space="preserve"> </w:t>
      </w:r>
      <w:r>
        <w:t xml:space="preserve">mainstream manufacturing in scenario 2/ tCO2e per year</w:t>
      </w:r>
      <w:r>
        <w:t xml:space="preserve"> </w:t>
      </w:r>
      <w:r>
        <w:t xml:space="preserve">≈ 5 870 747</w:t>
      </w:r>
      <w:r>
        <w:t xml:space="preserve"> </w:t>
      </w:r>
      <w:r>
        <w:t xml:space="preserve">Total estimated water withdrawal per year in 2035 of mainstream</w:t>
      </w:r>
      <w:r>
        <w:t xml:space="preserve"> </w:t>
      </w:r>
      <w:r>
        <w:t xml:space="preserve">manufacturing in scenario 2/ Mio m3 per year</w:t>
      </w:r>
      <w:r>
        <w:t xml:space="preserve"> </w:t>
      </w:r>
      <w:r>
        <w:t xml:space="preserve">≈ 222.5</w:t>
      </w:r>
      <w:r>
        <w:br/>
      </w:r>
      <w:r>
        <w:t xml:space="preserve">Estimated total scope 1 in 2035 of mainstream manufacturing in</w:t>
      </w:r>
      <w:r>
        <w:t xml:space="preserve"> </w:t>
      </w:r>
      <w:r>
        <w:t xml:space="preserve">scenario 2 using imec.netzero model (368) / tCO2e</w:t>
      </w:r>
      <w:r>
        <w:t xml:space="preserve"> </w:t>
      </w:r>
      <w:r>
        <w:t xml:space="preserve">1 628 412</w:t>
      </w:r>
      <w:r>
        <w:t xml:space="preserve"> </w:t>
      </w:r>
      <w:r>
        <w:t xml:space="preserve">Estimated total scope 2 emissions in 2035 of mainstream</w:t>
      </w:r>
      <w:r>
        <w:t xml:space="preserve"> </w:t>
      </w:r>
      <w:r>
        <w:t xml:space="preserve">manufacturing in scenario 2 using imec.netzero model (369) / tCO2e</w:t>
      </w:r>
      <w:r>
        <w:t xml:space="preserve"> </w:t>
      </w:r>
      <w:r>
        <w:t xml:space="preserve">8 549 164</w:t>
      </w:r>
      <w:r>
        <w:t xml:space="preserve"> </w:t>
      </w:r>
      <w:r>
        <w:t xml:space="preserve">Estimated total scope 3 emissions in 2035 of mainstream</w:t>
      </w:r>
      <w:r>
        <w:t xml:space="preserve"> </w:t>
      </w:r>
      <w:r>
        <w:t xml:space="preserve">manufacturing in scenario 2 using imec.netzero model (370) / tCO2e</w:t>
      </w:r>
      <w:r>
        <w:t xml:space="preserve"> </w:t>
      </w:r>
      <w:r>
        <w:t xml:space="preserve">5 495 891</w:t>
      </w:r>
    </w:p>
    <w:p>
      <w:pPr>
        <w:pStyle w:val="BodyText"/>
      </w:pPr>
      <w:r>
        <w:t xml:space="preserve">The data to calculate the environmental impact of one leading-edge fab in Europe were based</w:t>
      </w:r>
      <w:r>
        <w:t xml:space="preserve"> </w:t>
      </w:r>
      <w:r>
        <w:t xml:space="preserve">on the emissions reported by TSMC in 2024 and taking into consideration that TSMC’s wafer</w:t>
      </w:r>
      <w:r>
        <w:t xml:space="preserve"> </w:t>
      </w:r>
      <w:r>
        <w:t xml:space="preserve">manufacturing capacity in 2024 was 12.9 Mio. (371) Using TSMC as a proxy for leading-edge</w:t>
      </w:r>
      <w:r>
        <w:t xml:space="preserve"> </w:t>
      </w:r>
      <w:r>
        <w:t xml:space="preserve">fab emissions in Europe can be justified on technical and operational grounds. Firstly,</w:t>
      </w:r>
      <w:r>
        <w:t xml:space="preserve"> </w:t>
      </w:r>
      <w:r>
        <w:t xml:space="preserve">leading-edge fabs are dominated by process node physics and equipment sets (EUV</w:t>
      </w:r>
      <w:r>
        <w:t xml:space="preserve"> </w:t>
      </w:r>
      <w:r>
        <w:t xml:space="preserve">lithography, advanced deposition/etch, ultra-pure water systems). TSMC operates the same</w:t>
      </w:r>
      <w:r>
        <w:t xml:space="preserve"> </w:t>
      </w:r>
      <w:r>
        <w:t xml:space="preserve">class of tools and nodes expected in Europe, making its per-wafer and per-area intensities a</w:t>
      </w:r>
      <w:r>
        <w:t xml:space="preserve"> </w:t>
      </w:r>
      <w:r>
        <w:t xml:space="preserve">defensible starting point. Secondly, TSMC represents a global efficiency frontier for high-</w:t>
      </w:r>
      <w:r>
        <w:t xml:space="preserve"> </w:t>
      </w:r>
      <w:r>
        <w:t xml:space="preserve">volume advanced manufacturing. Using a best-practice operator avoids underestimating</w:t>
      </w:r>
      <w:r>
        <w:t xml:space="preserve"> </w:t>
      </w:r>
      <w:r>
        <w:t xml:space="preserve">process-intrinsic loads and provides a conservative, performance-anchored baseline for scope</w:t>
      </w:r>
      <w:r>
        <w:t xml:space="preserve"> </w:t>
      </w:r>
      <w:r>
        <w:t xml:space="preserve">1 (process gases) and scope 2 (electricity demand before grid adjustment). While TSMC’s</w:t>
      </w:r>
      <w:r>
        <w:t xml:space="preserve"> </w:t>
      </w:r>
      <w:r>
        <w:t xml:space="preserve">portfolio and scale in Taiwan will differ from a new proposed European site, scale efficiencies</w:t>
      </w:r>
      <w:r>
        <w:t xml:space="preserve"> </w:t>
      </w:r>
      <w:r>
        <w:t xml:space="preserve">mainly affect overhead energy (HVAC, utilities) rather than tool energy per wafer.</w:t>
      </w:r>
      <w:r>
        <w:t xml:space="preserve"> </w:t>
      </w:r>
      <w:r>
        <w:t xml:space="preserve">Additionally, imec.netzero multi-parametric Life-Cycle Assessment model that calculates the</w:t>
      </w:r>
      <w:r>
        <w:t xml:space="preserve"> </w:t>
      </w:r>
      <w:r>
        <w:t xml:space="preserve">environmental footprint for the fabrication of integrated circuits in a high-volume</w:t>
      </w:r>
    </w:p>
    <w:p>
      <w:pPr>
        <w:pStyle w:val="Compact"/>
        <w:numPr>
          <w:ilvl w:val="0"/>
          <w:numId w:val="1080"/>
        </w:numPr>
      </w:pPr>
      <w:r>
        <w:t xml:space="preserve">Die Setup - imec.netzero; technologies: N28 (Logic Mobile SoC, 300 mm), Germany - average ; 10 mm die size X and</w:t>
      </w:r>
      <w:r>
        <w:t xml:space="preserve"> </w:t>
      </w:r>
      <w:r>
        <w:t xml:space="preserve">die size Y: yield 85%; IPCC Tier 2C with combustion abatement model</w:t>
      </w:r>
    </w:p>
    <w:p>
      <w:pPr>
        <w:pStyle w:val="Compact"/>
        <w:numPr>
          <w:ilvl w:val="0"/>
          <w:numId w:val="1080"/>
        </w:numPr>
      </w:pPr>
      <w:r>
        <w:t xml:space="preserve">Die Setup - imec.netzero; technologies: N28 (Logic Mobile SoC, 300 mm), Germany - average ; 10 mm die size X and</w:t>
      </w:r>
      <w:r>
        <w:t xml:space="preserve"> </w:t>
      </w:r>
      <w:r>
        <w:t xml:space="preserve">die size Y: yield 85%; IPCC Tier 2C with combustion abatement model</w:t>
      </w:r>
    </w:p>
    <w:p>
      <w:pPr>
        <w:pStyle w:val="Compact"/>
        <w:numPr>
          <w:ilvl w:val="0"/>
          <w:numId w:val="1080"/>
        </w:numPr>
      </w:pPr>
      <w:r>
        <w:t xml:space="preserve">Die Setup - imec.netzero; technologies: N28 (Logic Mobile SoC, 300 mm), Germany - average ; 10 mm die size X and</w:t>
      </w:r>
      <w:r>
        <w:t xml:space="preserve"> </w:t>
      </w:r>
      <w:r>
        <w:t xml:space="preserve">die size Y: yield 85%; IPCC Tier 2C with combustion abatement model</w:t>
      </w:r>
    </w:p>
    <w:p>
      <w:pPr>
        <w:pStyle w:val="Compact"/>
        <w:numPr>
          <w:ilvl w:val="0"/>
          <w:numId w:val="1080"/>
        </w:numPr>
      </w:pPr>
      <w:r>
        <w:t xml:space="preserve">esg.tsmc.com/en-US/file/public/2024-TSMC-Sustainability-Report-e.pdf</w:t>
      </w:r>
    </w:p>
    <w:p>
      <w:pPr>
        <w:pStyle w:val="FirstParagraph"/>
      </w:pPr>
      <w:r>
        <w:t xml:space="preserve">153</w:t>
      </w:r>
      <w:r>
        <w:t xml:space="preserve"> </w:t>
      </w:r>
      <w:r>
        <w:t xml:space="preserve">semiconductor fab was also used and the data achieved are consistent with our own</w:t>
      </w:r>
      <w:r>
        <w:t xml:space="preserve"> </w:t>
      </w:r>
      <w:r>
        <w:t xml:space="preserve">calculations, confirming their credibility and relevance. (372)</w:t>
      </w:r>
      <w:r>
        <w:t xml:space="preserve"> </w:t>
      </w:r>
      <w:r>
        <w:t xml:space="preserve">Maximum yearly wafer capacity /wpy</w:t>
      </w:r>
      <w:r>
        <w:t xml:space="preserve"> </w:t>
      </w:r>
      <w:r>
        <w:t xml:space="preserve">12.9 Mio</w:t>
      </w:r>
      <w:r>
        <w:t xml:space="preserve"> </w:t>
      </w:r>
      <w:r>
        <w:t xml:space="preserve">Scope 1 emissions / tCO2e per year</w:t>
      </w:r>
      <w:r>
        <w:t xml:space="preserve"> </w:t>
      </w:r>
      <w:r>
        <w:t xml:space="preserve">1 826 000</w:t>
      </w:r>
      <w:r>
        <w:t xml:space="preserve"> </w:t>
      </w:r>
      <w:r>
        <w:t xml:space="preserve">Scope 2 emissions (location-based) / tCO2e per year</w:t>
      </w:r>
      <w:r>
        <w:t xml:space="preserve"> </w:t>
      </w:r>
      <w:r>
        <w:t xml:space="preserve">12 674 921</w:t>
      </w:r>
      <w:r>
        <w:t xml:space="preserve"> </w:t>
      </w:r>
      <w:r>
        <w:t xml:space="preserve">Scope 2 emissions (market-based) / tCO2e per year</w:t>
      </w:r>
      <w:r>
        <w:t xml:space="preserve"> </w:t>
      </w:r>
      <w:r>
        <w:t xml:space="preserve">10 957 397</w:t>
      </w:r>
      <w:r>
        <w:t xml:space="preserve"> </w:t>
      </w:r>
      <w:r>
        <w:t xml:space="preserve">Scope 1 emissions / tCO2e/wafer</w:t>
      </w:r>
      <w:r>
        <w:t xml:space="preserve"> </w:t>
      </w:r>
      <w:r>
        <w:t xml:space="preserve">≈ 0.141550</w:t>
      </w:r>
      <w:r>
        <w:t xml:space="preserve"> </w:t>
      </w:r>
      <w:r>
        <w:t xml:space="preserve">Scope 2 (location-based) emissions / tCO2e/wafer</w:t>
      </w:r>
      <w:r>
        <w:t xml:space="preserve"> </w:t>
      </w:r>
      <w:r>
        <w:t xml:space="preserve">≈ 0.9824806</w:t>
      </w:r>
      <w:r>
        <w:t xml:space="preserve"> </w:t>
      </w:r>
      <w:r>
        <w:t xml:space="preserve">Scope 2 (market-based) emissions / tCO2e/wafer</w:t>
      </w:r>
      <w:r>
        <w:t xml:space="preserve"> </w:t>
      </w:r>
      <w:r>
        <w:t xml:space="preserve">≈ 0.8493798</w:t>
      </w:r>
      <w:r>
        <w:t xml:space="preserve"> </w:t>
      </w:r>
      <w:r>
        <w:t xml:space="preserve">Energy consumption / GWh/wafer</w:t>
      </w:r>
      <w:r>
        <w:t xml:space="preserve"> </w:t>
      </w:r>
      <w:r>
        <w:t xml:space="preserve">≈ 0.00213</w:t>
      </w:r>
      <w:r>
        <w:t xml:space="preserve"> </w:t>
      </w:r>
      <w:r>
        <w:t xml:space="preserve">Water withdrawal / m3/wafer</w:t>
      </w:r>
      <w:r>
        <w:t xml:space="preserve"> </w:t>
      </w:r>
      <w:r>
        <w:t xml:space="preserve">≈ 9.98</w:t>
      </w:r>
      <w:r>
        <w:t xml:space="preserve"> </w:t>
      </w:r>
      <w:r>
        <w:t xml:space="preserve">Scope 1 emissions from imec.netzero model / tCO2e/wafer</w:t>
      </w:r>
      <w:r>
        <w:t xml:space="preserve"> </w:t>
      </w:r>
      <w:r>
        <w:t xml:space="preserve">0.15 (373)</w:t>
      </w:r>
      <w:r>
        <w:t xml:space="preserve"> </w:t>
      </w:r>
      <w:r>
        <w:t xml:space="preserve">Scope 2 emissions from imec.netzero model / tCO2e/wafer</w:t>
      </w:r>
      <w:r>
        <w:t xml:space="preserve"> </w:t>
      </w:r>
      <w:r>
        <w:t xml:space="preserve">0.92 (374)</w:t>
      </w:r>
      <w:r>
        <w:t xml:space="preserve"> </w:t>
      </w:r>
      <w:r>
        <w:t xml:space="preserve">Scope 3 emissions from imec.netzero model / tCO2e/wafer</w:t>
      </w:r>
      <w:r>
        <w:t xml:space="preserve"> </w:t>
      </w:r>
      <w:r>
        <w:t xml:space="preserve">0.48 (375)</w:t>
      </w:r>
      <w:r>
        <w:t xml:space="preserve"> </w:t>
      </w:r>
      <w:r>
        <w:t xml:space="preserve">As modelled in Annex 4, section 1.2, the estimated capacity of a leading-edge fab could reach</w:t>
      </w:r>
      <w:r>
        <w:t xml:space="preserve"> </w:t>
      </w:r>
      <w:r>
        <w:t xml:space="preserve">25 000 wpm so 300 000 wpy in 2035. Taking this into consideration, total scope 1 and 2</w:t>
      </w:r>
      <w:r>
        <w:t xml:space="preserve"> </w:t>
      </w:r>
      <w:r>
        <w:t xml:space="preserve">emissions could be calculated based on the TSMC data. (376)</w:t>
      </w:r>
      <w:r>
        <w:t xml:space="preserve"> </w:t>
      </w:r>
      <w:r>
        <w:t xml:space="preserve">Total estimated capacity in 2035 of advanced manufacturing in</w:t>
      </w:r>
      <w:r>
        <w:t xml:space="preserve"> </w:t>
      </w:r>
      <w:r>
        <w:t xml:space="preserve">scenario 2 / wpy</w:t>
      </w:r>
      <w:r>
        <w:t xml:space="preserve"> </w:t>
      </w:r>
      <w:r>
        <w:t xml:space="preserve">≈ 300 000</w:t>
      </w:r>
      <w:r>
        <w:t xml:space="preserve"> </w:t>
      </w:r>
      <w:r>
        <w:t xml:space="preserve">Estimated scope 1 emissions of one leading-edge fab in scenario 2/</w:t>
      </w:r>
      <w:r>
        <w:t xml:space="preserve"> </w:t>
      </w:r>
      <w:r>
        <w:t xml:space="preserve">tCO2e per year</w:t>
      </w:r>
      <w:r>
        <w:t xml:space="preserve"> </w:t>
      </w:r>
      <w:r>
        <w:t xml:space="preserve">≈ 42 465</w:t>
      </w:r>
      <w:r>
        <w:t xml:space="preserve"> </w:t>
      </w:r>
      <w:r>
        <w:t xml:space="preserve">Estimated scope 2 (location-based) of one leading-edge fab in scenario</w:t>
      </w:r>
      <w:r>
        <w:t xml:space="preserve"> </w:t>
      </w:r>
      <w:r>
        <w:t xml:space="preserve">2 / tCO2e per year</w:t>
      </w:r>
      <w:r>
        <w:t xml:space="preserve"> </w:t>
      </w:r>
      <w:r>
        <w:t xml:space="preserve">≈ 294 766</w:t>
      </w:r>
      <w:r>
        <w:t xml:space="preserve"> </w:t>
      </w:r>
      <w:r>
        <w:t xml:space="preserve">Estimated scope 2 (market-based) of one leading-edge fab in scenario 2</w:t>
      </w:r>
      <w:r>
        <w:t xml:space="preserve"> </w:t>
      </w:r>
      <w:r>
        <w:t xml:space="preserve">/ tCO2e per year</w:t>
      </w:r>
      <w:r>
        <w:t xml:space="preserve"> </w:t>
      </w:r>
      <w:r>
        <w:t xml:space="preserve">≈ 254 814</w:t>
      </w:r>
      <w:r>
        <w:t xml:space="preserve"> </w:t>
      </w:r>
      <w:r>
        <w:t xml:space="preserve">Estimated energy consumption of a one leading-edge / GWh per year</w:t>
      </w:r>
      <w:r>
        <w:t xml:space="preserve"> </w:t>
      </w:r>
      <w:r>
        <w:t xml:space="preserve">≈ 639</w:t>
      </w:r>
    </w:p>
    <w:p>
      <w:pPr>
        <w:pStyle w:val="Compact"/>
        <w:numPr>
          <w:ilvl w:val="0"/>
          <w:numId w:val="1081"/>
        </w:numPr>
      </w:pPr>
      <w:r>
        <w:t xml:space="preserve">Die Setup - imec.netzero; technologies: N2 (Logic Mobile SoC, 300 mm), Germany -average ; 10 mm die size X and</w:t>
      </w:r>
      <w:r>
        <w:t xml:space="preserve"> </w:t>
      </w:r>
      <w:r>
        <w:t xml:space="preserve">die size Y: yield 85%; IPCC Tier 2C with combustion abatement model</w:t>
      </w:r>
    </w:p>
    <w:p>
      <w:pPr>
        <w:pStyle w:val="Compact"/>
        <w:numPr>
          <w:ilvl w:val="0"/>
          <w:numId w:val="1081"/>
        </w:numPr>
      </w:pPr>
      <w:r>
        <w:t xml:space="preserve">Die Setup - imec.netzero; technologies: N2 (Logic Mobile SoC, 300 mm), Germany -average ; 10 mm die size X and</w:t>
      </w:r>
      <w:r>
        <w:t xml:space="preserve"> </w:t>
      </w:r>
      <w:r>
        <w:t xml:space="preserve">die size Y: yield 85%; IPCC Tier 2C with combustion abatement model</w:t>
      </w:r>
    </w:p>
    <w:p>
      <w:pPr>
        <w:pStyle w:val="Compact"/>
        <w:numPr>
          <w:ilvl w:val="0"/>
          <w:numId w:val="1081"/>
        </w:numPr>
      </w:pPr>
      <w:r>
        <w:t xml:space="preserve">Die Setup - imec.netzero; technologies: N2 (Logic Mobile SoC, 300 mm), Germany -average ; 10 mm die size X and</w:t>
      </w:r>
      <w:r>
        <w:t xml:space="preserve"> </w:t>
      </w:r>
      <w:r>
        <w:t xml:space="preserve">die size Y: yield 85%; IPCC Tier 2C with combustion abatement model</w:t>
      </w:r>
    </w:p>
    <w:p>
      <w:pPr>
        <w:pStyle w:val="Compact"/>
        <w:numPr>
          <w:ilvl w:val="0"/>
          <w:numId w:val="1081"/>
        </w:numPr>
      </w:pPr>
      <w:r>
        <w:t xml:space="preserve">Die Setup - imec.netzero; technologies: N2 (Logic Mobile SoC, 300 mm), Germany -average ; 10 mm die size X and</w:t>
      </w:r>
      <w:r>
        <w:t xml:space="preserve"> </w:t>
      </w:r>
      <w:r>
        <w:t xml:space="preserve">die size Y: yield 85%; IPCC Tier 2C with combustion abatement model</w:t>
      </w:r>
    </w:p>
    <w:p>
      <w:pPr>
        <w:pStyle w:val="Compact"/>
        <w:numPr>
          <w:ilvl w:val="0"/>
          <w:numId w:val="1081"/>
        </w:numPr>
      </w:pPr>
      <w:r>
        <w:t xml:space="preserve">esg.tsmc.com/en-US/file/public/2024-TSMC-Sustainability-Report-e.pdf</w:t>
      </w:r>
    </w:p>
    <w:p>
      <w:pPr>
        <w:pStyle w:val="FirstParagraph"/>
      </w:pPr>
      <w:r>
        <w:t xml:space="preserve">154</w:t>
      </w:r>
      <w:r>
        <w:t xml:space="preserve"> </w:t>
      </w:r>
      <w:r>
        <w:t xml:space="preserve">Estimated water withdrawal of one leading-edge fab in scenario 2 / Mio</w:t>
      </w:r>
      <w:r>
        <w:t xml:space="preserve"> </w:t>
      </w:r>
      <w:r>
        <w:t xml:space="preserve">m3 per year</w:t>
      </w:r>
      <w:r>
        <w:t xml:space="preserve"> </w:t>
      </w:r>
      <w:r>
        <w:t xml:space="preserve">≈ 2.994</w:t>
      </w:r>
      <w:r>
        <w:t xml:space="preserve"> </w:t>
      </w:r>
      <w:r>
        <w:t xml:space="preserve">Estimated total scope 1 in 2035 one leading-edge fab in scenario 2</w:t>
      </w:r>
      <w:r>
        <w:t xml:space="preserve"> </w:t>
      </w:r>
      <w:r>
        <w:t xml:space="preserve">using imec.netzero model (377) / tCO2e</w:t>
      </w:r>
      <w:r>
        <w:t xml:space="preserve"> </w:t>
      </w:r>
      <w:r>
        <w:t xml:space="preserve">45 000</w:t>
      </w:r>
      <w:r>
        <w:t xml:space="preserve"> </w:t>
      </w:r>
      <w:r>
        <w:t xml:space="preserve">Estimated total scope 2 emissions in 2035 of one leading-edge fab in</w:t>
      </w:r>
      <w:r>
        <w:t xml:space="preserve"> </w:t>
      </w:r>
      <w:r>
        <w:t xml:space="preserve">scenario 2 using imec.netzero model (378) / tCO2e</w:t>
      </w:r>
      <w:r>
        <w:t xml:space="preserve"> </w:t>
      </w:r>
      <w:r>
        <w:t xml:space="preserve">276 000</w:t>
      </w:r>
      <w:r>
        <w:t xml:space="preserve"> </w:t>
      </w:r>
      <w:r>
        <w:t xml:space="preserve">Estimated total scope 3 emissions in 2035 of one leading-edge fab in</w:t>
      </w:r>
      <w:r>
        <w:t xml:space="preserve"> </w:t>
      </w:r>
      <w:r>
        <w:t xml:space="preserve">scenario 2 using imec.netzero model (379) / tCO2e</w:t>
      </w:r>
      <w:r>
        <w:t xml:space="preserve"> </w:t>
      </w:r>
      <w:r>
        <w:t xml:space="preserve">144 000</w:t>
      </w:r>
    </w:p>
    <w:p>
      <w:pPr>
        <w:pStyle w:val="BodyText"/>
      </w:pPr>
      <w:r>
        <w:t xml:space="preserve">It should be noted that in Taiwan, the power system remains heavily dependent on fossil</w:t>
      </w:r>
      <w:r>
        <w:t xml:space="preserve"> </w:t>
      </w:r>
      <w:r>
        <w:t xml:space="preserve">fuels—with more than 80 % of generation from gas and coal and an average carbon intensity</w:t>
      </w:r>
      <w:r>
        <w:t xml:space="preserve"> </w:t>
      </w:r>
      <w:r>
        <w:t xml:space="preserve">above ~0.50 tCO₂ per MWh (≈ 500 gCO₂/kWh) in 2024/25 – reflecting limited low-carbon</w:t>
      </w:r>
      <w:r>
        <w:t xml:space="preserve"> </w:t>
      </w:r>
      <w:r>
        <w:t xml:space="preserve">penetration in its grid mix. (380) In contrast, the Europe electricity system, particularly at the</w:t>
      </w:r>
      <w:r>
        <w:t xml:space="preserve"> </w:t>
      </w:r>
      <w:r>
        <w:t xml:space="preserve">EU level, benefits from a far higher share of renewables and nuclear generation combined</w:t>
      </w:r>
      <w:r>
        <w:t xml:space="preserve"> </w:t>
      </w:r>
      <w:r>
        <w:t xml:space="preserve">with aggressive decarbonization policies. As a result, the average carbon intensity of</w:t>
      </w:r>
      <w:r>
        <w:t xml:space="preserve"> </w:t>
      </w:r>
      <w:r>
        <w:t xml:space="preserve">electricity generation in the EU in 2024 was around 0.21–0.24 tCO₂/kWh (≈ 210–240</w:t>
      </w:r>
      <w:r>
        <w:t xml:space="preserve"> </w:t>
      </w:r>
      <w:r>
        <w:t xml:space="preserve">gCO₂/kWh), less than half the global average and substantially below typical Taiwanese</w:t>
      </w:r>
      <w:r>
        <w:t xml:space="preserve"> </w:t>
      </w:r>
      <w:r>
        <w:t xml:space="preserve">levels. (381) This structural difference means that, for identical electricity use, scope 2</w:t>
      </w:r>
      <w:r>
        <w:t xml:space="preserve"> </w:t>
      </w:r>
      <w:r>
        <w:t xml:space="preserve">emissions (location-based) calculated with European grid factors are often ~40% or more</w:t>
      </w:r>
      <w:r>
        <w:t xml:space="preserve"> </w:t>
      </w:r>
      <w:r>
        <w:t xml:space="preserve">lower than when Taiwan’s grid mix is applied, a gap driven by Europe’s greater penetration</w:t>
      </w:r>
      <w:r>
        <w:t xml:space="preserve"> </w:t>
      </w:r>
      <w:r>
        <w:t xml:space="preserve">of low-carbon energy sources and ongoing decarbonization of its power sector.</w:t>
      </w:r>
      <w:r>
        <w:t xml:space="preserve"> </w:t>
      </w:r>
      <w:r>
        <w:t xml:space="preserve">Additionally, it is estimated that emissions per wafer are expected to increase due to more</w:t>
      </w:r>
      <w:r>
        <w:t xml:space="preserve"> </w:t>
      </w:r>
      <w:r>
        <w:t xml:space="preserve">complex manufacturing processes. The analysis results indicate an average annual increase</w:t>
      </w:r>
      <w:r>
        <w:t xml:space="preserve"> </w:t>
      </w:r>
      <w:r>
        <w:t xml:space="preserve">of 5.79% in emissions per wafer since 2013. (382) Assuming that the above analysis was</w:t>
      </w:r>
      <w:r>
        <w:t xml:space="preserve"> </w:t>
      </w:r>
      <w:r>
        <w:t xml:space="preserve">conducted for the year 2025, and accounting for an average annual increase of 5.79% in</w:t>
      </w:r>
      <w:r>
        <w:t xml:space="preserve"> </w:t>
      </w:r>
      <w:r>
        <w:t xml:space="preserve">emissions per wafer, the revised calculations are presented below:</w:t>
      </w:r>
      <w:r>
        <w:t xml:space="preserve"> </w:t>
      </w:r>
      <w:r>
        <w:t xml:space="preserve">Estimated scope 1 emissions in 2035 for a leading-edge fab in scenario 2</w:t>
      </w:r>
      <w:r>
        <w:t xml:space="preserve"> </w:t>
      </w:r>
      <w:r>
        <w:t xml:space="preserve">assuming 5.79% annual increase / tCO2e</w:t>
      </w:r>
      <w:r>
        <w:t xml:space="preserve"> </w:t>
      </w:r>
      <w:r>
        <w:t xml:space="preserve">≈ 74 555</w:t>
      </w:r>
      <w:r>
        <w:t xml:space="preserve"> </w:t>
      </w:r>
      <w:r>
        <w:t xml:space="preserve">Estimated scope 2 (location-based) of a leading-edge fab in scenario 2</w:t>
      </w:r>
      <w:r>
        <w:t xml:space="preserve"> </w:t>
      </w:r>
      <w:r>
        <w:t xml:space="preserve">assuming 5.79% annual increase / tCO2e</w:t>
      </w:r>
      <w:r>
        <w:t xml:space="preserve"> </w:t>
      </w:r>
      <w:r>
        <w:t xml:space="preserve">≈ 517 515</w:t>
      </w:r>
      <w:r>
        <w:t xml:space="preserve"> </w:t>
      </w:r>
      <w:r>
        <w:t xml:space="preserve">Estimated scope 2 (location-based) of a leading-edge fab in scenario 2</w:t>
      </w:r>
      <w:r>
        <w:t xml:space="preserve"> </w:t>
      </w:r>
      <w:r>
        <w:t xml:space="preserve">assuming 5.79% annual increase adjusted for European electricity mix /</w:t>
      </w:r>
      <w:r>
        <w:t xml:space="preserve"> </w:t>
      </w:r>
      <w:r>
        <w:t xml:space="preserve">≈ 310 509</w:t>
      </w:r>
    </w:p>
    <w:p>
      <w:pPr>
        <w:pStyle w:val="Compact"/>
        <w:numPr>
          <w:ilvl w:val="0"/>
          <w:numId w:val="1082"/>
        </w:numPr>
      </w:pPr>
      <w:r>
        <w:t xml:space="preserve">Die Setup - imec.netzero; technologies: N2 (Logic Mobile SoC, 300 mm), Germany -average ; 10 mm die size X and</w:t>
      </w:r>
      <w:r>
        <w:t xml:space="preserve"> </w:t>
      </w:r>
      <w:r>
        <w:t xml:space="preserve">die size Y: yield 85%; IPCC Tier 2C with combustion abatement model</w:t>
      </w:r>
    </w:p>
    <w:p>
      <w:pPr>
        <w:pStyle w:val="Compact"/>
        <w:numPr>
          <w:ilvl w:val="0"/>
          <w:numId w:val="1082"/>
        </w:numPr>
      </w:pPr>
      <w:r>
        <w:t xml:space="preserve">Die Setup - imec.netzero; technologies: N2 (Logic Mobile SoC, 300 mm), Germany -average ; 10 mm die size X and</w:t>
      </w:r>
      <w:r>
        <w:t xml:space="preserve"> </w:t>
      </w:r>
      <w:r>
        <w:t xml:space="preserve">die size Y: yield 85%; IPCC Tier 2C with combustion abatement model</w:t>
      </w:r>
    </w:p>
    <w:p>
      <w:pPr>
        <w:pStyle w:val="Compact"/>
        <w:numPr>
          <w:ilvl w:val="0"/>
          <w:numId w:val="1082"/>
        </w:numPr>
      </w:pPr>
      <w:r>
        <w:t xml:space="preserve">Die Setup - imec.netzero; technologies: N2 (Logic Mobile SoC, 300 mm), Germany -average ; 10 mm die size X and</w:t>
      </w:r>
      <w:r>
        <w:t xml:space="preserve"> </w:t>
      </w:r>
      <w:r>
        <w:t xml:space="preserve">die size Y: yield 85%; IPCC Tier 2C with combustion abatement model</w:t>
      </w:r>
    </w:p>
    <w:p>
      <w:pPr>
        <w:pStyle w:val="Compact"/>
        <w:numPr>
          <w:ilvl w:val="0"/>
          <w:numId w:val="1082"/>
        </w:numPr>
      </w:pPr>
      <w:r>
        <w:t xml:space="preserve">Republic of China (Taiwan) Electricity Generation Mix 2025 | Low-Carbon Power Data</w:t>
      </w:r>
    </w:p>
    <w:p>
      <w:pPr>
        <w:pStyle w:val="Compact"/>
        <w:numPr>
          <w:ilvl w:val="0"/>
          <w:numId w:val="1082"/>
        </w:numPr>
      </w:pPr>
      <w:r>
        <w:t xml:space="preserve">Global Electricity Review 2025 | Ember</w:t>
      </w:r>
    </w:p>
    <w:p>
      <w:pPr>
        <w:pStyle w:val="Compact"/>
        <w:numPr>
          <w:ilvl w:val="0"/>
          <w:numId w:val="1082"/>
        </w:numPr>
      </w:pPr>
      <w:r>
        <w:t xml:space="preserve">Interface (2024). Chip Production’s Ecological Footprint: Mapping Climate and Environmental Impact.Chip</w:t>
      </w:r>
      <w:r>
        <w:t xml:space="preserve"> </w:t>
      </w:r>
      <w:r>
        <w:t xml:space="preserve">Production’s Ecological Footprint: Mapping Climate and Environmental Impact</w:t>
      </w:r>
    </w:p>
    <w:p>
      <w:pPr>
        <w:pStyle w:val="FirstParagraph"/>
      </w:pPr>
      <w:r>
        <w:t xml:space="preserve">155</w:t>
      </w:r>
      <w:r>
        <w:t xml:space="preserve"> </w:t>
      </w:r>
      <w:r>
        <w:t xml:space="preserve">tCO2e</w:t>
      </w:r>
      <w:r>
        <w:t xml:space="preserve"> </w:t>
      </w:r>
      <w:r>
        <w:t xml:space="preserve">Estimated scope 2 (market-based) of a leading-edge fab in scenario 2</w:t>
      </w:r>
      <w:r>
        <w:t xml:space="preserve"> </w:t>
      </w:r>
      <w:r>
        <w:t xml:space="preserve">assuming 5.79% annual increase / tCO2e</w:t>
      </w:r>
      <w:r>
        <w:t xml:space="preserve"> </w:t>
      </w:r>
      <w:r>
        <w:t xml:space="preserve">≈ 447 372</w:t>
      </w:r>
      <w:r>
        <w:t xml:space="preserve"> </w:t>
      </w:r>
      <w:r>
        <w:t xml:space="preserve">Estimated total scope 1 emissions in 2035 of one leading-edge fab in</w:t>
      </w:r>
      <w:r>
        <w:t xml:space="preserve"> </w:t>
      </w:r>
      <w:r>
        <w:t xml:space="preserve">scenario 2 using imec.netzero model (383) assuming 5.79% annual increase</w:t>
      </w:r>
      <w:r>
        <w:t xml:space="preserve"> </w:t>
      </w:r>
      <w:r>
        <w:t xml:space="preserve">/ tCO2e</w:t>
      </w:r>
      <w:r>
        <w:t xml:space="preserve"> </w:t>
      </w:r>
      <w:r>
        <w:t xml:space="preserve">79 005</w:t>
      </w:r>
      <w:r>
        <w:t xml:space="preserve"> </w:t>
      </w:r>
      <w:r>
        <w:t xml:space="preserve">Estimated total scope 2 emissions in 2035 of one leading-edge fab in</w:t>
      </w:r>
      <w:r>
        <w:t xml:space="preserve"> </w:t>
      </w:r>
      <w:r>
        <w:t xml:space="preserve">scenario 2 using imec.netzero model (384) assuming 5.79% annual increase</w:t>
      </w:r>
      <w:r>
        <w:t xml:space="preserve"> </w:t>
      </w:r>
      <w:r>
        <w:t xml:space="preserve">/ tCO2e</w:t>
      </w:r>
      <w:r>
        <w:t xml:space="preserve"> </w:t>
      </w:r>
      <w:r>
        <w:t xml:space="preserve">484 568</w:t>
      </w:r>
      <w:r>
        <w:t xml:space="preserve"> </w:t>
      </w:r>
      <w:r>
        <w:t xml:space="preserve">Estimated scope 2 of a leading-edge fab in scenario 2 assuming 5.79%</w:t>
      </w:r>
      <w:r>
        <w:t xml:space="preserve"> </w:t>
      </w:r>
      <w:r>
        <w:t xml:space="preserve">annual increase adjusted for European electricity mix using</w:t>
      </w:r>
      <w:r>
        <w:t xml:space="preserve"> </w:t>
      </w:r>
      <w:r>
        <w:t xml:space="preserve">imec.netzero model (385) / tCO2e</w:t>
      </w:r>
      <w:r>
        <w:t xml:space="preserve"> </w:t>
      </w:r>
      <w:r>
        <w:t xml:space="preserve">290 740</w:t>
      </w:r>
      <w:r>
        <w:t xml:space="preserve"> </w:t>
      </w:r>
      <w:r>
        <w:t xml:space="preserve">Estimated total scope 3 emissions in 2035 of one leading-edge fab in</w:t>
      </w:r>
      <w:r>
        <w:t xml:space="preserve"> </w:t>
      </w:r>
      <w:r>
        <w:t xml:space="preserve">scenario 2 using imec.netzero model (386) assuming 5.79% annual increase</w:t>
      </w:r>
      <w:r>
        <w:t xml:space="preserve"> </w:t>
      </w:r>
      <w:r>
        <w:t xml:space="preserve">/ tCO2e</w:t>
      </w:r>
      <w:r>
        <w:t xml:space="preserve"> </w:t>
      </w:r>
      <w:r>
        <w:t xml:space="preserve">252 818</w:t>
      </w:r>
    </w:p>
    <w:p>
      <w:pPr>
        <w:pStyle w:val="BodyText"/>
      </w:pPr>
      <w:r>
        <w:t xml:space="preserve">Total</w:t>
      </w:r>
      <w:r>
        <w:t xml:space="preserve"> </w:t>
      </w:r>
      <w:r>
        <w:t xml:space="preserve">scope</w:t>
      </w:r>
      <w:r>
        <w:t xml:space="preserve"> </w:t>
      </w:r>
      <w:r>
        <w:t xml:space="preserve">1</w:t>
      </w:r>
      <w:r>
        <w:t xml:space="preserve"> </w:t>
      </w:r>
      <w:r>
        <w:t xml:space="preserve">emissions in 2035</w:t>
      </w:r>
      <w:r>
        <w:t xml:space="preserve"> </w:t>
      </w:r>
      <w:r>
        <w:t xml:space="preserve">under Scenario 2 /</w:t>
      </w:r>
      <w:r>
        <w:t xml:space="preserve"> </w:t>
      </w:r>
      <w:r>
        <w:t xml:space="preserve">tCO2e</w:t>
      </w:r>
      <w:r>
        <w:t xml:space="preserve"> </w:t>
      </w:r>
      <w:r>
        <w:t xml:space="preserve">Total scope 2 emissions</w:t>
      </w:r>
      <w:r>
        <w:t xml:space="preserve"> </w:t>
      </w:r>
      <w:r>
        <w:t xml:space="preserve">(location-based) in 2035</w:t>
      </w:r>
      <w:r>
        <w:t xml:space="preserve"> </w:t>
      </w:r>
      <w:r>
        <w:t xml:space="preserve">under Scenario 2 / tCO2e</w:t>
      </w:r>
      <w:r>
        <w:t xml:space="preserve"> </w:t>
      </w:r>
      <w:r>
        <w:t xml:space="preserve">Total</w:t>
      </w:r>
      <w:r>
        <w:t xml:space="preserve"> </w:t>
      </w:r>
      <w:r>
        <w:t xml:space="preserve">scope</w:t>
      </w:r>
      <w:r>
        <w:t xml:space="preserve"> </w:t>
      </w:r>
      <w:r>
        <w:t xml:space="preserve">3</w:t>
      </w:r>
      <w:r>
        <w:t xml:space="preserve"> </w:t>
      </w:r>
      <w:r>
        <w:t xml:space="preserve">emissions</w:t>
      </w:r>
      <w:r>
        <w:t xml:space="preserve"> </w:t>
      </w:r>
      <w:r>
        <w:t xml:space="preserve">in</w:t>
      </w:r>
      <w:r>
        <w:t xml:space="preserve"> </w:t>
      </w:r>
      <w:r>
        <w:t xml:space="preserve">2035</w:t>
      </w:r>
      <w:r>
        <w:t xml:space="preserve"> </w:t>
      </w:r>
      <w:r>
        <w:t xml:space="preserve">under Scenario 2 /</w:t>
      </w:r>
      <w:r>
        <w:t xml:space="preserve"> </w:t>
      </w:r>
      <w:r>
        <w:t xml:space="preserve">tCO2e</w:t>
      </w:r>
      <w:r>
        <w:t xml:space="preserve"> </w:t>
      </w:r>
      <w:r>
        <w:t xml:space="preserve">Mainstream</w:t>
      </w:r>
      <w:r>
        <w:t xml:space="preserve"> </w:t>
      </w:r>
      <w:r>
        <w:t xml:space="preserve">nodes</w:t>
      </w:r>
      <w:r>
        <w:t xml:space="preserve"> </w:t>
      </w:r>
      <w:r>
        <w:t xml:space="preserve">1 303 394 - 1 628</w:t>
      </w:r>
      <w:r>
        <w:t xml:space="preserve"> </w:t>
      </w:r>
      <w:r>
        <w:t xml:space="preserve">412</w:t>
      </w:r>
      <w:r>
        <w:t xml:space="preserve"> </w:t>
      </w:r>
      <w:r>
        <w:t xml:space="preserve">6 606 576 - 8 549 164</w:t>
      </w:r>
      <w:r>
        <w:t xml:space="preserve"> </w:t>
      </w:r>
      <w:r>
        <w:t xml:space="preserve">5 495 891</w:t>
      </w:r>
      <w:r>
        <w:t xml:space="preserve"> </w:t>
      </w:r>
      <w:r>
        <w:t xml:space="preserve">Advanced</w:t>
      </w:r>
      <w:r>
        <w:t xml:space="preserve"> </w:t>
      </w:r>
      <w:r>
        <w:t xml:space="preserve">nodes</w:t>
      </w:r>
      <w:r>
        <w:t xml:space="preserve"> </w:t>
      </w:r>
      <w:r>
        <w:t xml:space="preserve">74 555 – 79 005</w:t>
      </w:r>
      <w:r>
        <w:t xml:space="preserve"> </w:t>
      </w:r>
      <w:r>
        <w:t xml:space="preserve">290 740 – 310 509</w:t>
      </w:r>
      <w:r>
        <w:t xml:space="preserve"> </w:t>
      </w:r>
      <w:r>
        <w:t xml:space="preserve">252 818</w:t>
      </w:r>
      <w:r>
        <w:t xml:space="preserve"> </w:t>
      </w:r>
      <w:r>
        <w:t xml:space="preserve">Total</w:t>
      </w:r>
      <w:r>
        <w:t xml:space="preserve"> </w:t>
      </w:r>
      <w:r>
        <w:t xml:space="preserve">1 377 949 – 1 707</w:t>
      </w:r>
      <w:r>
        <w:t xml:space="preserve"> </w:t>
      </w:r>
      <w:r>
        <w:t xml:space="preserve">417</w:t>
      </w:r>
      <w:r>
        <w:t xml:space="preserve"> </w:t>
      </w:r>
      <w:r>
        <w:t xml:space="preserve">6 918 085 – 8 839 904</w:t>
      </w:r>
      <w:r>
        <w:t xml:space="preserve"> </w:t>
      </w:r>
      <w:r>
        <w:t xml:space="preserve">5 748 709</w:t>
      </w:r>
    </w:p>
    <w:p>
      <w:pPr>
        <w:pStyle w:val="BodyText"/>
      </w:pPr>
      <w:r>
        <w:t xml:space="preserve">The estimated water consumption in scenario 2 under PO2 is around 222.3 Mio m3 per year.</w:t>
      </w:r>
      <w:r>
        <w:t xml:space="preserve"> </w:t>
      </w:r>
      <w:r>
        <w:t xml:space="preserve">This estimation is on the lower end as it based on water consumption of a TSMC fab in</w:t>
      </w:r>
      <w:r>
        <w:t xml:space="preserve"> </w:t>
      </w:r>
      <w:r>
        <w:t xml:space="preserve">Taiwan, where there is a high water scarcity and therefore a stronger emphasis on water reuse</w:t>
      </w:r>
    </w:p>
    <w:p>
      <w:pPr>
        <w:pStyle w:val="Compact"/>
        <w:numPr>
          <w:ilvl w:val="0"/>
          <w:numId w:val="1083"/>
        </w:numPr>
      </w:pPr>
      <w:r>
        <w:t xml:space="preserve">Die Setup - imec.netzero; technologies: N2 (Logic Mobile SoC, 300 mm), Germany -average ; 10 mm die size X and</w:t>
      </w:r>
      <w:r>
        <w:t xml:space="preserve"> </w:t>
      </w:r>
      <w:r>
        <w:t xml:space="preserve">die size Y: yield 85%; IPCC Tier 2C with combustion abatement model</w:t>
      </w:r>
    </w:p>
    <w:p>
      <w:pPr>
        <w:pStyle w:val="Compact"/>
        <w:numPr>
          <w:ilvl w:val="0"/>
          <w:numId w:val="1083"/>
        </w:numPr>
      </w:pPr>
      <w:r>
        <w:t xml:space="preserve">Die Setup - imec.netzero; technologies: N2 (Logic Mobile SoC, 300 mm), Germany -average ; 10 mm die size X and</w:t>
      </w:r>
      <w:r>
        <w:t xml:space="preserve"> </w:t>
      </w:r>
      <w:r>
        <w:t xml:space="preserve">die size Y: yield 85%; IPCC Tier 2C with combustion abatement model</w:t>
      </w:r>
    </w:p>
    <w:p>
      <w:pPr>
        <w:pStyle w:val="Compact"/>
        <w:numPr>
          <w:ilvl w:val="0"/>
          <w:numId w:val="1083"/>
        </w:numPr>
      </w:pPr>
      <w:r>
        <w:t xml:space="preserve">Die Setup - imec.netzero; technologies: N2 (Logic Mobile SoC, 300 mm), Germany -average ; 10 mm die size X and</w:t>
      </w:r>
      <w:r>
        <w:t xml:space="preserve"> </w:t>
      </w:r>
      <w:r>
        <w:t xml:space="preserve">die size Y: yield 85%; IPCC Tier 2C with combustion abatement model</w:t>
      </w:r>
    </w:p>
    <w:p>
      <w:pPr>
        <w:pStyle w:val="Compact"/>
        <w:numPr>
          <w:ilvl w:val="0"/>
          <w:numId w:val="1083"/>
        </w:numPr>
      </w:pPr>
      <w:r>
        <w:t xml:space="preserve">Die Setup - imec.netzero; technologies: N2 (Logic Mobile SoC, 300 mm), Germany -average ; 10 mm die size X and</w:t>
      </w:r>
      <w:r>
        <w:t xml:space="preserve"> </w:t>
      </w:r>
      <w:r>
        <w:t xml:space="preserve">die size Y: yield 85%; IPCC Tier 2C with combustion abatement model</w:t>
      </w:r>
    </w:p>
    <w:p>
      <w:pPr>
        <w:pStyle w:val="FirstParagraph"/>
      </w:pPr>
      <w:r>
        <w:t xml:space="preserve">156</w:t>
      </w:r>
      <w:r>
        <w:t xml:space="preserve"> </w:t>
      </w:r>
      <w:r>
        <w:t xml:space="preserve">and recycling (80% in Taiwan), while fabs in Europe typically have lower recycling rates</w:t>
      </w:r>
      <w:r>
        <w:t xml:space="preserve"> </w:t>
      </w:r>
      <w:r>
        <w:t xml:space="preserve">(10%–14%). (387) This suggests that water consumption in Europe will be higher however the</w:t>
      </w:r>
      <w:r>
        <w:t xml:space="preserve"> </w:t>
      </w:r>
      <w:r>
        <w:t xml:space="preserve">adoption of advanced water management technologies, including recycling and advanced</w:t>
      </w:r>
      <w:r>
        <w:t xml:space="preserve"> </w:t>
      </w:r>
      <w:r>
        <w:t xml:space="preserve">treatment, can improve competitiveness, circularity and water efficiency in semiconductor</w:t>
      </w:r>
      <w:r>
        <w:t xml:space="preserve"> </w:t>
      </w:r>
      <w:r>
        <w:t xml:space="preserve">production.</w:t>
      </w:r>
      <w:r>
        <w:t xml:space="preserve"> </w:t>
      </w:r>
      <w:r>
        <w:t xml:space="preserve">Furthermore, if scenario 2 of Policy Option 2 would take place, the increase in the use of</w:t>
      </w:r>
      <w:r>
        <w:t xml:space="preserve"> </w:t>
      </w:r>
      <w:r>
        <w:t xml:space="preserve">materials would also happen. Leading-edge chips – especially those less than 10 nm – and</w:t>
      </w:r>
      <w:r>
        <w:t xml:space="preserve"> </w:t>
      </w:r>
      <w:r>
        <w:t xml:space="preserve">advanced packaging (AP) require increasingly complex manufacturing methods, which</w:t>
      </w:r>
      <w:r>
        <w:t xml:space="preserve"> </w:t>
      </w:r>
      <w:r>
        <w:t xml:space="preserve">increases the demand for the materials that enable these processes and create the finished</w:t>
      </w:r>
      <w:r>
        <w:t xml:space="preserve"> </w:t>
      </w:r>
      <w:r>
        <w:t xml:space="preserve">products. As semiconductor technology progresses to use smaller nodes, the number of mask</w:t>
      </w:r>
      <w:r>
        <w:t xml:space="preserve"> </w:t>
      </w:r>
      <w:r>
        <w:t xml:space="preserve">layers – used as part of the process that defines and fills conductive channels in the chip – for</w:t>
      </w:r>
      <w:r>
        <w:t xml:space="preserve"> </w:t>
      </w:r>
      <w:r>
        <w:t xml:space="preserve">producing a single wafer increases disproportionally. For example, while a 65 nm process</w:t>
      </w:r>
      <w:r>
        <w:t xml:space="preserve"> </w:t>
      </w:r>
      <w:r>
        <w:t xml:space="preserve">node wafer may require about 40 mask layers to complete, a leading-edge 5- or 3-nm process</w:t>
      </w:r>
      <w:r>
        <w:t xml:space="preserve"> </w:t>
      </w:r>
      <w:r>
        <w:t xml:space="preserve">node requires up to 110 mask layers. (388)</w:t>
      </w:r>
      <w:r>
        <w:br/>
      </w:r>
      <w:r>
        <w:t xml:space="preserve">Beyond node size, AP is also increasing material consumption. Many AP technologies use</w:t>
      </w:r>
      <w:r>
        <w:t xml:space="preserve"> </w:t>
      </w:r>
      <w:r>
        <w:t xml:space="preserve">interposers or base dies to connect multiple chips, require carrier wafers as part of the</w:t>
      </w:r>
      <w:r>
        <w:t xml:space="preserve"> </w:t>
      </w:r>
      <w:r>
        <w:t xml:space="preserve">manufacturing process, or include an increasing number of interconnects (through-silicon via,</w:t>
      </w:r>
      <w:r>
        <w:t xml:space="preserve"> </w:t>
      </w:r>
      <w:r>
        <w:t xml:space="preserve">for example). All these incremental process steps require more materials than mature</w:t>
      </w:r>
      <w:r>
        <w:t xml:space="preserve"> </w:t>
      </w:r>
      <w:r>
        <w:t xml:space="preserve">technologies do.</w:t>
      </w:r>
      <w:r>
        <w:t xml:space="preserve"> </w:t>
      </w:r>
      <w:r>
        <w:t xml:space="preserve">The shift to using more mask layers and consuming additional materials as part of AP</w:t>
      </w:r>
      <w:r>
        <w:t xml:space="preserve"> </w:t>
      </w:r>
      <w:r>
        <w:t xml:space="preserve">processes could increase Europe’s total material consumption by as much as 65% and many</w:t>
      </w:r>
      <w:r>
        <w:t xml:space="preserve"> </w:t>
      </w:r>
      <w:r>
        <w:t xml:space="preserve">of these materials may need to come from international markets. (389)</w:t>
      </w:r>
      <w:r>
        <w:br/>
      </w:r>
      <w:r>
        <w:t xml:space="preserve">Figure 21. Projected emissions under difference scenarios. Source: prepared by the authors.</w:t>
      </w:r>
    </w:p>
    <w:p>
      <w:pPr>
        <w:pStyle w:val="Compact"/>
        <w:numPr>
          <w:ilvl w:val="0"/>
          <w:numId w:val="1084"/>
        </w:numPr>
      </w:pPr>
      <w:r>
        <w:t xml:space="preserve">Interface (2024). Chip Production’s Ecological Footprint: Mapping Climate and Environmental Impact. Chip</w:t>
      </w:r>
      <w:r>
        <w:t xml:space="preserve"> </w:t>
      </w:r>
      <w:r>
        <w:t xml:space="preserve">Production’s Ecological Footprint: Mapping Climate and Environmental Impact</w:t>
      </w:r>
    </w:p>
    <w:p>
      <w:pPr>
        <w:pStyle w:val="Compact"/>
        <w:numPr>
          <w:ilvl w:val="0"/>
          <w:numId w:val="1084"/>
        </w:numPr>
      </w:pPr>
      <w:r>
        <w:t xml:space="preserve">Semiconductors have a big opportunity—but barriers to scale remain | McKinsey</w:t>
      </w:r>
    </w:p>
    <w:p>
      <w:pPr>
        <w:pStyle w:val="Compact"/>
        <w:numPr>
          <w:ilvl w:val="0"/>
          <w:numId w:val="1084"/>
        </w:numPr>
      </w:pPr>
      <w:r>
        <w:t xml:space="preserve">Semiconductors have a big opportunity—but barriers to scale remain | McKinsey</w:t>
      </w:r>
      <w:r>
        <w:t xml:space="preserve"> </w:t>
      </w:r>
      <w:r>
        <w:t xml:space="preserve">800,00</w:t>
      </w:r>
      <w:r>
        <w:t xml:space="preserve"> </w:t>
      </w:r>
      <w:r>
        <w:t xml:space="preserve">900,00</w:t>
      </w:r>
      <w:r>
        <w:t xml:space="preserve"> </w:t>
      </w:r>
      <w:r>
        <w:t xml:space="preserve">1.000,00</w:t>
      </w:r>
      <w:r>
        <w:t xml:space="preserve"> </w:t>
      </w:r>
      <w:r>
        <w:t xml:space="preserve">1.100,00</w:t>
      </w:r>
      <w:r>
        <w:t xml:space="preserve"> </w:t>
      </w:r>
      <w:r>
        <w:t xml:space="preserve">1.200,00</w:t>
      </w:r>
      <w:r>
        <w:t xml:space="preserve"> </w:t>
      </w:r>
      <w:r>
        <w:t xml:space="preserve">1.300,00</w:t>
      </w:r>
      <w:r>
        <w:t xml:space="preserve"> </w:t>
      </w:r>
      <w:r>
        <w:t xml:space="preserve">1.400,00</w:t>
      </w:r>
      <w:r>
        <w:t xml:space="preserve"> </w:t>
      </w:r>
      <w:r>
        <w:t xml:space="preserve">1.500,00</w:t>
      </w:r>
      <w:r>
        <w:t xml:space="preserve"> </w:t>
      </w:r>
      <w:r>
        <w:t xml:space="preserve">2023</w:t>
      </w:r>
      <w:r>
        <w:t xml:space="preserve"> </w:t>
      </w:r>
      <w:r>
        <w:t xml:space="preserve">2024</w:t>
      </w:r>
      <w:r>
        <w:t xml:space="preserve"> </w:t>
      </w:r>
      <w:r>
        <w:t xml:space="preserve">2025</w:t>
      </w:r>
      <w:r>
        <w:t xml:space="preserve"> </w:t>
      </w:r>
      <w:r>
        <w:t xml:space="preserve">2026</w:t>
      </w:r>
      <w:r>
        <w:t xml:space="preserve"> </w:t>
      </w:r>
      <w:r>
        <w:t xml:space="preserve">2027</w:t>
      </w:r>
      <w:r>
        <w:t xml:space="preserve"> </w:t>
      </w:r>
      <w:r>
        <w:t xml:space="preserve">2028</w:t>
      </w:r>
      <w:r>
        <w:t xml:space="preserve"> </w:t>
      </w:r>
      <w:r>
        <w:t xml:space="preserve">2029</w:t>
      </w:r>
      <w:r>
        <w:t xml:space="preserve"> </w:t>
      </w:r>
      <w:r>
        <w:t xml:space="preserve">2030</w:t>
      </w:r>
      <w:r>
        <w:t xml:space="preserve"> </w:t>
      </w:r>
      <w:r>
        <w:t xml:space="preserve">2031</w:t>
      </w:r>
      <w:r>
        <w:t xml:space="preserve"> </w:t>
      </w:r>
      <w:r>
        <w:t xml:space="preserve">2032</w:t>
      </w:r>
      <w:r>
        <w:t xml:space="preserve"> </w:t>
      </w:r>
      <w:r>
        <w:t xml:space="preserve">2033</w:t>
      </w:r>
      <w:r>
        <w:t xml:space="preserve"> </w:t>
      </w:r>
      <w:r>
        <w:t xml:space="preserve">2034</w:t>
      </w:r>
      <w:r>
        <w:t xml:space="preserve"> </w:t>
      </w:r>
      <w:r>
        <w:t xml:space="preserve">2035</w:t>
      </w:r>
      <w:r>
        <w:t xml:space="preserve"> </w:t>
      </w:r>
      <w:r>
        <w:t xml:space="preserve">Scope 1 emissions; thousands tCO2e</w:t>
      </w:r>
      <w:r>
        <w:t xml:space="preserve"> </w:t>
      </w:r>
      <w:r>
        <w:t xml:space="preserve">BAU</w:t>
      </w:r>
      <w:r>
        <w:t xml:space="preserve"> </w:t>
      </w:r>
      <w:r>
        <w:t xml:space="preserve">Scenario 1</w:t>
      </w:r>
      <w:r>
        <w:t xml:space="preserve"> </w:t>
      </w:r>
      <w:r>
        <w:t xml:space="preserve">Scenario 2</w:t>
      </w:r>
    </w:p>
    <w:p>
      <w:pPr>
        <w:pStyle w:val="FirstParagraph"/>
      </w:pPr>
      <w:r>
        <w:t xml:space="preserve">157</w:t>
      </w:r>
      <w:r>
        <w:t xml:space="preserve"> </w:t>
      </w:r>
      <w:r>
        <w:t xml:space="preserve">4.1.6. Costs of environmental impacts</w:t>
      </w:r>
      <w:r>
        <w:t xml:space="preserve"> </w:t>
      </w:r>
      <w:r>
        <w:t xml:space="preserve">From 2015 to 2025 the EU ETS carbon prices have been fluctuating a lot, ranging from very</w:t>
      </w:r>
      <w:r>
        <w:t xml:space="preserve"> </w:t>
      </w:r>
      <w:r>
        <w:t xml:space="preserve">low prices, mostly below €10 / tCO₂ between 2015-2017, to €60–90 between 2022 -2023,</w:t>
      </w:r>
      <w:r>
        <w:t xml:space="preserve"> </w:t>
      </w:r>
      <w:r>
        <w:t xml:space="preserve">before easing somewhat in 2024 – 2025 (€60 – €90 / tCO₂). Looking ahead, most outlooks</w:t>
      </w:r>
      <w:r>
        <w:t xml:space="preserve"> </w:t>
      </w:r>
      <w:r>
        <w:t xml:space="preserve">point to a structurally tighter market with increasing scarcity of allowances, declining free</w:t>
      </w:r>
      <w:r>
        <w:t xml:space="preserve"> </w:t>
      </w:r>
      <w:r>
        <w:t xml:space="preserve">allocation, and stricter caps, implying a renewed upward trend over the 2030s, with many</w:t>
      </w:r>
      <w:r>
        <w:t xml:space="preserve"> </w:t>
      </w:r>
      <w:r>
        <w:t xml:space="preserve">analyst scenarios placing average EU ETS prices by 2035 well above today’s levels - often in</w:t>
      </w:r>
      <w:r>
        <w:t xml:space="preserve"> </w:t>
      </w:r>
      <w:r>
        <w:t xml:space="preserve">the range of roughly €190 – 300 per tonne of CO₂, depending on policy ambition, economic</w:t>
      </w:r>
      <w:r>
        <w:t xml:space="preserve"> </w:t>
      </w:r>
      <w:r>
        <w:t xml:space="preserve">conditions, and technological progress. (390)  </w:t>
      </w:r>
      <w:r>
        <w:br/>
      </w:r>
      <w:r>
        <w:t xml:space="preserve">Therefore, taking into consideration aggregated scope 1 and 2 emissions (location-based),</w:t>
      </w:r>
      <w:r>
        <w:t xml:space="preserve"> </w:t>
      </w:r>
      <w:r>
        <w:t xml:space="preserve">environmental costs for each policy option in 2035 could be predicated in the ranges as</w:t>
      </w:r>
      <w:r>
        <w:t xml:space="preserve"> </w:t>
      </w:r>
      <w:r>
        <w:t xml:space="preserve">follows:  </w:t>
      </w:r>
      <w:r>
        <w:br/>
      </w:r>
      <w:r>
        <w:t xml:space="preserve">•</w:t>
      </w:r>
      <w:r>
        <w:t xml:space="preserve"> </w:t>
      </w:r>
      <w:r>
        <w:t xml:space="preserve">Baseline scenario BAU = €1.459 – €2.256 bln</w:t>
      </w:r>
      <w:r>
        <w:t xml:space="preserve"> </w:t>
      </w:r>
      <w:r>
        <w:t xml:space="preserve">•</w:t>
      </w:r>
      <w:r>
        <w:t xml:space="preserve"> </w:t>
      </w:r>
      <w:r>
        <w:t xml:space="preserve">Policy Option 1 = €1.531 – €2.368 bln</w:t>
      </w:r>
      <w:r>
        <w:br/>
      </w:r>
      <w:r>
        <w:t xml:space="preserve">•</w:t>
      </w:r>
      <w:r>
        <w:t xml:space="preserve"> </w:t>
      </w:r>
      <w:r>
        <w:t xml:space="preserve">Policy Option 2, scenario 1 = €1.659 – €2.566 bln  </w:t>
      </w:r>
      <w:r>
        <w:br/>
      </w:r>
      <w:r>
        <w:t xml:space="preserve">•</w:t>
      </w:r>
      <w:r>
        <w:t xml:space="preserve"> </w:t>
      </w:r>
      <w:r>
        <w:t xml:space="preserve">Policy Option 2, scenario 2 = €1.621 – €2.507 bln</w:t>
      </w:r>
      <w:r>
        <w:t xml:space="preserve"> </w:t>
      </w:r>
      <w:r>
        <w:t xml:space="preserve">The other possibility is to use the True Price method. This method developed the principles</w:t>
      </w:r>
      <w:r>
        <w:t xml:space="preserve"> </w:t>
      </w:r>
      <w:r>
        <w:t xml:space="preserve">and methodology to monetise a wide set of social and environmental costs. (391) For</w:t>
      </w:r>
      <w:r>
        <w:t xml:space="preserve"> </w:t>
      </w:r>
      <w:r>
        <w:t xml:space="preserve">environmental impacts, monetisation factor of €0.163 /kgCO2e was used describing</w:t>
      </w:r>
      <w:r>
        <w:t xml:space="preserve"> </w:t>
      </w:r>
      <w:r>
        <w:t xml:space="preserve">restoration cost which expresses the abatement cost for achieving the policy targets of</w:t>
      </w:r>
      <w:r>
        <w:t xml:space="preserve"> </w:t>
      </w:r>
      <w:r>
        <w:t xml:space="preserve">reducing GHG emissions to meet the 2-degree target as set in the Paris Agreement. (348) Using</w:t>
      </w:r>
      <w:r>
        <w:t xml:space="preserve"> </w:t>
      </w:r>
      <w:r>
        <w:t xml:space="preserve">this factor, restoration cost for different policy options in 2035 can be estimated:</w:t>
      </w:r>
      <w:r>
        <w:br/>
      </w:r>
      <w:r>
        <w:t xml:space="preserve">•</w:t>
      </w:r>
      <w:r>
        <w:t xml:space="preserve"> </w:t>
      </w:r>
      <w:r>
        <w:t xml:space="preserve">Baseline scenario BAU = €1.226 bln</w:t>
      </w:r>
      <w:r>
        <w:t xml:space="preserve"> </w:t>
      </w:r>
      <w:r>
        <w:t xml:space="preserve">•</w:t>
      </w:r>
      <w:r>
        <w:t xml:space="preserve"> </w:t>
      </w:r>
      <w:r>
        <w:t xml:space="preserve">Policy Option 1 = €1.286 bln</w:t>
      </w:r>
      <w:r>
        <w:t xml:space="preserve"> </w:t>
      </w:r>
      <w:r>
        <w:t xml:space="preserve">•</w:t>
      </w:r>
      <w:r>
        <w:t xml:space="preserve"> </w:t>
      </w:r>
      <w:r>
        <w:t xml:space="preserve">Policy Option 2, scenario 1 =   €1.394 bln</w:t>
      </w:r>
      <w:r>
        <w:t xml:space="preserve"> </w:t>
      </w:r>
      <w:r>
        <w:t xml:space="preserve">•</w:t>
      </w:r>
      <w:r>
        <w:t xml:space="preserve"> </w:t>
      </w:r>
      <w:r>
        <w:t xml:space="preserve">Policy Option 2, scenario 2 = €1.385 bln</w:t>
      </w:r>
    </w:p>
    <w:p>
      <w:pPr>
        <w:pStyle w:val="Compact"/>
        <w:numPr>
          <w:ilvl w:val="0"/>
          <w:numId w:val="1085"/>
        </w:numPr>
      </w:pPr>
      <w:r>
        <w:t xml:space="preserve">EU ETS Market Outlook 1H 2024: Prices Valley Before Rally | BloombergNEF</w:t>
      </w:r>
    </w:p>
    <w:p>
      <w:pPr>
        <w:pStyle w:val="Compact"/>
        <w:numPr>
          <w:ilvl w:val="0"/>
          <w:numId w:val="1085"/>
        </w:numPr>
      </w:pPr>
      <w:r>
        <w:t xml:space="preserve">MONETISATION FACTORS FOR TRUE PRICING - True Price</w:t>
      </w:r>
    </w:p>
    <w:p>
      <w:pPr>
        <w:pStyle w:val="FirstParagraph"/>
      </w:pPr>
      <w:r>
        <w:t xml:space="preserve">158</w:t>
      </w:r>
      <w:r>
        <w:t xml:space="preserve"> </w:t>
      </w:r>
      <w:r>
        <w:t xml:space="preserve">5.</w:t>
      </w:r>
      <w:r>
        <w:t xml:space="preserve"> </w:t>
      </w:r>
      <w:r>
        <w:t xml:space="preserve">COMPARATIVE ANALYSIS OF INVESTMENT, CAPACITY AND EMPLOYMENT OUTCOMES</w:t>
      </w:r>
      <w:r>
        <w:t xml:space="preserve"> </w:t>
      </w:r>
      <w:r>
        <w:t xml:space="preserve">RELATED TO STRATEGIC PROJECTS</w:t>
      </w:r>
      <w:r>
        <w:t xml:space="preserve"> </w:t>
      </w:r>
      <w:r>
        <w:t xml:space="preserve">Modelling approach and baseline assumptions</w:t>
      </w:r>
      <w:r>
        <w:t xml:space="preserve"> </w:t>
      </w:r>
      <w:r>
        <w:t xml:space="preserve">The modelling relies on an empirical bottom-up calibration using first-of-a-kind (FOAK)</w:t>
      </w:r>
      <w:r>
        <w:t xml:space="preserve"> </w:t>
      </w:r>
      <w:r>
        <w:t xml:space="preserve">semiconductor manufacturing projects supported to date in the EU. These projects constitute</w:t>
      </w:r>
      <w:r>
        <w:t xml:space="preserve"> </w:t>
      </w:r>
      <w:r>
        <w:t xml:space="preserve">the only observable set of investments for which reasonably consistent information is</w:t>
      </w:r>
      <w:r>
        <w:t xml:space="preserve"> </w:t>
      </w:r>
      <w:r>
        <w:t xml:space="preserve">available on:</w:t>
      </w:r>
      <w:r>
        <w:t xml:space="preserve"> </w:t>
      </w:r>
      <w:r>
        <w:t xml:space="preserve">• total investment volumes (public and private),</w:t>
      </w:r>
      <w:r>
        <w:t xml:space="preserve"> </w:t>
      </w:r>
      <w:r>
        <w:t xml:space="preserve">• planned wafer fabrication capacity, and</w:t>
      </w:r>
      <w:r>
        <w:t xml:space="preserve"> </w:t>
      </w:r>
      <w:r>
        <w:t xml:space="preserve">• announced direct employment at steady state.</w:t>
      </w:r>
      <w:r>
        <w:t xml:space="preserve"> </w:t>
      </w:r>
      <w:r>
        <w:t xml:space="preserve">The reference sample therefore reflects revealed investment behaviour under EU and Member</w:t>
      </w:r>
      <w:r>
        <w:t xml:space="preserve"> </w:t>
      </w:r>
      <w:r>
        <w:t xml:space="preserve">State support schemes, rather than hypothetical or benchmarked fab configurations. This</w:t>
      </w:r>
      <w:r>
        <w:t xml:space="preserve"> </w:t>
      </w:r>
      <w:r>
        <w:t xml:space="preserve">approach is consistent with the Better Regulation principle of grounding quantitative analysis</w:t>
      </w:r>
      <w:r>
        <w:t xml:space="preserve"> </w:t>
      </w:r>
      <w:r>
        <w:t xml:space="preserve">in observed evidence where available, while acknowledging that the sample remains limited</w:t>
      </w:r>
      <w:r>
        <w:t xml:space="preserve"> </w:t>
      </w:r>
      <w:r>
        <w:t xml:space="preserve">in size and heterogeneous in technological scope.</w:t>
      </w:r>
      <w:r>
        <w:t xml:space="preserve"> </w:t>
      </w:r>
      <w:r>
        <w:t xml:space="preserve">To ensure comparability across projects of different scale and technology profiles, the</w:t>
      </w:r>
      <w:r>
        <w:t xml:space="preserve"> </w:t>
      </w:r>
      <w:r>
        <w:t xml:space="preserve">available FOAK data were normalised into intensity ratios, expressed as:</w:t>
      </w:r>
      <w:r>
        <w:t xml:space="preserve"> </w:t>
      </w:r>
      <w:r>
        <w:t xml:space="preserve">• wafer capacity per EUR billion of total investment; and</w:t>
      </w:r>
      <w:r>
        <w:t xml:space="preserve"> </w:t>
      </w:r>
      <w:r>
        <w:t xml:space="preserve">• direct employment per EUR billion of total investment.</w:t>
      </w:r>
      <w:r>
        <w:t xml:space="preserve"> </w:t>
      </w:r>
      <w:r>
        <w:t xml:space="preserve">Using the consolidated FOAK figures provided:</w:t>
      </w:r>
      <w:r>
        <w:t xml:space="preserve"> </w:t>
      </w:r>
      <w:r>
        <w:t xml:space="preserve">• total investment: EUR 31.23 billion;</w:t>
      </w:r>
      <w:r>
        <w:t xml:space="preserve"> </w:t>
      </w:r>
      <w:r>
        <w:t xml:space="preserve">• total planned new jobs: approximately 5,700; and</w:t>
      </w:r>
      <w:r>
        <w:t xml:space="preserve"> </w:t>
      </w:r>
      <w:r>
        <w:t xml:space="preserve">• total planned new wafer capacity: approximately 2.08 million wafers per year (around 173,000</w:t>
      </w:r>
      <w:r>
        <w:t xml:space="preserve"> </w:t>
      </w:r>
      <w:r>
        <w:t xml:space="preserve">wafers per month).</w:t>
      </w:r>
      <w:r>
        <w:t xml:space="preserve"> </w:t>
      </w:r>
      <w:r>
        <w:t xml:space="preserve">From these figures, the model derives average investment intensities that serve as</w:t>
      </w:r>
      <w:r>
        <w:t xml:space="preserve"> </w:t>
      </w:r>
      <w:r>
        <w:t xml:space="preserve">proportional scaling parameters. These parameters implicitly capture the current European</w:t>
      </w:r>
      <w:r>
        <w:t xml:space="preserve"> </w:t>
      </w:r>
      <w:r>
        <w:t xml:space="preserve">technology mix, capital intensity, and labour productivity embedded in recent supported</w:t>
      </w:r>
      <w:r>
        <w:t xml:space="preserve"> </w:t>
      </w:r>
      <w:r>
        <w:t xml:space="preserve">projects.</w:t>
      </w:r>
      <w:r>
        <w:t xml:space="preserve"> </w:t>
      </w:r>
      <w:r>
        <w:t xml:space="preserve">The derived intensity ratios are then applied proportionally to the assumed EUR 40 billion</w:t>
      </w:r>
      <w:r>
        <w:t xml:space="preserve"> </w:t>
      </w:r>
      <w:r>
        <w:t xml:space="preserve">investment envelope associated with strategic semiconductor projects, comprising public</w:t>
      </w:r>
      <w:r>
        <w:t xml:space="preserve"> </w:t>
      </w:r>
      <w:r>
        <w:t xml:space="preserve">support and crowd-in private investment. The model assumes that:</w:t>
      </w:r>
      <w:r>
        <w:t xml:space="preserve"> </w:t>
      </w:r>
      <w:r>
        <w:t xml:space="preserve">• the full envelope translates into realised manufacturing investment;</w:t>
      </w:r>
      <w:r>
        <w:t xml:space="preserve"> </w:t>
      </w:r>
      <w:r>
        <w:t xml:space="preserve">• investment efficiency, in terms of capacity and employment per euro invested, remains</w:t>
      </w:r>
      <w:r>
        <w:t xml:space="preserve"> </w:t>
      </w:r>
      <w:r>
        <w:t xml:space="preserve">constant relative to the FOAK reference sample; and</w:t>
      </w:r>
      <w:r>
        <w:t xml:space="preserve"> </w:t>
      </w:r>
      <w:r>
        <w:t xml:space="preserve">• no major structural break occurs in technology choice, production scale, or automation</w:t>
      </w:r>
      <w:r>
        <w:t xml:space="preserve"> </w:t>
      </w:r>
      <w:r>
        <w:t xml:space="preserve">intensity relative to recent projects.</w:t>
      </w:r>
      <w:r>
        <w:t xml:space="preserve"> </w:t>
      </w:r>
      <w:r>
        <w:t xml:space="preserve">Under these assumptions, additional wafer capacity and employment are estimated by scaling</w:t>
      </w:r>
      <w:r>
        <w:t xml:space="preserve"> </w:t>
      </w:r>
      <w:r>
        <w:t xml:space="preserve">up the FOAK-based ratios to the larger investment envelope. This proportional approach</w:t>
      </w:r>
      <w:r>
        <w:t xml:space="preserve"> </w:t>
      </w:r>
      <w:r>
        <w:t xml:space="preserve">ensures internal consistency between observed projects and forward-looking estimates, while</w:t>
      </w:r>
      <w:r>
        <w:t xml:space="preserve"> </w:t>
      </w:r>
      <w:r>
        <w:t xml:space="preserve">deliberately avoiding optimistic assumptions about learning effects or step-changes in</w:t>
      </w:r>
      <w:r>
        <w:t xml:space="preserve"> </w:t>
      </w:r>
      <w:r>
        <w:t xml:space="preserve">productivity.</w:t>
      </w:r>
    </w:p>
    <w:p>
      <w:pPr>
        <w:pStyle w:val="BodyText"/>
      </w:pPr>
      <w:r>
        <w:t xml:space="preserve">159</w:t>
      </w:r>
      <w:r>
        <w:t xml:space="preserve"> </w:t>
      </w:r>
      <w:r>
        <w:t xml:space="preserve">The modelling approach is intentionally conservative and subject to several limitations:</w:t>
      </w:r>
      <w:r>
        <w:t xml:space="preserve"> </w:t>
      </w:r>
      <w:r>
        <w:t xml:space="preserve">• FOAK projects may not yet reflect steady-state performance, as ramp-up periods and</w:t>
      </w:r>
      <w:r>
        <w:t xml:space="preserve"> </w:t>
      </w:r>
      <w:r>
        <w:t xml:space="preserve">learning effects are ongoing.</w:t>
      </w:r>
      <w:r>
        <w:t xml:space="preserve"> </w:t>
      </w:r>
      <w:r>
        <w:t xml:space="preserve">• Publicly announced employment and capacity figures may change as projects</w:t>
      </w:r>
      <w:r>
        <w:t xml:space="preserve"> </w:t>
      </w:r>
      <w:r>
        <w:t xml:space="preserve">progress.</w:t>
      </w:r>
      <w:r>
        <w:t xml:space="preserve"> </w:t>
      </w:r>
      <w:r>
        <w:t xml:space="preserve">• The sample does not include a fully operational leading-edge logic fab in Europe,</w:t>
      </w:r>
      <w:r>
        <w:t xml:space="preserve"> </w:t>
      </w:r>
      <w:r>
        <w:t xml:space="preserve">limiting direct observability for advanced-node scenarios.</w:t>
      </w:r>
      <w:r>
        <w:t xml:space="preserve"> </w:t>
      </w:r>
      <w:r>
        <w:t xml:space="preserve">The modelling of Strategic Projects impacts relies on a total investment envelope of EUR 40</w:t>
      </w:r>
      <w:r>
        <w:t xml:space="preserve"> </w:t>
      </w:r>
      <w:r>
        <w:t xml:space="preserve">billion, comprising EUR 15 billion in public support (Competitiveness Fund, State aid,</w:t>
      </w:r>
      <w:r>
        <w:t xml:space="preserve"> </w:t>
      </w:r>
      <w:r>
        <w:t xml:space="preserve">including Member State contributions) and EUR 25 billion in private investment. This</w:t>
      </w:r>
      <w:r>
        <w:t xml:space="preserve"> </w:t>
      </w:r>
      <w:r>
        <w:t xml:space="preserve">envelope is assumed to be fully allocated to new manufacturing capacity and associated on-</w:t>
      </w:r>
      <w:r>
        <w:t xml:space="preserve"> </w:t>
      </w:r>
      <w:r>
        <w:t xml:space="preserve">site activities.</w:t>
      </w:r>
      <w:r>
        <w:t xml:space="preserve"> </w:t>
      </w:r>
      <w:r>
        <w:t xml:space="preserve">Two scenarios are assessed:</w:t>
      </w:r>
      <w:r>
        <w:t xml:space="preserve"> </w:t>
      </w:r>
      <w:r>
        <w:t xml:space="preserve">•</w:t>
      </w:r>
      <w:r>
        <w:t xml:space="preserve"> </w:t>
      </w:r>
      <w:r>
        <w:t xml:space="preserve">scenario 1, in which new investments broadly replicate the current European wafer</w:t>
      </w:r>
      <w:r>
        <w:t xml:space="preserve"> </w:t>
      </w:r>
      <w:r>
        <w:t xml:space="preserve">mix and technology profile (i.e. mostly on mainstream chips); and</w:t>
      </w:r>
      <w:r>
        <w:t xml:space="preserve"> </w:t>
      </w:r>
      <w:r>
        <w:t xml:space="preserve">•</w:t>
      </w:r>
      <w:r>
        <w:t xml:space="preserve"> </w:t>
      </w:r>
      <w:r>
        <w:t xml:space="preserve">scenario 2, in which part of the investment is redirected towards a cutting-edge logic</w:t>
      </w:r>
      <w:r>
        <w:t xml:space="preserve"> </w:t>
      </w:r>
      <w:r>
        <w:t xml:space="preserve">fab, with the remainder following the current European mix.</w:t>
      </w:r>
      <w:r>
        <w:t xml:space="preserve"> </w:t>
      </w:r>
      <w:r>
        <w:t xml:space="preserve">Pessimistic scenario: continuation of the current European wafer mix</w:t>
      </w:r>
      <w:r>
        <w:t xml:space="preserve"> </w:t>
      </w:r>
      <w:r>
        <w:t xml:space="preserve">The pessimistic scenario assumes that new investments follow the existing structure of</w:t>
      </w:r>
      <w:r>
        <w:t xml:space="preserve"> </w:t>
      </w:r>
      <w:r>
        <w:t xml:space="preserve">semiconductor manufacturing in Europe, characterised by a dominance of mature nodes</w:t>
      </w:r>
      <w:r>
        <w:t xml:space="preserve"> </w:t>
      </w:r>
      <w:r>
        <w:t xml:space="preserve">and specialty technologies. The allocation of funding across technology segments is derived</w:t>
      </w:r>
      <w:r>
        <w:t xml:space="preserve"> </w:t>
      </w:r>
      <w:r>
        <w:t xml:space="preserve">from first-of-a-kind (FOAK) investments observed to date, and the same proportional</w:t>
      </w:r>
      <w:r>
        <w:t xml:space="preserve"> </w:t>
      </w:r>
      <w:r>
        <w:t xml:space="preserve">distribution is applied to the new EUR 40 billion envelope.</w:t>
      </w:r>
      <w:r>
        <w:t xml:space="preserve"> </w:t>
      </w:r>
      <w:r>
        <w:t xml:space="preserve">This scenario therefore reflects a continuation of current strengths, rather than a structural</w:t>
      </w:r>
      <w:r>
        <w:t xml:space="preserve"> </w:t>
      </w:r>
      <w:r>
        <w:t xml:space="preserve">shift towards advanced logic manufacturing.</w:t>
      </w:r>
      <w:r>
        <w:t xml:space="preserve"> </w:t>
      </w:r>
      <w:r>
        <w:t xml:space="preserve">Employment and capacity impacts</w:t>
      </w:r>
      <w:r>
        <w:t xml:space="preserve"> </w:t>
      </w:r>
      <w:r>
        <w:t xml:space="preserve">Under this scenario, the model estimates:</w:t>
      </w:r>
      <w:r>
        <w:t xml:space="preserve"> </w:t>
      </w:r>
      <w:r>
        <w:t xml:space="preserve">•</w:t>
      </w:r>
      <w:r>
        <w:t xml:space="preserve"> </w:t>
      </w:r>
      <w:r>
        <w:t xml:space="preserve">Total new jobs: 7,301</w:t>
      </w:r>
      <w:r>
        <w:t xml:space="preserve"> </w:t>
      </w:r>
      <w:r>
        <w:t xml:space="preserve">•</w:t>
      </w:r>
      <w:r>
        <w:t xml:space="preserve"> </w:t>
      </w:r>
      <w:r>
        <w:t xml:space="preserve">Total new wafer capacity: 2,660,263 wafers per year, equivalent to</w:t>
      </w:r>
      <w:r>
        <w:t xml:space="preserve"> </w:t>
      </w:r>
      <w:r>
        <w:t xml:space="preserve">•</w:t>
      </w:r>
      <w:r>
        <w:t xml:space="preserve"> </w:t>
      </w:r>
      <w:r>
        <w:t xml:space="preserve">221,689 wafers per month</w:t>
      </w:r>
      <w:r>
        <w:t xml:space="preserve"> </w:t>
      </w:r>
      <w:r>
        <w:t xml:space="preserve">Indirect employment</w:t>
      </w:r>
      <w:r>
        <w:t xml:space="preserve"> </w:t>
      </w:r>
      <w:r>
        <w:t xml:space="preserve">The evidence from the Intel Magdeburg case and the wider literature suggests that no single</w:t>
      </w:r>
      <w:r>
        <w:t xml:space="preserve"> </w:t>
      </w:r>
      <w:r>
        <w:t xml:space="preserve">indirect employment multiplier is universally appropriate for semiconductor investments.</w:t>
      </w:r>
      <w:r>
        <w:t xml:space="preserve"> </w:t>
      </w:r>
      <w:r>
        <w:t xml:space="preserve">Instead, the choice depends on the purpose of the modelling and the degree of conservatism</w:t>
      </w:r>
      <w:r>
        <w:t xml:space="preserve"> </w:t>
      </w:r>
      <w:r>
        <w:t xml:space="preserve">required. High-end estimates, such as the SIA multiplier of 6.7, (392) reflect the full</w:t>
      </w:r>
      <w:r>
        <w:t xml:space="preserve"> </w:t>
      </w:r>
      <w:r>
        <w:t xml:space="preserve">ecosystem effects observed in the US, where the multiplier captures a mature and highly</w:t>
      </w:r>
      <w:r>
        <w:t xml:space="preserve"> </w:t>
      </w:r>
      <w:r>
        <w:t xml:space="preserve">localised semiconductor ecosystem, including upstream suppliers, specialised services, and</w:t>
      </w:r>
      <w:r>
        <w:t xml:space="preserve"> </w:t>
      </w:r>
      <w:r>
        <w:t xml:space="preserve">downstream activities. There, semiconductor supply chains are deeper, labour mobility is</w:t>
      </w:r>
    </w:p>
    <w:p>
      <w:pPr>
        <w:pStyle w:val="Compact"/>
        <w:numPr>
          <w:ilvl w:val="0"/>
          <w:numId w:val="1086"/>
        </w:numPr>
      </w:pPr>
      <w:r>
        <w:t xml:space="preserve">The US semiconductor industry workforce and how federal incentives will increase domestic jobs – SIA, Oxford</w:t>
      </w:r>
      <w:r>
        <w:t xml:space="preserve"> </w:t>
      </w:r>
      <w:r>
        <w:t xml:space="preserve">Economics - https://www.semiconductors.org/chipping-in-sia-jobs-report/</w:t>
      </w:r>
    </w:p>
    <w:p>
      <w:pPr>
        <w:pStyle w:val="FirstParagraph"/>
      </w:pPr>
      <w:r>
        <w:t xml:space="preserve">160</w:t>
      </w:r>
      <w:r>
        <w:t xml:space="preserve"> </w:t>
      </w:r>
      <w:r>
        <w:t xml:space="preserve">higher, and a large share of upstream and downstream activities is domestic. Applying such a</w:t>
      </w:r>
      <w:r>
        <w:t xml:space="preserve"> </w:t>
      </w:r>
      <w:r>
        <w:t xml:space="preserve">multiplier mechanically in an EU context risk overestimating indirect and induced</w:t>
      </w:r>
      <w:r>
        <w:t xml:space="preserve"> </w:t>
      </w:r>
      <w:r>
        <w:t xml:space="preserve">employment, particularly in regions with tight labour markets and internationally fragmented</w:t>
      </w:r>
      <w:r>
        <w:t xml:space="preserve"> </w:t>
      </w:r>
      <w:r>
        <w:t xml:space="preserve">value chains. As such, the SIA figure is best used as an upper-bound reference or</w:t>
      </w:r>
      <w:r>
        <w:t xml:space="preserve"> </w:t>
      </w:r>
      <w:r>
        <w:t xml:space="preserve">sensitivity case, rather than a central assumption.</w:t>
      </w:r>
      <w:r>
        <w:t xml:space="preserve"> </w:t>
      </w:r>
      <w:r>
        <w:t xml:space="preserve">For a core or central modelling assumption under the EU Chips Act, a more conservative</w:t>
      </w:r>
      <w:r>
        <w:t xml:space="preserve"> </w:t>
      </w:r>
      <w:r>
        <w:t xml:space="preserve">multiplier is warranted. Benchmarks such as the UNIDO (393) manufacturing multiplier</w:t>
      </w:r>
      <w:r>
        <w:t xml:space="preserve"> </w:t>
      </w:r>
      <w:r>
        <w:t xml:space="preserve">(around 2.2 additional jobs per direct job) provide a lower bound that is consistent with</w:t>
      </w:r>
      <w:r>
        <w:t xml:space="preserve"> </w:t>
      </w:r>
      <w:r>
        <w:t xml:space="preserve">open economies and globalised supply chains, where a significant share of indirect effects is</w:t>
      </w:r>
      <w:r>
        <w:t xml:space="preserve"> </w:t>
      </w:r>
      <w:r>
        <w:t xml:space="preserve">captured outside the host region through imports and international value chains, although not</w:t>
      </w:r>
      <w:r>
        <w:t xml:space="preserve"> </w:t>
      </w:r>
      <w:r>
        <w:t xml:space="preserve">specific for the semiconductor industry. A pragmatic approach is therefore to use UNIDO</w:t>
      </w:r>
      <w:r>
        <w:t xml:space="preserve"> </w:t>
      </w:r>
      <w:r>
        <w:t xml:space="preserve">multiplier as a proxy for a lower bound of potential indirect and induced jobs per direct job,</w:t>
      </w:r>
      <w:r>
        <w:t xml:space="preserve"> </w:t>
      </w:r>
      <w:r>
        <w:t xml:space="preserve">reflecting partial but not full localisation of spillovers.</w:t>
      </w:r>
      <w:r>
        <w:br/>
      </w:r>
      <w:r>
        <w:t xml:space="preserve">Therefore, under the pessimistic scenario, the level of indirect jobs created is assumed to be:</w:t>
      </w:r>
      <w:r>
        <w:t xml:space="preserve"> </w:t>
      </w:r>
      <w:r>
        <w:t xml:space="preserve">-</w:t>
      </w:r>
      <w:r>
        <w:t xml:space="preserve"> </w:t>
      </w:r>
      <w:r>
        <w:t xml:space="preserve">Lower end (UNIDO multiplier): 7,301</w:t>
      </w:r>
      <w:r>
        <w:rPr>
          <w:i/>
          <w:iCs/>
        </w:rPr>
        <w:t xml:space="preserve">2.2 = 16,061</w:t>
      </w:r>
      <w:r>
        <w:rPr>
          <w:i/>
          <w:iCs/>
        </w:rPr>
        <w:t xml:space="preserve"> </w:t>
      </w:r>
      <w:r>
        <w:rPr>
          <w:i/>
          <w:iCs/>
        </w:rPr>
        <w:t xml:space="preserve">-</w:t>
      </w:r>
      <w:r>
        <w:rPr>
          <w:i/>
          <w:iCs/>
        </w:rPr>
        <w:t xml:space="preserve"> </w:t>
      </w:r>
      <w:r>
        <w:rPr>
          <w:i/>
          <w:iCs/>
        </w:rPr>
        <w:t xml:space="preserve">Upper end (downwards adjusted SIA multiplier): 7,301</w:t>
      </w:r>
      <w:r>
        <w:t xml:space="preserve">5 = 36,503</w:t>
      </w:r>
      <w:r>
        <w:t xml:space="preserve"> </w:t>
      </w:r>
      <w:r>
        <w:t xml:space="preserve">These two benchmarks delimit a plausible range for indirect employment effects in the EU</w:t>
      </w:r>
      <w:r>
        <w:t xml:space="preserve"> </w:t>
      </w:r>
      <w:r>
        <w:t xml:space="preserve">context.</w:t>
      </w:r>
      <w:r>
        <w:t xml:space="preserve"> </w:t>
      </w:r>
      <w:r>
        <w:t xml:space="preserve">Revenue impacts</w:t>
      </w:r>
      <w:r>
        <w:t xml:space="preserve"> </w:t>
      </w:r>
      <w:r>
        <w:t xml:space="preserve">To estimate revenues, the model applies a proportional approach based on the current</w:t>
      </w:r>
      <w:r>
        <w:t xml:space="preserve"> </w:t>
      </w:r>
      <w:r>
        <w:t xml:space="preserve">relationship between EU wafer capacity and device-level revenue. Using an estimated total</w:t>
      </w:r>
      <w:r>
        <w:t xml:space="preserve"> </w:t>
      </w:r>
      <w:r>
        <w:t xml:space="preserve">EU capacity of 1.07 million wafers per month and reported EU semiconductor device</w:t>
      </w:r>
      <w:r>
        <w:t xml:space="preserve"> </w:t>
      </w:r>
      <w:r>
        <w:t xml:space="preserve">revenue of EUR 50.5 billion, an average revenue per wafer is derived and applied to the</w:t>
      </w:r>
      <w:r>
        <w:t xml:space="preserve"> </w:t>
      </w:r>
      <w:r>
        <w:t xml:space="preserve">incremental capacity.</w:t>
      </w:r>
      <w:r>
        <w:t xml:space="preserve"> </w:t>
      </w:r>
      <w:r>
        <w:t xml:space="preserve">On this basis, the pessimistic scenario yields estimated additional annual revenue of</w:t>
      </w:r>
      <w:r>
        <w:t xml:space="preserve"> </w:t>
      </w:r>
      <w:r>
        <w:t xml:space="preserve">approximately:</w:t>
      </w:r>
      <w:r>
        <w:t xml:space="preserve"> </w:t>
      </w:r>
      <w:r>
        <w:t xml:space="preserve">•</w:t>
      </w:r>
      <w:r>
        <w:t xml:space="preserve"> </w:t>
      </w:r>
      <w:r>
        <w:t xml:space="preserve">EUR 6.6 billion</w:t>
      </w:r>
      <w:r>
        <w:t xml:space="preserve"> </w:t>
      </w:r>
      <w:r>
        <w:t xml:space="preserve">This outcome reflects the relatively low average selling prices associated with mature-node</w:t>
      </w:r>
      <w:r>
        <w:t xml:space="preserve"> </w:t>
      </w:r>
      <w:r>
        <w:t xml:space="preserve">production, even at substantial volumes.</w:t>
      </w:r>
      <w:r>
        <w:t xml:space="preserve"> </w:t>
      </w:r>
      <w:r>
        <w:t xml:space="preserve">Figure 22. Projected revenues due to strategic projects. Source: prepared by the authors.</w:t>
      </w:r>
    </w:p>
    <w:p>
      <w:pPr>
        <w:pStyle w:val="Compact"/>
        <w:numPr>
          <w:ilvl w:val="0"/>
          <w:numId w:val="1087"/>
        </w:numPr>
      </w:pPr>
      <w:r>
        <w:t xml:space="preserve">The multiplier effect of industrial jobs – United Nation Industrial Development Organisation (UNIDO)</w:t>
      </w:r>
    </w:p>
    <w:p>
      <w:pPr>
        <w:pStyle w:val="FirstParagraph"/>
      </w:pPr>
      <w:r>
        <w:t xml:space="preserve">161</w:t>
      </w:r>
    </w:p>
    <w:p>
      <w:pPr>
        <w:pStyle w:val="BodyText"/>
      </w:pPr>
      <w:r>
        <w:t xml:space="preserve">Optimistic scenario: assuming emergence of leading-edge manufacturing</w:t>
      </w:r>
      <w:r>
        <w:t xml:space="preserve"> </w:t>
      </w:r>
      <w:r>
        <w:t xml:space="preserve">The second scenario assumes a more strategic allocation of investment, in which:</w:t>
      </w:r>
      <w:r>
        <w:t xml:space="preserve"> </w:t>
      </w:r>
      <w:r>
        <w:t xml:space="preserve">•</w:t>
      </w:r>
      <w:r>
        <w:t xml:space="preserve"> </w:t>
      </w:r>
      <w:r>
        <w:t xml:space="preserve">EUR 25 billion (indicative cost of a leading-edge fab) is dedicated to the construction</w:t>
      </w:r>
      <w:r>
        <w:t xml:space="preserve"> </w:t>
      </w:r>
      <w:r>
        <w:t xml:space="preserve">of a cutting-edge logic facility, and</w:t>
      </w:r>
      <w:r>
        <w:t xml:space="preserve"> </w:t>
      </w:r>
      <w:r>
        <w:t xml:space="preserve">•</w:t>
      </w:r>
      <w:r>
        <w:t xml:space="preserve"> </w:t>
      </w:r>
      <w:r>
        <w:t xml:space="preserve">the remaining EUR 15 billion is invested in line with the current European wafer mix,</w:t>
      </w:r>
      <w:r>
        <w:t xml:space="preserve"> </w:t>
      </w:r>
      <w:r>
        <w:t xml:space="preserve">using the same assumptions as in the pessimistic scenario.</w:t>
      </w:r>
      <w:r>
        <w:t xml:space="preserve"> </w:t>
      </w:r>
      <w:r>
        <w:t xml:space="preserve">According to the Joint Research Centre, drawing on BCG analysis (394), a state-of-the-art</w:t>
      </w:r>
      <w:r>
        <w:t xml:space="preserve"> </w:t>
      </w:r>
      <w:r>
        <w:t xml:space="preserve">semiconductor fab of standard capacity requires roughly USD 20 billion for advanced logic or</w:t>
      </w:r>
      <w:r>
        <w:t xml:space="preserve"> </w:t>
      </w:r>
      <w:r>
        <w:t xml:space="preserve">memory production, including land, buildings and equipment. Another relevant reference is</w:t>
      </w:r>
      <w:r>
        <w:t xml:space="preserve"> </w:t>
      </w:r>
      <w:r>
        <w:t xml:space="preserve">the Rapidus project in Japan, which targets 2-nanometre production and is reported to involve</w:t>
      </w:r>
      <w:r>
        <w:t xml:space="preserve"> </w:t>
      </w:r>
      <w:r>
        <w:t xml:space="preserve">total investment of around USD 36 billion (approximately EUR 30 billion) (395), covering</w:t>
      </w:r>
      <w:r>
        <w:t xml:space="preserve"> </w:t>
      </w:r>
      <w:r>
        <w:t xml:space="preserve">construction, equipment, and extensive process development. That figure reflects significant</w:t>
      </w:r>
      <w:r>
        <w:t xml:space="preserve"> </w:t>
      </w:r>
      <w:r>
        <w:t xml:space="preserve">upfront R&amp;D expenditure, notably through Rapidus’ strategic collaboration via NanoIC pilot</w:t>
      </w:r>
      <w:r>
        <w:t xml:space="preserve"> </w:t>
      </w:r>
      <w:r>
        <w:t xml:space="preserve">line hosted by imec (396). Given Europe’s existing access to advanced research and pilot-line</w:t>
      </w:r>
      <w:r>
        <w:t xml:space="preserve"> </w:t>
      </w:r>
      <w:r>
        <w:t xml:space="preserve">infrastructure through imec and related ecosystems, a lower all-in cost of EUR 25 billion for a</w:t>
      </w:r>
      <w:r>
        <w:t xml:space="preserve"> </w:t>
      </w:r>
      <w:r>
        <w:t xml:space="preserve">comparable European fab is considered a reasonable assumption.</w:t>
      </w:r>
      <w:r>
        <w:t xml:space="preserve"> </w:t>
      </w:r>
      <w:r>
        <w:t xml:space="preserve">This scenario reflects a deliberate policy choice to use public support to alter the</w:t>
      </w:r>
      <w:r>
        <w:t xml:space="preserve"> </w:t>
      </w:r>
      <w:r>
        <w:t xml:space="preserve">technological composition of EU semiconductor manufacturing, rather than only expanding</w:t>
      </w:r>
      <w:r>
        <w:t xml:space="preserve"> </w:t>
      </w:r>
      <w:r>
        <w:t xml:space="preserve">existing segments.</w:t>
      </w:r>
      <w:r>
        <w:t xml:space="preserve"> </w:t>
      </w:r>
      <w:r>
        <w:t xml:space="preserve">Leading-edge fab assumptions:</w:t>
      </w:r>
    </w:p>
    <w:p>
      <w:pPr>
        <w:pStyle w:val="Compact"/>
        <w:numPr>
          <w:ilvl w:val="0"/>
          <w:numId w:val="1088"/>
        </w:numPr>
      </w:pPr>
      <w:r>
        <w:t xml:space="preserve">Bonnet, P., Ciani, A., Molnar, J., &amp; Nardo, M. (2025). EU’s strengths and weaknesses in the global semiconductor</w:t>
      </w:r>
      <w:r>
        <w:t xml:space="preserve"> </w:t>
      </w:r>
      <w:r>
        <w:t xml:space="preserve">sector (EUR 40253 EN). Luxembourg: Publications Office of the European Union. https://doi.org/10.2760/6302476</w:t>
      </w:r>
    </w:p>
    <w:p>
      <w:pPr>
        <w:pStyle w:val="Compact"/>
        <w:numPr>
          <w:ilvl w:val="0"/>
          <w:numId w:val="1088"/>
        </w:numPr>
      </w:pPr>
      <w:r>
        <w:t xml:space="preserve">https://www.electronicsweekly.com/news/business/rapidus-picks-hokkaido-for-36bn-2nm-fab-2023-02/</w:t>
      </w:r>
      <w:r>
        <w:br/>
      </w:r>
    </w:p>
    <w:p>
      <w:pPr>
        <w:pStyle w:val="Compact"/>
        <w:numPr>
          <w:ilvl w:val="0"/>
          <w:numId w:val="1088"/>
        </w:numPr>
      </w:pPr>
      <w:r>
        <w:t xml:space="preserve">https://www.imec-int.com/en/press/rapidus-japans-newly-founded-chip-manufacturer-joins-imecs-core-partner-program</w:t>
      </w:r>
      <w:r>
        <w:br/>
      </w:r>
      <w:r>
        <w:t xml:space="preserve">80,0</w:t>
      </w:r>
      <w:r>
        <w:t xml:space="preserve"> </w:t>
      </w:r>
      <w:r>
        <w:t xml:space="preserve">85,0</w:t>
      </w:r>
      <w:r>
        <w:t xml:space="preserve"> </w:t>
      </w:r>
      <w:r>
        <w:t xml:space="preserve">90,0</w:t>
      </w:r>
      <w:r>
        <w:t xml:space="preserve"> </w:t>
      </w:r>
      <w:r>
        <w:t xml:space="preserve">95,0</w:t>
      </w:r>
      <w:r>
        <w:t xml:space="preserve"> </w:t>
      </w:r>
      <w:r>
        <w:t xml:space="preserve">100,0</w:t>
      </w:r>
      <w:r>
        <w:t xml:space="preserve"> </w:t>
      </w:r>
      <w:r>
        <w:t xml:space="preserve">105,0</w:t>
      </w:r>
      <w:r>
        <w:t xml:space="preserve"> </w:t>
      </w:r>
      <w:r>
        <w:t xml:space="preserve">110,0</w:t>
      </w:r>
      <w:r>
        <w:t xml:space="preserve"> </w:t>
      </w:r>
      <w:r>
        <w:t xml:space="preserve">115,0</w:t>
      </w:r>
      <w:r>
        <w:t xml:space="preserve"> </w:t>
      </w:r>
      <w:r>
        <w:t xml:space="preserve">120,0</w:t>
      </w:r>
      <w:r>
        <w:t xml:space="preserve"> </w:t>
      </w:r>
      <w:r>
        <w:t xml:space="preserve">125,0</w:t>
      </w:r>
      <w:r>
        <w:t xml:space="preserve"> </w:t>
      </w:r>
      <w:r>
        <w:t xml:space="preserve">130,0</w:t>
      </w:r>
      <w:r>
        <w:t xml:space="preserve"> </w:t>
      </w:r>
      <w:r>
        <w:t xml:space="preserve">2028</w:t>
      </w:r>
      <w:r>
        <w:t xml:space="preserve"> </w:t>
      </w:r>
      <w:r>
        <w:t xml:space="preserve">2029</w:t>
      </w:r>
      <w:r>
        <w:t xml:space="preserve"> </w:t>
      </w:r>
      <w:r>
        <w:t xml:space="preserve">2030</w:t>
      </w:r>
      <w:r>
        <w:t xml:space="preserve"> </w:t>
      </w:r>
      <w:r>
        <w:t xml:space="preserve">2031</w:t>
      </w:r>
      <w:r>
        <w:t xml:space="preserve"> </w:t>
      </w:r>
      <w:r>
        <w:t xml:space="preserve">2032</w:t>
      </w:r>
      <w:r>
        <w:t xml:space="preserve"> </w:t>
      </w:r>
      <w:r>
        <w:t xml:space="preserve">2033</w:t>
      </w:r>
      <w:r>
        <w:t xml:space="preserve"> </w:t>
      </w:r>
      <w:r>
        <w:t xml:space="preserve">2034</w:t>
      </w:r>
      <w:r>
        <w:t xml:space="preserve"> </w:t>
      </w:r>
      <w:r>
        <w:t xml:space="preserve">2035</w:t>
      </w:r>
      <w:r>
        <w:t xml:space="preserve"> </w:t>
      </w:r>
      <w:r>
        <w:t xml:space="preserve">BAU</w:t>
      </w:r>
      <w:r>
        <w:t xml:space="preserve"> </w:t>
      </w:r>
      <w:r>
        <w:t xml:space="preserve">BAU + Strategic projects (scenario 1)</w:t>
      </w:r>
      <w:r>
        <w:t xml:space="preserve"> </w:t>
      </w:r>
      <w:r>
        <w:t xml:space="preserve">BAU + Strategic projects (scenario 2)</w:t>
      </w:r>
    </w:p>
    <w:p>
      <w:pPr>
        <w:pStyle w:val="FirstParagraph"/>
      </w:pPr>
      <w:r>
        <w:t xml:space="preserve">162</w:t>
      </w:r>
      <w:r>
        <w:t xml:space="preserve"> </w:t>
      </w:r>
      <w:r>
        <w:t xml:space="preserve">The leading-edge component is modelled using conservative assumptions drawn from recent</w:t>
      </w:r>
      <w:r>
        <w:t xml:space="preserve"> </w:t>
      </w:r>
      <w:r>
        <w:t xml:space="preserve">greenfield announcements:</w:t>
      </w:r>
      <w:r>
        <w:t xml:space="preserve"> </w:t>
      </w:r>
      <w:r>
        <w:t xml:space="preserve">•</w:t>
      </w:r>
      <w:r>
        <w:t xml:space="preserve"> </w:t>
      </w:r>
      <w:r>
        <w:t xml:space="preserve">Direct employment: 2,000 jobs, based on announced figures for comparable projects</w:t>
      </w:r>
      <w:r>
        <w:t xml:space="preserve"> </w:t>
      </w:r>
      <w:r>
        <w:t xml:space="preserve">in the EU (e.g. ESMC).</w:t>
      </w:r>
      <w:r>
        <w:t xml:space="preserve"> </w:t>
      </w:r>
      <w:r>
        <w:t xml:space="preserve">•</w:t>
      </w:r>
      <w:r>
        <w:t xml:space="preserve"> </w:t>
      </w:r>
      <w:r>
        <w:t xml:space="preserve">Capacity: 25,000 wafers per month, consistent with public announcements for new</w:t>
      </w:r>
      <w:r>
        <w:t xml:space="preserve"> </w:t>
      </w:r>
      <w:r>
        <w:t xml:space="preserve">advanced fabs (e.g. Rapidus397).</w:t>
      </w:r>
      <w:r>
        <w:t xml:space="preserve"> </w:t>
      </w:r>
      <w:r>
        <w:t xml:space="preserve">•</w:t>
      </w:r>
      <w:r>
        <w:t xml:space="preserve"> </w:t>
      </w:r>
      <w:r>
        <w:t xml:space="preserve">Average wafer revenue: EUR 30,000 per wafer, reflecting industry estimates for</w:t>
      </w:r>
      <w:r>
        <w:t xml:space="preserve"> </w:t>
      </w:r>
      <w:r>
        <w:t xml:space="preserve">advanced-node foundry pricing (e.g. TSMC398)</w:t>
      </w:r>
      <w:r>
        <w:t xml:space="preserve"> </w:t>
      </w:r>
      <w:r>
        <w:t xml:space="preserve">These assumptions are indicative and reflect current industry benchmarks rather than firm</w:t>
      </w:r>
      <w:r>
        <w:t xml:space="preserve"> </w:t>
      </w:r>
      <w:r>
        <w:t xml:space="preserve">contractual prices.</w:t>
      </w:r>
      <w:r>
        <w:t xml:space="preserve"> </w:t>
      </w:r>
      <w:r>
        <w:t xml:space="preserve">Combined impacts (leading-edge plus mature mix)</w:t>
      </w:r>
      <w:r>
        <w:t xml:space="preserve"> </w:t>
      </w:r>
      <w:r>
        <w:t xml:space="preserve">When combining the leading-edge investment with the remaining EUR 15 billion allocated to</w:t>
      </w:r>
      <w:r>
        <w:t xml:space="preserve"> </w:t>
      </w:r>
      <w:r>
        <w:t xml:space="preserve">the current mix, the model estimates:</w:t>
      </w:r>
      <w:r>
        <w:t xml:space="preserve"> </w:t>
      </w:r>
      <w:r>
        <w:t xml:space="preserve">•</w:t>
      </w:r>
      <w:r>
        <w:t xml:space="preserve"> </w:t>
      </w:r>
      <w:r>
        <w:t xml:space="preserve">Total new direct jobs: 4,738</w:t>
      </w:r>
      <w:r>
        <w:t xml:space="preserve"> </w:t>
      </w:r>
      <w:r>
        <w:t xml:space="preserve">•</w:t>
      </w:r>
      <w:r>
        <w:t xml:space="preserve"> </w:t>
      </w:r>
      <w:r>
        <w:t xml:space="preserve">Total new indirect jobs: 10,423 – 23,690</w:t>
      </w:r>
      <w:r>
        <w:t xml:space="preserve"> </w:t>
      </w:r>
      <w:r>
        <w:t xml:space="preserve">•</w:t>
      </w:r>
      <w:r>
        <w:t xml:space="preserve"> </w:t>
      </w:r>
      <w:r>
        <w:t xml:space="preserve">Total new wafer capacity: 108,133 wafers per month</w:t>
      </w:r>
      <w:r>
        <w:t xml:space="preserve"> </w:t>
      </w:r>
      <w:r>
        <w:t xml:space="preserve">•</w:t>
      </w:r>
      <w:r>
        <w:t xml:space="preserve"> </w:t>
      </w:r>
      <w:r>
        <w:t xml:space="preserve">Total additional annual revenue: EUR 11.5 billion</w:t>
      </w:r>
      <w:r>
        <w:t xml:space="preserve"> </w:t>
      </w:r>
      <w:r>
        <w:t xml:space="preserve">Although total employment is lower than in the first scenario, this reflects the higher capital</w:t>
      </w:r>
      <w:r>
        <w:t xml:space="preserve"> </w:t>
      </w:r>
      <w:r>
        <w:t xml:space="preserve">intensity and automation of leading-edge manufacturing rather than weaker economic</w:t>
      </w:r>
      <w:r>
        <w:t xml:space="preserve"> </w:t>
      </w:r>
      <w:r>
        <w:t xml:space="preserve">performance.</w:t>
      </w:r>
      <w:r>
        <w:t xml:space="preserve"> </w:t>
      </w:r>
      <w:r>
        <w:t xml:space="preserve">Fiscal returns</w:t>
      </w:r>
      <w:r>
        <w:t xml:space="preserve"> </w:t>
      </w:r>
      <w:r>
        <w:t xml:space="preserve">We estimate the fiscal revenues generated once the new capacity is operational. Fiscal returns</w:t>
      </w:r>
      <w:r>
        <w:t xml:space="preserve"> </w:t>
      </w:r>
      <w:r>
        <w:t xml:space="preserve">depend on the additional value added generated by ongoing production. To avoid</w:t>
      </w:r>
      <w:r>
        <w:t xml:space="preserve"> </w:t>
      </w:r>
      <w:r>
        <w:t xml:space="preserve">overstating fiscal impacts by applying tax rates to turnover, the analysis converts additional</w:t>
      </w:r>
      <w:r>
        <w:t xml:space="preserve"> </w:t>
      </w:r>
      <w:r>
        <w:t xml:space="preserve">semiconductor revenues into additional gross value added (GVA) using an empirically</w:t>
      </w:r>
      <w:r>
        <w:t xml:space="preserve"> </w:t>
      </w:r>
      <w:r>
        <w:t xml:space="preserve">grounded value-added share.</w:t>
      </w:r>
      <w:r>
        <w:t xml:space="preserve"> </w:t>
      </w:r>
      <w:r>
        <w:t xml:space="preserve">Using OECD STAN data for EU Member States (ISIC Rev.4 C26: manufacture of</w:t>
      </w:r>
      <w:r>
        <w:t xml:space="preserve"> </w:t>
      </w:r>
      <w:r>
        <w:t xml:space="preserve">computer, electronic and optical products) over 2020–2023, the ratio of Value added to</w:t>
      </w:r>
      <w:r>
        <w:t xml:space="preserve"> </w:t>
      </w:r>
      <w:r>
        <w:t xml:space="preserve">Output averages 34%. This provides a transparent and robust benchmark for converting</w:t>
      </w:r>
      <w:r>
        <w:t xml:space="preserve"> </w:t>
      </w:r>
      <w:r>
        <w:t xml:space="preserve">additional device revenues into additional value added. Accordingly, additional operational</w:t>
      </w:r>
      <w:r>
        <w:t xml:space="preserve"> </w:t>
      </w:r>
      <w:r>
        <w:t xml:space="preserve">value added is estimated as:</w:t>
      </w:r>
      <w:r>
        <w:t xml:space="preserve"> </w:t>
      </w:r>
      <w:r>
        <w:t xml:space="preserve">Additional GVA = 0.34 × additional annual device revenue</w:t>
      </w:r>
      <w:r>
        <w:t xml:space="preserve"> </w:t>
      </w:r>
      <w:r>
        <w:t xml:space="preserve">This step ensures consistency with national accounts concepts and avoids double counting, as</w:t>
      </w:r>
      <w:r>
        <w:t xml:space="preserve"> </w:t>
      </w:r>
      <w:r>
        <w:t xml:space="preserve">only the domestically generated component of revenue is treated as the relevant economic</w:t>
      </w:r>
      <w:r>
        <w:t xml:space="preserve"> </w:t>
      </w:r>
      <w:r>
        <w:t xml:space="preserve">base for fiscal analysis.</w:t>
      </w:r>
    </w:p>
    <w:p>
      <w:pPr>
        <w:pStyle w:val="BodyText"/>
      </w:pPr>
      <w:r>
        <w:t xml:space="preserve">(397)https://www.digitimes.com/news/a20250718PD228/rapidus-production-2nm-2027-</w:t>
      </w:r>
      <w:r>
        <w:t xml:space="preserve"> </w:t>
      </w:r>
      <w:r>
        <w:t xml:space="preserve">chips.html#:~:text=Toward%20a%20commercial%20offering,Mayor%20Ryuichi%20Yokota%20of%20Chitose.</w:t>
      </w:r>
      <w:r>
        <w:br/>
      </w:r>
      <w:r>
        <w:t xml:space="preserve">(398) https://bits-chips.com/article/tsmc-to-raise-advanced-process-prices-by-up-to-10-percent/?utm</w:t>
      </w:r>
    </w:p>
    <w:p>
      <w:pPr>
        <w:pStyle w:val="BodyText"/>
      </w:pPr>
      <w:r>
        <w:t xml:space="preserve">163</w:t>
      </w:r>
      <w:r>
        <w:t xml:space="preserve"> </w:t>
      </w:r>
      <w:r>
        <w:t xml:space="preserve">Based on the data provided in JRC (2025) (399) and OECD Tax Revenue Database (400) we</w:t>
      </w:r>
      <w:r>
        <w:t xml:space="preserve"> </w:t>
      </w:r>
      <w:r>
        <w:t xml:space="preserve">know that an average share of value added captured as fiscal revenue is between 16% - 17%</w:t>
      </w:r>
      <w:r>
        <w:t xml:space="preserve"> </w:t>
      </w:r>
      <w:r>
        <w:t xml:space="preserve">(assume 16.5% as a central point). This means that an annual fiscal return of:</w:t>
      </w:r>
      <w:r>
        <w:br/>
      </w:r>
      <w:r>
        <w:t xml:space="preserve">• In pessimistic case: annual direct tax revenue would be around EUR 380 million;</w:t>
      </w:r>
      <w:r>
        <w:t xml:space="preserve"> </w:t>
      </w:r>
      <w:r>
        <w:t xml:space="preserve">• In optimistic case: annual direct tax revenue would be around EUR 662 million.</w:t>
      </w:r>
      <w:r>
        <w:t xml:space="preserve"> </w:t>
      </w:r>
      <w:r>
        <w:t xml:space="preserve">6.</w:t>
      </w:r>
      <w:r>
        <w:t xml:space="preserve"> </w:t>
      </w:r>
      <w:r>
        <w:t xml:space="preserve">INNOVATION-ORIENTED PUBLIC PROCUREMENT AND FIRM INNOVATION OUTCOMES:</w:t>
      </w:r>
      <w:r>
        <w:t xml:space="preserve"> </w:t>
      </w:r>
      <w:r>
        <w:t xml:space="preserve">EVIDENCE FROM THE LITERATURE</w:t>
      </w:r>
      <w:r>
        <w:t xml:space="preserve"> </w:t>
      </w:r>
      <w:r>
        <w:t xml:space="preserve">A growing empirical literature shows that public procurement can function as an effective</w:t>
      </w:r>
      <w:r>
        <w:t xml:space="preserve"> </w:t>
      </w:r>
      <w:r>
        <w:t xml:space="preserve">demand-side innovation instrument, particularly when public buyers act as technologically</w:t>
      </w:r>
      <w:r>
        <w:t xml:space="preserve"> </w:t>
      </w:r>
      <w:r>
        <w:t xml:space="preserve">sophisticated lead customers and require first-of-a-kind or non-off-the-shelf solutions. In such</w:t>
      </w:r>
      <w:r>
        <w:t xml:space="preserve"> </w:t>
      </w:r>
      <w:r>
        <w:t xml:space="preserve">contexts, procurement influences firm behaviour not primarily through financial transfers, but</w:t>
      </w:r>
      <w:r>
        <w:t xml:space="preserve"> </w:t>
      </w:r>
      <w:r>
        <w:t xml:space="preserve">by exposing suppliers to advanced technical requirements, intensive buyer–supplier</w:t>
      </w:r>
      <w:r>
        <w:t xml:space="preserve"> </w:t>
      </w:r>
      <w:r>
        <w:t xml:space="preserve">interaction, and strong signalling effects towards downstream markets.</w:t>
      </w:r>
      <w:r>
        <w:t xml:space="preserve"> </w:t>
      </w:r>
      <w:r>
        <w:t xml:space="preserve">Evidence from procurement by large research infrastructures illustrates this mechanism</w:t>
      </w:r>
      <w:r>
        <w:t xml:space="preserve"> </w:t>
      </w:r>
      <w:r>
        <w:t xml:space="preserve">clearly. Firm-level econometric analysis of CERN procurement shows that suppliers awarded</w:t>
      </w:r>
      <w:r>
        <w:t xml:space="preserve"> </w:t>
      </w:r>
      <w:r>
        <w:t xml:space="preserve">CERN contracts experience a statistically significant increase in their likelihood of becoming</w:t>
      </w:r>
      <w:r>
        <w:t xml:space="preserve"> </w:t>
      </w:r>
      <w:r>
        <w:t xml:space="preserve">innovators, with estimated effects in the order of around 10–20 percentage points relative to</w:t>
      </w:r>
      <w:r>
        <w:t xml:space="preserve"> </w:t>
      </w:r>
      <w:r>
        <w:t xml:space="preserve">otherwise comparable firms. The underlying channel operates through capability upgrading</w:t>
      </w:r>
      <w:r>
        <w:t xml:space="preserve"> </w:t>
      </w:r>
      <w:r>
        <w:t xml:space="preserve">and learning-by-doing induced by demanding specifications, co-development processes, and</w:t>
      </w:r>
      <w:r>
        <w:t xml:space="preserve"> </w:t>
      </w:r>
      <w:r>
        <w:t xml:space="preserve">reputational benefits associated with supplying a globally recognised scientific buyer. These</w:t>
      </w:r>
      <w:r>
        <w:t xml:space="preserve"> </w:t>
      </w:r>
      <w:r>
        <w:t xml:space="preserve">effects are particularly salient for firms close to an innovation threshold, suggesting that</w:t>
      </w:r>
      <w:r>
        <w:t xml:space="preserve"> </w:t>
      </w:r>
      <w:r>
        <w:t xml:space="preserve">innovation-oriented procurement can help firms cross barriers related to certification,</w:t>
      </w:r>
      <w:r>
        <w:t xml:space="preserve"> </w:t>
      </w:r>
      <w:r>
        <w:t xml:space="preserve">technical validation, and market credibility (401).</w:t>
      </w:r>
      <w:r>
        <w:t xml:space="preserve"> </w:t>
      </w:r>
      <w:r>
        <w:t xml:space="preserve">Complementary large-sample evidence confirms that public procurement is associated with</w:t>
      </w:r>
      <w:r>
        <w:t xml:space="preserve"> </w:t>
      </w:r>
      <w:r>
        <w:t xml:space="preserve">measurable innovation outcomes at firm level. Using Flash Eurobarometer data covering 28</w:t>
      </w:r>
      <w:r>
        <w:t xml:space="preserve"> </w:t>
      </w:r>
      <w:r>
        <w:t xml:space="preserve">EU Member States, Switzerland, and the US, and a sample of 6,719 innovative firms</w:t>
      </w:r>
      <w:r>
        <w:t xml:space="preserve"> </w:t>
      </w:r>
      <w:r>
        <w:t xml:space="preserve">observed between 2011 and 2014, econometric analysis combining cross-sectional regression</w:t>
      </w:r>
      <w:r>
        <w:t xml:space="preserve"> </w:t>
      </w:r>
      <w:r>
        <w:t xml:space="preserve">with propensity score matching finds that participation in public procurement significantly</w:t>
      </w:r>
      <w:r>
        <w:t xml:space="preserve"> </w:t>
      </w:r>
      <w:r>
        <w:t xml:space="preserve">increases the probability of innovation. Specifically, procurement participation raises the</w:t>
      </w:r>
      <w:r>
        <w:t xml:space="preserve"> </w:t>
      </w:r>
      <w:r>
        <w:t xml:space="preserve">likelihood of introducing product innovation by 10.6 percentage points in goods and 12.4</w:t>
      </w:r>
      <w:r>
        <w:t xml:space="preserve"> </w:t>
      </w:r>
      <w:r>
        <w:t xml:space="preserve">percentage points in services, while supply-side R&amp;D policy measures show no statistically</w:t>
      </w:r>
      <w:r>
        <w:t xml:space="preserve"> </w:t>
      </w:r>
      <w:r>
        <w:t xml:space="preserve">significant effect on product innovation in either sector. For process innovation, procurement</w:t>
      </w:r>
      <w:r>
        <w:t xml:space="preserve"> </w:t>
      </w:r>
      <w:r>
        <w:t xml:space="preserve">increases adoption probability by 6.3 percentage points, while public R&amp;D support raises the</w:t>
      </w:r>
      <w:r>
        <w:t xml:space="preserve"> </w:t>
      </w:r>
      <w:r>
        <w:t xml:space="preserve">likelihood of process innovation by 7.2 percentage points, indicating a degree of</w:t>
      </w:r>
      <w:r>
        <w:t xml:space="preserve"> </w:t>
      </w:r>
      <w:r>
        <w:t xml:space="preserve">complementarity between demand-side and supply-side instruments for production upgrading</w:t>
      </w:r>
      <w:r>
        <w:t xml:space="preserve"> </w:t>
      </w:r>
      <w:r>
        <w:t xml:space="preserve">(402).</w:t>
      </w:r>
    </w:p>
    <w:p>
      <w:pPr>
        <w:pStyle w:val="Compact"/>
        <w:numPr>
          <w:ilvl w:val="0"/>
          <w:numId w:val="1089"/>
        </w:numPr>
      </w:pPr>
      <w:r>
        <w:t xml:space="preserve">Bonnet, P., Ciani, A., Molnar, J., &amp; Nardo, M. (2025). EU’s strengths and weaknesses in the global semiconductor</w:t>
      </w:r>
      <w:r>
        <w:t xml:space="preserve"> </w:t>
      </w:r>
      <w:r>
        <w:t xml:space="preserve">sector (EUR 40253 EN). Luxembourg: Publications Office of the European Union. https://doi.org/10.2760/6302476</w:t>
      </w:r>
    </w:p>
    <w:p>
      <w:pPr>
        <w:pStyle w:val="Compact"/>
        <w:numPr>
          <w:ilvl w:val="0"/>
          <w:numId w:val="1089"/>
        </w:numPr>
      </w:pPr>
      <w:r>
        <w:t xml:space="preserve">OECD Tax Revenue Statistics: Comparative Tables and Tax Revenue Database (Edition 2024). Paris: OECD</w:t>
      </w:r>
      <w:r>
        <w:t xml:space="preserve"> </w:t>
      </w:r>
      <w:r>
        <w:t xml:space="preserve">Publishing. Available at https://stats.oecd.org/Index.aspx?DataSetCode=REV</w:t>
      </w:r>
      <w:r>
        <w:br/>
      </w:r>
    </w:p>
    <w:p>
      <w:pPr>
        <w:pStyle w:val="Compact"/>
        <w:numPr>
          <w:ilvl w:val="0"/>
          <w:numId w:val="1089"/>
        </w:numPr>
      </w:pPr>
      <w:r>
        <w:t xml:space="preserve">Andrea Bastianin, Paolo Castelnovo, Lorenzo Zirulia, Overcoming the innovation threshold through innovative public</w:t>
      </w:r>
      <w:r>
        <w:t xml:space="preserve"> </w:t>
      </w:r>
      <w:r>
        <w:t xml:space="preserve">procurement: evidence from CERN, Industrial and Corporate Change, Volume 34, Issue 5, October 2025, Pages 871–900,</w:t>
      </w:r>
      <w:r>
        <w:t xml:space="preserve"> </w:t>
      </w:r>
      <w:r>
        <w:t xml:space="preserve">https://doi.org/10.1093/icc/dtaf004</w:t>
      </w:r>
    </w:p>
    <w:p>
      <w:pPr>
        <w:pStyle w:val="Compact"/>
        <w:numPr>
          <w:ilvl w:val="0"/>
          <w:numId w:val="1089"/>
        </w:numPr>
      </w:pPr>
      <w:r>
        <w:t xml:space="preserve">Dragana Radicic, Effectiveness of public procurement of innovation versus supply-side innovation measures in</w:t>
      </w:r>
      <w:r>
        <w:t xml:space="preserve"> </w:t>
      </w:r>
      <w:r>
        <w:t xml:space="preserve">manufacturing and service sectors, Science and Public Policy, Volume 46, Issue 5, October 2019, Pages 732–746,</w:t>
      </w:r>
      <w:r>
        <w:t xml:space="preserve"> </w:t>
      </w:r>
      <w:r>
        <w:t xml:space="preserve">https://doi.org/10.1093/scipol/scz026</w:t>
      </w:r>
    </w:p>
    <w:p>
      <w:pPr>
        <w:pStyle w:val="FirstParagraph"/>
      </w:pPr>
      <w:r>
        <w:t xml:space="preserve">164</w:t>
      </w:r>
      <w:r>
        <w:t xml:space="preserve"> </w:t>
      </w:r>
      <w:r>
        <w:t xml:space="preserve">Beyond innovation outcomes, recent evidence also highlights broader economic effects of</w:t>
      </w:r>
      <w:r>
        <w:t xml:space="preserve"> </w:t>
      </w:r>
      <w:r>
        <w:t xml:space="preserve">public procurement that are relevant for high-capital-intensity sectors. Budrys (2025) (403),</w:t>
      </w:r>
      <w:r>
        <w:t xml:space="preserve"> </w:t>
      </w:r>
      <w:r>
        <w:t xml:space="preserve">using a novel dataset linking US federal procurement data with firm financials, stock market</w:t>
      </w:r>
      <w:r>
        <w:t xml:space="preserve"> </w:t>
      </w:r>
      <w:r>
        <w:t xml:space="preserve">information, analyst forecasts, and credit default swaps, identifies competitive procurement</w:t>
      </w:r>
      <w:r>
        <w:t xml:space="preserve"> </w:t>
      </w:r>
      <w:r>
        <w:t xml:space="preserve">awards as largely unanticipated firm-level demand shocks. The results show that winning a</w:t>
      </w:r>
      <w:r>
        <w:t xml:space="preserve"> </w:t>
      </w:r>
      <w:r>
        <w:t xml:space="preserve">procurement contract leads to persistent increases in sales and profits over several years, with</w:t>
      </w:r>
      <w:r>
        <w:t xml:space="preserve"> </w:t>
      </w:r>
      <w:r>
        <w:t xml:space="preserve">sales rising by around 0.20 dollars per dollar of government obligations on impact and</w:t>
      </w:r>
      <w:r>
        <w:t xml:space="preserve"> </w:t>
      </w:r>
      <w:r>
        <w:t xml:space="preserve">peaking at approximately 0.50 dollars after nine quarters, while profits increase by about 0.10</w:t>
      </w:r>
      <w:r>
        <w:t xml:space="preserve"> </w:t>
      </w:r>
      <w:r>
        <w:t xml:space="preserve">dollars per dollar of obligations, corresponding to a 4–5 percentage point increase in</w:t>
      </w:r>
      <w:r>
        <w:t xml:space="preserve"> </w:t>
      </w:r>
      <w:r>
        <w:t xml:space="preserve">profitability. Procurement also stimulates investment, with capital expenditure increasing</w:t>
      </w:r>
      <w:r>
        <w:t xml:space="preserve"> </w:t>
      </w:r>
      <w:r>
        <w:t xml:space="preserve">cumulatively by around 0.21 dollars per dollar of obligations over a three-year horizon,</w:t>
      </w:r>
      <w:r>
        <w:t xml:space="preserve"> </w:t>
      </w:r>
      <w:r>
        <w:t xml:space="preserve">indicating medium-term capacity expansion rather than short-term scaling alone. Importantly,</w:t>
      </w:r>
      <w:r>
        <w:t xml:space="preserve"> </w:t>
      </w:r>
      <w:r>
        <w:t xml:space="preserve">procurement contracts generate a risk-mitigation effect, reducing perceived uncertainty and</w:t>
      </w:r>
      <w:r>
        <w:t xml:space="preserve"> </w:t>
      </w:r>
      <w:r>
        <w:t xml:space="preserve">default risk, particularly during periods of tight financial conditions: realised stock-return</w:t>
      </w:r>
      <w:r>
        <w:t xml:space="preserve"> </w:t>
      </w:r>
      <w:r>
        <w:t xml:space="preserve">volatility declines by up to 0.5–1%, analyst forecast dispersion falls by around 4–5%, and</w:t>
      </w:r>
      <w:r>
        <w:t xml:space="preserve"> </w:t>
      </w:r>
      <w:r>
        <w:t xml:space="preserve">credit default swap spreads decline by up to 5% following contract awards. Overall, these</w:t>
      </w:r>
      <w:r>
        <w:t xml:space="preserve"> </w:t>
      </w:r>
      <w:r>
        <w:t xml:space="preserve">findings suggest that public procurement can act not only as a source of demand, but also as a</w:t>
      </w:r>
      <w:r>
        <w:t xml:space="preserve"> </w:t>
      </w:r>
      <w:r>
        <w:t xml:space="preserve">stabilising mechanism that improves firms’ resilience and investment incentives, with clear</w:t>
      </w:r>
      <w:r>
        <w:t xml:space="preserve"> </w:t>
      </w:r>
      <w:r>
        <w:t xml:space="preserve">relevance for sectors such as semiconductors characterised by large fixed costs and long</w:t>
      </w:r>
      <w:r>
        <w:t xml:space="preserve"> </w:t>
      </w:r>
      <w:r>
        <w:t xml:space="preserve">investment cycles.</w:t>
      </w:r>
      <w:r>
        <w:t xml:space="preserve"> </w:t>
      </w:r>
      <w:r>
        <w:t xml:space="preserve">The literature suggests that innovation-oriented public procurement can influence firm</w:t>
      </w:r>
      <w:r>
        <w:t xml:space="preserve"> </w:t>
      </w:r>
      <w:r>
        <w:t xml:space="preserve">behaviour through multiple channels: stimulating product and process innovation, supporting</w:t>
      </w:r>
      <w:r>
        <w:t xml:space="preserve"> </w:t>
      </w:r>
      <w:r>
        <w:t xml:space="preserve">capability upgrading, improving revenue stability, and reducing risk. These mechanisms are</w:t>
      </w:r>
      <w:r>
        <w:t xml:space="preserve"> </w:t>
      </w:r>
      <w:r>
        <w:t xml:space="preserve">highly relevant for the EU semiconductor ecosystem, which is characterised by high entry</w:t>
      </w:r>
      <w:r>
        <w:t xml:space="preserve"> </w:t>
      </w:r>
      <w:r>
        <w:t xml:space="preserve">barriers, long qualification cycles, large sunk costs, and strong dependence on reference</w:t>
      </w:r>
      <w:r>
        <w:t xml:space="preserve"> </w:t>
      </w:r>
      <w:r>
        <w:t xml:space="preserve">customers. In this context, public procurement under the EU Chips Act could complement</w:t>
      </w:r>
      <w:r>
        <w:t xml:space="preserve"> </w:t>
      </w:r>
      <w:r>
        <w:t xml:space="preserve">supply-side measures by creating early, credible demand for strategically important</w:t>
      </w:r>
      <w:r>
        <w:t xml:space="preserve"> </w:t>
      </w:r>
      <w:r>
        <w:t xml:space="preserve">technologies, such as trusted chips, advanced packaging solutions, or specialised components</w:t>
      </w:r>
      <w:r>
        <w:t xml:space="preserve"> </w:t>
      </w:r>
      <w:r>
        <w:t xml:space="preserve">for defence, space, health, and critical infrastructure. By acting as a technologically</w:t>
      </w:r>
      <w:r>
        <w:t xml:space="preserve"> </w:t>
      </w:r>
      <w:r>
        <w:t xml:space="preserve">demanding lead customer, the public sector could help European semiconductor firms and</w:t>
      </w:r>
      <w:r>
        <w:t xml:space="preserve"> </w:t>
      </w:r>
      <w:r>
        <w:t xml:space="preserve">suppliers cross innovation and commercialisation thresholds, reinforce the effectiveness of</w:t>
      </w:r>
      <w:r>
        <w:t xml:space="preserve"> </w:t>
      </w:r>
      <w:r>
        <w:t xml:space="preserve">R&amp;D and state aid instruments, and contribute to longer-term resilience and competitiveness</w:t>
      </w:r>
      <w:r>
        <w:t xml:space="preserve"> </w:t>
      </w:r>
      <w:r>
        <w:t xml:space="preserve">of the EU Chips industry.</w:t>
      </w:r>
    </w:p>
    <w:p>
      <w:pPr>
        <w:pStyle w:val="Compact"/>
        <w:numPr>
          <w:ilvl w:val="0"/>
          <w:numId w:val="1090"/>
        </w:numPr>
      </w:pPr>
      <w:r>
        <w:t xml:space="preserve">Budrys, Z. (2025). Consumer of last resort: Government procurement, firm-level evidence and the macroeconomy</w:t>
      </w:r>
      <w:r>
        <w:t xml:space="preserve"> </w:t>
      </w:r>
      <w:r>
        <w:t xml:space="preserve">(Working</w:t>
      </w:r>
      <w:r>
        <w:t xml:space="preserve"> </w:t>
      </w:r>
      <w:r>
        <w:t xml:space="preserve">Paper).</w:t>
      </w:r>
      <w:r>
        <w:t xml:space="preserve"> </w:t>
      </w:r>
      <w:r>
        <w:t xml:space="preserve">Retrieved</w:t>
      </w:r>
      <w:r>
        <w:t xml:space="preserve"> </w:t>
      </w:r>
      <w:r>
        <w:t xml:space="preserve">from</w:t>
      </w:r>
      <w:r>
        <w:t xml:space="preserve"> </w:t>
      </w:r>
      <w:r>
        <w:t xml:space="preserve">https://zymantasbudrys.com/wp-</w:t>
      </w:r>
      <w:r>
        <w:t xml:space="preserve"> </w:t>
      </w:r>
      <w:r>
        <w:t xml:space="preserve">content/uploads/2022/10/ZymantasBudrys_JMP_LastConsumer.pdf</w:t>
      </w:r>
    </w:p>
    <w:p>
      <w:pPr>
        <w:pStyle w:val="FirstParagraph"/>
      </w:pPr>
      <w:r>
        <w:t xml:space="preserve">ANNEX 5: COMPETITIVENESS CHECK</w:t>
      </w:r>
      <w:r>
        <w:t xml:space="preserve"> </w:t>
      </w:r>
      <w:r>
        <w:t xml:space="preserve">1.</w:t>
      </w:r>
      <w:r>
        <w:t xml:space="preserve"> </w:t>
      </w:r>
      <w:r>
        <w:t xml:space="preserve">OVERVIEW OF IMPACTS ON COMPETITIVENESS</w:t>
      </w:r>
      <w:r>
        <w:br/>
      </w:r>
      <w:r>
        <w:t xml:space="preserve">Dimensions of</w:t>
      </w:r>
      <w:r>
        <w:t xml:space="preserve"> </w:t>
      </w:r>
      <w:r>
        <w:t xml:space="preserve">Competitiveness</w:t>
      </w:r>
      <w:r>
        <w:t xml:space="preserve"> </w:t>
      </w:r>
      <w:r>
        <w:t xml:space="preserve">Impact of the initiative</w:t>
      </w:r>
      <w:r>
        <w:t xml:space="preserve"> </w:t>
      </w:r>
      <w:r>
        <w:t xml:space="preserve">(++ / + / 0 / - / – / n.a.)</w:t>
      </w:r>
      <w:r>
        <w:t xml:space="preserve"> </w:t>
      </w:r>
      <w:r>
        <w:t xml:space="preserve">References to sub-sections of the</w:t>
      </w:r>
      <w:r>
        <w:t xml:space="preserve"> </w:t>
      </w:r>
      <w:r>
        <w:t xml:space="preserve">main report or annexes</w:t>
      </w:r>
      <w:r>
        <w:t xml:space="preserve"> </w:t>
      </w:r>
      <w:r>
        <w:t xml:space="preserve">Cost and price competitiveness</w:t>
      </w:r>
      <w:r>
        <w:t xml:space="preserve"> </w:t>
      </w:r>
      <w:r>
        <w:t xml:space="preserve">+</w:t>
      </w:r>
      <w:r>
        <w:t xml:space="preserve"> </w:t>
      </w:r>
      <w:r>
        <w:t xml:space="preserve">Discussed in Section 6.2.1 which</w:t>
      </w:r>
      <w:r>
        <w:t xml:space="preserve"> </w:t>
      </w:r>
      <w:r>
        <w:t xml:space="preserve">describes reductions in investment</w:t>
      </w:r>
      <w:r>
        <w:t xml:space="preserve"> </w:t>
      </w:r>
      <w:r>
        <w:t xml:space="preserve">risk, lower capital costs via EU co-</w:t>
      </w:r>
      <w:r>
        <w:t xml:space="preserve"> </w:t>
      </w:r>
      <w:r>
        <w:t xml:space="preserve">funding, faster permitting, improved</w:t>
      </w:r>
      <w:r>
        <w:t xml:space="preserve"> </w:t>
      </w:r>
      <w:r>
        <w:t xml:space="preserve">utilisation, and pricing stability</w:t>
      </w:r>
      <w:r>
        <w:br/>
      </w:r>
      <w:r>
        <w:t xml:space="preserve">International competitiveness</w:t>
      </w:r>
      <w:r>
        <w:br/>
      </w:r>
      <w:r>
        <w:t xml:space="preserve">++</w:t>
      </w:r>
      <w:r>
        <w:t xml:space="preserve"> </w:t>
      </w:r>
      <w:r>
        <w:t xml:space="preserve">Discussed in Section 6.2.1 which sets</w:t>
      </w:r>
      <w:r>
        <w:t xml:space="preserve"> </w:t>
      </w:r>
      <w:r>
        <w:t xml:space="preserve">out</w:t>
      </w:r>
      <w:r>
        <w:t xml:space="preserve"> </w:t>
      </w:r>
      <w:r>
        <w:t xml:space="preserve">Strategic</w:t>
      </w:r>
      <w:r>
        <w:t xml:space="preserve"> </w:t>
      </w:r>
      <w:r>
        <w:t xml:space="preserve">Projects,</w:t>
      </w:r>
      <w:r>
        <w:t xml:space="preserve"> </w:t>
      </w:r>
      <w:r>
        <w:t xml:space="preserve">sovereign</w:t>
      </w:r>
      <w:r>
        <w:t xml:space="preserve"> </w:t>
      </w:r>
      <w:r>
        <w:t xml:space="preserve">manufacturing</w:t>
      </w:r>
      <w:r>
        <w:t xml:space="preserve"> </w:t>
      </w:r>
      <w:r>
        <w:t xml:space="preserve">capacity,</w:t>
      </w:r>
      <w:r>
        <w:t xml:space="preserve"> </w:t>
      </w:r>
      <w:r>
        <w:t xml:space="preserve">boutique</w:t>
      </w:r>
      <w:r>
        <w:t xml:space="preserve"> </w:t>
      </w:r>
      <w:r>
        <w:t xml:space="preserve">leading-edge foundry example, cross-</w:t>
      </w:r>
      <w:r>
        <w:t xml:space="preserve"> </w:t>
      </w:r>
      <w:r>
        <w:t xml:space="preserve">border clustering, and resilience gains.</w:t>
      </w:r>
      <w:r>
        <w:br/>
      </w:r>
      <w:r>
        <w:t xml:space="preserve">Capacity to innovate</w:t>
      </w:r>
      <w:r>
        <w:t xml:space="preserve"> </w:t>
      </w:r>
      <w:r>
        <w:t xml:space="preserve">++</w:t>
      </w:r>
      <w:r>
        <w:t xml:space="preserve"> </w:t>
      </w:r>
      <w:r>
        <w:t xml:space="preserve">Discussed in Section 6.2.16 which</w:t>
      </w:r>
      <w:r>
        <w:t xml:space="preserve"> </w:t>
      </w:r>
      <w:r>
        <w:t xml:space="preserve">describes</w:t>
      </w:r>
      <w:r>
        <w:t xml:space="preserve"> </w:t>
      </w:r>
      <w:r>
        <w:t xml:space="preserve">how</w:t>
      </w:r>
      <w:r>
        <w:t xml:space="preserve"> </w:t>
      </w:r>
      <w:r>
        <w:t xml:space="preserve">Strategic</w:t>
      </w:r>
      <w:r>
        <w:t xml:space="preserve"> </w:t>
      </w:r>
      <w:r>
        <w:t xml:space="preserve">Projects</w:t>
      </w:r>
      <w:r>
        <w:t xml:space="preserve"> </w:t>
      </w:r>
      <w:r>
        <w:t xml:space="preserve">enable</w:t>
      </w:r>
      <w:r>
        <w:t xml:space="preserve"> </w:t>
      </w:r>
      <w:r>
        <w:t xml:space="preserve">industrial</w:t>
      </w:r>
      <w:r>
        <w:t xml:space="preserve"> </w:t>
      </w:r>
      <w:r>
        <w:t xml:space="preserve">deployment</w:t>
      </w:r>
      <w:r>
        <w:t xml:space="preserve"> </w:t>
      </w:r>
      <w:r>
        <w:t xml:space="preserve">of</w:t>
      </w:r>
      <w:r>
        <w:t xml:space="preserve"> </w:t>
      </w:r>
      <w:r>
        <w:t xml:space="preserve">publicly</w:t>
      </w:r>
      <w:r>
        <w:t xml:space="preserve"> </w:t>
      </w:r>
      <w:r>
        <w:t xml:space="preserve">funded</w:t>
      </w:r>
      <w:r>
        <w:t xml:space="preserve"> </w:t>
      </w:r>
      <w:r>
        <w:t xml:space="preserve">research,</w:t>
      </w:r>
      <w:r>
        <w:t xml:space="preserve"> </w:t>
      </w:r>
      <w:r>
        <w:t xml:space="preserve">how</w:t>
      </w:r>
      <w:r>
        <w:t xml:space="preserve"> </w:t>
      </w:r>
      <w:r>
        <w:t xml:space="preserve">innovation procurement and thematic</w:t>
      </w:r>
      <w:r>
        <w:t xml:space="preserve"> </w:t>
      </w:r>
      <w:r>
        <w:t xml:space="preserve">grand challenges stimulate high-risk</w:t>
      </w:r>
      <w:r>
        <w:t xml:space="preserve"> </w:t>
      </w:r>
      <w:r>
        <w:t xml:space="preserve">technological development, and how</w:t>
      </w:r>
      <w:r>
        <w:t xml:space="preserve"> </w:t>
      </w:r>
      <w:r>
        <w:t xml:space="preserve">strengthened</w:t>
      </w:r>
      <w:r>
        <w:t xml:space="preserve"> </w:t>
      </w:r>
      <w:r>
        <w:t xml:space="preserve">design</w:t>
      </w:r>
      <w:r>
        <w:t xml:space="preserve"> </w:t>
      </w:r>
      <w:r>
        <w:t xml:space="preserve">capabilities</w:t>
      </w:r>
      <w:r>
        <w:t xml:space="preserve"> </w:t>
      </w:r>
      <w:r>
        <w:t xml:space="preserve">support long-term innovation.</w:t>
      </w:r>
      <w:r>
        <w:br/>
      </w:r>
      <w:r>
        <w:t xml:space="preserve">SME competitiveness</w:t>
      </w:r>
      <w:r>
        <w:t xml:space="preserve"> </w:t>
      </w:r>
      <w:r>
        <w:t xml:space="preserve">++</w:t>
      </w:r>
      <w:r>
        <w:t xml:space="preserve"> </w:t>
      </w:r>
      <w:r>
        <w:t xml:space="preserve">Discussed in Section 6.2.1.7 which</w:t>
      </w:r>
      <w:r>
        <w:t xml:space="preserve"> </w:t>
      </w:r>
      <w:r>
        <w:t xml:space="preserve">describes impact of incentives for</w:t>
      </w:r>
      <w:r>
        <w:t xml:space="preserve"> </w:t>
      </w:r>
      <w:r>
        <w:t xml:space="preserve">stronger</w:t>
      </w:r>
      <w:r>
        <w:t xml:space="preserve"> </w:t>
      </w:r>
      <w:r>
        <w:t xml:space="preserve">demand</w:t>
      </w:r>
      <w:r>
        <w:t xml:space="preserve"> </w:t>
      </w:r>
      <w:r>
        <w:t xml:space="preserve">pull,</w:t>
      </w:r>
      <w:r>
        <w:t xml:space="preserve"> </w:t>
      </w:r>
      <w:r>
        <w:t xml:space="preserve">anchor</w:t>
      </w:r>
      <w:r>
        <w:t xml:space="preserve"> </w:t>
      </w:r>
      <w:r>
        <w:t xml:space="preserve">customers via innovation procurement,</w:t>
      </w:r>
      <w:r>
        <w:br/>
      </w:r>
      <w:r>
        <w:t xml:space="preserve">improved access to manufacturing and</w:t>
      </w:r>
      <w:r>
        <w:t xml:space="preserve"> </w:t>
      </w:r>
      <w:r>
        <w:t xml:space="preserve">design capabilities.</w:t>
      </w:r>
    </w:p>
    <w:p>
      <w:pPr>
        <w:pStyle w:val="Compact"/>
        <w:numPr>
          <w:ilvl w:val="0"/>
          <w:numId w:val="1091"/>
        </w:numPr>
      </w:pPr>
      <w:r>
        <w:t xml:space="preserve">SYNTHETIC ASSESSMENT</w:t>
      </w:r>
      <w:r>
        <w:br/>
      </w:r>
      <w:r>
        <w:t xml:space="preserve">Policy Option 2 (“Strategic sovereignty”) is expected to have strong overall positive impacts</w:t>
      </w:r>
      <w:r>
        <w:t xml:space="preserve"> </w:t>
      </w:r>
      <w:r>
        <w:t xml:space="preserve">on the competitiveness of the European semiconductor ecosystem, building on and surpassing</w:t>
      </w:r>
      <w:r>
        <w:t xml:space="preserve"> </w:t>
      </w:r>
      <w:r>
        <w:t xml:space="preserve">the effects of Policy Option 1. These impacts derive from Strategic Projects, targeted demand-</w:t>
      </w:r>
      <w:r>
        <w:t xml:space="preserve"> </w:t>
      </w:r>
      <w:r>
        <w:t xml:space="preserve">side instruments, enhanced supply chain transparency, and combined horizontal measures</w:t>
      </w:r>
      <w:r>
        <w:t xml:space="preserve"> </w:t>
      </w:r>
      <w:r>
        <w:t xml:space="preserve">(skills, faster permitting procedures, Semiconductor Regions of Excellence). The initiative</w:t>
      </w:r>
      <w:r>
        <w:t xml:space="preserve"> </w:t>
      </w:r>
      <w:r>
        <w:t xml:space="preserve">delivers competitiveness effects across all four dimensions as follows:</w:t>
      </w:r>
      <w:r>
        <w:br/>
      </w:r>
      <w:r>
        <w:t xml:space="preserve">Cost and price competitiveness (+) improves moderately, driven by reduced investment risk,</w:t>
      </w:r>
      <w:r>
        <w:t xml:space="preserve"> </w:t>
      </w:r>
      <w:r>
        <w:t xml:space="preserve">lower capital costs through EU co-funding, and more predictable utilisation enabled by</w:t>
      </w:r>
      <w:r>
        <w:t xml:space="preserve"> </w:t>
      </w:r>
      <w:r>
        <w:t xml:space="preserve">innovation procurement. Structural cost disadvantages such as energy and labour costs</w:t>
      </w:r>
      <w:r>
        <w:t xml:space="preserve"> </w:t>
      </w:r>
      <w:r>
        <w:t xml:space="preserve">remain, limiting the scale of improvements.</w:t>
      </w:r>
    </w:p>
    <w:p>
      <w:pPr>
        <w:pStyle w:val="FirstParagraph"/>
      </w:pPr>
      <w:r>
        <w:t xml:space="preserve">166</w:t>
      </w:r>
    </w:p>
    <w:p>
      <w:pPr>
        <w:pStyle w:val="BodyText"/>
      </w:pPr>
      <w:r>
        <w:t xml:space="preserve">International competitiveness (++) strengthens substantially. Strategic Projects expand</w:t>
      </w:r>
      <w:r>
        <w:t xml:space="preserve"> </w:t>
      </w:r>
      <w:r>
        <w:t xml:space="preserve">Europe’s manufacturing and design capabilities, reduce dependencies on a small number of</w:t>
      </w:r>
      <w:r>
        <w:t xml:space="preserve"> </w:t>
      </w:r>
      <w:r>
        <w:t xml:space="preserve">non-EU suppliers, and support the emergence of advanced semiconductor manufacturing</w:t>
      </w:r>
      <w:r>
        <w:t xml:space="preserve"> </w:t>
      </w:r>
      <w:r>
        <w:t xml:space="preserve">capacity, including for AI chips. The balanced reinforcement approach supported by the</w:t>
      </w:r>
      <w:r>
        <w:t xml:space="preserve"> </w:t>
      </w:r>
      <w:r>
        <w:t xml:space="preserve">European Competitiveness Fund ensures that both leading-edge and upstream segments can</w:t>
      </w:r>
      <w:r>
        <w:t xml:space="preserve"> </w:t>
      </w:r>
      <w:r>
        <w:t xml:space="preserve">be strengthened, positioning the EU more strongly in global markets.</w:t>
      </w:r>
      <w:r>
        <w:br/>
      </w:r>
      <w:r>
        <w:t xml:space="preserve">Capacity to innovate (++) is significantly enhanced through measures that support industrial</w:t>
      </w:r>
      <w:r>
        <w:t xml:space="preserve"> </w:t>
      </w:r>
      <w:r>
        <w:t xml:space="preserve">deployment of research, strengthen design capabilities, and stimulate high-risk technological</w:t>
      </w:r>
      <w:r>
        <w:t xml:space="preserve"> </w:t>
      </w:r>
      <w:r>
        <w:t xml:space="preserve">development via innovation procurement and thematic challenges. These mechanisms</w:t>
      </w:r>
      <w:r>
        <w:t xml:space="preserve"> </w:t>
      </w:r>
      <w:r>
        <w:t xml:space="preserve">broaden opportunities for innovation and increase Europe’s ability to compete in next-</w:t>
      </w:r>
      <w:r>
        <w:t xml:space="preserve"> </w:t>
      </w:r>
      <w:r>
        <w:t xml:space="preserve">generation semiconductor technologies.</w:t>
      </w:r>
      <w:r>
        <w:br/>
      </w:r>
      <w:r>
        <w:t xml:space="preserve">SME competitiveness (++) is expected to improve strongly. Strategic Projects and demand-</w:t>
      </w:r>
      <w:r>
        <w:t xml:space="preserve"> </w:t>
      </w:r>
      <w:r>
        <w:t xml:space="preserve">side measures create new market opportunities for SMEs, particularly fabless design firms</w:t>
      </w:r>
      <w:r>
        <w:t xml:space="preserve"> </w:t>
      </w:r>
      <w:r>
        <w:t xml:space="preserve">and specialised suppliers. Exemptions from mandatory reporting and simplification measures</w:t>
      </w:r>
      <w:r>
        <w:t xml:space="preserve"> </w:t>
      </w:r>
      <w:r>
        <w:t xml:space="preserve">under REFIT reduce administrative burdens and support SME scaling.</w:t>
      </w:r>
      <w:r>
        <w:t xml:space="preserve"> </w:t>
      </w:r>
      <w:r>
        <w:t xml:space="preserve">3.</w:t>
      </w:r>
      <w:r>
        <w:t xml:space="preserve"> </w:t>
      </w:r>
      <w:r>
        <w:t xml:space="preserve">COMPETITIVE POSITION OF THE MOST AFFECTED SECTORS</w:t>
      </w:r>
      <w:r>
        <w:t xml:space="preserve"> </w:t>
      </w:r>
      <w:r>
        <w:t xml:space="preserve">Semiconductor manufacturing, advanced packaging and chip design segments of the</w:t>
      </w:r>
      <w:r>
        <w:t xml:space="preserve"> </w:t>
      </w:r>
      <w:r>
        <w:t xml:space="preserve">semiconductor value chain benefit directly. Strategic Projects strengthen Europe’s capacity</w:t>
      </w:r>
      <w:r>
        <w:t xml:space="preserve"> </w:t>
      </w:r>
      <w:r>
        <w:t xml:space="preserve">across leading-edge manufacturing, mature-node production, advanced packaging and design</w:t>
      </w:r>
      <w:r>
        <w:t xml:space="preserve"> </w:t>
      </w:r>
      <w:r>
        <w:t xml:space="preserve">capabilities. Enhanced scale, improved investment certainty and stronger value-chain</w:t>
      </w:r>
      <w:r>
        <w:t xml:space="preserve"> </w:t>
      </w:r>
      <w:r>
        <w:t xml:space="preserve">integration increase global competitiveness and reduce vulnerabilities to foreign supply</w:t>
      </w:r>
      <w:r>
        <w:t xml:space="preserve"> </w:t>
      </w:r>
      <w:r>
        <w:t xml:space="preserve">disruptions.</w:t>
      </w:r>
      <w:r>
        <w:t xml:space="preserve"> </w:t>
      </w:r>
      <w:r>
        <w:t xml:space="preserve">Fabless design firms and semiconductor SMEs also experience substantial gains. Increased</w:t>
      </w:r>
      <w:r>
        <w:t xml:space="preserve"> </w:t>
      </w:r>
      <w:r>
        <w:t xml:space="preserve">demand for specialised inputs, early revenue opportunities through innovation procurement,</w:t>
      </w:r>
      <w:r>
        <w:t xml:space="preserve"> </w:t>
      </w:r>
      <w:r>
        <w:t xml:space="preserve">and access to advanced manufacturing and prototyping facilities improve the market position</w:t>
      </w:r>
      <w:r>
        <w:t xml:space="preserve"> </w:t>
      </w:r>
      <w:r>
        <w:t xml:space="preserve">of SMEs. Exemptions from mandatory reporting obligations and streamlined procedures</w:t>
      </w:r>
      <w:r>
        <w:t xml:space="preserve"> </w:t>
      </w:r>
      <w:r>
        <w:t xml:space="preserve">further support development and scaling.</w:t>
      </w:r>
      <w:r>
        <w:t xml:space="preserve"> </w:t>
      </w:r>
      <w:r>
        <w:t xml:space="preserve">Upstream suppliers, including equipment manufacturers, materials providers and speciality</w:t>
      </w:r>
      <w:r>
        <w:t xml:space="preserve"> </w:t>
      </w:r>
      <w:r>
        <w:t xml:space="preserve">chemical firms, benefit from increased demand associated with new Strategic Projects and</w:t>
      </w:r>
      <w:r>
        <w:t xml:space="preserve"> </w:t>
      </w:r>
      <w:r>
        <w:t xml:space="preserve">deeper integration across the European value chain. Predictable investment flows reduce</w:t>
      </w:r>
      <w:r>
        <w:t xml:space="preserve"> </w:t>
      </w:r>
      <w:r>
        <w:t xml:space="preserve">uncertainty and encourage further expansion of upstream capacity within the Union.</w:t>
      </w:r>
      <w:r>
        <w:t xml:space="preserve"> </w:t>
      </w:r>
      <w:r>
        <w:t xml:space="preserve">Downstream user industries such as automotive, industrial equipment, telecommunications,</w:t>
      </w:r>
      <w:r>
        <w:t xml:space="preserve"> </w:t>
      </w:r>
      <w:r>
        <w:t xml:space="preserve">cloud/AI infrastructure and defence gain from improved supply stability and resilience.</w:t>
      </w:r>
      <w:r>
        <w:t xml:space="preserve"> </w:t>
      </w:r>
      <w:r>
        <w:t xml:space="preserve">Reduced exposure to global semiconductor disruptions strengthens the competitiveness of</w:t>
      </w:r>
      <w:r>
        <w:t xml:space="preserve"> </w:t>
      </w:r>
      <w:r>
        <w:t xml:space="preserve">these sectors, which were heavily affected during past shortages. The availability of advanced</w:t>
      </w:r>
      <w:r>
        <w:t xml:space="preserve"> </w:t>
      </w:r>
      <w:r>
        <w:t xml:space="preserve">and sovereign semiconductor capacity supports technological upgrading and adoption of AI-</w:t>
      </w:r>
      <w:r>
        <w:t xml:space="preserve"> </w:t>
      </w:r>
      <w:r>
        <w:t xml:space="preserve">enabled systems.</w:t>
      </w:r>
    </w:p>
    <w:p>
      <w:pPr>
        <w:pStyle w:val="BodyText"/>
      </w:pPr>
      <w:r>
        <w:t xml:space="preserve">167</w:t>
      </w:r>
    </w:p>
    <w:p>
      <w:pPr>
        <w:pStyle w:val="BodyText"/>
      </w:pPr>
      <w:r>
        <w:t xml:space="preserve">ANNEX 6: OVERVIEW OF IMPACTS ON SMES</w:t>
      </w:r>
      <w:r>
        <w:br/>
      </w:r>
      <w:r>
        <w:t xml:space="preserve">Relevance for SMEs</w:t>
      </w:r>
      <w:r>
        <w:br/>
      </w:r>
      <w:r>
        <w:t xml:space="preserve">Based on the SME filter and the ISG discussion, this initiative is relevant/highly relevant for</w:t>
      </w:r>
      <w:r>
        <w:t xml:space="preserve"> </w:t>
      </w:r>
      <w:r>
        <w:t xml:space="preserve">SMEs404</w:t>
      </w:r>
    </w:p>
    <w:p>
      <w:pPr>
        <w:numPr>
          <w:ilvl w:val="0"/>
          <w:numId w:val="1092"/>
        </w:numPr>
      </w:pPr>
      <w:r>
        <w:t xml:space="preserve">IDENTIFICATION OF AFFECTED BUSINESSES AND ASSESSMENT OF RELEVANCE</w:t>
      </w:r>
      <w:r>
        <w:t xml:space="preserve"> </w:t>
      </w:r>
      <w:r>
        <w:t xml:space="preserve">Are SMEs directly affected?</w:t>
      </w:r>
      <w:r>
        <w:br/>
      </w:r>
      <w:r>
        <w:t xml:space="preserve">The semiconductor value chain in Europe is characterised by a high concentration of small</w:t>
      </w:r>
      <w:r>
        <w:t xml:space="preserve"> </w:t>
      </w:r>
      <w:r>
        <w:t xml:space="preserve">and medium-sized enterprises, particularly in design, specialised manufacturing services and</w:t>
      </w:r>
      <w:r>
        <w:t xml:space="preserve"> </w:t>
      </w:r>
      <w:r>
        <w:t xml:space="preserve">upstream supply segments. Policy Option 2 introduces measures such as Strategic Projects,</w:t>
      </w:r>
      <w:r>
        <w:t xml:space="preserve"> </w:t>
      </w:r>
      <w:r>
        <w:t xml:space="preserve">the broadened scope of First-of-a-Kind support, and innovation procurement that directly</w:t>
      </w:r>
      <w:r>
        <w:t xml:space="preserve"> </w:t>
      </w:r>
      <w:r>
        <w:t xml:space="preserve">involve these SMEs as project beneficiaries, suppliers, or suppliers for the increased demand</w:t>
      </w:r>
      <w:r>
        <w:t xml:space="preserve"> </w:t>
      </w:r>
      <w:r>
        <w:t xml:space="preserve">for advanced semiconductor technologies.</w:t>
      </w:r>
      <w:r>
        <w:t xml:space="preserve"> </w:t>
      </w:r>
      <w:r>
        <w:t xml:space="preserve">Directly affected SMEs operate primarily in the following sectors:</w:t>
      </w:r>
      <w:r>
        <w:t xml:space="preserve"> </w:t>
      </w:r>
      <w:r>
        <w:t xml:space="preserve">• Semiconductor design and IP services, including fabless design houses, which in</w:t>
      </w:r>
      <w:r>
        <w:t xml:space="preserve"> </w:t>
      </w:r>
      <w:r>
        <w:t xml:space="preserve">Europe consist almost entirely of SMEs and are explicitly targeted through Strategic</w:t>
      </w:r>
      <w:r>
        <w:t xml:space="preserve"> </w:t>
      </w:r>
      <w:r>
        <w:t xml:space="preserve">Projects and innovation procurement.</w:t>
      </w:r>
      <w:r>
        <w:t xml:space="preserve"> </w:t>
      </w:r>
      <w:r>
        <w:t xml:space="preserve">• Specialised semiconductor supply-chain segments, such as equipment suppliers,</w:t>
      </w:r>
      <w:r>
        <w:t xml:space="preserve"> </w:t>
      </w:r>
      <w:r>
        <w:t xml:space="preserve">advanced materials and chemicals producers, and niche tool manufacturers, which</w:t>
      </w:r>
      <w:r>
        <w:t xml:space="preserve"> </w:t>
      </w:r>
      <w:r>
        <w:t xml:space="preserve">provide critical inputs to potential Strategic Projects and benefit from value-chain</w:t>
      </w:r>
      <w:r>
        <w:t xml:space="preserve"> </w:t>
      </w:r>
      <w:r>
        <w:t xml:space="preserve">strengthening measures.</w:t>
      </w:r>
      <w:r>
        <w:t xml:space="preserve"> </w:t>
      </w:r>
      <w:r>
        <w:t xml:space="preserve">• Advanced packaging, testing and related specialised manufacturing services, where</w:t>
      </w:r>
      <w:r>
        <w:t xml:space="preserve"> </w:t>
      </w:r>
      <w:r>
        <w:t xml:space="preserve">many actors are SMEs supplying low-volume or high-reliability solutions that are with</w:t>
      </w:r>
      <w:r>
        <w:t xml:space="preserve"> </w:t>
      </w:r>
      <w:r>
        <w:t xml:space="preserve">scope of Strategic Projects.</w:t>
      </w:r>
      <w:r>
        <w:t xml:space="preserve"> </w:t>
      </w:r>
      <w:r>
        <w:t xml:space="preserve">• Semiconductor R&amp;D service providers and pilot-line operators, including SMEs</w:t>
      </w:r>
      <w:r>
        <w:t xml:space="preserve"> </w:t>
      </w:r>
      <w:r>
        <w:t xml:space="preserve">offering prototyping, design enablement and verification services linked to the</w:t>
      </w:r>
      <w:r>
        <w:t xml:space="preserve"> </w:t>
      </w:r>
      <w:r>
        <w:t xml:space="preserve">deployment of Chips Act pilot lines.</w:t>
      </w:r>
      <w:r>
        <w:t xml:space="preserve"> </w:t>
      </w:r>
      <w:r>
        <w:t xml:space="preserve">SMEs in these segments are therefore directly within scope of the preferred option, either as</w:t>
      </w:r>
      <w:r>
        <w:t xml:space="preserve"> </w:t>
      </w:r>
      <w:r>
        <w:t xml:space="preserve">beneficiaries of new market opportunities or as participants in supported projects.</w:t>
      </w:r>
      <w:r>
        <w:t xml:space="preserve"> </w:t>
      </w:r>
      <w:r>
        <w:t xml:space="preserve">Estimated number of directly affected SMEs</w:t>
      </w:r>
      <w:r>
        <w:t xml:space="preserve"> </w:t>
      </w:r>
      <w:r>
        <w:t xml:space="preserve">Based on the quantitative mapping of firms across the European semiconductor value chain,</w:t>
      </w:r>
      <w:r>
        <w:t xml:space="preserve"> </w:t>
      </w:r>
      <w:r>
        <w:t xml:space="preserve">the initiative is expected to directly affect a substantial share of the 1,481 companies</w:t>
      </w:r>
      <w:r>
        <w:t xml:space="preserve"> </w:t>
      </w:r>
      <w:r>
        <w:t xml:space="preserve">identified in the ecosystem. As shown in the sector distribution (Chemicals and gases;</w:t>
      </w:r>
    </w:p>
    <w:p>
      <w:pPr>
        <w:numPr>
          <w:ilvl w:val="0"/>
          <w:numId w:val="1092"/>
        </w:numPr>
      </w:pPr>
      <w:r>
        <w:t xml:space="preserve">https://ec.europa.eu/docsroom/documents/63274</w:t>
      </w:r>
    </w:p>
    <w:p>
      <w:pPr>
        <w:pStyle w:val="FirstParagraph"/>
      </w:pPr>
      <w:r>
        <w:t xml:space="preserve">168</w:t>
      </w:r>
    </w:p>
    <w:p>
      <w:pPr>
        <w:pStyle w:val="BodyText"/>
      </w:pPr>
      <w:r>
        <w:t xml:space="preserve">materials; equipment; wafers; EDA; fabless; IDM; manufacturing; OSAT; PCB; services; end</w:t>
      </w:r>
      <w:r>
        <w:t xml:space="preserve"> </w:t>
      </w:r>
      <w:r>
        <w:t xml:space="preserve">users), SMEs constitute approximately 69% of all firms active in the European semiconductor</w:t>
      </w:r>
      <w:r>
        <w:t xml:space="preserve"> </w:t>
      </w:r>
      <w:r>
        <w:t xml:space="preserve">value-chain (405).</w:t>
      </w:r>
      <w:r>
        <w:t xml:space="preserve"> </w:t>
      </w:r>
      <w:r>
        <w:t xml:space="preserve">This corresponds to around 1,020 directly affected SMEs across the Union.</w:t>
      </w:r>
      <w:r>
        <w:t xml:space="preserve"> </w:t>
      </w:r>
      <w:r>
        <w:t xml:space="preserve">Estimated number of employees in directly affected SMEs</w:t>
      </w:r>
      <w:r>
        <w:t xml:space="preserve"> </w:t>
      </w:r>
      <w:r>
        <w:t xml:space="preserve">Using the mapping of 1,481 companies across semiconductor-relevant value-chain segments,</w:t>
      </w:r>
      <w:r>
        <w:t xml:space="preserve"> </w:t>
      </w:r>
      <w:r>
        <w:t xml:space="preserve">of which approximately 1,020 are SMEs (69%), it is possible to estimate the number of</w:t>
      </w:r>
      <w:r>
        <w:t xml:space="preserve"> </w:t>
      </w:r>
      <w:r>
        <w:t xml:space="preserve">employees in SMEs directly affected by the preferred option (Policy Option 2).</w:t>
      </w:r>
      <w:r>
        <w:t xml:space="preserve"> </w:t>
      </w:r>
      <w:r>
        <w:t xml:space="preserve">While official, segment-specific SME employment statistics are not available at EU level, we</w:t>
      </w:r>
      <w:r>
        <w:t xml:space="preserve"> </w:t>
      </w:r>
      <w:r>
        <w:t xml:space="preserve">assume that the average numbers of employees working in European SMEs are the following:</w:t>
      </w:r>
      <w:r>
        <w:t xml:space="preserve"> </w:t>
      </w:r>
      <w:r>
        <w:t xml:space="preserve">•</w:t>
      </w:r>
      <w:r>
        <w:t xml:space="preserve"> </w:t>
      </w:r>
      <w:r>
        <w:t xml:space="preserve">15–30 employees in specialised materials SMEs;</w:t>
      </w:r>
      <w:r>
        <w:t xml:space="preserve"> </w:t>
      </w:r>
      <w:r>
        <w:t xml:space="preserve">•</w:t>
      </w:r>
      <w:r>
        <w:t xml:space="preserve"> </w:t>
      </w:r>
      <w:r>
        <w:t xml:space="preserve">30–80 employees in fabless design and EDA SMEs;</w:t>
      </w:r>
      <w:r>
        <w:t xml:space="preserve"> </w:t>
      </w:r>
      <w:r>
        <w:t xml:space="preserve">•</w:t>
      </w:r>
      <w:r>
        <w:t xml:space="preserve"> </w:t>
      </w:r>
      <w:r>
        <w:t xml:space="preserve">50–120 employees in equipment-supplier SMEs;</w:t>
      </w:r>
      <w:r>
        <w:t xml:space="preserve"> </w:t>
      </w:r>
      <w:r>
        <w:t xml:space="preserve">•</w:t>
      </w:r>
      <w:r>
        <w:t xml:space="preserve"> </w:t>
      </w:r>
      <w:r>
        <w:t xml:space="preserve">40–100 employees in packaging, testing, prototyping and manufacturing-service</w:t>
      </w:r>
      <w:r>
        <w:t xml:space="preserve"> </w:t>
      </w:r>
      <w:r>
        <w:t xml:space="preserve">SMEs;</w:t>
      </w:r>
      <w:r>
        <w:t xml:space="preserve"> </w:t>
      </w:r>
      <w:r>
        <w:t xml:space="preserve">•</w:t>
      </w:r>
      <w:r>
        <w:t xml:space="preserve"> </w:t>
      </w:r>
      <w:r>
        <w:t xml:space="preserve">25–50 employees in semiconductor-related service and support SMEs.</w:t>
      </w:r>
    </w:p>
    <w:p>
      <w:pPr>
        <w:pStyle w:val="BodyText"/>
      </w:pPr>
      <w:r>
        <w:t xml:space="preserve">Applying these conservative ranges to the SME distribution across segments results in an</w:t>
      </w:r>
      <w:r>
        <w:t xml:space="preserve"> </w:t>
      </w:r>
      <w:r>
        <w:t xml:space="preserve">estimated 45,000–65,000 employees working in SMEs directly and indirectly affected by the</w:t>
      </w:r>
      <w:r>
        <w:t xml:space="preserve"> </w:t>
      </w:r>
      <w:r>
        <w:t xml:space="preserve">preferred option.</w:t>
      </w:r>
    </w:p>
    <w:p>
      <w:pPr>
        <w:numPr>
          <w:ilvl w:val="0"/>
          <w:numId w:val="1093"/>
        </w:numPr>
      </w:pPr>
      <w:r>
        <w:t xml:space="preserve">CONSULTATION OF SME STAKEHOLDERS</w:t>
      </w:r>
      <w:r>
        <w:t xml:space="preserve"> </w:t>
      </w:r>
      <w:r>
        <w:t xml:space="preserve">How has the input from the SME community been taken into consideration?</w:t>
      </w:r>
      <w:r>
        <w:t xml:space="preserve"> </w:t>
      </w:r>
      <w:r>
        <w:t xml:space="preserve">Inputs were gathered through multiple channels, including an Open Public Consultation (OPC)</w:t>
      </w:r>
      <w:r>
        <w:t xml:space="preserve"> </w:t>
      </w:r>
      <w:r>
        <w:t xml:space="preserve">(103 responses, of which 21% were small enterprises and 22% medium enterprises). A Call for</w:t>
      </w:r>
      <w:r>
        <w:t xml:space="preserve"> </w:t>
      </w:r>
      <w:r>
        <w:t xml:space="preserve">Evidence (209 responses, including 16% small and 14% micro enterprises), targeted surveys (64</w:t>
      </w:r>
      <w:r>
        <w:t xml:space="preserve"> </w:t>
      </w:r>
      <w:r>
        <w:t xml:space="preserve">respondents), expert interviews (14 stakeholders), and 17 thematic workshops including a</w:t>
      </w:r>
      <w:r>
        <w:t xml:space="preserve"> </w:t>
      </w:r>
      <w:r>
        <w:t xml:space="preserve">dedicated SMEs and start-ups workshop.</w:t>
      </w:r>
      <w:r>
        <w:br/>
      </w:r>
      <w:r>
        <w:t xml:space="preserve">The consultation strategy achieved robust representation from the SME ecosystem. Smaller</w:t>
      </w:r>
      <w:r>
        <w:t xml:space="preserve"> </w:t>
      </w:r>
      <w:r>
        <w:t xml:space="preserve">entities accounted for 43% of respondents to the Open Public Consultation, 48% of the Call</w:t>
      </w:r>
      <w:r>
        <w:t xml:space="preserve"> </w:t>
      </w:r>
      <w:r>
        <w:t xml:space="preserve">for Evidence, and 60% of private sector respondents in the targeted surveys. These</w:t>
      </w:r>
      <w:r>
        <w:t xml:space="preserve"> </w:t>
      </w:r>
      <w:r>
        <w:t xml:space="preserve">quantitative inputs were complemented by qualitative insights gathered through interviews with</w:t>
      </w:r>
      <w:r>
        <w:t xml:space="preserve"> </w:t>
      </w:r>
      <w:r>
        <w:t xml:space="preserve">investors and industry associations, as well as a dedicated workshop for SMEs and start-ups.</w:t>
      </w:r>
      <w:r>
        <w:t xml:space="preserve"> </w:t>
      </w:r>
      <w:r>
        <w:t xml:space="preserve">The design of Policy Option 2 was significantly shaped by this feedback. The input specifically</w:t>
      </w:r>
      <w:r>
        <w:t xml:space="preserve"> </w:t>
      </w:r>
      <w:r>
        <w:t xml:space="preserve">addressed operational barriers, the scope of support, and the mitigation of administrative</w:t>
      </w:r>
    </w:p>
    <w:p>
      <w:pPr>
        <w:numPr>
          <w:ilvl w:val="0"/>
          <w:numId w:val="1093"/>
        </w:numPr>
      </w:pPr>
      <w:r>
        <w:t xml:space="preserve">Survey data collected by DG CNECT from Member States in the context of the Chips Act Pillar III mapping and</w:t>
      </w:r>
      <w:r>
        <w:t xml:space="preserve"> </w:t>
      </w:r>
      <w:r>
        <w:t xml:space="preserve">elaborated by the JRC.</w:t>
      </w:r>
    </w:p>
    <w:p>
      <w:pPr>
        <w:pStyle w:val="FirstParagraph"/>
      </w:pPr>
      <w:r>
        <w:t xml:space="preserve">169</w:t>
      </w:r>
    </w:p>
    <w:p>
      <w:pPr>
        <w:pStyle w:val="BodyText"/>
      </w:pPr>
      <w:r>
        <w:t xml:space="preserve">burdens.</w:t>
      </w:r>
      <w:r>
        <w:t xml:space="preserve"> </w:t>
      </w:r>
      <w:r>
        <w:t xml:space="preserve">First, regarding operational barriers, the consultation revealed that the mechanisms to access</w:t>
      </w:r>
      <w:r>
        <w:t xml:space="preserve"> </w:t>
      </w:r>
      <w:r>
        <w:t xml:space="preserve">support were not fully understood. Although targeted survey results showed that 70% of</w:t>
      </w:r>
      <w:r>
        <w:t xml:space="preserve"> </w:t>
      </w:r>
      <w:r>
        <w:t xml:space="preserve">respondents indicated clarity on the overall goals of the initiative, none of the industry users</w:t>
      </w:r>
      <w:r>
        <w:t xml:space="preserve"> </w:t>
      </w:r>
      <w:r>
        <w:t xml:space="preserve">surveyed reported clarity on the specific application procedures. In the OPC, fabless</w:t>
      </w:r>
      <w:r>
        <w:t xml:space="preserve"> </w:t>
      </w:r>
      <w:r>
        <w:t xml:space="preserve">companies identified limited access to venture capital as their most critical obstacle (78%),</w:t>
      </w:r>
      <w:r>
        <w:t xml:space="preserve"> </w:t>
      </w:r>
      <w:r>
        <w:t xml:space="preserve">followed by the high cost of Electronic Design Automation (EDA) tools (67%). Interview and</w:t>
      </w:r>
      <w:r>
        <w:t xml:space="preserve"> </w:t>
      </w:r>
      <w:r>
        <w:t xml:space="preserve">workshop participants described pilot line access as unclear and costly for early-stage</w:t>
      </w:r>
      <w:r>
        <w:t xml:space="preserve"> </w:t>
      </w:r>
      <w:r>
        <w:t xml:space="preserve">innovators. This evidence justified the inclusion of measures in Policy Option 2 to streamline</w:t>
      </w:r>
      <w:r>
        <w:t xml:space="preserve"> </w:t>
      </w:r>
      <w:r>
        <w:t xml:space="preserve">application procedures and accelerate the operationalisation of the Design Platform and</w:t>
      </w:r>
      <w:r>
        <w:t xml:space="preserve"> </w:t>
      </w:r>
      <w:r>
        <w:t xml:space="preserve">competence centres.</w:t>
      </w:r>
      <w:r>
        <w:br/>
      </w:r>
      <w:r>
        <w:t xml:space="preserve">Second, regarding the scope of support, stakeholders from the PCB, equipment, and chip design</w:t>
      </w:r>
      <w:r>
        <w:t xml:space="preserve"> </w:t>
      </w:r>
      <w:r>
        <w:t xml:space="preserve">sectors argued that the original “First-of-a-Kind” (FOAK) criteria favoured large integrated</w:t>
      </w:r>
      <w:r>
        <w:t xml:space="preserve"> </w:t>
      </w:r>
      <w:r>
        <w:t xml:space="preserve">manufacturers. Submissions to the Call for Evidence from business associations specifically</w:t>
      </w:r>
      <w:r>
        <w:t xml:space="preserve"> </w:t>
      </w:r>
      <w:r>
        <w:t xml:space="preserve">called for broader eligibility to include advanced packaging and design. In direct response to this</w:t>
      </w:r>
      <w:r>
        <w:t xml:space="preserve"> </w:t>
      </w:r>
      <w:r>
        <w:t xml:space="preserve">input, Policy Option 2 includes an expanded FOAK definition that explicitly covers advanced</w:t>
      </w:r>
      <w:r>
        <w:t xml:space="preserve"> </w:t>
      </w:r>
      <w:r>
        <w:t xml:space="preserve">packaging and design. These are segments where European SMEs hold significant potential yet</w:t>
      </w:r>
      <w:r>
        <w:t xml:space="preserve"> </w:t>
      </w:r>
      <w:r>
        <w:t xml:space="preserve">face scaling challenges.</w:t>
      </w:r>
      <w:r>
        <w:br/>
      </w:r>
      <w:r>
        <w:t xml:space="preserve">Third, the proposal addresses SME concerns regarding administrative burden. In the targeted</w:t>
      </w:r>
      <w:r>
        <w:t xml:space="preserve"> </w:t>
      </w:r>
      <w:r>
        <w:t xml:space="preserve">surveys, support for the monitoring coordination mechanisms was notably lower among supply</w:t>
      </w:r>
      <w:r>
        <w:t xml:space="preserve"> </w:t>
      </w:r>
      <w:r>
        <w:t xml:space="preserve">chain stakeholders (62%) compared to national authorities (88%). Interviewees emphasised that</w:t>
      </w:r>
      <w:r>
        <w:t xml:space="preserve"> </w:t>
      </w:r>
      <w:r>
        <w:t xml:space="preserve">complex procedures made it challenging for smaller firms to benefit without external</w:t>
      </w:r>
      <w:r>
        <w:t xml:space="preserve"> </w:t>
      </w:r>
      <w:r>
        <w:t xml:space="preserve">consultancy support. Consequently, the revised monitoring mechanism maintains a strict</w:t>
      </w:r>
      <w:r>
        <w:t xml:space="preserve"> </w:t>
      </w:r>
      <w:r>
        <w:t xml:space="preserve">exemption for SMEs from mandatory information requests.</w:t>
      </w:r>
      <w:r>
        <w:br/>
      </w:r>
      <w:r>
        <w:t xml:space="preserve">Are SMEs’ views different from those of large businesses?</w:t>
      </w:r>
      <w:r>
        <w:br/>
      </w:r>
      <w:r>
        <w:t xml:space="preserve">The consultation data reveals distinct divergences between SMEs and large enterprises when it</w:t>
      </w:r>
      <w:r>
        <w:t xml:space="preserve"> </w:t>
      </w:r>
      <w:r>
        <w:t xml:space="preserve">comes to investment priorities, sensitivity to administrative burden, and the preferred scope of</w:t>
      </w:r>
      <w:r>
        <w:t xml:space="preserve"> </w:t>
      </w:r>
      <w:r>
        <w:t xml:space="preserve">support.</w:t>
      </w:r>
      <w:r>
        <w:t xml:space="preserve"> </w:t>
      </w:r>
      <w:r>
        <w:t xml:space="preserve">The primary divergence concerns investment priorities. For SMEs, particularly fabless</w:t>
      </w:r>
      <w:r>
        <w:t xml:space="preserve"> </w:t>
      </w:r>
      <w:r>
        <w:t xml:space="preserve">companies, survival depends on access to finance and shared infrastructure. OPC data shows</w:t>
      </w:r>
      <w:r>
        <w:t xml:space="preserve"> </w:t>
      </w:r>
      <w:r>
        <w:t xml:space="preserve">that 78% of these firms cited limited access to risk capital as a critical barrier. Conversely, large</w:t>
      </w:r>
      <w:r>
        <w:t xml:space="preserve"> </w:t>
      </w:r>
      <w:r>
        <w:t xml:space="preserve">foundry and integrated device manufacturers (IDMs) responding to the OPC rated the existing</w:t>
      </w:r>
      <w:r>
        <w:t xml:space="preserve"> </w:t>
      </w:r>
      <w:r>
        <w:t xml:space="preserve">FoaK framework as satisfactory or neutral (44%), focusing their feedback primarily on approval</w:t>
      </w:r>
      <w:r>
        <w:t xml:space="preserve"> </w:t>
      </w:r>
      <w:r>
        <w:t xml:space="preserve">timelines rather than funding availability. Interview stakeholders confirmed this, noting that</w:t>
      </w:r>
      <w:r>
        <w:t xml:space="preserve"> </w:t>
      </w:r>
      <w:r>
        <w:t xml:space="preserve">while the EIC’s Chips Fund was effective for deep-tech start-ups, large manufacturers focused</w:t>
      </w:r>
      <w:r>
        <w:t xml:space="preserve"> </w:t>
      </w:r>
      <w:r>
        <w:t xml:space="preserve">on broader framework conditions.</w:t>
      </w:r>
      <w:r>
        <w:t xml:space="preserve"> </w:t>
      </w:r>
      <w:r>
        <w:t xml:space="preserve">A second major difference concerns sensitivity to governance and burden. SMEs and research</w:t>
      </w:r>
      <w:r>
        <w:t xml:space="preserve"> </w:t>
      </w:r>
      <w:r>
        <w:t xml:space="preserve">organisations (RTOs) expressed significantly higher scepticism regarding the effectiveness of</w:t>
      </w:r>
      <w:r>
        <w:t xml:space="preserve"> </w:t>
      </w:r>
      <w:r>
        <w:t xml:space="preserve">governance mechanisms compared to large firms. In a targeted survey, RTOs reported the</w:t>
      </w:r>
      <w:r>
        <w:t xml:space="preserve"> </w:t>
      </w:r>
      <w:r>
        <w:t xml:space="preserve">lowest levels of positive effects from the intervention (35-41%) and rated administrative</w:t>
      </w:r>
      <w:r>
        <w:t xml:space="preserve"> </w:t>
      </w:r>
      <w:r>
        <w:t xml:space="preserve">efficiency as “very ineffective” (18-29%), nearly double the rate of national authorities. This</w:t>
      </w:r>
      <w:r>
        <w:t xml:space="preserve"> </w:t>
      </w:r>
      <w:r>
        <w:t xml:space="preserve">contrasts with the views of large incumbents, who typically possess dedicated compliance</w:t>
      </w:r>
    </w:p>
    <w:p>
      <w:pPr>
        <w:pStyle w:val="BodyText"/>
      </w:pPr>
      <w:r>
        <w:t xml:space="preserve">170</w:t>
      </w:r>
    </w:p>
    <w:p>
      <w:pPr>
        <w:pStyle w:val="BodyText"/>
      </w:pPr>
      <w:r>
        <w:t xml:space="preserve">departments to navigate complex requirements.</w:t>
      </w:r>
      <w:r>
        <w:t xml:space="preserve"> </w:t>
      </w:r>
      <w:r>
        <w:t xml:space="preserve">Finally, views differed on the targeted scope of EU intervention. In the OPC, large end-user</w:t>
      </w:r>
      <w:r>
        <w:t xml:space="preserve"> </w:t>
      </w:r>
      <w:r>
        <w:t xml:space="preserve">industries and IDMs overwhelmingly supported subsidies for building large-scale manufacturing</w:t>
      </w:r>
      <w:r>
        <w:t xml:space="preserve"> </w:t>
      </w:r>
      <w:r>
        <w:t xml:space="preserve">facilities (89% support). In contrast, input from the Call for Evidence and workshops shows</w:t>
      </w:r>
      <w:r>
        <w:t xml:space="preserve"> </w:t>
      </w:r>
      <w:r>
        <w:t xml:space="preserve">that SMEs and stakeholders in the equipment and design sectors argued that the architecture was</w:t>
      </w:r>
      <w:r>
        <w:t xml:space="preserve"> </w:t>
      </w:r>
      <w:r>
        <w:t xml:space="preserve">misaligned with their needs.</w:t>
      </w:r>
    </w:p>
    <w:p>
      <w:pPr>
        <w:pStyle w:val="Compact"/>
        <w:numPr>
          <w:ilvl w:val="0"/>
          <w:numId w:val="1094"/>
        </w:numPr>
      </w:pPr>
      <w:r>
        <w:t xml:space="preserve">ASSESSMENT OF IMPACTS ON SMES (406)</w:t>
      </w:r>
      <w:r>
        <w:t xml:space="preserve"> </w:t>
      </w:r>
      <w:r>
        <w:t xml:space="preserve">What are the estimated direct costs for SMEs of the preferred policy option?</w:t>
      </w:r>
      <w:r>
        <w:t xml:space="preserve"> </w:t>
      </w:r>
      <w:r>
        <w:t xml:space="preserve">Qualitative assessment</w:t>
      </w:r>
      <w:r>
        <w:t xml:space="preserve"> </w:t>
      </w:r>
      <w:r>
        <w:t xml:space="preserve">Direct costs for SMEs under Policy Option 2 are limited and proportionate, for several</w:t>
      </w:r>
      <w:r>
        <w:br/>
      </w:r>
      <w:r>
        <w:t xml:space="preserve">reasons:</w:t>
      </w:r>
    </w:p>
    <w:p>
      <w:pPr>
        <w:pStyle w:val="Compact"/>
        <w:numPr>
          <w:ilvl w:val="0"/>
          <w:numId w:val="1095"/>
        </w:numPr>
      </w:pPr>
      <w:r>
        <w:t xml:space="preserve">.</w:t>
      </w:r>
    </w:p>
    <w:p>
      <w:pPr>
        <w:pStyle w:val="Compact"/>
        <w:numPr>
          <w:ilvl w:val="0"/>
          <w:numId w:val="1095"/>
        </w:numPr>
      </w:pPr>
      <w:r>
        <w:t xml:space="preserve">Participation in Strategic Projects and innovation procurement is voluntary and</w:t>
      </w:r>
      <w:r>
        <w:t xml:space="preserve"> </w:t>
      </w:r>
      <w:r>
        <w:t xml:space="preserve">does not impose reporting obligations on SMEs.</w:t>
      </w:r>
      <w:r>
        <w:t xml:space="preserve"> </w:t>
      </w:r>
      <w:r>
        <w:t xml:space="preserve">SMEs incur administrative costs only if they choose to participate, and these costs are</w:t>
      </w:r>
      <w:r>
        <w:t xml:space="preserve"> </w:t>
      </w:r>
      <w:r>
        <w:t xml:space="preserve">standard for R&amp;I or public-procurement participation (proposal preparation, reporting,</w:t>
      </w:r>
      <w:r>
        <w:t xml:space="preserve"> </w:t>
      </w:r>
      <w:r>
        <w:t xml:space="preserve">contractual obligations).</w:t>
      </w:r>
    </w:p>
    <w:p>
      <w:pPr>
        <w:pStyle w:val="Compact"/>
        <w:numPr>
          <w:ilvl w:val="0"/>
          <w:numId w:val="1095"/>
        </w:numPr>
      </w:pPr>
      <w:r>
        <w:t xml:space="preserve">No regulatory costs are introduced that require SMEs to adapt processes, meet</w:t>
      </w:r>
      <w:r>
        <w:t xml:space="preserve"> </w:t>
      </w:r>
      <w:r>
        <w:t xml:space="preserve">new standards, or undertake mandatory investments.</w:t>
      </w:r>
    </w:p>
    <w:p>
      <w:pPr>
        <w:pStyle w:val="Compact"/>
        <w:numPr>
          <w:ilvl w:val="0"/>
          <w:numId w:val="1095"/>
        </w:numPr>
      </w:pPr>
      <w:r>
        <w:t xml:space="preserve">No changes to State aid conditions impose compliance duties on SMEs, because</w:t>
      </w:r>
      <w:r>
        <w:t xml:space="preserve"> </w:t>
      </w:r>
      <w:r>
        <w:t xml:space="preserve">Strategic Projects are designed as co-funded investment instruments, not regulatory</w:t>
      </w:r>
      <w:r>
        <w:t xml:space="preserve"> </w:t>
      </w:r>
      <w:r>
        <w:t xml:space="preserve">obligations.</w:t>
      </w:r>
      <w:r>
        <w:t xml:space="preserve"> </w:t>
      </w:r>
      <w:r>
        <w:t xml:space="preserve">To sum up, the preferred option does not introduce new operational costs for SMEs.</w:t>
      </w:r>
      <w:r>
        <w:t xml:space="preserve"> </w:t>
      </w:r>
      <w:r>
        <w:t xml:space="preserve">Quantitative assessment</w:t>
      </w:r>
      <w:r>
        <w:t xml:space="preserve"> </w:t>
      </w:r>
      <w:r>
        <w:t xml:space="preserve">Since SMEs are exempt from mandatory data-reporting obligations:</w:t>
      </w:r>
      <w:r>
        <w:t xml:space="preserve"> </w:t>
      </w:r>
      <w:r>
        <w:t xml:space="preserve">•</w:t>
      </w:r>
      <w:r>
        <w:t xml:space="preserve"> </w:t>
      </w:r>
      <w:r>
        <w:t xml:space="preserve">Direct compliance burden = €0 (no recurring reporting or data-submission duties).</w:t>
      </w:r>
      <w:r>
        <w:t xml:space="preserve"> </w:t>
      </w:r>
      <w:r>
        <w:t xml:space="preserve">•</w:t>
      </w:r>
      <w:r>
        <w:t xml:space="preserve"> </w:t>
      </w:r>
      <w:r>
        <w:t xml:space="preserve">For SMEs participating voluntarily in Strategic Projects or innovation procurement,</w:t>
      </w:r>
      <w:r>
        <w:t xml:space="preserve"> </w:t>
      </w:r>
      <w:r>
        <w:t xml:space="preserve">administrative costs are limited to:</w:t>
      </w:r>
      <w:r>
        <w:t xml:space="preserve"> </w:t>
      </w:r>
      <w:r>
        <w:t xml:space="preserve">o Proposal preparation costs</w:t>
      </w:r>
      <w:r>
        <w:t xml:space="preserve"> </w:t>
      </w:r>
      <w:r>
        <w:t xml:space="preserve">o Project reporting obligations</w:t>
      </w:r>
      <w:r>
        <w:t xml:space="preserve"> </w:t>
      </w:r>
      <w:r>
        <w:t xml:space="preserve">These costs are standard and voluntary, not imposed by legislation, and therefore not</w:t>
      </w:r>
      <w:r>
        <w:t xml:space="preserve"> </w:t>
      </w:r>
      <w:r>
        <w:t xml:space="preserve">counted as regulatory burden under Better Regulation guidelines.</w:t>
      </w:r>
      <w:r>
        <w:t xml:space="preserve"> </w:t>
      </w:r>
      <w:r>
        <w:t xml:space="preserve">What are the estimated direct benefits/cost savings for SMEs of the preferred policy</w:t>
      </w:r>
      <w:r>
        <w:t xml:space="preserve"> </w:t>
      </w:r>
      <w:r>
        <w:t xml:space="preserve">option (407)?</w:t>
      </w:r>
    </w:p>
    <w:p>
      <w:pPr>
        <w:pStyle w:val="Compact"/>
        <w:numPr>
          <w:ilvl w:val="0"/>
          <w:numId w:val="1096"/>
        </w:numPr>
      </w:pPr>
      <w:r>
        <w:t xml:space="preserve">The costs and benefits data in this annex are consistent with the data in annex 3. The preferred option includes the</w:t>
      </w:r>
      <w:r>
        <w:t xml:space="preserve"> </w:t>
      </w:r>
      <w:r>
        <w:t xml:space="preserve">mitigating measures listed in section 4.</w:t>
      </w:r>
    </w:p>
    <w:p>
      <w:pPr>
        <w:pStyle w:val="FirstParagraph"/>
      </w:pPr>
      <w:r>
        <w:t xml:space="preserve">171</w:t>
      </w:r>
    </w:p>
    <w:p>
      <w:pPr>
        <w:pStyle w:val="BodyText"/>
      </w:pPr>
      <w:r>
        <w:t xml:space="preserve">Qualitative assessment</w:t>
      </w:r>
      <w:r>
        <w:t xml:space="preserve"> </w:t>
      </w:r>
      <w:r>
        <w:t xml:space="preserve">SMEs will likely benefit significantly from the preferred option, through:</w:t>
      </w:r>
      <w:r>
        <w:t xml:space="preserve"> </w:t>
      </w:r>
      <w:r>
        <w:t xml:space="preserve">1. Increased demand and market opportunities, especially for fabless design</w:t>
      </w:r>
      <w:r>
        <w:t xml:space="preserve"> </w:t>
      </w:r>
      <w:r>
        <w:t xml:space="preserve">SMEs, manufacturing equipment SMEs, specialist materials suppliers, OSAT</w:t>
      </w:r>
      <w:r>
        <w:t xml:space="preserve"> </w:t>
      </w:r>
      <w:r>
        <w:t xml:space="preserve">SMEs, and R&amp;D service providers. Strategic Projects create stable, long-term</w:t>
      </w:r>
      <w:r>
        <w:t xml:space="preserve"> </w:t>
      </w:r>
      <w:r>
        <w:t xml:space="preserve">demand for specialised SME inputs.</w:t>
      </w:r>
      <w:r>
        <w:t xml:space="preserve"> </w:t>
      </w:r>
      <w:r>
        <w:t xml:space="preserve">2. Innovation procurement, which provides:</w:t>
      </w:r>
      <w:r>
        <w:t xml:space="preserve"> </w:t>
      </w:r>
      <w:r>
        <w:t xml:space="preserve">o early revenue streams,</w:t>
      </w:r>
      <w:r>
        <w:t xml:space="preserve"> </w:t>
      </w:r>
      <w:r>
        <w:t xml:space="preserve">o anchor customers,</w:t>
      </w:r>
      <w:r>
        <w:t xml:space="preserve"> </w:t>
      </w:r>
      <w:r>
        <w:t xml:space="preserve">o reduced commercialisation risk,</w:t>
      </w:r>
      <w:r>
        <w:t xml:space="preserve"> </w:t>
      </w:r>
      <w:r>
        <w:t xml:space="preserve">o enhanced technology validation.</w:t>
      </w:r>
      <w:r>
        <w:t xml:space="preserve"> </w:t>
      </w:r>
      <w:r>
        <w:t xml:space="preserve">3. Improved access to advanced design, prototyping and packaging facilities,</w:t>
      </w:r>
      <w:r>
        <w:t xml:space="preserve"> </w:t>
      </w:r>
      <w:r>
        <w:t xml:space="preserve">which reduces SMEs’ reliance on non-EU infrastructure and lowers development</w:t>
      </w:r>
      <w:r>
        <w:t xml:space="preserve"> </w:t>
      </w:r>
      <w:r>
        <w:t xml:space="preserve">costs.</w:t>
      </w:r>
      <w:r>
        <w:t xml:space="preserve"> </w:t>
      </w:r>
      <w:r>
        <w:t xml:space="preserve">4. Reduced uncertainty and disruption-related costs due to improved supply chain</w:t>
      </w:r>
      <w:r>
        <w:t xml:space="preserve"> </w:t>
      </w:r>
      <w:r>
        <w:t xml:space="preserve">resilience and earlier visibility of risks (via the Business-to-Business</w:t>
      </w:r>
      <w:r>
        <w:t xml:space="preserve"> </w:t>
      </w:r>
      <w:r>
        <w:t xml:space="preserve">Semiconductor Supply Chain Platform). SMEs were disproportionately harmed by</w:t>
      </w:r>
      <w:r>
        <w:t xml:space="preserve"> </w:t>
      </w:r>
      <w:r>
        <w:t xml:space="preserve">recent shortages since 2020; improved monitoring reduces production interruptions</w:t>
      </w:r>
      <w:r>
        <w:t xml:space="preserve"> </w:t>
      </w:r>
      <w:r>
        <w:t xml:space="preserve">and lost revenue.</w:t>
      </w:r>
      <w:r>
        <w:t xml:space="preserve"> </w:t>
      </w:r>
      <w:r>
        <w:t xml:space="preserve">Quantitative assessment</w:t>
      </w:r>
      <w:r>
        <w:t xml:space="preserve"> </w:t>
      </w:r>
      <w:r>
        <w:t xml:space="preserve">The Impact Assessment presents no quantified SME-specific benefits, and therefore no</w:t>
      </w:r>
      <w:r>
        <w:t xml:space="preserve"> </w:t>
      </w:r>
      <w:r>
        <w:t xml:space="preserve">numerical estimates are included. Benefits remain qualitative in nature, based on the</w:t>
      </w:r>
      <w:r>
        <w:t xml:space="preserve"> </w:t>
      </w:r>
      <w:r>
        <w:t xml:space="preserve">structural improvements described in the report.</w:t>
      </w:r>
      <w:r>
        <w:t xml:space="preserve"> </w:t>
      </w:r>
      <w:r>
        <w:t xml:space="preserve">What are the indirect impacts of this initiative on SMEs?</w:t>
      </w:r>
      <w:r>
        <w:br/>
      </w:r>
      <w:r>
        <w:t xml:space="preserve">Indirect impacts on SMEs in downstream sectors (automotive suppliers, industrial</w:t>
      </w:r>
      <w:r>
        <w:t xml:space="preserve"> </w:t>
      </w:r>
      <w:r>
        <w:t xml:space="preserve">automation, ICT hardware, telecoms, robotics, medical devices) are expected to be positive,</w:t>
      </w:r>
      <w:r>
        <w:t xml:space="preserve"> </w:t>
      </w:r>
      <w:r>
        <w:t xml:space="preserve">due to:</w:t>
      </w:r>
      <w:r>
        <w:t xml:space="preserve"> </w:t>
      </w:r>
      <w:r>
        <w:t xml:space="preserve">•</w:t>
      </w:r>
      <w:r>
        <w:t xml:space="preserve"> </w:t>
      </w:r>
      <w:r>
        <w:t xml:space="preserve">greater semiconductor availability,</w:t>
      </w:r>
      <w:r>
        <w:t xml:space="preserve"> </w:t>
      </w:r>
      <w:r>
        <w:t xml:space="preserve">•</w:t>
      </w:r>
      <w:r>
        <w:t xml:space="preserve"> </w:t>
      </w:r>
      <w:r>
        <w:t xml:space="preserve">reduced exposure to global supply chain shocks,</w:t>
      </w:r>
      <w:r>
        <w:t xml:space="preserve"> </w:t>
      </w:r>
      <w:r>
        <w:t xml:space="preserve">•</w:t>
      </w:r>
      <w:r>
        <w:t xml:space="preserve"> </w:t>
      </w:r>
      <w:r>
        <w:t xml:space="preserve">improved foresight,</w:t>
      </w:r>
      <w:r>
        <w:t xml:space="preserve"> </w:t>
      </w:r>
      <w:r>
        <w:t xml:space="preserve">•</w:t>
      </w:r>
      <w:r>
        <w:t xml:space="preserve"> </w:t>
      </w:r>
      <w:r>
        <w:t xml:space="preserve">increased access to advanced chips including for AI and edge computing.</w:t>
      </w:r>
      <w:r>
        <w:t xml:space="preserve"> </w:t>
      </w:r>
      <w:r>
        <w:t xml:space="preserve">These sectors contain large numbers of SMEs that previously experienced significant</w:t>
      </w:r>
      <w:r>
        <w:t xml:space="preserve"> </w:t>
      </w:r>
      <w:r>
        <w:t xml:space="preserve">disruption during semiconductor shortages, suggesting substantial indirect competitiveness</w:t>
      </w:r>
      <w:r>
        <w:t xml:space="preserve"> </w:t>
      </w:r>
      <w:r>
        <w:t xml:space="preserve">gains.</w:t>
      </w:r>
    </w:p>
    <w:p>
      <w:pPr>
        <w:numPr>
          <w:ilvl w:val="0"/>
          <w:numId w:val="1097"/>
        </w:numPr>
      </w:pPr>
      <w:r>
        <w:t xml:space="preserve">MINIMISING NEGATIVE IMPACTS ON SMES</w:t>
      </w:r>
    </w:p>
    <w:p>
      <w:pPr>
        <w:numPr>
          <w:ilvl w:val="0"/>
          <w:numId w:val="1097"/>
        </w:numPr>
      </w:pPr>
      <w:r>
        <w:t xml:space="preserve">The direct benefits for SMEs can also be cost savings.</w:t>
      </w:r>
    </w:p>
    <w:p>
      <w:pPr>
        <w:pStyle w:val="FirstParagraph"/>
      </w:pPr>
      <w:r>
        <w:t xml:space="preserve">172</w:t>
      </w:r>
    </w:p>
    <w:p>
      <w:pPr>
        <w:pStyle w:val="BodyText"/>
      </w:pPr>
      <w:r>
        <w:t xml:space="preserve">Are SMEs disproportionately affected compared to large companies?</w:t>
      </w:r>
      <w:r>
        <w:t xml:space="preserve"> </w:t>
      </w:r>
      <w:r>
        <w:t xml:space="preserve">SMEs are not disproportionately affected under the preferred option.</w:t>
      </w:r>
      <w:r>
        <w:br/>
      </w:r>
      <w:r>
        <w:t xml:space="preserve">Have mitigating measures been included in the preferred option/proposal?</w:t>
      </w:r>
      <w:r>
        <w:br/>
      </w:r>
      <w:r>
        <w:t xml:space="preserve">No mitigation measures are required since SMEs are not disproportionately affected by the</w:t>
      </w:r>
      <w:r>
        <w:t xml:space="preserve"> </w:t>
      </w:r>
      <w:r>
        <w:t xml:space="preserve">preferred option . Instead, the initiative includes several features that proactively promote</w:t>
      </w:r>
      <w:r>
        <w:t xml:space="preserve"> </w:t>
      </w:r>
      <w:r>
        <w:t xml:space="preserve">SME participation and ensure that the regulatory framework remains proportionate for</w:t>
      </w:r>
      <w:r>
        <w:t xml:space="preserve"> </w:t>
      </w:r>
      <w:r>
        <w:t xml:space="preserve">smaller firms. These features include the possibility of participation in Strategic Projects and</w:t>
      </w:r>
      <w:r>
        <w:t xml:space="preserve"> </w:t>
      </w:r>
      <w:r>
        <w:t xml:space="preserve">innovation procurement. The preferred option also enhances SMEs’ access to advanced</w:t>
      </w:r>
      <w:r>
        <w:t xml:space="preserve"> </w:t>
      </w:r>
      <w:r>
        <w:t xml:space="preserve">design facilities, prototyping and potentially small-lot manufacturing capacities, and</w:t>
      </w:r>
      <w:r>
        <w:t xml:space="preserve"> </w:t>
      </w:r>
      <w:r>
        <w:t xml:space="preserve">strengthens supply -chain resilience, which particularly benefits SMEs given their higher</w:t>
      </w:r>
      <w:r>
        <w:t xml:space="preserve"> </w:t>
      </w:r>
      <w:r>
        <w:t xml:space="preserve">vulnerability to disruptions.</w:t>
      </w:r>
    </w:p>
    <w:p>
      <w:pPr>
        <w:pStyle w:val="BodyText"/>
      </w:pPr>
      <w:r>
        <w:t xml:space="preserve">CONTRIBUTION TO THE 35% BURDEN REDUCTION TARGET FOR SMES</w:t>
      </w:r>
      <w:r>
        <w:t xml:space="preserve"> </w:t>
      </w:r>
      <w:r>
        <w:t xml:space="preserve">Are there any administrative cost savings relevant for the 35% burden reduction target</w:t>
      </w:r>
      <w:r>
        <w:t xml:space="preserve"> </w:t>
      </w:r>
      <w:r>
        <w:t xml:space="preserve">for SMEs?</w:t>
      </w:r>
      <w:r>
        <w:t xml:space="preserve"> </w:t>
      </w:r>
      <w:r>
        <w:t xml:space="preserve">The preferred option introduces several simplification measures that generate administrative</w:t>
      </w:r>
      <w:r>
        <w:t xml:space="preserve"> </w:t>
      </w:r>
      <w:r>
        <w:t xml:space="preserve">cost savings for SMEs and contribute to the EU’s 35% burden-reduction target. The</w:t>
      </w:r>
      <w:r>
        <w:t xml:space="preserve"> </w:t>
      </w:r>
      <w:r>
        <w:t xml:space="preserve">establishment of more streamlined and predictable procedures under the revised Chips Act,</w:t>
      </w:r>
      <w:r>
        <w:t xml:space="preserve"> </w:t>
      </w:r>
      <w:r>
        <w:t xml:space="preserve">including clearer pathways for participation in Strategic Projects and innovation procurement,</w:t>
      </w:r>
      <w:r>
        <w:t xml:space="preserve"> </w:t>
      </w:r>
      <w:r>
        <w:t xml:space="preserve">reduces administrative complexity for SMEs.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33">
    <w:nsid w:val="00A99433"/>
    <w:multiLevelType w:val="multilevel"/>
    <w:lvl w:ilvl="0">
      <w:start w:val="3"/>
      <w:numFmt w:val="decimal"/>
      <w:lvlText w:val="(%1)"/>
      <w:lvlJc w:val="left"/>
      <w:pPr>
        <w:ind w:left="720" w:hanging="360"/>
      </w:pPr>
    </w:lvl>
    <w:lvl w:ilvl="1">
      <w:start w:val="3"/>
      <w:numFmt w:val="decimal"/>
      <w:lvlText w:val="(%2)"/>
      <w:lvlJc w:val="left"/>
      <w:pPr>
        <w:ind w:left="1440" w:hanging="360"/>
      </w:pPr>
    </w:lvl>
    <w:lvl w:ilvl="2">
      <w:start w:val="3"/>
      <w:numFmt w:val="decimal"/>
      <w:lvlText w:val="(%3)"/>
      <w:lvlJc w:val="left"/>
      <w:pPr>
        <w:ind w:left="2160" w:hanging="360"/>
      </w:pPr>
    </w:lvl>
    <w:lvl w:ilvl="3">
      <w:start w:val="3"/>
      <w:numFmt w:val="decimal"/>
      <w:lvlText w:val="(%4)"/>
      <w:lvlJc w:val="left"/>
      <w:pPr>
        <w:ind w:left="2880" w:hanging="360"/>
      </w:pPr>
    </w:lvl>
    <w:lvl w:ilvl="4">
      <w:start w:val="3"/>
      <w:numFmt w:val="decimal"/>
      <w:lvlText w:val="(%5)"/>
      <w:lvlJc w:val="left"/>
      <w:pPr>
        <w:ind w:left="3600" w:hanging="360"/>
      </w:pPr>
    </w:lvl>
    <w:lvl w:ilvl="5">
      <w:start w:val="3"/>
      <w:numFmt w:val="decimal"/>
      <w:lvlText w:val="(%6)"/>
      <w:lvlJc w:val="left"/>
      <w:pPr>
        <w:ind w:left="4320" w:hanging="360"/>
      </w:pPr>
    </w:lvl>
    <w:lvl w:ilvl="6">
      <w:start w:val="3"/>
      <w:numFmt w:val="decimal"/>
      <w:lvlText w:val="(%7)"/>
      <w:lvlJc w:val="left"/>
      <w:pPr>
        <w:ind w:left="5040" w:hanging="360"/>
      </w:pPr>
    </w:lvl>
    <w:lvl w:ilvl="7">
      <w:start w:val="3"/>
      <w:numFmt w:val="decimal"/>
      <w:lvlText w:val="(%8)"/>
      <w:lvlJc w:val="left"/>
      <w:pPr>
        <w:ind w:left="5760" w:hanging="360"/>
      </w:pPr>
    </w:lvl>
    <w:lvl w:ilvl="8">
      <w:start w:val="3"/>
      <w:numFmt w:val="decimal"/>
      <w:lvlText w:val="(%9)"/>
      <w:lvlJc w:val="left"/>
      <w:pPr>
        <w:ind w:left="6480" w:hanging="360"/>
      </w:pPr>
    </w:lvl>
  </w:abstractNum>
  <w:abstractNum w:abstractNumId="99434">
    <w:nsid w:val="00A99434"/>
    <w:multiLevelType w:val="multilevel"/>
    <w:lvl w:ilvl="0">
      <w:start w:val="4"/>
      <w:numFmt w:val="decimal"/>
      <w:lvlText w:val="(%1)"/>
      <w:lvlJc w:val="left"/>
      <w:pPr>
        <w:ind w:left="720" w:hanging="360"/>
      </w:pPr>
    </w:lvl>
    <w:lvl w:ilvl="1">
      <w:start w:val="4"/>
      <w:numFmt w:val="decimal"/>
      <w:lvlText w:val="(%2)"/>
      <w:lvlJc w:val="left"/>
      <w:pPr>
        <w:ind w:left="1440" w:hanging="360"/>
      </w:pPr>
    </w:lvl>
    <w:lvl w:ilvl="2">
      <w:start w:val="4"/>
      <w:numFmt w:val="decimal"/>
      <w:lvlText w:val="(%3)"/>
      <w:lvlJc w:val="left"/>
      <w:pPr>
        <w:ind w:left="2160" w:hanging="360"/>
      </w:pPr>
    </w:lvl>
    <w:lvl w:ilvl="3">
      <w:start w:val="4"/>
      <w:numFmt w:val="decimal"/>
      <w:lvlText w:val="(%4)"/>
      <w:lvlJc w:val="left"/>
      <w:pPr>
        <w:ind w:left="2880" w:hanging="360"/>
      </w:pPr>
    </w:lvl>
    <w:lvl w:ilvl="4">
      <w:start w:val="4"/>
      <w:numFmt w:val="decimal"/>
      <w:lvlText w:val="(%5)"/>
      <w:lvlJc w:val="left"/>
      <w:pPr>
        <w:ind w:left="3600" w:hanging="360"/>
      </w:pPr>
    </w:lvl>
    <w:lvl w:ilvl="5">
      <w:start w:val="4"/>
      <w:numFmt w:val="decimal"/>
      <w:lvlText w:val="(%6)"/>
      <w:lvlJc w:val="left"/>
      <w:pPr>
        <w:ind w:left="4320" w:hanging="360"/>
      </w:pPr>
    </w:lvl>
    <w:lvl w:ilvl="6">
      <w:start w:val="4"/>
      <w:numFmt w:val="decimal"/>
      <w:lvlText w:val="(%7)"/>
      <w:lvlJc w:val="left"/>
      <w:pPr>
        <w:ind w:left="5040" w:hanging="360"/>
      </w:pPr>
    </w:lvl>
    <w:lvl w:ilvl="7">
      <w:start w:val="4"/>
      <w:numFmt w:val="decimal"/>
      <w:lvlText w:val="(%8)"/>
      <w:lvlJc w:val="left"/>
      <w:pPr>
        <w:ind w:left="5760" w:hanging="360"/>
      </w:pPr>
    </w:lvl>
    <w:lvl w:ilvl="8">
      <w:start w:val="4"/>
      <w:numFmt w:val="decimal"/>
      <w:lvlText w:val="(%9)"/>
      <w:lvlJc w:val="left"/>
      <w:pPr>
        <w:ind w:left="6480" w:hanging="360"/>
      </w:pPr>
    </w:lvl>
  </w:abstractNum>
  <w:abstractNum w:abstractNumId="99437">
    <w:nsid w:val="00A99437"/>
    <w:multiLevelType w:val="multilevel"/>
    <w:lvl w:ilvl="0">
      <w:start w:val="7"/>
      <w:numFmt w:val="decimal"/>
      <w:lvlText w:val="(%1)"/>
      <w:lvlJc w:val="left"/>
      <w:pPr>
        <w:ind w:left="720" w:hanging="360"/>
      </w:pPr>
    </w:lvl>
    <w:lvl w:ilvl="1">
      <w:start w:val="7"/>
      <w:numFmt w:val="decimal"/>
      <w:lvlText w:val="(%2)"/>
      <w:lvlJc w:val="left"/>
      <w:pPr>
        <w:ind w:left="1440" w:hanging="360"/>
      </w:pPr>
    </w:lvl>
    <w:lvl w:ilvl="2">
      <w:start w:val="7"/>
      <w:numFmt w:val="decimal"/>
      <w:lvlText w:val="(%3)"/>
      <w:lvlJc w:val="left"/>
      <w:pPr>
        <w:ind w:left="2160" w:hanging="360"/>
      </w:pPr>
    </w:lvl>
    <w:lvl w:ilvl="3">
      <w:start w:val="7"/>
      <w:numFmt w:val="decimal"/>
      <w:lvlText w:val="(%4)"/>
      <w:lvlJc w:val="left"/>
      <w:pPr>
        <w:ind w:left="2880" w:hanging="360"/>
      </w:pPr>
    </w:lvl>
    <w:lvl w:ilvl="4">
      <w:start w:val="7"/>
      <w:numFmt w:val="decimal"/>
      <w:lvlText w:val="(%5)"/>
      <w:lvlJc w:val="left"/>
      <w:pPr>
        <w:ind w:left="3600" w:hanging="360"/>
      </w:pPr>
    </w:lvl>
    <w:lvl w:ilvl="5">
      <w:start w:val="7"/>
      <w:numFmt w:val="decimal"/>
      <w:lvlText w:val="(%6)"/>
      <w:lvlJc w:val="left"/>
      <w:pPr>
        <w:ind w:left="4320" w:hanging="360"/>
      </w:pPr>
    </w:lvl>
    <w:lvl w:ilvl="6">
      <w:start w:val="7"/>
      <w:numFmt w:val="decimal"/>
      <w:lvlText w:val="(%7)"/>
      <w:lvlJc w:val="left"/>
      <w:pPr>
        <w:ind w:left="5040" w:hanging="360"/>
      </w:pPr>
    </w:lvl>
    <w:lvl w:ilvl="7">
      <w:start w:val="7"/>
      <w:numFmt w:val="decimal"/>
      <w:lvlText w:val="(%8)"/>
      <w:lvlJc w:val="left"/>
      <w:pPr>
        <w:ind w:left="5760" w:hanging="360"/>
      </w:pPr>
    </w:lvl>
    <w:lvl w:ilvl="8">
      <w:start w:val="7"/>
      <w:numFmt w:val="decimal"/>
      <w:lvlText w:val="(%9)"/>
      <w:lvlJc w:val="left"/>
      <w:pPr>
        <w:ind w:left="6480" w:hanging="360"/>
      </w:pPr>
    </w:lvl>
  </w:abstractNum>
  <w:abstractNum w:abstractNumId="99613">
    <w:nsid w:val="00A99613"/>
    <w:multiLevelType w:val="multilevel"/>
    <w:lvl w:ilvl="0">
      <w:start w:val="3"/>
      <w:numFmt w:val="upperRoman"/>
      <w:lvlText w:val="%1."/>
      <w:lvlJc w:val="left"/>
      <w:pPr>
        <w:ind w:left="720" w:hanging="360"/>
      </w:pPr>
    </w:lvl>
    <w:lvl w:ilvl="1">
      <w:start w:val="3"/>
      <w:numFmt w:val="upperRoman"/>
      <w:lvlText w:val="%2."/>
      <w:lvlJc w:val="left"/>
      <w:pPr>
        <w:ind w:left="1440" w:hanging="360"/>
      </w:pPr>
    </w:lvl>
    <w:lvl w:ilvl="2">
      <w:start w:val="3"/>
      <w:numFmt w:val="upperRoman"/>
      <w:lvlText w:val="%3."/>
      <w:lvlJc w:val="left"/>
      <w:pPr>
        <w:ind w:left="2160" w:hanging="360"/>
      </w:pPr>
    </w:lvl>
    <w:lvl w:ilvl="3">
      <w:start w:val="3"/>
      <w:numFmt w:val="upperRoman"/>
      <w:lvlText w:val="%4."/>
      <w:lvlJc w:val="left"/>
      <w:pPr>
        <w:ind w:left="2880" w:hanging="360"/>
      </w:pPr>
    </w:lvl>
    <w:lvl w:ilvl="4">
      <w:start w:val="3"/>
      <w:numFmt w:val="upperRoman"/>
      <w:lvlText w:val="%5."/>
      <w:lvlJc w:val="left"/>
      <w:pPr>
        <w:ind w:left="3600" w:hanging="360"/>
      </w:pPr>
    </w:lvl>
    <w:lvl w:ilvl="5">
      <w:start w:val="3"/>
      <w:numFmt w:val="upperRoman"/>
      <w:lvlText w:val="%6."/>
      <w:lvlJc w:val="left"/>
      <w:pPr>
        <w:ind w:left="4320" w:hanging="360"/>
      </w:pPr>
    </w:lvl>
    <w:lvl w:ilvl="6">
      <w:start w:val="3"/>
      <w:numFmt w:val="upperRoman"/>
      <w:lvlText w:val="%7."/>
      <w:lvlJc w:val="left"/>
      <w:pPr>
        <w:ind w:left="5040" w:hanging="360"/>
      </w:pPr>
    </w:lvl>
    <w:lvl w:ilvl="7">
      <w:start w:val="3"/>
      <w:numFmt w:val="upperRoman"/>
      <w:lvlText w:val="%8."/>
      <w:lvlJc w:val="left"/>
      <w:pPr>
        <w:ind w:left="5760" w:hanging="360"/>
      </w:pPr>
    </w:lvl>
    <w:lvl w:ilvl="8">
      <w:start w:val="3"/>
      <w:numFmt w:val="upperRoman"/>
      <w:lvlText w:val="%9."/>
      <w:lvlJc w:val="left"/>
      <w:pPr>
        <w:ind w:left="6480" w:hanging="360"/>
      </w:pPr>
    </w:lvl>
  </w:abstractNum>
  <w:abstractNum w:abstractNumId="994312">
    <w:nsid w:val="0A994312"/>
    <w:multiLevelType w:val="multilevel"/>
    <w:lvl w:ilvl="0">
      <w:start w:val="12"/>
      <w:numFmt w:val="decimal"/>
      <w:lvlText w:val="(%1)"/>
      <w:lvlJc w:val="left"/>
      <w:pPr>
        <w:ind w:left="720" w:hanging="360"/>
      </w:pPr>
    </w:lvl>
    <w:lvl w:ilvl="1">
      <w:start w:val="12"/>
      <w:numFmt w:val="decimal"/>
      <w:lvlText w:val="(%2)"/>
      <w:lvlJc w:val="left"/>
      <w:pPr>
        <w:ind w:left="1440" w:hanging="360"/>
      </w:pPr>
    </w:lvl>
    <w:lvl w:ilvl="2">
      <w:start w:val="12"/>
      <w:numFmt w:val="decimal"/>
      <w:lvlText w:val="(%3)"/>
      <w:lvlJc w:val="left"/>
      <w:pPr>
        <w:ind w:left="2160" w:hanging="360"/>
      </w:pPr>
    </w:lvl>
    <w:lvl w:ilvl="3">
      <w:start w:val="12"/>
      <w:numFmt w:val="decimal"/>
      <w:lvlText w:val="(%4)"/>
      <w:lvlJc w:val="left"/>
      <w:pPr>
        <w:ind w:left="2880" w:hanging="360"/>
      </w:pPr>
    </w:lvl>
    <w:lvl w:ilvl="4">
      <w:start w:val="12"/>
      <w:numFmt w:val="decimal"/>
      <w:lvlText w:val="(%5)"/>
      <w:lvlJc w:val="left"/>
      <w:pPr>
        <w:ind w:left="3600" w:hanging="360"/>
      </w:pPr>
    </w:lvl>
    <w:lvl w:ilvl="5">
      <w:start w:val="12"/>
      <w:numFmt w:val="decimal"/>
      <w:lvlText w:val="(%6)"/>
      <w:lvlJc w:val="left"/>
      <w:pPr>
        <w:ind w:left="4320" w:hanging="360"/>
      </w:pPr>
    </w:lvl>
    <w:lvl w:ilvl="6">
      <w:start w:val="12"/>
      <w:numFmt w:val="decimal"/>
      <w:lvlText w:val="(%7)"/>
      <w:lvlJc w:val="left"/>
      <w:pPr>
        <w:ind w:left="5040" w:hanging="360"/>
      </w:pPr>
    </w:lvl>
    <w:lvl w:ilvl="7">
      <w:start w:val="12"/>
      <w:numFmt w:val="decimal"/>
      <w:lvlText w:val="(%8)"/>
      <w:lvlJc w:val="left"/>
      <w:pPr>
        <w:ind w:left="5760" w:hanging="360"/>
      </w:pPr>
    </w:lvl>
    <w:lvl w:ilvl="8">
      <w:start w:val="12"/>
      <w:numFmt w:val="decimal"/>
      <w:lvlText w:val="(%9)"/>
      <w:lvlJc w:val="left"/>
      <w:pPr>
        <w:ind w:left="6480" w:hanging="360"/>
      </w:pPr>
    </w:lvl>
  </w:abstractNum>
  <w:abstractNum w:abstractNumId="994313">
    <w:nsid w:val="0A994313"/>
    <w:multiLevelType w:val="multilevel"/>
    <w:lvl w:ilvl="0">
      <w:start w:val="13"/>
      <w:numFmt w:val="decimal"/>
      <w:lvlText w:val="(%1)"/>
      <w:lvlJc w:val="left"/>
      <w:pPr>
        <w:ind w:left="720" w:hanging="360"/>
      </w:pPr>
    </w:lvl>
    <w:lvl w:ilvl="1">
      <w:start w:val="13"/>
      <w:numFmt w:val="decimal"/>
      <w:lvlText w:val="(%2)"/>
      <w:lvlJc w:val="left"/>
      <w:pPr>
        <w:ind w:left="1440" w:hanging="360"/>
      </w:pPr>
    </w:lvl>
    <w:lvl w:ilvl="2">
      <w:start w:val="13"/>
      <w:numFmt w:val="decimal"/>
      <w:lvlText w:val="(%3)"/>
      <w:lvlJc w:val="left"/>
      <w:pPr>
        <w:ind w:left="2160" w:hanging="360"/>
      </w:pPr>
    </w:lvl>
    <w:lvl w:ilvl="3">
      <w:start w:val="13"/>
      <w:numFmt w:val="decimal"/>
      <w:lvlText w:val="(%4)"/>
      <w:lvlJc w:val="left"/>
      <w:pPr>
        <w:ind w:left="2880" w:hanging="360"/>
      </w:pPr>
    </w:lvl>
    <w:lvl w:ilvl="4">
      <w:start w:val="13"/>
      <w:numFmt w:val="decimal"/>
      <w:lvlText w:val="(%5)"/>
      <w:lvlJc w:val="left"/>
      <w:pPr>
        <w:ind w:left="3600" w:hanging="360"/>
      </w:pPr>
    </w:lvl>
    <w:lvl w:ilvl="5">
      <w:start w:val="13"/>
      <w:numFmt w:val="decimal"/>
      <w:lvlText w:val="(%6)"/>
      <w:lvlJc w:val="left"/>
      <w:pPr>
        <w:ind w:left="4320" w:hanging="360"/>
      </w:pPr>
    </w:lvl>
    <w:lvl w:ilvl="6">
      <w:start w:val="13"/>
      <w:numFmt w:val="decimal"/>
      <w:lvlText w:val="(%7)"/>
      <w:lvlJc w:val="left"/>
      <w:pPr>
        <w:ind w:left="5040" w:hanging="360"/>
      </w:pPr>
    </w:lvl>
    <w:lvl w:ilvl="7">
      <w:start w:val="13"/>
      <w:numFmt w:val="decimal"/>
      <w:lvlText w:val="(%8)"/>
      <w:lvlJc w:val="left"/>
      <w:pPr>
        <w:ind w:left="5760" w:hanging="360"/>
      </w:pPr>
    </w:lvl>
    <w:lvl w:ilvl="8">
      <w:start w:val="13"/>
      <w:numFmt w:val="decimal"/>
      <w:lvlText w:val="(%9)"/>
      <w:lvlJc w:val="left"/>
      <w:pPr>
        <w:ind w:left="6480" w:hanging="360"/>
      </w:pPr>
    </w:lvl>
  </w:abstractNum>
  <w:abstractNum w:abstractNumId="99614">
    <w:nsid w:val="00A99614"/>
    <w:multiLevelType w:val="multilevel"/>
    <w:lvl w:ilvl="0">
      <w:start w:val="4"/>
      <w:numFmt w:val="upperRoman"/>
      <w:lvlText w:val="%1."/>
      <w:lvlJc w:val="left"/>
      <w:pPr>
        <w:ind w:left="720" w:hanging="360"/>
      </w:pPr>
    </w:lvl>
    <w:lvl w:ilvl="1">
      <w:start w:val="4"/>
      <w:numFmt w:val="upperRoman"/>
      <w:lvlText w:val="%2."/>
      <w:lvlJc w:val="left"/>
      <w:pPr>
        <w:ind w:left="1440" w:hanging="360"/>
      </w:pPr>
    </w:lvl>
    <w:lvl w:ilvl="2">
      <w:start w:val="4"/>
      <w:numFmt w:val="upperRoman"/>
      <w:lvlText w:val="%3."/>
      <w:lvlJc w:val="left"/>
      <w:pPr>
        <w:ind w:left="2160" w:hanging="360"/>
      </w:pPr>
    </w:lvl>
    <w:lvl w:ilvl="3">
      <w:start w:val="4"/>
      <w:numFmt w:val="upperRoman"/>
      <w:lvlText w:val="%4."/>
      <w:lvlJc w:val="left"/>
      <w:pPr>
        <w:ind w:left="2880" w:hanging="360"/>
      </w:pPr>
    </w:lvl>
    <w:lvl w:ilvl="4">
      <w:start w:val="4"/>
      <w:numFmt w:val="upperRoman"/>
      <w:lvlText w:val="%5."/>
      <w:lvlJc w:val="left"/>
      <w:pPr>
        <w:ind w:left="3600" w:hanging="360"/>
      </w:pPr>
    </w:lvl>
    <w:lvl w:ilvl="5">
      <w:start w:val="4"/>
      <w:numFmt w:val="upperRoman"/>
      <w:lvlText w:val="%6."/>
      <w:lvlJc w:val="left"/>
      <w:pPr>
        <w:ind w:left="4320" w:hanging="360"/>
      </w:pPr>
    </w:lvl>
    <w:lvl w:ilvl="6">
      <w:start w:val="4"/>
      <w:numFmt w:val="upperRoman"/>
      <w:lvlText w:val="%7."/>
      <w:lvlJc w:val="left"/>
      <w:pPr>
        <w:ind w:left="5040" w:hanging="360"/>
      </w:pPr>
    </w:lvl>
    <w:lvl w:ilvl="7">
      <w:start w:val="4"/>
      <w:numFmt w:val="upperRoman"/>
      <w:lvlText w:val="%8."/>
      <w:lvlJc w:val="left"/>
      <w:pPr>
        <w:ind w:left="5760" w:hanging="360"/>
      </w:pPr>
    </w:lvl>
    <w:lvl w:ilvl="8">
      <w:start w:val="4"/>
      <w:numFmt w:val="upperRoman"/>
      <w:lvlText w:val="%9."/>
      <w:lvlJc w:val="left"/>
      <w:pPr>
        <w:ind w:left="6480" w:hanging="360"/>
      </w:pPr>
    </w:lvl>
  </w:abstractNum>
  <w:abstractNum w:abstractNumId="994316">
    <w:nsid w:val="0A994316"/>
    <w:multiLevelType w:val="multilevel"/>
    <w:lvl w:ilvl="0">
      <w:start w:val="16"/>
      <w:numFmt w:val="decimal"/>
      <w:lvlText w:val="(%1)"/>
      <w:lvlJc w:val="left"/>
      <w:pPr>
        <w:ind w:left="720" w:hanging="360"/>
      </w:pPr>
    </w:lvl>
    <w:lvl w:ilvl="1">
      <w:start w:val="16"/>
      <w:numFmt w:val="decimal"/>
      <w:lvlText w:val="(%2)"/>
      <w:lvlJc w:val="left"/>
      <w:pPr>
        <w:ind w:left="1440" w:hanging="360"/>
      </w:pPr>
    </w:lvl>
    <w:lvl w:ilvl="2">
      <w:start w:val="16"/>
      <w:numFmt w:val="decimal"/>
      <w:lvlText w:val="(%3)"/>
      <w:lvlJc w:val="left"/>
      <w:pPr>
        <w:ind w:left="2160" w:hanging="360"/>
      </w:pPr>
    </w:lvl>
    <w:lvl w:ilvl="3">
      <w:start w:val="16"/>
      <w:numFmt w:val="decimal"/>
      <w:lvlText w:val="(%4)"/>
      <w:lvlJc w:val="left"/>
      <w:pPr>
        <w:ind w:left="2880" w:hanging="360"/>
      </w:pPr>
    </w:lvl>
    <w:lvl w:ilvl="4">
      <w:start w:val="16"/>
      <w:numFmt w:val="decimal"/>
      <w:lvlText w:val="(%5)"/>
      <w:lvlJc w:val="left"/>
      <w:pPr>
        <w:ind w:left="3600" w:hanging="360"/>
      </w:pPr>
    </w:lvl>
    <w:lvl w:ilvl="5">
      <w:start w:val="16"/>
      <w:numFmt w:val="decimal"/>
      <w:lvlText w:val="(%6)"/>
      <w:lvlJc w:val="left"/>
      <w:pPr>
        <w:ind w:left="4320" w:hanging="360"/>
      </w:pPr>
    </w:lvl>
    <w:lvl w:ilvl="6">
      <w:start w:val="16"/>
      <w:numFmt w:val="decimal"/>
      <w:lvlText w:val="(%7)"/>
      <w:lvlJc w:val="left"/>
      <w:pPr>
        <w:ind w:left="5040" w:hanging="360"/>
      </w:pPr>
    </w:lvl>
    <w:lvl w:ilvl="7">
      <w:start w:val="16"/>
      <w:numFmt w:val="decimal"/>
      <w:lvlText w:val="(%8)"/>
      <w:lvlJc w:val="left"/>
      <w:pPr>
        <w:ind w:left="5760" w:hanging="360"/>
      </w:pPr>
    </w:lvl>
    <w:lvl w:ilvl="8">
      <w:start w:val="16"/>
      <w:numFmt w:val="decimal"/>
      <w:lvlText w:val="(%9)"/>
      <w:lvlJc w:val="left"/>
      <w:pPr>
        <w:ind w:left="6480" w:hanging="360"/>
      </w:pPr>
    </w:lvl>
  </w:abstractNum>
  <w:abstractNum w:abstractNumId="994317">
    <w:nsid w:val="0A994317"/>
    <w:multiLevelType w:val="multilevel"/>
    <w:lvl w:ilvl="0">
      <w:start w:val="17"/>
      <w:numFmt w:val="decimal"/>
      <w:lvlText w:val="(%1)"/>
      <w:lvlJc w:val="left"/>
      <w:pPr>
        <w:ind w:left="720" w:hanging="360"/>
      </w:pPr>
    </w:lvl>
    <w:lvl w:ilvl="1">
      <w:start w:val="17"/>
      <w:numFmt w:val="decimal"/>
      <w:lvlText w:val="(%2)"/>
      <w:lvlJc w:val="left"/>
      <w:pPr>
        <w:ind w:left="1440" w:hanging="360"/>
      </w:pPr>
    </w:lvl>
    <w:lvl w:ilvl="2">
      <w:start w:val="17"/>
      <w:numFmt w:val="decimal"/>
      <w:lvlText w:val="(%3)"/>
      <w:lvlJc w:val="left"/>
      <w:pPr>
        <w:ind w:left="2160" w:hanging="360"/>
      </w:pPr>
    </w:lvl>
    <w:lvl w:ilvl="3">
      <w:start w:val="17"/>
      <w:numFmt w:val="decimal"/>
      <w:lvlText w:val="(%4)"/>
      <w:lvlJc w:val="left"/>
      <w:pPr>
        <w:ind w:left="2880" w:hanging="360"/>
      </w:pPr>
    </w:lvl>
    <w:lvl w:ilvl="4">
      <w:start w:val="17"/>
      <w:numFmt w:val="decimal"/>
      <w:lvlText w:val="(%5)"/>
      <w:lvlJc w:val="left"/>
      <w:pPr>
        <w:ind w:left="3600" w:hanging="360"/>
      </w:pPr>
    </w:lvl>
    <w:lvl w:ilvl="5">
      <w:start w:val="17"/>
      <w:numFmt w:val="decimal"/>
      <w:lvlText w:val="(%6)"/>
      <w:lvlJc w:val="left"/>
      <w:pPr>
        <w:ind w:left="4320" w:hanging="360"/>
      </w:pPr>
    </w:lvl>
    <w:lvl w:ilvl="6">
      <w:start w:val="17"/>
      <w:numFmt w:val="decimal"/>
      <w:lvlText w:val="(%7)"/>
      <w:lvlJc w:val="left"/>
      <w:pPr>
        <w:ind w:left="5040" w:hanging="360"/>
      </w:pPr>
    </w:lvl>
    <w:lvl w:ilvl="7">
      <w:start w:val="17"/>
      <w:numFmt w:val="decimal"/>
      <w:lvlText w:val="(%8)"/>
      <w:lvlJc w:val="left"/>
      <w:pPr>
        <w:ind w:left="5760" w:hanging="360"/>
      </w:pPr>
    </w:lvl>
    <w:lvl w:ilvl="8">
      <w:start w:val="17"/>
      <w:numFmt w:val="decimal"/>
      <w:lvlText w:val="(%9)"/>
      <w:lvlJc w:val="left"/>
      <w:pPr>
        <w:ind w:left="6480" w:hanging="360"/>
      </w:pPr>
    </w:lvl>
  </w:abstractNum>
  <w:abstractNum w:abstractNumId="994321">
    <w:nsid w:val="0A994321"/>
    <w:multiLevelType w:val="multilevel"/>
    <w:lvl w:ilvl="0">
      <w:start w:val="21"/>
      <w:numFmt w:val="decimal"/>
      <w:lvlText w:val="(%1)"/>
      <w:lvlJc w:val="left"/>
      <w:pPr>
        <w:ind w:left="720" w:hanging="360"/>
      </w:pPr>
    </w:lvl>
    <w:lvl w:ilvl="1">
      <w:start w:val="21"/>
      <w:numFmt w:val="decimal"/>
      <w:lvlText w:val="(%2)"/>
      <w:lvlJc w:val="left"/>
      <w:pPr>
        <w:ind w:left="1440" w:hanging="360"/>
      </w:pPr>
    </w:lvl>
    <w:lvl w:ilvl="2">
      <w:start w:val="21"/>
      <w:numFmt w:val="decimal"/>
      <w:lvlText w:val="(%3)"/>
      <w:lvlJc w:val="left"/>
      <w:pPr>
        <w:ind w:left="2160" w:hanging="360"/>
      </w:pPr>
    </w:lvl>
    <w:lvl w:ilvl="3">
      <w:start w:val="21"/>
      <w:numFmt w:val="decimal"/>
      <w:lvlText w:val="(%4)"/>
      <w:lvlJc w:val="left"/>
      <w:pPr>
        <w:ind w:left="2880" w:hanging="360"/>
      </w:pPr>
    </w:lvl>
    <w:lvl w:ilvl="4">
      <w:start w:val="21"/>
      <w:numFmt w:val="decimal"/>
      <w:lvlText w:val="(%5)"/>
      <w:lvlJc w:val="left"/>
      <w:pPr>
        <w:ind w:left="3600" w:hanging="360"/>
      </w:pPr>
    </w:lvl>
    <w:lvl w:ilvl="5">
      <w:start w:val="21"/>
      <w:numFmt w:val="decimal"/>
      <w:lvlText w:val="(%6)"/>
      <w:lvlJc w:val="left"/>
      <w:pPr>
        <w:ind w:left="4320" w:hanging="360"/>
      </w:pPr>
    </w:lvl>
    <w:lvl w:ilvl="6">
      <w:start w:val="21"/>
      <w:numFmt w:val="decimal"/>
      <w:lvlText w:val="(%7)"/>
      <w:lvlJc w:val="left"/>
      <w:pPr>
        <w:ind w:left="5040" w:hanging="360"/>
      </w:pPr>
    </w:lvl>
    <w:lvl w:ilvl="7">
      <w:start w:val="21"/>
      <w:numFmt w:val="decimal"/>
      <w:lvlText w:val="(%8)"/>
      <w:lvlJc w:val="left"/>
      <w:pPr>
        <w:ind w:left="5760" w:hanging="360"/>
      </w:pPr>
    </w:lvl>
    <w:lvl w:ilvl="8">
      <w:start w:val="21"/>
      <w:numFmt w:val="decimal"/>
      <w:lvlText w:val="(%9)"/>
      <w:lvlJc w:val="left"/>
      <w:pPr>
        <w:ind w:left="6480" w:hanging="360"/>
      </w:pPr>
    </w:lvl>
  </w:abstractNum>
  <w:abstractNum w:abstractNumId="994323">
    <w:nsid w:val="0A994323"/>
    <w:multiLevelType w:val="multilevel"/>
    <w:lvl w:ilvl="0">
      <w:start w:val="23"/>
      <w:numFmt w:val="decimal"/>
      <w:lvlText w:val="(%1)"/>
      <w:lvlJc w:val="left"/>
      <w:pPr>
        <w:ind w:left="720" w:hanging="360"/>
      </w:pPr>
    </w:lvl>
    <w:lvl w:ilvl="1">
      <w:start w:val="23"/>
      <w:numFmt w:val="decimal"/>
      <w:lvlText w:val="(%2)"/>
      <w:lvlJc w:val="left"/>
      <w:pPr>
        <w:ind w:left="1440" w:hanging="360"/>
      </w:pPr>
    </w:lvl>
    <w:lvl w:ilvl="2">
      <w:start w:val="23"/>
      <w:numFmt w:val="decimal"/>
      <w:lvlText w:val="(%3)"/>
      <w:lvlJc w:val="left"/>
      <w:pPr>
        <w:ind w:left="2160" w:hanging="360"/>
      </w:pPr>
    </w:lvl>
    <w:lvl w:ilvl="3">
      <w:start w:val="23"/>
      <w:numFmt w:val="decimal"/>
      <w:lvlText w:val="(%4)"/>
      <w:lvlJc w:val="left"/>
      <w:pPr>
        <w:ind w:left="2880" w:hanging="360"/>
      </w:pPr>
    </w:lvl>
    <w:lvl w:ilvl="4">
      <w:start w:val="23"/>
      <w:numFmt w:val="decimal"/>
      <w:lvlText w:val="(%5)"/>
      <w:lvlJc w:val="left"/>
      <w:pPr>
        <w:ind w:left="3600" w:hanging="360"/>
      </w:pPr>
    </w:lvl>
    <w:lvl w:ilvl="5">
      <w:start w:val="23"/>
      <w:numFmt w:val="decimal"/>
      <w:lvlText w:val="(%6)"/>
      <w:lvlJc w:val="left"/>
      <w:pPr>
        <w:ind w:left="4320" w:hanging="360"/>
      </w:pPr>
    </w:lvl>
    <w:lvl w:ilvl="6">
      <w:start w:val="23"/>
      <w:numFmt w:val="decimal"/>
      <w:lvlText w:val="(%7)"/>
      <w:lvlJc w:val="left"/>
      <w:pPr>
        <w:ind w:left="5040" w:hanging="360"/>
      </w:pPr>
    </w:lvl>
    <w:lvl w:ilvl="7">
      <w:start w:val="23"/>
      <w:numFmt w:val="decimal"/>
      <w:lvlText w:val="(%8)"/>
      <w:lvlJc w:val="left"/>
      <w:pPr>
        <w:ind w:left="5760" w:hanging="360"/>
      </w:pPr>
    </w:lvl>
    <w:lvl w:ilvl="8">
      <w:start w:val="23"/>
      <w:numFmt w:val="decimal"/>
      <w:lvlText w:val="(%9)"/>
      <w:lvlJc w:val="left"/>
      <w:pPr>
        <w:ind w:left="6480" w:hanging="360"/>
      </w:pPr>
    </w:lvl>
  </w:abstractNum>
  <w:abstractNum w:abstractNumId="994327">
    <w:nsid w:val="0A994327"/>
    <w:multiLevelType w:val="multilevel"/>
    <w:lvl w:ilvl="0">
      <w:start w:val="27"/>
      <w:numFmt w:val="decimal"/>
      <w:lvlText w:val="(%1)"/>
      <w:lvlJc w:val="left"/>
      <w:pPr>
        <w:ind w:left="720" w:hanging="360"/>
      </w:pPr>
    </w:lvl>
    <w:lvl w:ilvl="1">
      <w:start w:val="27"/>
      <w:numFmt w:val="decimal"/>
      <w:lvlText w:val="(%2)"/>
      <w:lvlJc w:val="left"/>
      <w:pPr>
        <w:ind w:left="1440" w:hanging="360"/>
      </w:pPr>
    </w:lvl>
    <w:lvl w:ilvl="2">
      <w:start w:val="27"/>
      <w:numFmt w:val="decimal"/>
      <w:lvlText w:val="(%3)"/>
      <w:lvlJc w:val="left"/>
      <w:pPr>
        <w:ind w:left="2160" w:hanging="360"/>
      </w:pPr>
    </w:lvl>
    <w:lvl w:ilvl="3">
      <w:start w:val="27"/>
      <w:numFmt w:val="decimal"/>
      <w:lvlText w:val="(%4)"/>
      <w:lvlJc w:val="left"/>
      <w:pPr>
        <w:ind w:left="2880" w:hanging="360"/>
      </w:pPr>
    </w:lvl>
    <w:lvl w:ilvl="4">
      <w:start w:val="27"/>
      <w:numFmt w:val="decimal"/>
      <w:lvlText w:val="(%5)"/>
      <w:lvlJc w:val="left"/>
      <w:pPr>
        <w:ind w:left="3600" w:hanging="360"/>
      </w:pPr>
    </w:lvl>
    <w:lvl w:ilvl="5">
      <w:start w:val="27"/>
      <w:numFmt w:val="decimal"/>
      <w:lvlText w:val="(%6)"/>
      <w:lvlJc w:val="left"/>
      <w:pPr>
        <w:ind w:left="4320" w:hanging="360"/>
      </w:pPr>
    </w:lvl>
    <w:lvl w:ilvl="6">
      <w:start w:val="27"/>
      <w:numFmt w:val="decimal"/>
      <w:lvlText w:val="(%7)"/>
      <w:lvlJc w:val="left"/>
      <w:pPr>
        <w:ind w:left="5040" w:hanging="360"/>
      </w:pPr>
    </w:lvl>
    <w:lvl w:ilvl="7">
      <w:start w:val="27"/>
      <w:numFmt w:val="decimal"/>
      <w:lvlText w:val="(%8)"/>
      <w:lvlJc w:val="left"/>
      <w:pPr>
        <w:ind w:left="5760" w:hanging="360"/>
      </w:pPr>
    </w:lvl>
    <w:lvl w:ilvl="8">
      <w:start w:val="27"/>
      <w:numFmt w:val="decimal"/>
      <w:lvlText w:val="(%9)"/>
      <w:lvlJc w:val="left"/>
      <w:pPr>
        <w:ind w:left="6480" w:hanging="360"/>
      </w:pPr>
    </w:lvl>
  </w:abstractNum>
  <w:abstractNum w:abstractNumId="994329">
    <w:nsid w:val="0A994329"/>
    <w:multiLevelType w:val="multilevel"/>
    <w:lvl w:ilvl="0">
      <w:start w:val="29"/>
      <w:numFmt w:val="decimal"/>
      <w:lvlText w:val="(%1)"/>
      <w:lvlJc w:val="left"/>
      <w:pPr>
        <w:ind w:left="720" w:hanging="360"/>
      </w:pPr>
    </w:lvl>
    <w:lvl w:ilvl="1">
      <w:start w:val="29"/>
      <w:numFmt w:val="decimal"/>
      <w:lvlText w:val="(%2)"/>
      <w:lvlJc w:val="left"/>
      <w:pPr>
        <w:ind w:left="1440" w:hanging="360"/>
      </w:pPr>
    </w:lvl>
    <w:lvl w:ilvl="2">
      <w:start w:val="29"/>
      <w:numFmt w:val="decimal"/>
      <w:lvlText w:val="(%3)"/>
      <w:lvlJc w:val="left"/>
      <w:pPr>
        <w:ind w:left="2160" w:hanging="360"/>
      </w:pPr>
    </w:lvl>
    <w:lvl w:ilvl="3">
      <w:start w:val="29"/>
      <w:numFmt w:val="decimal"/>
      <w:lvlText w:val="(%4)"/>
      <w:lvlJc w:val="left"/>
      <w:pPr>
        <w:ind w:left="2880" w:hanging="360"/>
      </w:pPr>
    </w:lvl>
    <w:lvl w:ilvl="4">
      <w:start w:val="29"/>
      <w:numFmt w:val="decimal"/>
      <w:lvlText w:val="(%5)"/>
      <w:lvlJc w:val="left"/>
      <w:pPr>
        <w:ind w:left="3600" w:hanging="360"/>
      </w:pPr>
    </w:lvl>
    <w:lvl w:ilvl="5">
      <w:start w:val="29"/>
      <w:numFmt w:val="decimal"/>
      <w:lvlText w:val="(%6)"/>
      <w:lvlJc w:val="left"/>
      <w:pPr>
        <w:ind w:left="4320" w:hanging="360"/>
      </w:pPr>
    </w:lvl>
    <w:lvl w:ilvl="6">
      <w:start w:val="29"/>
      <w:numFmt w:val="decimal"/>
      <w:lvlText w:val="(%7)"/>
      <w:lvlJc w:val="left"/>
      <w:pPr>
        <w:ind w:left="5040" w:hanging="360"/>
      </w:pPr>
    </w:lvl>
    <w:lvl w:ilvl="7">
      <w:start w:val="29"/>
      <w:numFmt w:val="decimal"/>
      <w:lvlText w:val="(%8)"/>
      <w:lvlJc w:val="left"/>
      <w:pPr>
        <w:ind w:left="5760" w:hanging="360"/>
      </w:pPr>
    </w:lvl>
    <w:lvl w:ilvl="8">
      <w:start w:val="29"/>
      <w:numFmt w:val="decimal"/>
      <w:lvlText w:val="(%9)"/>
      <w:lvlJc w:val="left"/>
      <w:pPr>
        <w:ind w:left="6480" w:hanging="360"/>
      </w:pPr>
    </w:lvl>
  </w:abstractNum>
  <w:abstractNum w:abstractNumId="994333">
    <w:nsid w:val="0A994333"/>
    <w:multiLevelType w:val="multilevel"/>
    <w:lvl w:ilvl="0">
      <w:start w:val="33"/>
      <w:numFmt w:val="decimal"/>
      <w:lvlText w:val="(%1)"/>
      <w:lvlJc w:val="left"/>
      <w:pPr>
        <w:ind w:left="720" w:hanging="360"/>
      </w:pPr>
    </w:lvl>
    <w:lvl w:ilvl="1">
      <w:start w:val="33"/>
      <w:numFmt w:val="decimal"/>
      <w:lvlText w:val="(%2)"/>
      <w:lvlJc w:val="left"/>
      <w:pPr>
        <w:ind w:left="1440" w:hanging="360"/>
      </w:pPr>
    </w:lvl>
    <w:lvl w:ilvl="2">
      <w:start w:val="33"/>
      <w:numFmt w:val="decimal"/>
      <w:lvlText w:val="(%3)"/>
      <w:lvlJc w:val="left"/>
      <w:pPr>
        <w:ind w:left="2160" w:hanging="360"/>
      </w:pPr>
    </w:lvl>
    <w:lvl w:ilvl="3">
      <w:start w:val="33"/>
      <w:numFmt w:val="decimal"/>
      <w:lvlText w:val="(%4)"/>
      <w:lvlJc w:val="left"/>
      <w:pPr>
        <w:ind w:left="2880" w:hanging="360"/>
      </w:pPr>
    </w:lvl>
    <w:lvl w:ilvl="4">
      <w:start w:val="33"/>
      <w:numFmt w:val="decimal"/>
      <w:lvlText w:val="(%5)"/>
      <w:lvlJc w:val="left"/>
      <w:pPr>
        <w:ind w:left="3600" w:hanging="360"/>
      </w:pPr>
    </w:lvl>
    <w:lvl w:ilvl="5">
      <w:start w:val="33"/>
      <w:numFmt w:val="decimal"/>
      <w:lvlText w:val="(%6)"/>
      <w:lvlJc w:val="left"/>
      <w:pPr>
        <w:ind w:left="4320" w:hanging="360"/>
      </w:pPr>
    </w:lvl>
    <w:lvl w:ilvl="6">
      <w:start w:val="33"/>
      <w:numFmt w:val="decimal"/>
      <w:lvlText w:val="(%7)"/>
      <w:lvlJc w:val="left"/>
      <w:pPr>
        <w:ind w:left="5040" w:hanging="360"/>
      </w:pPr>
    </w:lvl>
    <w:lvl w:ilvl="7">
      <w:start w:val="33"/>
      <w:numFmt w:val="decimal"/>
      <w:lvlText w:val="(%8)"/>
      <w:lvlJc w:val="left"/>
      <w:pPr>
        <w:ind w:left="5760" w:hanging="360"/>
      </w:pPr>
    </w:lvl>
    <w:lvl w:ilvl="8">
      <w:start w:val="33"/>
      <w:numFmt w:val="decimal"/>
      <w:lvlText w:val="(%9)"/>
      <w:lvlJc w:val="left"/>
      <w:pPr>
        <w:ind w:left="6480" w:hanging="360"/>
      </w:pPr>
    </w:lvl>
  </w:abstractNum>
  <w:abstractNum w:abstractNumId="994334">
    <w:nsid w:val="0A994334"/>
    <w:multiLevelType w:val="multilevel"/>
    <w:lvl w:ilvl="0">
      <w:start w:val="34"/>
      <w:numFmt w:val="decimal"/>
      <w:lvlText w:val="(%1)"/>
      <w:lvlJc w:val="left"/>
      <w:pPr>
        <w:ind w:left="720" w:hanging="360"/>
      </w:pPr>
    </w:lvl>
    <w:lvl w:ilvl="1">
      <w:start w:val="34"/>
      <w:numFmt w:val="decimal"/>
      <w:lvlText w:val="(%2)"/>
      <w:lvlJc w:val="left"/>
      <w:pPr>
        <w:ind w:left="1440" w:hanging="360"/>
      </w:pPr>
    </w:lvl>
    <w:lvl w:ilvl="2">
      <w:start w:val="34"/>
      <w:numFmt w:val="decimal"/>
      <w:lvlText w:val="(%3)"/>
      <w:lvlJc w:val="left"/>
      <w:pPr>
        <w:ind w:left="2160" w:hanging="360"/>
      </w:pPr>
    </w:lvl>
    <w:lvl w:ilvl="3">
      <w:start w:val="34"/>
      <w:numFmt w:val="decimal"/>
      <w:lvlText w:val="(%4)"/>
      <w:lvlJc w:val="left"/>
      <w:pPr>
        <w:ind w:left="2880" w:hanging="360"/>
      </w:pPr>
    </w:lvl>
    <w:lvl w:ilvl="4">
      <w:start w:val="34"/>
      <w:numFmt w:val="decimal"/>
      <w:lvlText w:val="(%5)"/>
      <w:lvlJc w:val="left"/>
      <w:pPr>
        <w:ind w:left="3600" w:hanging="360"/>
      </w:pPr>
    </w:lvl>
    <w:lvl w:ilvl="5">
      <w:start w:val="34"/>
      <w:numFmt w:val="decimal"/>
      <w:lvlText w:val="(%6)"/>
      <w:lvlJc w:val="left"/>
      <w:pPr>
        <w:ind w:left="4320" w:hanging="360"/>
      </w:pPr>
    </w:lvl>
    <w:lvl w:ilvl="6">
      <w:start w:val="34"/>
      <w:numFmt w:val="decimal"/>
      <w:lvlText w:val="(%7)"/>
      <w:lvlJc w:val="left"/>
      <w:pPr>
        <w:ind w:left="5040" w:hanging="360"/>
      </w:pPr>
    </w:lvl>
    <w:lvl w:ilvl="7">
      <w:start w:val="34"/>
      <w:numFmt w:val="decimal"/>
      <w:lvlText w:val="(%8)"/>
      <w:lvlJc w:val="left"/>
      <w:pPr>
        <w:ind w:left="5760" w:hanging="360"/>
      </w:pPr>
    </w:lvl>
    <w:lvl w:ilvl="8">
      <w:start w:val="34"/>
      <w:numFmt w:val="decimal"/>
      <w:lvlText w:val="(%9)"/>
      <w:lvlJc w:val="left"/>
      <w:pPr>
        <w:ind w:left="6480" w:hanging="360"/>
      </w:pPr>
    </w:lvl>
  </w:abstractNum>
  <w:abstractNum w:abstractNumId="994336">
    <w:nsid w:val="0A994336"/>
    <w:multiLevelType w:val="multilevel"/>
    <w:lvl w:ilvl="0">
      <w:start w:val="36"/>
      <w:numFmt w:val="decimal"/>
      <w:lvlText w:val="(%1)"/>
      <w:lvlJc w:val="left"/>
      <w:pPr>
        <w:ind w:left="720" w:hanging="360"/>
      </w:pPr>
    </w:lvl>
    <w:lvl w:ilvl="1">
      <w:start w:val="36"/>
      <w:numFmt w:val="decimal"/>
      <w:lvlText w:val="(%2)"/>
      <w:lvlJc w:val="left"/>
      <w:pPr>
        <w:ind w:left="1440" w:hanging="360"/>
      </w:pPr>
    </w:lvl>
    <w:lvl w:ilvl="2">
      <w:start w:val="36"/>
      <w:numFmt w:val="decimal"/>
      <w:lvlText w:val="(%3)"/>
      <w:lvlJc w:val="left"/>
      <w:pPr>
        <w:ind w:left="2160" w:hanging="360"/>
      </w:pPr>
    </w:lvl>
    <w:lvl w:ilvl="3">
      <w:start w:val="36"/>
      <w:numFmt w:val="decimal"/>
      <w:lvlText w:val="(%4)"/>
      <w:lvlJc w:val="left"/>
      <w:pPr>
        <w:ind w:left="2880" w:hanging="360"/>
      </w:pPr>
    </w:lvl>
    <w:lvl w:ilvl="4">
      <w:start w:val="36"/>
      <w:numFmt w:val="decimal"/>
      <w:lvlText w:val="(%5)"/>
      <w:lvlJc w:val="left"/>
      <w:pPr>
        <w:ind w:left="3600" w:hanging="360"/>
      </w:pPr>
    </w:lvl>
    <w:lvl w:ilvl="5">
      <w:start w:val="36"/>
      <w:numFmt w:val="decimal"/>
      <w:lvlText w:val="(%6)"/>
      <w:lvlJc w:val="left"/>
      <w:pPr>
        <w:ind w:left="4320" w:hanging="360"/>
      </w:pPr>
    </w:lvl>
    <w:lvl w:ilvl="6">
      <w:start w:val="36"/>
      <w:numFmt w:val="decimal"/>
      <w:lvlText w:val="(%7)"/>
      <w:lvlJc w:val="left"/>
      <w:pPr>
        <w:ind w:left="5040" w:hanging="360"/>
      </w:pPr>
    </w:lvl>
    <w:lvl w:ilvl="7">
      <w:start w:val="36"/>
      <w:numFmt w:val="decimal"/>
      <w:lvlText w:val="(%8)"/>
      <w:lvlJc w:val="left"/>
      <w:pPr>
        <w:ind w:left="5760" w:hanging="360"/>
      </w:pPr>
    </w:lvl>
    <w:lvl w:ilvl="8">
      <w:start w:val="36"/>
      <w:numFmt w:val="decimal"/>
      <w:lvlText w:val="(%9)"/>
      <w:lvlJc w:val="left"/>
      <w:pPr>
        <w:ind w:left="6480" w:hanging="360"/>
      </w:pPr>
    </w:lvl>
  </w:abstractNum>
  <w:abstractNum w:abstractNumId="994338">
    <w:nsid w:val="0A994338"/>
    <w:multiLevelType w:val="multilevel"/>
    <w:lvl w:ilvl="0">
      <w:start w:val="38"/>
      <w:numFmt w:val="decimal"/>
      <w:lvlText w:val="(%1)"/>
      <w:lvlJc w:val="left"/>
      <w:pPr>
        <w:ind w:left="720" w:hanging="360"/>
      </w:pPr>
    </w:lvl>
    <w:lvl w:ilvl="1">
      <w:start w:val="38"/>
      <w:numFmt w:val="decimal"/>
      <w:lvlText w:val="(%2)"/>
      <w:lvlJc w:val="left"/>
      <w:pPr>
        <w:ind w:left="1440" w:hanging="360"/>
      </w:pPr>
    </w:lvl>
    <w:lvl w:ilvl="2">
      <w:start w:val="38"/>
      <w:numFmt w:val="decimal"/>
      <w:lvlText w:val="(%3)"/>
      <w:lvlJc w:val="left"/>
      <w:pPr>
        <w:ind w:left="2160" w:hanging="360"/>
      </w:pPr>
    </w:lvl>
    <w:lvl w:ilvl="3">
      <w:start w:val="38"/>
      <w:numFmt w:val="decimal"/>
      <w:lvlText w:val="(%4)"/>
      <w:lvlJc w:val="left"/>
      <w:pPr>
        <w:ind w:left="2880" w:hanging="360"/>
      </w:pPr>
    </w:lvl>
    <w:lvl w:ilvl="4">
      <w:start w:val="38"/>
      <w:numFmt w:val="decimal"/>
      <w:lvlText w:val="(%5)"/>
      <w:lvlJc w:val="left"/>
      <w:pPr>
        <w:ind w:left="3600" w:hanging="360"/>
      </w:pPr>
    </w:lvl>
    <w:lvl w:ilvl="5">
      <w:start w:val="38"/>
      <w:numFmt w:val="decimal"/>
      <w:lvlText w:val="(%6)"/>
      <w:lvlJc w:val="left"/>
      <w:pPr>
        <w:ind w:left="4320" w:hanging="360"/>
      </w:pPr>
    </w:lvl>
    <w:lvl w:ilvl="6">
      <w:start w:val="38"/>
      <w:numFmt w:val="decimal"/>
      <w:lvlText w:val="(%7)"/>
      <w:lvlJc w:val="left"/>
      <w:pPr>
        <w:ind w:left="5040" w:hanging="360"/>
      </w:pPr>
    </w:lvl>
    <w:lvl w:ilvl="7">
      <w:start w:val="38"/>
      <w:numFmt w:val="decimal"/>
      <w:lvlText w:val="(%8)"/>
      <w:lvlJc w:val="left"/>
      <w:pPr>
        <w:ind w:left="5760" w:hanging="360"/>
      </w:pPr>
    </w:lvl>
    <w:lvl w:ilvl="8">
      <w:start w:val="38"/>
      <w:numFmt w:val="decimal"/>
      <w:lvlText w:val="(%9)"/>
      <w:lvlJc w:val="left"/>
      <w:pPr>
        <w:ind w:left="6480" w:hanging="360"/>
      </w:pPr>
    </w:lvl>
  </w:abstractNum>
  <w:abstractNum w:abstractNumId="994341">
    <w:nsid w:val="0A994341"/>
    <w:multiLevelType w:val="multilevel"/>
    <w:lvl w:ilvl="0">
      <w:start w:val="41"/>
      <w:numFmt w:val="decimal"/>
      <w:lvlText w:val="(%1)"/>
      <w:lvlJc w:val="left"/>
      <w:pPr>
        <w:ind w:left="720" w:hanging="360"/>
      </w:pPr>
    </w:lvl>
    <w:lvl w:ilvl="1">
      <w:start w:val="41"/>
      <w:numFmt w:val="decimal"/>
      <w:lvlText w:val="(%2)"/>
      <w:lvlJc w:val="left"/>
      <w:pPr>
        <w:ind w:left="1440" w:hanging="360"/>
      </w:pPr>
    </w:lvl>
    <w:lvl w:ilvl="2">
      <w:start w:val="41"/>
      <w:numFmt w:val="decimal"/>
      <w:lvlText w:val="(%3)"/>
      <w:lvlJc w:val="left"/>
      <w:pPr>
        <w:ind w:left="2160" w:hanging="360"/>
      </w:pPr>
    </w:lvl>
    <w:lvl w:ilvl="3">
      <w:start w:val="41"/>
      <w:numFmt w:val="decimal"/>
      <w:lvlText w:val="(%4)"/>
      <w:lvlJc w:val="left"/>
      <w:pPr>
        <w:ind w:left="2880" w:hanging="360"/>
      </w:pPr>
    </w:lvl>
    <w:lvl w:ilvl="4">
      <w:start w:val="41"/>
      <w:numFmt w:val="decimal"/>
      <w:lvlText w:val="(%5)"/>
      <w:lvlJc w:val="left"/>
      <w:pPr>
        <w:ind w:left="3600" w:hanging="360"/>
      </w:pPr>
    </w:lvl>
    <w:lvl w:ilvl="5">
      <w:start w:val="41"/>
      <w:numFmt w:val="decimal"/>
      <w:lvlText w:val="(%6)"/>
      <w:lvlJc w:val="left"/>
      <w:pPr>
        <w:ind w:left="4320" w:hanging="360"/>
      </w:pPr>
    </w:lvl>
    <w:lvl w:ilvl="6">
      <w:start w:val="41"/>
      <w:numFmt w:val="decimal"/>
      <w:lvlText w:val="(%7)"/>
      <w:lvlJc w:val="left"/>
      <w:pPr>
        <w:ind w:left="5040" w:hanging="360"/>
      </w:pPr>
    </w:lvl>
    <w:lvl w:ilvl="7">
      <w:start w:val="41"/>
      <w:numFmt w:val="decimal"/>
      <w:lvlText w:val="(%8)"/>
      <w:lvlJc w:val="left"/>
      <w:pPr>
        <w:ind w:left="5760" w:hanging="360"/>
      </w:pPr>
    </w:lvl>
    <w:lvl w:ilvl="8">
      <w:start w:val="41"/>
      <w:numFmt w:val="decimal"/>
      <w:lvlText w:val="(%9)"/>
      <w:lvlJc w:val="left"/>
      <w:pPr>
        <w:ind w:left="6480" w:hanging="360"/>
      </w:pPr>
    </w:lvl>
  </w:abstractNum>
  <w:abstractNum w:abstractNumId="994346">
    <w:nsid w:val="0A994346"/>
    <w:multiLevelType w:val="multilevel"/>
    <w:lvl w:ilvl="0">
      <w:start w:val="46"/>
      <w:numFmt w:val="decimal"/>
      <w:lvlText w:val="(%1)"/>
      <w:lvlJc w:val="left"/>
      <w:pPr>
        <w:ind w:left="720" w:hanging="360"/>
      </w:pPr>
    </w:lvl>
    <w:lvl w:ilvl="1">
      <w:start w:val="46"/>
      <w:numFmt w:val="decimal"/>
      <w:lvlText w:val="(%2)"/>
      <w:lvlJc w:val="left"/>
      <w:pPr>
        <w:ind w:left="1440" w:hanging="360"/>
      </w:pPr>
    </w:lvl>
    <w:lvl w:ilvl="2">
      <w:start w:val="46"/>
      <w:numFmt w:val="decimal"/>
      <w:lvlText w:val="(%3)"/>
      <w:lvlJc w:val="left"/>
      <w:pPr>
        <w:ind w:left="2160" w:hanging="360"/>
      </w:pPr>
    </w:lvl>
    <w:lvl w:ilvl="3">
      <w:start w:val="46"/>
      <w:numFmt w:val="decimal"/>
      <w:lvlText w:val="(%4)"/>
      <w:lvlJc w:val="left"/>
      <w:pPr>
        <w:ind w:left="2880" w:hanging="360"/>
      </w:pPr>
    </w:lvl>
    <w:lvl w:ilvl="4">
      <w:start w:val="46"/>
      <w:numFmt w:val="decimal"/>
      <w:lvlText w:val="(%5)"/>
      <w:lvlJc w:val="left"/>
      <w:pPr>
        <w:ind w:left="3600" w:hanging="360"/>
      </w:pPr>
    </w:lvl>
    <w:lvl w:ilvl="5">
      <w:start w:val="46"/>
      <w:numFmt w:val="decimal"/>
      <w:lvlText w:val="(%6)"/>
      <w:lvlJc w:val="left"/>
      <w:pPr>
        <w:ind w:left="4320" w:hanging="360"/>
      </w:pPr>
    </w:lvl>
    <w:lvl w:ilvl="6">
      <w:start w:val="46"/>
      <w:numFmt w:val="decimal"/>
      <w:lvlText w:val="(%7)"/>
      <w:lvlJc w:val="left"/>
      <w:pPr>
        <w:ind w:left="5040" w:hanging="360"/>
      </w:pPr>
    </w:lvl>
    <w:lvl w:ilvl="7">
      <w:start w:val="46"/>
      <w:numFmt w:val="decimal"/>
      <w:lvlText w:val="(%8)"/>
      <w:lvlJc w:val="left"/>
      <w:pPr>
        <w:ind w:left="5760" w:hanging="360"/>
      </w:pPr>
    </w:lvl>
    <w:lvl w:ilvl="8">
      <w:start w:val="46"/>
      <w:numFmt w:val="decimal"/>
      <w:lvlText w:val="(%9)"/>
      <w:lvlJc w:val="left"/>
      <w:pPr>
        <w:ind w:left="6480" w:hanging="360"/>
      </w:pPr>
    </w:lvl>
  </w:abstractNum>
  <w:abstractNum w:abstractNumId="994348">
    <w:nsid w:val="0A994348"/>
    <w:multiLevelType w:val="multilevel"/>
    <w:lvl w:ilvl="0">
      <w:start w:val="48"/>
      <w:numFmt w:val="decimal"/>
      <w:lvlText w:val="(%1)"/>
      <w:lvlJc w:val="left"/>
      <w:pPr>
        <w:ind w:left="720" w:hanging="360"/>
      </w:pPr>
    </w:lvl>
    <w:lvl w:ilvl="1">
      <w:start w:val="48"/>
      <w:numFmt w:val="decimal"/>
      <w:lvlText w:val="(%2)"/>
      <w:lvlJc w:val="left"/>
      <w:pPr>
        <w:ind w:left="1440" w:hanging="360"/>
      </w:pPr>
    </w:lvl>
    <w:lvl w:ilvl="2">
      <w:start w:val="48"/>
      <w:numFmt w:val="decimal"/>
      <w:lvlText w:val="(%3)"/>
      <w:lvlJc w:val="left"/>
      <w:pPr>
        <w:ind w:left="2160" w:hanging="360"/>
      </w:pPr>
    </w:lvl>
    <w:lvl w:ilvl="3">
      <w:start w:val="48"/>
      <w:numFmt w:val="decimal"/>
      <w:lvlText w:val="(%4)"/>
      <w:lvlJc w:val="left"/>
      <w:pPr>
        <w:ind w:left="2880" w:hanging="360"/>
      </w:pPr>
    </w:lvl>
    <w:lvl w:ilvl="4">
      <w:start w:val="48"/>
      <w:numFmt w:val="decimal"/>
      <w:lvlText w:val="(%5)"/>
      <w:lvlJc w:val="left"/>
      <w:pPr>
        <w:ind w:left="3600" w:hanging="360"/>
      </w:pPr>
    </w:lvl>
    <w:lvl w:ilvl="5">
      <w:start w:val="48"/>
      <w:numFmt w:val="decimal"/>
      <w:lvlText w:val="(%6)"/>
      <w:lvlJc w:val="left"/>
      <w:pPr>
        <w:ind w:left="4320" w:hanging="360"/>
      </w:pPr>
    </w:lvl>
    <w:lvl w:ilvl="6">
      <w:start w:val="48"/>
      <w:numFmt w:val="decimal"/>
      <w:lvlText w:val="(%7)"/>
      <w:lvlJc w:val="left"/>
      <w:pPr>
        <w:ind w:left="5040" w:hanging="360"/>
      </w:pPr>
    </w:lvl>
    <w:lvl w:ilvl="7">
      <w:start w:val="48"/>
      <w:numFmt w:val="decimal"/>
      <w:lvlText w:val="(%8)"/>
      <w:lvlJc w:val="left"/>
      <w:pPr>
        <w:ind w:left="5760" w:hanging="360"/>
      </w:pPr>
    </w:lvl>
    <w:lvl w:ilvl="8">
      <w:start w:val="48"/>
      <w:numFmt w:val="decimal"/>
      <w:lvlText w:val="(%9)"/>
      <w:lvlJc w:val="left"/>
      <w:pPr>
        <w:ind w:left="6480" w:hanging="360"/>
      </w:pPr>
    </w:lvl>
  </w:abstractNum>
  <w:abstractNum w:abstractNumId="994350">
    <w:nsid w:val="0A994350"/>
    <w:multiLevelType w:val="multilevel"/>
    <w:lvl w:ilvl="0">
      <w:start w:val="50"/>
      <w:numFmt w:val="decimal"/>
      <w:lvlText w:val="(%1)"/>
      <w:lvlJc w:val="left"/>
      <w:pPr>
        <w:ind w:left="720" w:hanging="360"/>
      </w:pPr>
    </w:lvl>
    <w:lvl w:ilvl="1">
      <w:start w:val="50"/>
      <w:numFmt w:val="decimal"/>
      <w:lvlText w:val="(%2)"/>
      <w:lvlJc w:val="left"/>
      <w:pPr>
        <w:ind w:left="1440" w:hanging="360"/>
      </w:pPr>
    </w:lvl>
    <w:lvl w:ilvl="2">
      <w:start w:val="50"/>
      <w:numFmt w:val="decimal"/>
      <w:lvlText w:val="(%3)"/>
      <w:lvlJc w:val="left"/>
      <w:pPr>
        <w:ind w:left="2160" w:hanging="360"/>
      </w:pPr>
    </w:lvl>
    <w:lvl w:ilvl="3">
      <w:start w:val="50"/>
      <w:numFmt w:val="decimal"/>
      <w:lvlText w:val="(%4)"/>
      <w:lvlJc w:val="left"/>
      <w:pPr>
        <w:ind w:left="2880" w:hanging="360"/>
      </w:pPr>
    </w:lvl>
    <w:lvl w:ilvl="4">
      <w:start w:val="50"/>
      <w:numFmt w:val="decimal"/>
      <w:lvlText w:val="(%5)"/>
      <w:lvlJc w:val="left"/>
      <w:pPr>
        <w:ind w:left="3600" w:hanging="360"/>
      </w:pPr>
    </w:lvl>
    <w:lvl w:ilvl="5">
      <w:start w:val="50"/>
      <w:numFmt w:val="decimal"/>
      <w:lvlText w:val="(%6)"/>
      <w:lvlJc w:val="left"/>
      <w:pPr>
        <w:ind w:left="4320" w:hanging="360"/>
      </w:pPr>
    </w:lvl>
    <w:lvl w:ilvl="6">
      <w:start w:val="50"/>
      <w:numFmt w:val="decimal"/>
      <w:lvlText w:val="(%7)"/>
      <w:lvlJc w:val="left"/>
      <w:pPr>
        <w:ind w:left="5040" w:hanging="360"/>
      </w:pPr>
    </w:lvl>
    <w:lvl w:ilvl="7">
      <w:start w:val="50"/>
      <w:numFmt w:val="decimal"/>
      <w:lvlText w:val="(%8)"/>
      <w:lvlJc w:val="left"/>
      <w:pPr>
        <w:ind w:left="5760" w:hanging="360"/>
      </w:pPr>
    </w:lvl>
    <w:lvl w:ilvl="8">
      <w:start w:val="50"/>
      <w:numFmt w:val="decimal"/>
      <w:lvlText w:val="(%9)"/>
      <w:lvlJc w:val="left"/>
      <w:pPr>
        <w:ind w:left="6480" w:hanging="360"/>
      </w:pPr>
    </w:lvl>
  </w:abstractNum>
  <w:abstractNum w:abstractNumId="994354">
    <w:nsid w:val="0A994354"/>
    <w:multiLevelType w:val="multilevel"/>
    <w:lvl w:ilvl="0">
      <w:start w:val="54"/>
      <w:numFmt w:val="decimal"/>
      <w:lvlText w:val="(%1)"/>
      <w:lvlJc w:val="left"/>
      <w:pPr>
        <w:ind w:left="720" w:hanging="360"/>
      </w:pPr>
    </w:lvl>
    <w:lvl w:ilvl="1">
      <w:start w:val="54"/>
      <w:numFmt w:val="decimal"/>
      <w:lvlText w:val="(%2)"/>
      <w:lvlJc w:val="left"/>
      <w:pPr>
        <w:ind w:left="1440" w:hanging="360"/>
      </w:pPr>
    </w:lvl>
    <w:lvl w:ilvl="2">
      <w:start w:val="54"/>
      <w:numFmt w:val="decimal"/>
      <w:lvlText w:val="(%3)"/>
      <w:lvlJc w:val="left"/>
      <w:pPr>
        <w:ind w:left="2160" w:hanging="360"/>
      </w:pPr>
    </w:lvl>
    <w:lvl w:ilvl="3">
      <w:start w:val="54"/>
      <w:numFmt w:val="decimal"/>
      <w:lvlText w:val="(%4)"/>
      <w:lvlJc w:val="left"/>
      <w:pPr>
        <w:ind w:left="2880" w:hanging="360"/>
      </w:pPr>
    </w:lvl>
    <w:lvl w:ilvl="4">
      <w:start w:val="54"/>
      <w:numFmt w:val="decimal"/>
      <w:lvlText w:val="(%5)"/>
      <w:lvlJc w:val="left"/>
      <w:pPr>
        <w:ind w:left="3600" w:hanging="360"/>
      </w:pPr>
    </w:lvl>
    <w:lvl w:ilvl="5">
      <w:start w:val="54"/>
      <w:numFmt w:val="decimal"/>
      <w:lvlText w:val="(%6)"/>
      <w:lvlJc w:val="left"/>
      <w:pPr>
        <w:ind w:left="4320" w:hanging="360"/>
      </w:pPr>
    </w:lvl>
    <w:lvl w:ilvl="6">
      <w:start w:val="54"/>
      <w:numFmt w:val="decimal"/>
      <w:lvlText w:val="(%7)"/>
      <w:lvlJc w:val="left"/>
      <w:pPr>
        <w:ind w:left="5040" w:hanging="360"/>
      </w:pPr>
    </w:lvl>
    <w:lvl w:ilvl="7">
      <w:start w:val="54"/>
      <w:numFmt w:val="decimal"/>
      <w:lvlText w:val="(%8)"/>
      <w:lvlJc w:val="left"/>
      <w:pPr>
        <w:ind w:left="5760" w:hanging="360"/>
      </w:pPr>
    </w:lvl>
    <w:lvl w:ilvl="8">
      <w:start w:val="54"/>
      <w:numFmt w:val="decimal"/>
      <w:lvlText w:val="(%9)"/>
      <w:lvlJc w:val="left"/>
      <w:pPr>
        <w:ind w:left="6480" w:hanging="360"/>
      </w:pPr>
    </w:lvl>
  </w:abstractNum>
  <w:abstractNum w:abstractNumId="994359">
    <w:nsid w:val="0A994359"/>
    <w:multiLevelType w:val="multilevel"/>
    <w:lvl w:ilvl="0">
      <w:start w:val="59"/>
      <w:numFmt w:val="decimal"/>
      <w:lvlText w:val="(%1)"/>
      <w:lvlJc w:val="left"/>
      <w:pPr>
        <w:ind w:left="720" w:hanging="360"/>
      </w:pPr>
    </w:lvl>
    <w:lvl w:ilvl="1">
      <w:start w:val="59"/>
      <w:numFmt w:val="decimal"/>
      <w:lvlText w:val="(%2)"/>
      <w:lvlJc w:val="left"/>
      <w:pPr>
        <w:ind w:left="1440" w:hanging="360"/>
      </w:pPr>
    </w:lvl>
    <w:lvl w:ilvl="2">
      <w:start w:val="59"/>
      <w:numFmt w:val="decimal"/>
      <w:lvlText w:val="(%3)"/>
      <w:lvlJc w:val="left"/>
      <w:pPr>
        <w:ind w:left="2160" w:hanging="360"/>
      </w:pPr>
    </w:lvl>
    <w:lvl w:ilvl="3">
      <w:start w:val="59"/>
      <w:numFmt w:val="decimal"/>
      <w:lvlText w:val="(%4)"/>
      <w:lvlJc w:val="left"/>
      <w:pPr>
        <w:ind w:left="2880" w:hanging="360"/>
      </w:pPr>
    </w:lvl>
    <w:lvl w:ilvl="4">
      <w:start w:val="59"/>
      <w:numFmt w:val="decimal"/>
      <w:lvlText w:val="(%5)"/>
      <w:lvlJc w:val="left"/>
      <w:pPr>
        <w:ind w:left="3600" w:hanging="360"/>
      </w:pPr>
    </w:lvl>
    <w:lvl w:ilvl="5">
      <w:start w:val="59"/>
      <w:numFmt w:val="decimal"/>
      <w:lvlText w:val="(%6)"/>
      <w:lvlJc w:val="left"/>
      <w:pPr>
        <w:ind w:left="4320" w:hanging="360"/>
      </w:pPr>
    </w:lvl>
    <w:lvl w:ilvl="6">
      <w:start w:val="59"/>
      <w:numFmt w:val="decimal"/>
      <w:lvlText w:val="(%7)"/>
      <w:lvlJc w:val="left"/>
      <w:pPr>
        <w:ind w:left="5040" w:hanging="360"/>
      </w:pPr>
    </w:lvl>
    <w:lvl w:ilvl="7">
      <w:start w:val="59"/>
      <w:numFmt w:val="decimal"/>
      <w:lvlText w:val="(%8)"/>
      <w:lvlJc w:val="left"/>
      <w:pPr>
        <w:ind w:left="5760" w:hanging="360"/>
      </w:pPr>
    </w:lvl>
    <w:lvl w:ilvl="8">
      <w:start w:val="59"/>
      <w:numFmt w:val="decimal"/>
      <w:lvlText w:val="(%9)"/>
      <w:lvlJc w:val="left"/>
      <w:pPr>
        <w:ind w:left="6480" w:hanging="360"/>
      </w:pPr>
    </w:lvl>
  </w:abstractNum>
  <w:abstractNum w:abstractNumId="994360">
    <w:nsid w:val="0A994360"/>
    <w:multiLevelType w:val="multilevel"/>
    <w:lvl w:ilvl="0">
      <w:start w:val="60"/>
      <w:numFmt w:val="decimal"/>
      <w:lvlText w:val="(%1)"/>
      <w:lvlJc w:val="left"/>
      <w:pPr>
        <w:ind w:left="720" w:hanging="360"/>
      </w:pPr>
    </w:lvl>
    <w:lvl w:ilvl="1">
      <w:start w:val="60"/>
      <w:numFmt w:val="decimal"/>
      <w:lvlText w:val="(%2)"/>
      <w:lvlJc w:val="left"/>
      <w:pPr>
        <w:ind w:left="1440" w:hanging="360"/>
      </w:pPr>
    </w:lvl>
    <w:lvl w:ilvl="2">
      <w:start w:val="60"/>
      <w:numFmt w:val="decimal"/>
      <w:lvlText w:val="(%3)"/>
      <w:lvlJc w:val="left"/>
      <w:pPr>
        <w:ind w:left="2160" w:hanging="360"/>
      </w:pPr>
    </w:lvl>
    <w:lvl w:ilvl="3">
      <w:start w:val="60"/>
      <w:numFmt w:val="decimal"/>
      <w:lvlText w:val="(%4)"/>
      <w:lvlJc w:val="left"/>
      <w:pPr>
        <w:ind w:left="2880" w:hanging="360"/>
      </w:pPr>
    </w:lvl>
    <w:lvl w:ilvl="4">
      <w:start w:val="60"/>
      <w:numFmt w:val="decimal"/>
      <w:lvlText w:val="(%5)"/>
      <w:lvlJc w:val="left"/>
      <w:pPr>
        <w:ind w:left="3600" w:hanging="360"/>
      </w:pPr>
    </w:lvl>
    <w:lvl w:ilvl="5">
      <w:start w:val="60"/>
      <w:numFmt w:val="decimal"/>
      <w:lvlText w:val="(%6)"/>
      <w:lvlJc w:val="left"/>
      <w:pPr>
        <w:ind w:left="4320" w:hanging="360"/>
      </w:pPr>
    </w:lvl>
    <w:lvl w:ilvl="6">
      <w:start w:val="60"/>
      <w:numFmt w:val="decimal"/>
      <w:lvlText w:val="(%7)"/>
      <w:lvlJc w:val="left"/>
      <w:pPr>
        <w:ind w:left="5040" w:hanging="360"/>
      </w:pPr>
    </w:lvl>
    <w:lvl w:ilvl="7">
      <w:start w:val="60"/>
      <w:numFmt w:val="decimal"/>
      <w:lvlText w:val="(%8)"/>
      <w:lvlJc w:val="left"/>
      <w:pPr>
        <w:ind w:left="5760" w:hanging="360"/>
      </w:pPr>
    </w:lvl>
    <w:lvl w:ilvl="8">
      <w:start w:val="60"/>
      <w:numFmt w:val="decimal"/>
      <w:lvlText w:val="(%9)"/>
      <w:lvlJc w:val="left"/>
      <w:pPr>
        <w:ind w:left="6480" w:hanging="360"/>
      </w:pPr>
    </w:lvl>
  </w:abstractNum>
  <w:abstractNum w:abstractNumId="994364">
    <w:nsid w:val="0A994364"/>
    <w:multiLevelType w:val="multilevel"/>
    <w:lvl w:ilvl="0">
      <w:start w:val="64"/>
      <w:numFmt w:val="decimal"/>
      <w:lvlText w:val="(%1)"/>
      <w:lvlJc w:val="left"/>
      <w:pPr>
        <w:ind w:left="720" w:hanging="360"/>
      </w:pPr>
    </w:lvl>
    <w:lvl w:ilvl="1">
      <w:start w:val="64"/>
      <w:numFmt w:val="decimal"/>
      <w:lvlText w:val="(%2)"/>
      <w:lvlJc w:val="left"/>
      <w:pPr>
        <w:ind w:left="1440" w:hanging="360"/>
      </w:pPr>
    </w:lvl>
    <w:lvl w:ilvl="2">
      <w:start w:val="64"/>
      <w:numFmt w:val="decimal"/>
      <w:lvlText w:val="(%3)"/>
      <w:lvlJc w:val="left"/>
      <w:pPr>
        <w:ind w:left="2160" w:hanging="360"/>
      </w:pPr>
    </w:lvl>
    <w:lvl w:ilvl="3">
      <w:start w:val="64"/>
      <w:numFmt w:val="decimal"/>
      <w:lvlText w:val="(%4)"/>
      <w:lvlJc w:val="left"/>
      <w:pPr>
        <w:ind w:left="2880" w:hanging="360"/>
      </w:pPr>
    </w:lvl>
    <w:lvl w:ilvl="4">
      <w:start w:val="64"/>
      <w:numFmt w:val="decimal"/>
      <w:lvlText w:val="(%5)"/>
      <w:lvlJc w:val="left"/>
      <w:pPr>
        <w:ind w:left="3600" w:hanging="360"/>
      </w:pPr>
    </w:lvl>
    <w:lvl w:ilvl="5">
      <w:start w:val="64"/>
      <w:numFmt w:val="decimal"/>
      <w:lvlText w:val="(%6)"/>
      <w:lvlJc w:val="left"/>
      <w:pPr>
        <w:ind w:left="4320" w:hanging="360"/>
      </w:pPr>
    </w:lvl>
    <w:lvl w:ilvl="6">
      <w:start w:val="64"/>
      <w:numFmt w:val="decimal"/>
      <w:lvlText w:val="(%7)"/>
      <w:lvlJc w:val="left"/>
      <w:pPr>
        <w:ind w:left="5040" w:hanging="360"/>
      </w:pPr>
    </w:lvl>
    <w:lvl w:ilvl="7">
      <w:start w:val="64"/>
      <w:numFmt w:val="decimal"/>
      <w:lvlText w:val="(%8)"/>
      <w:lvlJc w:val="left"/>
      <w:pPr>
        <w:ind w:left="5760" w:hanging="360"/>
      </w:pPr>
    </w:lvl>
    <w:lvl w:ilvl="8">
      <w:start w:val="64"/>
      <w:numFmt w:val="decimal"/>
      <w:lvlText w:val="(%9)"/>
      <w:lvlJc w:val="left"/>
      <w:pPr>
        <w:ind w:left="6480" w:hanging="360"/>
      </w:pPr>
    </w:lvl>
  </w:abstractNum>
  <w:abstractNum w:abstractNumId="994369">
    <w:nsid w:val="0A994369"/>
    <w:multiLevelType w:val="multilevel"/>
    <w:lvl w:ilvl="0">
      <w:start w:val="69"/>
      <w:numFmt w:val="decimal"/>
      <w:lvlText w:val="(%1)"/>
      <w:lvlJc w:val="left"/>
      <w:pPr>
        <w:ind w:left="720" w:hanging="360"/>
      </w:pPr>
    </w:lvl>
    <w:lvl w:ilvl="1">
      <w:start w:val="69"/>
      <w:numFmt w:val="decimal"/>
      <w:lvlText w:val="(%2)"/>
      <w:lvlJc w:val="left"/>
      <w:pPr>
        <w:ind w:left="1440" w:hanging="360"/>
      </w:pPr>
    </w:lvl>
    <w:lvl w:ilvl="2">
      <w:start w:val="69"/>
      <w:numFmt w:val="decimal"/>
      <w:lvlText w:val="(%3)"/>
      <w:lvlJc w:val="left"/>
      <w:pPr>
        <w:ind w:left="2160" w:hanging="360"/>
      </w:pPr>
    </w:lvl>
    <w:lvl w:ilvl="3">
      <w:start w:val="69"/>
      <w:numFmt w:val="decimal"/>
      <w:lvlText w:val="(%4)"/>
      <w:lvlJc w:val="left"/>
      <w:pPr>
        <w:ind w:left="2880" w:hanging="360"/>
      </w:pPr>
    </w:lvl>
    <w:lvl w:ilvl="4">
      <w:start w:val="69"/>
      <w:numFmt w:val="decimal"/>
      <w:lvlText w:val="(%5)"/>
      <w:lvlJc w:val="left"/>
      <w:pPr>
        <w:ind w:left="3600" w:hanging="360"/>
      </w:pPr>
    </w:lvl>
    <w:lvl w:ilvl="5">
      <w:start w:val="69"/>
      <w:numFmt w:val="decimal"/>
      <w:lvlText w:val="(%6)"/>
      <w:lvlJc w:val="left"/>
      <w:pPr>
        <w:ind w:left="4320" w:hanging="360"/>
      </w:pPr>
    </w:lvl>
    <w:lvl w:ilvl="6">
      <w:start w:val="69"/>
      <w:numFmt w:val="decimal"/>
      <w:lvlText w:val="(%7)"/>
      <w:lvlJc w:val="left"/>
      <w:pPr>
        <w:ind w:left="5040" w:hanging="360"/>
      </w:pPr>
    </w:lvl>
    <w:lvl w:ilvl="7">
      <w:start w:val="69"/>
      <w:numFmt w:val="decimal"/>
      <w:lvlText w:val="(%8)"/>
      <w:lvlJc w:val="left"/>
      <w:pPr>
        <w:ind w:left="5760" w:hanging="360"/>
      </w:pPr>
    </w:lvl>
    <w:lvl w:ilvl="8">
      <w:start w:val="69"/>
      <w:numFmt w:val="decimal"/>
      <w:lvlText w:val="(%9)"/>
      <w:lvlJc w:val="left"/>
      <w:pPr>
        <w:ind w:left="6480" w:hanging="360"/>
      </w:pPr>
    </w:lvl>
  </w:abstractNum>
  <w:abstractNum w:abstractNumId="994372">
    <w:nsid w:val="0A994372"/>
    <w:multiLevelType w:val="multilevel"/>
    <w:lvl w:ilvl="0">
      <w:start w:val="72"/>
      <w:numFmt w:val="decimal"/>
      <w:lvlText w:val="(%1)"/>
      <w:lvlJc w:val="left"/>
      <w:pPr>
        <w:ind w:left="720" w:hanging="360"/>
      </w:pPr>
    </w:lvl>
    <w:lvl w:ilvl="1">
      <w:start w:val="72"/>
      <w:numFmt w:val="decimal"/>
      <w:lvlText w:val="(%2)"/>
      <w:lvlJc w:val="left"/>
      <w:pPr>
        <w:ind w:left="1440" w:hanging="360"/>
      </w:pPr>
    </w:lvl>
    <w:lvl w:ilvl="2">
      <w:start w:val="72"/>
      <w:numFmt w:val="decimal"/>
      <w:lvlText w:val="(%3)"/>
      <w:lvlJc w:val="left"/>
      <w:pPr>
        <w:ind w:left="2160" w:hanging="360"/>
      </w:pPr>
    </w:lvl>
    <w:lvl w:ilvl="3">
      <w:start w:val="72"/>
      <w:numFmt w:val="decimal"/>
      <w:lvlText w:val="(%4)"/>
      <w:lvlJc w:val="left"/>
      <w:pPr>
        <w:ind w:left="2880" w:hanging="360"/>
      </w:pPr>
    </w:lvl>
    <w:lvl w:ilvl="4">
      <w:start w:val="72"/>
      <w:numFmt w:val="decimal"/>
      <w:lvlText w:val="(%5)"/>
      <w:lvlJc w:val="left"/>
      <w:pPr>
        <w:ind w:left="3600" w:hanging="360"/>
      </w:pPr>
    </w:lvl>
    <w:lvl w:ilvl="5">
      <w:start w:val="72"/>
      <w:numFmt w:val="decimal"/>
      <w:lvlText w:val="(%6)"/>
      <w:lvlJc w:val="left"/>
      <w:pPr>
        <w:ind w:left="4320" w:hanging="360"/>
      </w:pPr>
    </w:lvl>
    <w:lvl w:ilvl="6">
      <w:start w:val="72"/>
      <w:numFmt w:val="decimal"/>
      <w:lvlText w:val="(%7)"/>
      <w:lvlJc w:val="left"/>
      <w:pPr>
        <w:ind w:left="5040" w:hanging="360"/>
      </w:pPr>
    </w:lvl>
    <w:lvl w:ilvl="7">
      <w:start w:val="72"/>
      <w:numFmt w:val="decimal"/>
      <w:lvlText w:val="(%8)"/>
      <w:lvlJc w:val="left"/>
      <w:pPr>
        <w:ind w:left="5760" w:hanging="360"/>
      </w:pPr>
    </w:lvl>
    <w:lvl w:ilvl="8">
      <w:start w:val="72"/>
      <w:numFmt w:val="decimal"/>
      <w:lvlText w:val="(%9)"/>
      <w:lvlJc w:val="left"/>
      <w:pPr>
        <w:ind w:left="6480" w:hanging="360"/>
      </w:pPr>
    </w:lvl>
  </w:abstractNum>
  <w:abstractNum w:abstractNumId="994376">
    <w:nsid w:val="0A994376"/>
    <w:multiLevelType w:val="multilevel"/>
    <w:lvl w:ilvl="0">
      <w:start w:val="76"/>
      <w:numFmt w:val="decimal"/>
      <w:lvlText w:val="(%1)"/>
      <w:lvlJc w:val="left"/>
      <w:pPr>
        <w:ind w:left="720" w:hanging="360"/>
      </w:pPr>
    </w:lvl>
    <w:lvl w:ilvl="1">
      <w:start w:val="76"/>
      <w:numFmt w:val="decimal"/>
      <w:lvlText w:val="(%2)"/>
      <w:lvlJc w:val="left"/>
      <w:pPr>
        <w:ind w:left="1440" w:hanging="360"/>
      </w:pPr>
    </w:lvl>
    <w:lvl w:ilvl="2">
      <w:start w:val="76"/>
      <w:numFmt w:val="decimal"/>
      <w:lvlText w:val="(%3)"/>
      <w:lvlJc w:val="left"/>
      <w:pPr>
        <w:ind w:left="2160" w:hanging="360"/>
      </w:pPr>
    </w:lvl>
    <w:lvl w:ilvl="3">
      <w:start w:val="76"/>
      <w:numFmt w:val="decimal"/>
      <w:lvlText w:val="(%4)"/>
      <w:lvlJc w:val="left"/>
      <w:pPr>
        <w:ind w:left="2880" w:hanging="360"/>
      </w:pPr>
    </w:lvl>
    <w:lvl w:ilvl="4">
      <w:start w:val="76"/>
      <w:numFmt w:val="decimal"/>
      <w:lvlText w:val="(%5)"/>
      <w:lvlJc w:val="left"/>
      <w:pPr>
        <w:ind w:left="3600" w:hanging="360"/>
      </w:pPr>
    </w:lvl>
    <w:lvl w:ilvl="5">
      <w:start w:val="76"/>
      <w:numFmt w:val="decimal"/>
      <w:lvlText w:val="(%6)"/>
      <w:lvlJc w:val="left"/>
      <w:pPr>
        <w:ind w:left="4320" w:hanging="360"/>
      </w:pPr>
    </w:lvl>
    <w:lvl w:ilvl="6">
      <w:start w:val="76"/>
      <w:numFmt w:val="decimal"/>
      <w:lvlText w:val="(%7)"/>
      <w:lvlJc w:val="left"/>
      <w:pPr>
        <w:ind w:left="5040" w:hanging="360"/>
      </w:pPr>
    </w:lvl>
    <w:lvl w:ilvl="7">
      <w:start w:val="76"/>
      <w:numFmt w:val="decimal"/>
      <w:lvlText w:val="(%8)"/>
      <w:lvlJc w:val="left"/>
      <w:pPr>
        <w:ind w:left="5760" w:hanging="360"/>
      </w:pPr>
    </w:lvl>
    <w:lvl w:ilvl="8">
      <w:start w:val="76"/>
      <w:numFmt w:val="decimal"/>
      <w:lvlText w:val="(%9)"/>
      <w:lvlJc w:val="left"/>
      <w:pPr>
        <w:ind w:left="6480" w:hanging="360"/>
      </w:pPr>
    </w:lvl>
  </w:abstractNum>
  <w:abstractNum w:abstractNumId="994381">
    <w:nsid w:val="0A994381"/>
    <w:multiLevelType w:val="multilevel"/>
    <w:lvl w:ilvl="0">
      <w:start w:val="81"/>
      <w:numFmt w:val="decimal"/>
      <w:lvlText w:val="(%1)"/>
      <w:lvlJc w:val="left"/>
      <w:pPr>
        <w:ind w:left="720" w:hanging="360"/>
      </w:pPr>
    </w:lvl>
    <w:lvl w:ilvl="1">
      <w:start w:val="81"/>
      <w:numFmt w:val="decimal"/>
      <w:lvlText w:val="(%2)"/>
      <w:lvlJc w:val="left"/>
      <w:pPr>
        <w:ind w:left="1440" w:hanging="360"/>
      </w:pPr>
    </w:lvl>
    <w:lvl w:ilvl="2">
      <w:start w:val="81"/>
      <w:numFmt w:val="decimal"/>
      <w:lvlText w:val="(%3)"/>
      <w:lvlJc w:val="left"/>
      <w:pPr>
        <w:ind w:left="2160" w:hanging="360"/>
      </w:pPr>
    </w:lvl>
    <w:lvl w:ilvl="3">
      <w:start w:val="81"/>
      <w:numFmt w:val="decimal"/>
      <w:lvlText w:val="(%4)"/>
      <w:lvlJc w:val="left"/>
      <w:pPr>
        <w:ind w:left="2880" w:hanging="360"/>
      </w:pPr>
    </w:lvl>
    <w:lvl w:ilvl="4">
      <w:start w:val="81"/>
      <w:numFmt w:val="decimal"/>
      <w:lvlText w:val="(%5)"/>
      <w:lvlJc w:val="left"/>
      <w:pPr>
        <w:ind w:left="3600" w:hanging="360"/>
      </w:pPr>
    </w:lvl>
    <w:lvl w:ilvl="5">
      <w:start w:val="81"/>
      <w:numFmt w:val="decimal"/>
      <w:lvlText w:val="(%6)"/>
      <w:lvlJc w:val="left"/>
      <w:pPr>
        <w:ind w:left="4320" w:hanging="360"/>
      </w:pPr>
    </w:lvl>
    <w:lvl w:ilvl="6">
      <w:start w:val="81"/>
      <w:numFmt w:val="decimal"/>
      <w:lvlText w:val="(%7)"/>
      <w:lvlJc w:val="left"/>
      <w:pPr>
        <w:ind w:left="5040" w:hanging="360"/>
      </w:pPr>
    </w:lvl>
    <w:lvl w:ilvl="7">
      <w:start w:val="81"/>
      <w:numFmt w:val="decimal"/>
      <w:lvlText w:val="(%8)"/>
      <w:lvlJc w:val="left"/>
      <w:pPr>
        <w:ind w:left="5760" w:hanging="360"/>
      </w:pPr>
    </w:lvl>
    <w:lvl w:ilvl="8">
      <w:start w:val="81"/>
      <w:numFmt w:val="decimal"/>
      <w:lvlText w:val="(%9)"/>
      <w:lvlJc w:val="left"/>
      <w:pPr>
        <w:ind w:left="6480" w:hanging="360"/>
      </w:pPr>
    </w:lvl>
  </w:abstractNum>
  <w:abstractNum w:abstractNumId="994383">
    <w:nsid w:val="0A994383"/>
    <w:multiLevelType w:val="multilevel"/>
    <w:lvl w:ilvl="0">
      <w:start w:val="83"/>
      <w:numFmt w:val="decimal"/>
      <w:lvlText w:val="(%1)"/>
      <w:lvlJc w:val="left"/>
      <w:pPr>
        <w:ind w:left="720" w:hanging="360"/>
      </w:pPr>
    </w:lvl>
    <w:lvl w:ilvl="1">
      <w:start w:val="83"/>
      <w:numFmt w:val="decimal"/>
      <w:lvlText w:val="(%2)"/>
      <w:lvlJc w:val="left"/>
      <w:pPr>
        <w:ind w:left="1440" w:hanging="360"/>
      </w:pPr>
    </w:lvl>
    <w:lvl w:ilvl="2">
      <w:start w:val="83"/>
      <w:numFmt w:val="decimal"/>
      <w:lvlText w:val="(%3)"/>
      <w:lvlJc w:val="left"/>
      <w:pPr>
        <w:ind w:left="2160" w:hanging="360"/>
      </w:pPr>
    </w:lvl>
    <w:lvl w:ilvl="3">
      <w:start w:val="83"/>
      <w:numFmt w:val="decimal"/>
      <w:lvlText w:val="(%4)"/>
      <w:lvlJc w:val="left"/>
      <w:pPr>
        <w:ind w:left="2880" w:hanging="360"/>
      </w:pPr>
    </w:lvl>
    <w:lvl w:ilvl="4">
      <w:start w:val="83"/>
      <w:numFmt w:val="decimal"/>
      <w:lvlText w:val="(%5)"/>
      <w:lvlJc w:val="left"/>
      <w:pPr>
        <w:ind w:left="3600" w:hanging="360"/>
      </w:pPr>
    </w:lvl>
    <w:lvl w:ilvl="5">
      <w:start w:val="83"/>
      <w:numFmt w:val="decimal"/>
      <w:lvlText w:val="(%6)"/>
      <w:lvlJc w:val="left"/>
      <w:pPr>
        <w:ind w:left="4320" w:hanging="360"/>
      </w:pPr>
    </w:lvl>
    <w:lvl w:ilvl="6">
      <w:start w:val="83"/>
      <w:numFmt w:val="decimal"/>
      <w:lvlText w:val="(%7)"/>
      <w:lvlJc w:val="left"/>
      <w:pPr>
        <w:ind w:left="5040" w:hanging="360"/>
      </w:pPr>
    </w:lvl>
    <w:lvl w:ilvl="7">
      <w:start w:val="83"/>
      <w:numFmt w:val="decimal"/>
      <w:lvlText w:val="(%8)"/>
      <w:lvlJc w:val="left"/>
      <w:pPr>
        <w:ind w:left="5760" w:hanging="360"/>
      </w:pPr>
    </w:lvl>
    <w:lvl w:ilvl="8">
      <w:start w:val="83"/>
      <w:numFmt w:val="decimal"/>
      <w:lvlText w:val="(%9)"/>
      <w:lvlJc w:val="left"/>
      <w:pPr>
        <w:ind w:left="6480" w:hanging="360"/>
      </w:pPr>
    </w:lvl>
  </w:abstractNum>
  <w:abstractNum w:abstractNumId="994388">
    <w:nsid w:val="0A994388"/>
    <w:multiLevelType w:val="multilevel"/>
    <w:lvl w:ilvl="0">
      <w:start w:val="88"/>
      <w:numFmt w:val="decimal"/>
      <w:lvlText w:val="(%1)"/>
      <w:lvlJc w:val="left"/>
      <w:pPr>
        <w:ind w:left="720" w:hanging="360"/>
      </w:pPr>
    </w:lvl>
    <w:lvl w:ilvl="1">
      <w:start w:val="88"/>
      <w:numFmt w:val="decimal"/>
      <w:lvlText w:val="(%2)"/>
      <w:lvlJc w:val="left"/>
      <w:pPr>
        <w:ind w:left="1440" w:hanging="360"/>
      </w:pPr>
    </w:lvl>
    <w:lvl w:ilvl="2">
      <w:start w:val="88"/>
      <w:numFmt w:val="decimal"/>
      <w:lvlText w:val="(%3)"/>
      <w:lvlJc w:val="left"/>
      <w:pPr>
        <w:ind w:left="2160" w:hanging="360"/>
      </w:pPr>
    </w:lvl>
    <w:lvl w:ilvl="3">
      <w:start w:val="88"/>
      <w:numFmt w:val="decimal"/>
      <w:lvlText w:val="(%4)"/>
      <w:lvlJc w:val="left"/>
      <w:pPr>
        <w:ind w:left="2880" w:hanging="360"/>
      </w:pPr>
    </w:lvl>
    <w:lvl w:ilvl="4">
      <w:start w:val="88"/>
      <w:numFmt w:val="decimal"/>
      <w:lvlText w:val="(%5)"/>
      <w:lvlJc w:val="left"/>
      <w:pPr>
        <w:ind w:left="3600" w:hanging="360"/>
      </w:pPr>
    </w:lvl>
    <w:lvl w:ilvl="5">
      <w:start w:val="88"/>
      <w:numFmt w:val="decimal"/>
      <w:lvlText w:val="(%6)"/>
      <w:lvlJc w:val="left"/>
      <w:pPr>
        <w:ind w:left="4320" w:hanging="360"/>
      </w:pPr>
    </w:lvl>
    <w:lvl w:ilvl="6">
      <w:start w:val="88"/>
      <w:numFmt w:val="decimal"/>
      <w:lvlText w:val="(%7)"/>
      <w:lvlJc w:val="left"/>
      <w:pPr>
        <w:ind w:left="5040" w:hanging="360"/>
      </w:pPr>
    </w:lvl>
    <w:lvl w:ilvl="7">
      <w:start w:val="88"/>
      <w:numFmt w:val="decimal"/>
      <w:lvlText w:val="(%8)"/>
      <w:lvlJc w:val="left"/>
      <w:pPr>
        <w:ind w:left="5760" w:hanging="360"/>
      </w:pPr>
    </w:lvl>
    <w:lvl w:ilvl="8">
      <w:start w:val="88"/>
      <w:numFmt w:val="decimal"/>
      <w:lvlText w:val="(%9)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390">
    <w:nsid w:val="0A994390"/>
    <w:multiLevelType w:val="multilevel"/>
    <w:lvl w:ilvl="0">
      <w:start w:val="90"/>
      <w:numFmt w:val="decimal"/>
      <w:lvlText w:val="(%1)"/>
      <w:lvlJc w:val="left"/>
      <w:pPr>
        <w:ind w:left="720" w:hanging="360"/>
      </w:pPr>
    </w:lvl>
    <w:lvl w:ilvl="1">
      <w:start w:val="90"/>
      <w:numFmt w:val="decimal"/>
      <w:lvlText w:val="(%2)"/>
      <w:lvlJc w:val="left"/>
      <w:pPr>
        <w:ind w:left="1440" w:hanging="360"/>
      </w:pPr>
    </w:lvl>
    <w:lvl w:ilvl="2">
      <w:start w:val="90"/>
      <w:numFmt w:val="decimal"/>
      <w:lvlText w:val="(%3)"/>
      <w:lvlJc w:val="left"/>
      <w:pPr>
        <w:ind w:left="2160" w:hanging="360"/>
      </w:pPr>
    </w:lvl>
    <w:lvl w:ilvl="3">
      <w:start w:val="90"/>
      <w:numFmt w:val="decimal"/>
      <w:lvlText w:val="(%4)"/>
      <w:lvlJc w:val="left"/>
      <w:pPr>
        <w:ind w:left="2880" w:hanging="360"/>
      </w:pPr>
    </w:lvl>
    <w:lvl w:ilvl="4">
      <w:start w:val="90"/>
      <w:numFmt w:val="decimal"/>
      <w:lvlText w:val="(%5)"/>
      <w:lvlJc w:val="left"/>
      <w:pPr>
        <w:ind w:left="3600" w:hanging="360"/>
      </w:pPr>
    </w:lvl>
    <w:lvl w:ilvl="5">
      <w:start w:val="90"/>
      <w:numFmt w:val="decimal"/>
      <w:lvlText w:val="(%6)"/>
      <w:lvlJc w:val="left"/>
      <w:pPr>
        <w:ind w:left="4320" w:hanging="360"/>
      </w:pPr>
    </w:lvl>
    <w:lvl w:ilvl="6">
      <w:start w:val="90"/>
      <w:numFmt w:val="decimal"/>
      <w:lvlText w:val="(%7)"/>
      <w:lvlJc w:val="left"/>
      <w:pPr>
        <w:ind w:left="5040" w:hanging="360"/>
      </w:pPr>
    </w:lvl>
    <w:lvl w:ilvl="7">
      <w:start w:val="90"/>
      <w:numFmt w:val="decimal"/>
      <w:lvlText w:val="(%8)"/>
      <w:lvlJc w:val="left"/>
      <w:pPr>
        <w:ind w:left="5760" w:hanging="360"/>
      </w:pPr>
    </w:lvl>
    <w:lvl w:ilvl="8">
      <w:start w:val="90"/>
      <w:numFmt w:val="decimal"/>
      <w:lvlText w:val="(%9)"/>
      <w:lvlJc w:val="left"/>
      <w:pPr>
        <w:ind w:left="6480" w:hanging="360"/>
      </w:pPr>
    </w:lvl>
  </w:abstractNum>
  <w:abstractNum w:abstractNumId="994394">
    <w:nsid w:val="0A994394"/>
    <w:multiLevelType w:val="multilevel"/>
    <w:lvl w:ilvl="0">
      <w:start w:val="94"/>
      <w:numFmt w:val="decimal"/>
      <w:lvlText w:val="(%1)"/>
      <w:lvlJc w:val="left"/>
      <w:pPr>
        <w:ind w:left="720" w:hanging="360"/>
      </w:pPr>
    </w:lvl>
    <w:lvl w:ilvl="1">
      <w:start w:val="94"/>
      <w:numFmt w:val="decimal"/>
      <w:lvlText w:val="(%2)"/>
      <w:lvlJc w:val="left"/>
      <w:pPr>
        <w:ind w:left="1440" w:hanging="360"/>
      </w:pPr>
    </w:lvl>
    <w:lvl w:ilvl="2">
      <w:start w:val="94"/>
      <w:numFmt w:val="decimal"/>
      <w:lvlText w:val="(%3)"/>
      <w:lvlJc w:val="left"/>
      <w:pPr>
        <w:ind w:left="2160" w:hanging="360"/>
      </w:pPr>
    </w:lvl>
    <w:lvl w:ilvl="3">
      <w:start w:val="94"/>
      <w:numFmt w:val="decimal"/>
      <w:lvlText w:val="(%4)"/>
      <w:lvlJc w:val="left"/>
      <w:pPr>
        <w:ind w:left="2880" w:hanging="360"/>
      </w:pPr>
    </w:lvl>
    <w:lvl w:ilvl="4">
      <w:start w:val="94"/>
      <w:numFmt w:val="decimal"/>
      <w:lvlText w:val="(%5)"/>
      <w:lvlJc w:val="left"/>
      <w:pPr>
        <w:ind w:left="3600" w:hanging="360"/>
      </w:pPr>
    </w:lvl>
    <w:lvl w:ilvl="5">
      <w:start w:val="94"/>
      <w:numFmt w:val="decimal"/>
      <w:lvlText w:val="(%6)"/>
      <w:lvlJc w:val="left"/>
      <w:pPr>
        <w:ind w:left="4320" w:hanging="360"/>
      </w:pPr>
    </w:lvl>
    <w:lvl w:ilvl="6">
      <w:start w:val="94"/>
      <w:numFmt w:val="decimal"/>
      <w:lvlText w:val="(%7)"/>
      <w:lvlJc w:val="left"/>
      <w:pPr>
        <w:ind w:left="5040" w:hanging="360"/>
      </w:pPr>
    </w:lvl>
    <w:lvl w:ilvl="7">
      <w:start w:val="94"/>
      <w:numFmt w:val="decimal"/>
      <w:lvlText w:val="(%8)"/>
      <w:lvlJc w:val="left"/>
      <w:pPr>
        <w:ind w:left="5760" w:hanging="360"/>
      </w:pPr>
    </w:lvl>
    <w:lvl w:ilvl="8">
      <w:start w:val="94"/>
      <w:numFmt w:val="decimal"/>
      <w:lvlText w:val="(%9)"/>
      <w:lvlJc w:val="left"/>
      <w:pPr>
        <w:ind w:left="6480" w:hanging="360"/>
      </w:pPr>
    </w:lvl>
  </w:abstractNum>
  <w:abstractNum w:abstractNumId="994398">
    <w:nsid w:val="0A994398"/>
    <w:multiLevelType w:val="multilevel"/>
    <w:lvl w:ilvl="0">
      <w:start w:val="98"/>
      <w:numFmt w:val="decimal"/>
      <w:lvlText w:val="(%1)"/>
      <w:lvlJc w:val="left"/>
      <w:pPr>
        <w:ind w:left="720" w:hanging="360"/>
      </w:pPr>
    </w:lvl>
    <w:lvl w:ilvl="1">
      <w:start w:val="98"/>
      <w:numFmt w:val="decimal"/>
      <w:lvlText w:val="(%2)"/>
      <w:lvlJc w:val="left"/>
      <w:pPr>
        <w:ind w:left="1440" w:hanging="360"/>
      </w:pPr>
    </w:lvl>
    <w:lvl w:ilvl="2">
      <w:start w:val="98"/>
      <w:numFmt w:val="decimal"/>
      <w:lvlText w:val="(%3)"/>
      <w:lvlJc w:val="left"/>
      <w:pPr>
        <w:ind w:left="2160" w:hanging="360"/>
      </w:pPr>
    </w:lvl>
    <w:lvl w:ilvl="3">
      <w:start w:val="98"/>
      <w:numFmt w:val="decimal"/>
      <w:lvlText w:val="(%4)"/>
      <w:lvlJc w:val="left"/>
      <w:pPr>
        <w:ind w:left="2880" w:hanging="360"/>
      </w:pPr>
    </w:lvl>
    <w:lvl w:ilvl="4">
      <w:start w:val="98"/>
      <w:numFmt w:val="decimal"/>
      <w:lvlText w:val="(%5)"/>
      <w:lvlJc w:val="left"/>
      <w:pPr>
        <w:ind w:left="3600" w:hanging="360"/>
      </w:pPr>
    </w:lvl>
    <w:lvl w:ilvl="5">
      <w:start w:val="98"/>
      <w:numFmt w:val="decimal"/>
      <w:lvlText w:val="(%6)"/>
      <w:lvlJc w:val="left"/>
      <w:pPr>
        <w:ind w:left="4320" w:hanging="360"/>
      </w:pPr>
    </w:lvl>
    <w:lvl w:ilvl="6">
      <w:start w:val="98"/>
      <w:numFmt w:val="decimal"/>
      <w:lvlText w:val="(%7)"/>
      <w:lvlJc w:val="left"/>
      <w:pPr>
        <w:ind w:left="5040" w:hanging="360"/>
      </w:pPr>
    </w:lvl>
    <w:lvl w:ilvl="7">
      <w:start w:val="98"/>
      <w:numFmt w:val="decimal"/>
      <w:lvlText w:val="(%8)"/>
      <w:lvlJc w:val="left"/>
      <w:pPr>
        <w:ind w:left="5760" w:hanging="360"/>
      </w:pPr>
    </w:lvl>
    <w:lvl w:ilvl="8">
      <w:start w:val="98"/>
      <w:numFmt w:val="decimal"/>
      <w:lvlText w:val="(%9)"/>
      <w:lvlJc w:val="left"/>
      <w:pPr>
        <w:ind w:left="6480" w:hanging="360"/>
      </w:pPr>
    </w:lvl>
  </w:abstractNum>
  <w:abstractNum w:abstractNumId="9943103">
    <w:nsid w:val="A9943103"/>
    <w:multiLevelType w:val="multilevel"/>
    <w:lvl w:ilvl="0">
      <w:start w:val="103"/>
      <w:numFmt w:val="decimal"/>
      <w:lvlText w:val="(%1)"/>
      <w:lvlJc w:val="left"/>
      <w:pPr>
        <w:ind w:left="720" w:hanging="360"/>
      </w:pPr>
    </w:lvl>
    <w:lvl w:ilvl="1">
      <w:start w:val="103"/>
      <w:numFmt w:val="decimal"/>
      <w:lvlText w:val="(%2)"/>
      <w:lvlJc w:val="left"/>
      <w:pPr>
        <w:ind w:left="1440" w:hanging="360"/>
      </w:pPr>
    </w:lvl>
    <w:lvl w:ilvl="2">
      <w:start w:val="103"/>
      <w:numFmt w:val="decimal"/>
      <w:lvlText w:val="(%3)"/>
      <w:lvlJc w:val="left"/>
      <w:pPr>
        <w:ind w:left="2160" w:hanging="360"/>
      </w:pPr>
    </w:lvl>
    <w:lvl w:ilvl="3">
      <w:start w:val="103"/>
      <w:numFmt w:val="decimal"/>
      <w:lvlText w:val="(%4)"/>
      <w:lvlJc w:val="left"/>
      <w:pPr>
        <w:ind w:left="2880" w:hanging="360"/>
      </w:pPr>
    </w:lvl>
    <w:lvl w:ilvl="4">
      <w:start w:val="103"/>
      <w:numFmt w:val="decimal"/>
      <w:lvlText w:val="(%5)"/>
      <w:lvlJc w:val="left"/>
      <w:pPr>
        <w:ind w:left="3600" w:hanging="360"/>
      </w:pPr>
    </w:lvl>
    <w:lvl w:ilvl="5">
      <w:start w:val="103"/>
      <w:numFmt w:val="decimal"/>
      <w:lvlText w:val="(%6)"/>
      <w:lvlJc w:val="left"/>
      <w:pPr>
        <w:ind w:left="4320" w:hanging="360"/>
      </w:pPr>
    </w:lvl>
    <w:lvl w:ilvl="6">
      <w:start w:val="103"/>
      <w:numFmt w:val="decimal"/>
      <w:lvlText w:val="(%7)"/>
      <w:lvlJc w:val="left"/>
      <w:pPr>
        <w:ind w:left="5040" w:hanging="360"/>
      </w:pPr>
    </w:lvl>
    <w:lvl w:ilvl="7">
      <w:start w:val="103"/>
      <w:numFmt w:val="decimal"/>
      <w:lvlText w:val="(%8)"/>
      <w:lvlJc w:val="left"/>
      <w:pPr>
        <w:ind w:left="5760" w:hanging="360"/>
      </w:pPr>
    </w:lvl>
    <w:lvl w:ilvl="8">
      <w:start w:val="103"/>
      <w:numFmt w:val="decimal"/>
      <w:lvlText w:val="(%9)"/>
      <w:lvlJc w:val="left"/>
      <w:pPr>
        <w:ind w:left="6480" w:hanging="360"/>
      </w:pPr>
    </w:lvl>
  </w:abstractNum>
  <w:abstractNum w:abstractNumId="9943106">
    <w:nsid w:val="A9943106"/>
    <w:multiLevelType w:val="multilevel"/>
    <w:lvl w:ilvl="0">
      <w:start w:val="106"/>
      <w:numFmt w:val="decimal"/>
      <w:lvlText w:val="(%1)"/>
      <w:lvlJc w:val="left"/>
      <w:pPr>
        <w:ind w:left="720" w:hanging="360"/>
      </w:pPr>
    </w:lvl>
    <w:lvl w:ilvl="1">
      <w:start w:val="106"/>
      <w:numFmt w:val="decimal"/>
      <w:lvlText w:val="(%2)"/>
      <w:lvlJc w:val="left"/>
      <w:pPr>
        <w:ind w:left="1440" w:hanging="360"/>
      </w:pPr>
    </w:lvl>
    <w:lvl w:ilvl="2">
      <w:start w:val="106"/>
      <w:numFmt w:val="decimal"/>
      <w:lvlText w:val="(%3)"/>
      <w:lvlJc w:val="left"/>
      <w:pPr>
        <w:ind w:left="2160" w:hanging="360"/>
      </w:pPr>
    </w:lvl>
    <w:lvl w:ilvl="3">
      <w:start w:val="106"/>
      <w:numFmt w:val="decimal"/>
      <w:lvlText w:val="(%4)"/>
      <w:lvlJc w:val="left"/>
      <w:pPr>
        <w:ind w:left="2880" w:hanging="360"/>
      </w:pPr>
    </w:lvl>
    <w:lvl w:ilvl="4">
      <w:start w:val="106"/>
      <w:numFmt w:val="decimal"/>
      <w:lvlText w:val="(%5)"/>
      <w:lvlJc w:val="left"/>
      <w:pPr>
        <w:ind w:left="3600" w:hanging="360"/>
      </w:pPr>
    </w:lvl>
    <w:lvl w:ilvl="5">
      <w:start w:val="106"/>
      <w:numFmt w:val="decimal"/>
      <w:lvlText w:val="(%6)"/>
      <w:lvlJc w:val="left"/>
      <w:pPr>
        <w:ind w:left="4320" w:hanging="360"/>
      </w:pPr>
    </w:lvl>
    <w:lvl w:ilvl="6">
      <w:start w:val="106"/>
      <w:numFmt w:val="decimal"/>
      <w:lvlText w:val="(%7)"/>
      <w:lvlJc w:val="left"/>
      <w:pPr>
        <w:ind w:left="5040" w:hanging="360"/>
      </w:pPr>
    </w:lvl>
    <w:lvl w:ilvl="7">
      <w:start w:val="106"/>
      <w:numFmt w:val="decimal"/>
      <w:lvlText w:val="(%8)"/>
      <w:lvlJc w:val="left"/>
      <w:pPr>
        <w:ind w:left="5760" w:hanging="360"/>
      </w:pPr>
    </w:lvl>
    <w:lvl w:ilvl="8">
      <w:start w:val="106"/>
      <w:numFmt w:val="decimal"/>
      <w:lvlText w:val="(%9)"/>
      <w:lvlJc w:val="left"/>
      <w:pPr>
        <w:ind w:left="6480" w:hanging="360"/>
      </w:pPr>
    </w:lvl>
  </w:abstractNum>
  <w:abstractNum w:abstractNumId="9943108">
    <w:nsid w:val="A9943108"/>
    <w:multiLevelType w:val="multilevel"/>
    <w:lvl w:ilvl="0">
      <w:start w:val="108"/>
      <w:numFmt w:val="decimal"/>
      <w:lvlText w:val="(%1)"/>
      <w:lvlJc w:val="left"/>
      <w:pPr>
        <w:ind w:left="720" w:hanging="360"/>
      </w:pPr>
    </w:lvl>
    <w:lvl w:ilvl="1">
      <w:start w:val="108"/>
      <w:numFmt w:val="decimal"/>
      <w:lvlText w:val="(%2)"/>
      <w:lvlJc w:val="left"/>
      <w:pPr>
        <w:ind w:left="1440" w:hanging="360"/>
      </w:pPr>
    </w:lvl>
    <w:lvl w:ilvl="2">
      <w:start w:val="108"/>
      <w:numFmt w:val="decimal"/>
      <w:lvlText w:val="(%3)"/>
      <w:lvlJc w:val="left"/>
      <w:pPr>
        <w:ind w:left="2160" w:hanging="360"/>
      </w:pPr>
    </w:lvl>
    <w:lvl w:ilvl="3">
      <w:start w:val="108"/>
      <w:numFmt w:val="decimal"/>
      <w:lvlText w:val="(%4)"/>
      <w:lvlJc w:val="left"/>
      <w:pPr>
        <w:ind w:left="2880" w:hanging="360"/>
      </w:pPr>
    </w:lvl>
    <w:lvl w:ilvl="4">
      <w:start w:val="108"/>
      <w:numFmt w:val="decimal"/>
      <w:lvlText w:val="(%5)"/>
      <w:lvlJc w:val="left"/>
      <w:pPr>
        <w:ind w:left="3600" w:hanging="360"/>
      </w:pPr>
    </w:lvl>
    <w:lvl w:ilvl="5">
      <w:start w:val="108"/>
      <w:numFmt w:val="decimal"/>
      <w:lvlText w:val="(%6)"/>
      <w:lvlJc w:val="left"/>
      <w:pPr>
        <w:ind w:left="4320" w:hanging="360"/>
      </w:pPr>
    </w:lvl>
    <w:lvl w:ilvl="6">
      <w:start w:val="108"/>
      <w:numFmt w:val="decimal"/>
      <w:lvlText w:val="(%7)"/>
      <w:lvlJc w:val="left"/>
      <w:pPr>
        <w:ind w:left="5040" w:hanging="360"/>
      </w:pPr>
    </w:lvl>
    <w:lvl w:ilvl="7">
      <w:start w:val="108"/>
      <w:numFmt w:val="decimal"/>
      <w:lvlText w:val="(%8)"/>
      <w:lvlJc w:val="left"/>
      <w:pPr>
        <w:ind w:left="5760" w:hanging="360"/>
      </w:pPr>
    </w:lvl>
    <w:lvl w:ilvl="8">
      <w:start w:val="108"/>
      <w:numFmt w:val="decimal"/>
      <w:lvlText w:val="(%9)"/>
      <w:lvlJc w:val="left"/>
      <w:pPr>
        <w:ind w:left="6480" w:hanging="360"/>
      </w:pPr>
    </w:lvl>
  </w:abstractNum>
  <w:abstractNum w:abstractNumId="9943109">
    <w:nsid w:val="A9943109"/>
    <w:multiLevelType w:val="multilevel"/>
    <w:lvl w:ilvl="0">
      <w:start w:val="109"/>
      <w:numFmt w:val="decimal"/>
      <w:lvlText w:val="(%1)"/>
      <w:lvlJc w:val="left"/>
      <w:pPr>
        <w:ind w:left="720" w:hanging="360"/>
      </w:pPr>
    </w:lvl>
    <w:lvl w:ilvl="1">
      <w:start w:val="109"/>
      <w:numFmt w:val="decimal"/>
      <w:lvlText w:val="(%2)"/>
      <w:lvlJc w:val="left"/>
      <w:pPr>
        <w:ind w:left="1440" w:hanging="360"/>
      </w:pPr>
    </w:lvl>
    <w:lvl w:ilvl="2">
      <w:start w:val="109"/>
      <w:numFmt w:val="decimal"/>
      <w:lvlText w:val="(%3)"/>
      <w:lvlJc w:val="left"/>
      <w:pPr>
        <w:ind w:left="2160" w:hanging="360"/>
      </w:pPr>
    </w:lvl>
    <w:lvl w:ilvl="3">
      <w:start w:val="109"/>
      <w:numFmt w:val="decimal"/>
      <w:lvlText w:val="(%4)"/>
      <w:lvlJc w:val="left"/>
      <w:pPr>
        <w:ind w:left="2880" w:hanging="360"/>
      </w:pPr>
    </w:lvl>
    <w:lvl w:ilvl="4">
      <w:start w:val="109"/>
      <w:numFmt w:val="decimal"/>
      <w:lvlText w:val="(%5)"/>
      <w:lvlJc w:val="left"/>
      <w:pPr>
        <w:ind w:left="3600" w:hanging="360"/>
      </w:pPr>
    </w:lvl>
    <w:lvl w:ilvl="5">
      <w:start w:val="109"/>
      <w:numFmt w:val="decimal"/>
      <w:lvlText w:val="(%6)"/>
      <w:lvlJc w:val="left"/>
      <w:pPr>
        <w:ind w:left="4320" w:hanging="360"/>
      </w:pPr>
    </w:lvl>
    <w:lvl w:ilvl="6">
      <w:start w:val="109"/>
      <w:numFmt w:val="decimal"/>
      <w:lvlText w:val="(%7)"/>
      <w:lvlJc w:val="left"/>
      <w:pPr>
        <w:ind w:left="5040" w:hanging="360"/>
      </w:pPr>
    </w:lvl>
    <w:lvl w:ilvl="7">
      <w:start w:val="109"/>
      <w:numFmt w:val="decimal"/>
      <w:lvlText w:val="(%8)"/>
      <w:lvlJc w:val="left"/>
      <w:pPr>
        <w:ind w:left="5760" w:hanging="360"/>
      </w:pPr>
    </w:lvl>
    <w:lvl w:ilvl="8">
      <w:start w:val="109"/>
      <w:numFmt w:val="decimal"/>
      <w:lvlText w:val="(%9)"/>
      <w:lvlJc w:val="left"/>
      <w:pPr>
        <w:ind w:left="6480" w:hanging="360"/>
      </w:pPr>
    </w:lvl>
  </w:abstractNum>
  <w:abstractNum w:abstractNumId="9943110">
    <w:nsid w:val="A9943110"/>
    <w:multiLevelType w:val="multilevel"/>
    <w:lvl w:ilvl="0">
      <w:start w:val="110"/>
      <w:numFmt w:val="decimal"/>
      <w:lvlText w:val="(%1)"/>
      <w:lvlJc w:val="left"/>
      <w:pPr>
        <w:ind w:left="720" w:hanging="360"/>
      </w:pPr>
    </w:lvl>
    <w:lvl w:ilvl="1">
      <w:start w:val="110"/>
      <w:numFmt w:val="decimal"/>
      <w:lvlText w:val="(%2)"/>
      <w:lvlJc w:val="left"/>
      <w:pPr>
        <w:ind w:left="1440" w:hanging="360"/>
      </w:pPr>
    </w:lvl>
    <w:lvl w:ilvl="2">
      <w:start w:val="110"/>
      <w:numFmt w:val="decimal"/>
      <w:lvlText w:val="(%3)"/>
      <w:lvlJc w:val="left"/>
      <w:pPr>
        <w:ind w:left="2160" w:hanging="360"/>
      </w:pPr>
    </w:lvl>
    <w:lvl w:ilvl="3">
      <w:start w:val="110"/>
      <w:numFmt w:val="decimal"/>
      <w:lvlText w:val="(%4)"/>
      <w:lvlJc w:val="left"/>
      <w:pPr>
        <w:ind w:left="2880" w:hanging="360"/>
      </w:pPr>
    </w:lvl>
    <w:lvl w:ilvl="4">
      <w:start w:val="110"/>
      <w:numFmt w:val="decimal"/>
      <w:lvlText w:val="(%5)"/>
      <w:lvlJc w:val="left"/>
      <w:pPr>
        <w:ind w:left="3600" w:hanging="360"/>
      </w:pPr>
    </w:lvl>
    <w:lvl w:ilvl="5">
      <w:start w:val="110"/>
      <w:numFmt w:val="decimal"/>
      <w:lvlText w:val="(%6)"/>
      <w:lvlJc w:val="left"/>
      <w:pPr>
        <w:ind w:left="4320" w:hanging="360"/>
      </w:pPr>
    </w:lvl>
    <w:lvl w:ilvl="6">
      <w:start w:val="110"/>
      <w:numFmt w:val="decimal"/>
      <w:lvlText w:val="(%7)"/>
      <w:lvlJc w:val="left"/>
      <w:pPr>
        <w:ind w:left="5040" w:hanging="360"/>
      </w:pPr>
    </w:lvl>
    <w:lvl w:ilvl="7">
      <w:start w:val="110"/>
      <w:numFmt w:val="decimal"/>
      <w:lvlText w:val="(%8)"/>
      <w:lvlJc w:val="left"/>
      <w:pPr>
        <w:ind w:left="5760" w:hanging="360"/>
      </w:pPr>
    </w:lvl>
    <w:lvl w:ilvl="8">
      <w:start w:val="110"/>
      <w:numFmt w:val="decimal"/>
      <w:lvlText w:val="(%9)"/>
      <w:lvlJc w:val="left"/>
      <w:pPr>
        <w:ind w:left="6480" w:hanging="360"/>
      </w:pPr>
    </w:lvl>
  </w:abstractNum>
  <w:abstractNum w:abstractNumId="9943111">
    <w:nsid w:val="A9943111"/>
    <w:multiLevelType w:val="multilevel"/>
    <w:lvl w:ilvl="0">
      <w:start w:val="111"/>
      <w:numFmt w:val="decimal"/>
      <w:lvlText w:val="(%1)"/>
      <w:lvlJc w:val="left"/>
      <w:pPr>
        <w:ind w:left="720" w:hanging="360"/>
      </w:pPr>
    </w:lvl>
    <w:lvl w:ilvl="1">
      <w:start w:val="111"/>
      <w:numFmt w:val="decimal"/>
      <w:lvlText w:val="(%2)"/>
      <w:lvlJc w:val="left"/>
      <w:pPr>
        <w:ind w:left="1440" w:hanging="360"/>
      </w:pPr>
    </w:lvl>
    <w:lvl w:ilvl="2">
      <w:start w:val="111"/>
      <w:numFmt w:val="decimal"/>
      <w:lvlText w:val="(%3)"/>
      <w:lvlJc w:val="left"/>
      <w:pPr>
        <w:ind w:left="2160" w:hanging="360"/>
      </w:pPr>
    </w:lvl>
    <w:lvl w:ilvl="3">
      <w:start w:val="111"/>
      <w:numFmt w:val="decimal"/>
      <w:lvlText w:val="(%4)"/>
      <w:lvlJc w:val="left"/>
      <w:pPr>
        <w:ind w:left="2880" w:hanging="360"/>
      </w:pPr>
    </w:lvl>
    <w:lvl w:ilvl="4">
      <w:start w:val="111"/>
      <w:numFmt w:val="decimal"/>
      <w:lvlText w:val="(%5)"/>
      <w:lvlJc w:val="left"/>
      <w:pPr>
        <w:ind w:left="3600" w:hanging="360"/>
      </w:pPr>
    </w:lvl>
    <w:lvl w:ilvl="5">
      <w:start w:val="111"/>
      <w:numFmt w:val="decimal"/>
      <w:lvlText w:val="(%6)"/>
      <w:lvlJc w:val="left"/>
      <w:pPr>
        <w:ind w:left="4320" w:hanging="360"/>
      </w:pPr>
    </w:lvl>
    <w:lvl w:ilvl="6">
      <w:start w:val="111"/>
      <w:numFmt w:val="decimal"/>
      <w:lvlText w:val="(%7)"/>
      <w:lvlJc w:val="left"/>
      <w:pPr>
        <w:ind w:left="5040" w:hanging="360"/>
      </w:pPr>
    </w:lvl>
    <w:lvl w:ilvl="7">
      <w:start w:val="111"/>
      <w:numFmt w:val="decimal"/>
      <w:lvlText w:val="(%8)"/>
      <w:lvlJc w:val="left"/>
      <w:pPr>
        <w:ind w:left="5760" w:hanging="360"/>
      </w:pPr>
    </w:lvl>
    <w:lvl w:ilvl="8">
      <w:start w:val="111"/>
      <w:numFmt w:val="decimal"/>
      <w:lvlText w:val="(%9)"/>
      <w:lvlJc w:val="left"/>
      <w:pPr>
        <w:ind w:left="6480" w:hanging="360"/>
      </w:pPr>
    </w:lvl>
  </w:abstractNum>
  <w:abstractNum w:abstractNumId="9943113">
    <w:nsid w:val="A9943113"/>
    <w:multiLevelType w:val="multilevel"/>
    <w:lvl w:ilvl="0">
      <w:start w:val="113"/>
      <w:numFmt w:val="decimal"/>
      <w:lvlText w:val="(%1)"/>
      <w:lvlJc w:val="left"/>
      <w:pPr>
        <w:ind w:left="720" w:hanging="360"/>
      </w:pPr>
    </w:lvl>
    <w:lvl w:ilvl="1">
      <w:start w:val="113"/>
      <w:numFmt w:val="decimal"/>
      <w:lvlText w:val="(%2)"/>
      <w:lvlJc w:val="left"/>
      <w:pPr>
        <w:ind w:left="1440" w:hanging="360"/>
      </w:pPr>
    </w:lvl>
    <w:lvl w:ilvl="2">
      <w:start w:val="113"/>
      <w:numFmt w:val="decimal"/>
      <w:lvlText w:val="(%3)"/>
      <w:lvlJc w:val="left"/>
      <w:pPr>
        <w:ind w:left="2160" w:hanging="360"/>
      </w:pPr>
    </w:lvl>
    <w:lvl w:ilvl="3">
      <w:start w:val="113"/>
      <w:numFmt w:val="decimal"/>
      <w:lvlText w:val="(%4)"/>
      <w:lvlJc w:val="left"/>
      <w:pPr>
        <w:ind w:left="2880" w:hanging="360"/>
      </w:pPr>
    </w:lvl>
    <w:lvl w:ilvl="4">
      <w:start w:val="113"/>
      <w:numFmt w:val="decimal"/>
      <w:lvlText w:val="(%5)"/>
      <w:lvlJc w:val="left"/>
      <w:pPr>
        <w:ind w:left="3600" w:hanging="360"/>
      </w:pPr>
    </w:lvl>
    <w:lvl w:ilvl="5">
      <w:start w:val="113"/>
      <w:numFmt w:val="decimal"/>
      <w:lvlText w:val="(%6)"/>
      <w:lvlJc w:val="left"/>
      <w:pPr>
        <w:ind w:left="4320" w:hanging="360"/>
      </w:pPr>
    </w:lvl>
    <w:lvl w:ilvl="6">
      <w:start w:val="113"/>
      <w:numFmt w:val="decimal"/>
      <w:lvlText w:val="(%7)"/>
      <w:lvlJc w:val="left"/>
      <w:pPr>
        <w:ind w:left="5040" w:hanging="360"/>
      </w:pPr>
    </w:lvl>
    <w:lvl w:ilvl="7">
      <w:start w:val="113"/>
      <w:numFmt w:val="decimal"/>
      <w:lvlText w:val="(%8)"/>
      <w:lvlJc w:val="left"/>
      <w:pPr>
        <w:ind w:left="5760" w:hanging="360"/>
      </w:pPr>
    </w:lvl>
    <w:lvl w:ilvl="8">
      <w:start w:val="113"/>
      <w:numFmt w:val="decimal"/>
      <w:lvlText w:val="(%9)"/>
      <w:lvlJc w:val="left"/>
      <w:pPr>
        <w:ind w:left="6480" w:hanging="360"/>
      </w:pPr>
    </w:lvl>
  </w:abstractNum>
  <w:abstractNum w:abstractNumId="9943116">
    <w:nsid w:val="A9943116"/>
    <w:multiLevelType w:val="multilevel"/>
    <w:lvl w:ilvl="0">
      <w:start w:val="116"/>
      <w:numFmt w:val="decimal"/>
      <w:lvlText w:val="(%1)"/>
      <w:lvlJc w:val="left"/>
      <w:pPr>
        <w:ind w:left="720" w:hanging="360"/>
      </w:pPr>
    </w:lvl>
    <w:lvl w:ilvl="1">
      <w:start w:val="116"/>
      <w:numFmt w:val="decimal"/>
      <w:lvlText w:val="(%2)"/>
      <w:lvlJc w:val="left"/>
      <w:pPr>
        <w:ind w:left="1440" w:hanging="360"/>
      </w:pPr>
    </w:lvl>
    <w:lvl w:ilvl="2">
      <w:start w:val="116"/>
      <w:numFmt w:val="decimal"/>
      <w:lvlText w:val="(%3)"/>
      <w:lvlJc w:val="left"/>
      <w:pPr>
        <w:ind w:left="2160" w:hanging="360"/>
      </w:pPr>
    </w:lvl>
    <w:lvl w:ilvl="3">
      <w:start w:val="116"/>
      <w:numFmt w:val="decimal"/>
      <w:lvlText w:val="(%4)"/>
      <w:lvlJc w:val="left"/>
      <w:pPr>
        <w:ind w:left="2880" w:hanging="360"/>
      </w:pPr>
    </w:lvl>
    <w:lvl w:ilvl="4">
      <w:start w:val="116"/>
      <w:numFmt w:val="decimal"/>
      <w:lvlText w:val="(%5)"/>
      <w:lvlJc w:val="left"/>
      <w:pPr>
        <w:ind w:left="3600" w:hanging="360"/>
      </w:pPr>
    </w:lvl>
    <w:lvl w:ilvl="5">
      <w:start w:val="116"/>
      <w:numFmt w:val="decimal"/>
      <w:lvlText w:val="(%6)"/>
      <w:lvlJc w:val="left"/>
      <w:pPr>
        <w:ind w:left="4320" w:hanging="360"/>
      </w:pPr>
    </w:lvl>
    <w:lvl w:ilvl="6">
      <w:start w:val="116"/>
      <w:numFmt w:val="decimal"/>
      <w:lvlText w:val="(%7)"/>
      <w:lvlJc w:val="left"/>
      <w:pPr>
        <w:ind w:left="5040" w:hanging="360"/>
      </w:pPr>
    </w:lvl>
    <w:lvl w:ilvl="7">
      <w:start w:val="116"/>
      <w:numFmt w:val="decimal"/>
      <w:lvlText w:val="(%8)"/>
      <w:lvlJc w:val="left"/>
      <w:pPr>
        <w:ind w:left="5760" w:hanging="360"/>
      </w:pPr>
    </w:lvl>
    <w:lvl w:ilvl="8">
      <w:start w:val="116"/>
      <w:numFmt w:val="decimal"/>
      <w:lvlText w:val="(%9)"/>
      <w:lvlJc w:val="left"/>
      <w:pPr>
        <w:ind w:left="6480" w:hanging="360"/>
      </w:pPr>
    </w:lvl>
  </w:abstractNum>
  <w:abstractNum w:abstractNumId="9943122">
    <w:nsid w:val="A9943122"/>
    <w:multiLevelType w:val="multilevel"/>
    <w:lvl w:ilvl="0">
      <w:start w:val="122"/>
      <w:numFmt w:val="decimal"/>
      <w:lvlText w:val="(%1)"/>
      <w:lvlJc w:val="left"/>
      <w:pPr>
        <w:ind w:left="720" w:hanging="360"/>
      </w:pPr>
    </w:lvl>
    <w:lvl w:ilvl="1">
      <w:start w:val="122"/>
      <w:numFmt w:val="decimal"/>
      <w:lvlText w:val="(%2)"/>
      <w:lvlJc w:val="left"/>
      <w:pPr>
        <w:ind w:left="1440" w:hanging="360"/>
      </w:pPr>
    </w:lvl>
    <w:lvl w:ilvl="2">
      <w:start w:val="122"/>
      <w:numFmt w:val="decimal"/>
      <w:lvlText w:val="(%3)"/>
      <w:lvlJc w:val="left"/>
      <w:pPr>
        <w:ind w:left="2160" w:hanging="360"/>
      </w:pPr>
    </w:lvl>
    <w:lvl w:ilvl="3">
      <w:start w:val="122"/>
      <w:numFmt w:val="decimal"/>
      <w:lvlText w:val="(%4)"/>
      <w:lvlJc w:val="left"/>
      <w:pPr>
        <w:ind w:left="2880" w:hanging="360"/>
      </w:pPr>
    </w:lvl>
    <w:lvl w:ilvl="4">
      <w:start w:val="122"/>
      <w:numFmt w:val="decimal"/>
      <w:lvlText w:val="(%5)"/>
      <w:lvlJc w:val="left"/>
      <w:pPr>
        <w:ind w:left="3600" w:hanging="360"/>
      </w:pPr>
    </w:lvl>
    <w:lvl w:ilvl="5">
      <w:start w:val="122"/>
      <w:numFmt w:val="decimal"/>
      <w:lvlText w:val="(%6)"/>
      <w:lvlJc w:val="left"/>
      <w:pPr>
        <w:ind w:left="4320" w:hanging="360"/>
      </w:pPr>
    </w:lvl>
    <w:lvl w:ilvl="6">
      <w:start w:val="122"/>
      <w:numFmt w:val="decimal"/>
      <w:lvlText w:val="(%7)"/>
      <w:lvlJc w:val="left"/>
      <w:pPr>
        <w:ind w:left="5040" w:hanging="360"/>
      </w:pPr>
    </w:lvl>
    <w:lvl w:ilvl="7">
      <w:start w:val="122"/>
      <w:numFmt w:val="decimal"/>
      <w:lvlText w:val="(%8)"/>
      <w:lvlJc w:val="left"/>
      <w:pPr>
        <w:ind w:left="5760" w:hanging="360"/>
      </w:pPr>
    </w:lvl>
    <w:lvl w:ilvl="8">
      <w:start w:val="122"/>
      <w:numFmt w:val="decimal"/>
      <w:lvlText w:val="(%9)"/>
      <w:lvlJc w:val="left"/>
      <w:pPr>
        <w:ind w:left="6480" w:hanging="360"/>
      </w:pPr>
    </w:lvl>
  </w:abstractNum>
  <w:abstractNum w:abstractNumId="9943152">
    <w:nsid w:val="A9943152"/>
    <w:multiLevelType w:val="multilevel"/>
    <w:lvl w:ilvl="0">
      <w:start w:val="152"/>
      <w:numFmt w:val="decimal"/>
      <w:lvlText w:val="(%1)"/>
      <w:lvlJc w:val="left"/>
      <w:pPr>
        <w:ind w:left="720" w:hanging="360"/>
      </w:pPr>
    </w:lvl>
    <w:lvl w:ilvl="1">
      <w:start w:val="152"/>
      <w:numFmt w:val="decimal"/>
      <w:lvlText w:val="(%2)"/>
      <w:lvlJc w:val="left"/>
      <w:pPr>
        <w:ind w:left="1440" w:hanging="360"/>
      </w:pPr>
    </w:lvl>
    <w:lvl w:ilvl="2">
      <w:start w:val="152"/>
      <w:numFmt w:val="decimal"/>
      <w:lvlText w:val="(%3)"/>
      <w:lvlJc w:val="left"/>
      <w:pPr>
        <w:ind w:left="2160" w:hanging="360"/>
      </w:pPr>
    </w:lvl>
    <w:lvl w:ilvl="3">
      <w:start w:val="152"/>
      <w:numFmt w:val="decimal"/>
      <w:lvlText w:val="(%4)"/>
      <w:lvlJc w:val="left"/>
      <w:pPr>
        <w:ind w:left="2880" w:hanging="360"/>
      </w:pPr>
    </w:lvl>
    <w:lvl w:ilvl="4">
      <w:start w:val="152"/>
      <w:numFmt w:val="decimal"/>
      <w:lvlText w:val="(%5)"/>
      <w:lvlJc w:val="left"/>
      <w:pPr>
        <w:ind w:left="3600" w:hanging="360"/>
      </w:pPr>
    </w:lvl>
    <w:lvl w:ilvl="5">
      <w:start w:val="152"/>
      <w:numFmt w:val="decimal"/>
      <w:lvlText w:val="(%6)"/>
      <w:lvlJc w:val="left"/>
      <w:pPr>
        <w:ind w:left="4320" w:hanging="360"/>
      </w:pPr>
    </w:lvl>
    <w:lvl w:ilvl="6">
      <w:start w:val="152"/>
      <w:numFmt w:val="decimal"/>
      <w:lvlText w:val="(%7)"/>
      <w:lvlJc w:val="left"/>
      <w:pPr>
        <w:ind w:left="5040" w:hanging="360"/>
      </w:pPr>
    </w:lvl>
    <w:lvl w:ilvl="7">
      <w:start w:val="152"/>
      <w:numFmt w:val="decimal"/>
      <w:lvlText w:val="(%8)"/>
      <w:lvlJc w:val="left"/>
      <w:pPr>
        <w:ind w:left="5760" w:hanging="360"/>
      </w:pPr>
    </w:lvl>
    <w:lvl w:ilvl="8">
      <w:start w:val="152"/>
      <w:numFmt w:val="decimal"/>
      <w:lvlText w:val="(%9)"/>
      <w:lvlJc w:val="left"/>
      <w:pPr>
        <w:ind w:left="6480" w:hanging="360"/>
      </w:pPr>
    </w:lvl>
  </w:abstractNum>
  <w:abstractNum w:abstractNumId="9943159">
    <w:nsid w:val="A9943159"/>
    <w:multiLevelType w:val="multilevel"/>
    <w:lvl w:ilvl="0">
      <w:start w:val="159"/>
      <w:numFmt w:val="decimal"/>
      <w:lvlText w:val="(%1)"/>
      <w:lvlJc w:val="left"/>
      <w:pPr>
        <w:ind w:left="720" w:hanging="360"/>
      </w:pPr>
    </w:lvl>
    <w:lvl w:ilvl="1">
      <w:start w:val="159"/>
      <w:numFmt w:val="decimal"/>
      <w:lvlText w:val="(%2)"/>
      <w:lvlJc w:val="left"/>
      <w:pPr>
        <w:ind w:left="1440" w:hanging="360"/>
      </w:pPr>
    </w:lvl>
    <w:lvl w:ilvl="2">
      <w:start w:val="159"/>
      <w:numFmt w:val="decimal"/>
      <w:lvlText w:val="(%3)"/>
      <w:lvlJc w:val="left"/>
      <w:pPr>
        <w:ind w:left="2160" w:hanging="360"/>
      </w:pPr>
    </w:lvl>
    <w:lvl w:ilvl="3">
      <w:start w:val="159"/>
      <w:numFmt w:val="decimal"/>
      <w:lvlText w:val="(%4)"/>
      <w:lvlJc w:val="left"/>
      <w:pPr>
        <w:ind w:left="2880" w:hanging="360"/>
      </w:pPr>
    </w:lvl>
    <w:lvl w:ilvl="4">
      <w:start w:val="159"/>
      <w:numFmt w:val="decimal"/>
      <w:lvlText w:val="(%5)"/>
      <w:lvlJc w:val="left"/>
      <w:pPr>
        <w:ind w:left="3600" w:hanging="360"/>
      </w:pPr>
    </w:lvl>
    <w:lvl w:ilvl="5">
      <w:start w:val="159"/>
      <w:numFmt w:val="decimal"/>
      <w:lvlText w:val="(%6)"/>
      <w:lvlJc w:val="left"/>
      <w:pPr>
        <w:ind w:left="4320" w:hanging="360"/>
      </w:pPr>
    </w:lvl>
    <w:lvl w:ilvl="6">
      <w:start w:val="159"/>
      <w:numFmt w:val="decimal"/>
      <w:lvlText w:val="(%7)"/>
      <w:lvlJc w:val="left"/>
      <w:pPr>
        <w:ind w:left="5040" w:hanging="360"/>
      </w:pPr>
    </w:lvl>
    <w:lvl w:ilvl="7">
      <w:start w:val="159"/>
      <w:numFmt w:val="decimal"/>
      <w:lvlText w:val="(%8)"/>
      <w:lvlJc w:val="left"/>
      <w:pPr>
        <w:ind w:left="5760" w:hanging="360"/>
      </w:pPr>
    </w:lvl>
    <w:lvl w:ilvl="8">
      <w:start w:val="159"/>
      <w:numFmt w:val="decimal"/>
      <w:lvlText w:val="(%9)"/>
      <w:lvlJc w:val="left"/>
      <w:pPr>
        <w:ind w:left="6480" w:hanging="360"/>
      </w:pPr>
    </w:lvl>
  </w:abstractNum>
  <w:abstractNum w:abstractNumId="9943167">
    <w:nsid w:val="A9943167"/>
    <w:multiLevelType w:val="multilevel"/>
    <w:lvl w:ilvl="0">
      <w:start w:val="167"/>
      <w:numFmt w:val="decimal"/>
      <w:lvlText w:val="(%1)"/>
      <w:lvlJc w:val="left"/>
      <w:pPr>
        <w:ind w:left="720" w:hanging="360"/>
      </w:pPr>
    </w:lvl>
    <w:lvl w:ilvl="1">
      <w:start w:val="167"/>
      <w:numFmt w:val="decimal"/>
      <w:lvlText w:val="(%2)"/>
      <w:lvlJc w:val="left"/>
      <w:pPr>
        <w:ind w:left="1440" w:hanging="360"/>
      </w:pPr>
    </w:lvl>
    <w:lvl w:ilvl="2">
      <w:start w:val="167"/>
      <w:numFmt w:val="decimal"/>
      <w:lvlText w:val="(%3)"/>
      <w:lvlJc w:val="left"/>
      <w:pPr>
        <w:ind w:left="2160" w:hanging="360"/>
      </w:pPr>
    </w:lvl>
    <w:lvl w:ilvl="3">
      <w:start w:val="167"/>
      <w:numFmt w:val="decimal"/>
      <w:lvlText w:val="(%4)"/>
      <w:lvlJc w:val="left"/>
      <w:pPr>
        <w:ind w:left="2880" w:hanging="360"/>
      </w:pPr>
    </w:lvl>
    <w:lvl w:ilvl="4">
      <w:start w:val="167"/>
      <w:numFmt w:val="decimal"/>
      <w:lvlText w:val="(%5)"/>
      <w:lvlJc w:val="left"/>
      <w:pPr>
        <w:ind w:left="3600" w:hanging="360"/>
      </w:pPr>
    </w:lvl>
    <w:lvl w:ilvl="5">
      <w:start w:val="167"/>
      <w:numFmt w:val="decimal"/>
      <w:lvlText w:val="(%6)"/>
      <w:lvlJc w:val="left"/>
      <w:pPr>
        <w:ind w:left="4320" w:hanging="360"/>
      </w:pPr>
    </w:lvl>
    <w:lvl w:ilvl="6">
      <w:start w:val="167"/>
      <w:numFmt w:val="decimal"/>
      <w:lvlText w:val="(%7)"/>
      <w:lvlJc w:val="left"/>
      <w:pPr>
        <w:ind w:left="5040" w:hanging="360"/>
      </w:pPr>
    </w:lvl>
    <w:lvl w:ilvl="7">
      <w:start w:val="167"/>
      <w:numFmt w:val="decimal"/>
      <w:lvlText w:val="(%8)"/>
      <w:lvlJc w:val="left"/>
      <w:pPr>
        <w:ind w:left="5760" w:hanging="360"/>
      </w:pPr>
    </w:lvl>
    <w:lvl w:ilvl="8">
      <w:start w:val="167"/>
      <w:numFmt w:val="decimal"/>
      <w:lvlText w:val="(%9)"/>
      <w:lvlJc w:val="left"/>
      <w:pPr>
        <w:ind w:left="6480" w:hanging="360"/>
      </w:pPr>
    </w:lvl>
  </w:abstractNum>
  <w:abstractNum w:abstractNumId="9943172">
    <w:nsid w:val="A9943172"/>
    <w:multiLevelType w:val="multilevel"/>
    <w:lvl w:ilvl="0">
      <w:start w:val="172"/>
      <w:numFmt w:val="decimal"/>
      <w:lvlText w:val="(%1)"/>
      <w:lvlJc w:val="left"/>
      <w:pPr>
        <w:ind w:left="720" w:hanging="360"/>
      </w:pPr>
    </w:lvl>
    <w:lvl w:ilvl="1">
      <w:start w:val="172"/>
      <w:numFmt w:val="decimal"/>
      <w:lvlText w:val="(%2)"/>
      <w:lvlJc w:val="left"/>
      <w:pPr>
        <w:ind w:left="1440" w:hanging="360"/>
      </w:pPr>
    </w:lvl>
    <w:lvl w:ilvl="2">
      <w:start w:val="172"/>
      <w:numFmt w:val="decimal"/>
      <w:lvlText w:val="(%3)"/>
      <w:lvlJc w:val="left"/>
      <w:pPr>
        <w:ind w:left="2160" w:hanging="360"/>
      </w:pPr>
    </w:lvl>
    <w:lvl w:ilvl="3">
      <w:start w:val="172"/>
      <w:numFmt w:val="decimal"/>
      <w:lvlText w:val="(%4)"/>
      <w:lvlJc w:val="left"/>
      <w:pPr>
        <w:ind w:left="2880" w:hanging="360"/>
      </w:pPr>
    </w:lvl>
    <w:lvl w:ilvl="4">
      <w:start w:val="172"/>
      <w:numFmt w:val="decimal"/>
      <w:lvlText w:val="(%5)"/>
      <w:lvlJc w:val="left"/>
      <w:pPr>
        <w:ind w:left="3600" w:hanging="360"/>
      </w:pPr>
    </w:lvl>
    <w:lvl w:ilvl="5">
      <w:start w:val="172"/>
      <w:numFmt w:val="decimal"/>
      <w:lvlText w:val="(%6)"/>
      <w:lvlJc w:val="left"/>
      <w:pPr>
        <w:ind w:left="4320" w:hanging="360"/>
      </w:pPr>
    </w:lvl>
    <w:lvl w:ilvl="6">
      <w:start w:val="172"/>
      <w:numFmt w:val="decimal"/>
      <w:lvlText w:val="(%7)"/>
      <w:lvlJc w:val="left"/>
      <w:pPr>
        <w:ind w:left="5040" w:hanging="360"/>
      </w:pPr>
    </w:lvl>
    <w:lvl w:ilvl="7">
      <w:start w:val="172"/>
      <w:numFmt w:val="decimal"/>
      <w:lvlText w:val="(%8)"/>
      <w:lvlJc w:val="left"/>
      <w:pPr>
        <w:ind w:left="5760" w:hanging="360"/>
      </w:pPr>
    </w:lvl>
    <w:lvl w:ilvl="8">
      <w:start w:val="172"/>
      <w:numFmt w:val="decimal"/>
      <w:lvlText w:val="(%9)"/>
      <w:lvlJc w:val="left"/>
      <w:pPr>
        <w:ind w:left="6480" w:hanging="360"/>
      </w:pPr>
    </w:lvl>
  </w:abstractNum>
  <w:abstractNum w:abstractNumId="9943178">
    <w:nsid w:val="A9943178"/>
    <w:multiLevelType w:val="multilevel"/>
    <w:lvl w:ilvl="0">
      <w:start w:val="178"/>
      <w:numFmt w:val="decimal"/>
      <w:lvlText w:val="(%1)"/>
      <w:lvlJc w:val="left"/>
      <w:pPr>
        <w:ind w:left="720" w:hanging="360"/>
      </w:pPr>
    </w:lvl>
    <w:lvl w:ilvl="1">
      <w:start w:val="178"/>
      <w:numFmt w:val="decimal"/>
      <w:lvlText w:val="(%2)"/>
      <w:lvlJc w:val="left"/>
      <w:pPr>
        <w:ind w:left="1440" w:hanging="360"/>
      </w:pPr>
    </w:lvl>
    <w:lvl w:ilvl="2">
      <w:start w:val="178"/>
      <w:numFmt w:val="decimal"/>
      <w:lvlText w:val="(%3)"/>
      <w:lvlJc w:val="left"/>
      <w:pPr>
        <w:ind w:left="2160" w:hanging="360"/>
      </w:pPr>
    </w:lvl>
    <w:lvl w:ilvl="3">
      <w:start w:val="178"/>
      <w:numFmt w:val="decimal"/>
      <w:lvlText w:val="(%4)"/>
      <w:lvlJc w:val="left"/>
      <w:pPr>
        <w:ind w:left="2880" w:hanging="360"/>
      </w:pPr>
    </w:lvl>
    <w:lvl w:ilvl="4">
      <w:start w:val="178"/>
      <w:numFmt w:val="decimal"/>
      <w:lvlText w:val="(%5)"/>
      <w:lvlJc w:val="left"/>
      <w:pPr>
        <w:ind w:left="3600" w:hanging="360"/>
      </w:pPr>
    </w:lvl>
    <w:lvl w:ilvl="5">
      <w:start w:val="178"/>
      <w:numFmt w:val="decimal"/>
      <w:lvlText w:val="(%6)"/>
      <w:lvlJc w:val="left"/>
      <w:pPr>
        <w:ind w:left="4320" w:hanging="360"/>
      </w:pPr>
    </w:lvl>
    <w:lvl w:ilvl="6">
      <w:start w:val="178"/>
      <w:numFmt w:val="decimal"/>
      <w:lvlText w:val="(%7)"/>
      <w:lvlJc w:val="left"/>
      <w:pPr>
        <w:ind w:left="5040" w:hanging="360"/>
      </w:pPr>
    </w:lvl>
    <w:lvl w:ilvl="7">
      <w:start w:val="178"/>
      <w:numFmt w:val="decimal"/>
      <w:lvlText w:val="(%8)"/>
      <w:lvlJc w:val="left"/>
      <w:pPr>
        <w:ind w:left="5760" w:hanging="360"/>
      </w:pPr>
    </w:lvl>
    <w:lvl w:ilvl="8">
      <w:start w:val="178"/>
      <w:numFmt w:val="decimal"/>
      <w:lvlText w:val="(%9)"/>
      <w:lvlJc w:val="left"/>
      <w:pPr>
        <w:ind w:left="6480" w:hanging="360"/>
      </w:pPr>
    </w:lvl>
  </w:abstractNum>
  <w:abstractNum w:abstractNumId="9943186">
    <w:nsid w:val="A9943186"/>
    <w:multiLevelType w:val="multilevel"/>
    <w:lvl w:ilvl="0">
      <w:start w:val="186"/>
      <w:numFmt w:val="decimal"/>
      <w:lvlText w:val="(%1)"/>
      <w:lvlJc w:val="left"/>
      <w:pPr>
        <w:ind w:left="720" w:hanging="360"/>
      </w:pPr>
    </w:lvl>
    <w:lvl w:ilvl="1">
      <w:start w:val="186"/>
      <w:numFmt w:val="decimal"/>
      <w:lvlText w:val="(%2)"/>
      <w:lvlJc w:val="left"/>
      <w:pPr>
        <w:ind w:left="1440" w:hanging="360"/>
      </w:pPr>
    </w:lvl>
    <w:lvl w:ilvl="2">
      <w:start w:val="186"/>
      <w:numFmt w:val="decimal"/>
      <w:lvlText w:val="(%3)"/>
      <w:lvlJc w:val="left"/>
      <w:pPr>
        <w:ind w:left="2160" w:hanging="360"/>
      </w:pPr>
    </w:lvl>
    <w:lvl w:ilvl="3">
      <w:start w:val="186"/>
      <w:numFmt w:val="decimal"/>
      <w:lvlText w:val="(%4)"/>
      <w:lvlJc w:val="left"/>
      <w:pPr>
        <w:ind w:left="2880" w:hanging="360"/>
      </w:pPr>
    </w:lvl>
    <w:lvl w:ilvl="4">
      <w:start w:val="186"/>
      <w:numFmt w:val="decimal"/>
      <w:lvlText w:val="(%5)"/>
      <w:lvlJc w:val="left"/>
      <w:pPr>
        <w:ind w:left="3600" w:hanging="360"/>
      </w:pPr>
    </w:lvl>
    <w:lvl w:ilvl="5">
      <w:start w:val="186"/>
      <w:numFmt w:val="decimal"/>
      <w:lvlText w:val="(%6)"/>
      <w:lvlJc w:val="left"/>
      <w:pPr>
        <w:ind w:left="4320" w:hanging="360"/>
      </w:pPr>
    </w:lvl>
    <w:lvl w:ilvl="6">
      <w:start w:val="186"/>
      <w:numFmt w:val="decimal"/>
      <w:lvlText w:val="(%7)"/>
      <w:lvlJc w:val="left"/>
      <w:pPr>
        <w:ind w:left="5040" w:hanging="360"/>
      </w:pPr>
    </w:lvl>
    <w:lvl w:ilvl="7">
      <w:start w:val="186"/>
      <w:numFmt w:val="decimal"/>
      <w:lvlText w:val="(%8)"/>
      <w:lvlJc w:val="left"/>
      <w:pPr>
        <w:ind w:left="5760" w:hanging="360"/>
      </w:pPr>
    </w:lvl>
    <w:lvl w:ilvl="8">
      <w:start w:val="186"/>
      <w:numFmt w:val="decimal"/>
      <w:lvlText w:val="(%9)"/>
      <w:lvlJc w:val="left"/>
      <w:pPr>
        <w:ind w:left="6480" w:hanging="360"/>
      </w:pPr>
    </w:lvl>
  </w:abstractNum>
  <w:abstractNum w:abstractNumId="9943189">
    <w:nsid w:val="A9943189"/>
    <w:multiLevelType w:val="multilevel"/>
    <w:lvl w:ilvl="0">
      <w:start w:val="189"/>
      <w:numFmt w:val="decimal"/>
      <w:lvlText w:val="(%1)"/>
      <w:lvlJc w:val="left"/>
      <w:pPr>
        <w:ind w:left="720" w:hanging="360"/>
      </w:pPr>
    </w:lvl>
    <w:lvl w:ilvl="1">
      <w:start w:val="189"/>
      <w:numFmt w:val="decimal"/>
      <w:lvlText w:val="(%2)"/>
      <w:lvlJc w:val="left"/>
      <w:pPr>
        <w:ind w:left="1440" w:hanging="360"/>
      </w:pPr>
    </w:lvl>
    <w:lvl w:ilvl="2">
      <w:start w:val="189"/>
      <w:numFmt w:val="decimal"/>
      <w:lvlText w:val="(%3)"/>
      <w:lvlJc w:val="left"/>
      <w:pPr>
        <w:ind w:left="2160" w:hanging="360"/>
      </w:pPr>
    </w:lvl>
    <w:lvl w:ilvl="3">
      <w:start w:val="189"/>
      <w:numFmt w:val="decimal"/>
      <w:lvlText w:val="(%4)"/>
      <w:lvlJc w:val="left"/>
      <w:pPr>
        <w:ind w:left="2880" w:hanging="360"/>
      </w:pPr>
    </w:lvl>
    <w:lvl w:ilvl="4">
      <w:start w:val="189"/>
      <w:numFmt w:val="decimal"/>
      <w:lvlText w:val="(%5)"/>
      <w:lvlJc w:val="left"/>
      <w:pPr>
        <w:ind w:left="3600" w:hanging="360"/>
      </w:pPr>
    </w:lvl>
    <w:lvl w:ilvl="5">
      <w:start w:val="189"/>
      <w:numFmt w:val="decimal"/>
      <w:lvlText w:val="(%6)"/>
      <w:lvlJc w:val="left"/>
      <w:pPr>
        <w:ind w:left="4320" w:hanging="360"/>
      </w:pPr>
    </w:lvl>
    <w:lvl w:ilvl="6">
      <w:start w:val="189"/>
      <w:numFmt w:val="decimal"/>
      <w:lvlText w:val="(%7)"/>
      <w:lvlJc w:val="left"/>
      <w:pPr>
        <w:ind w:left="5040" w:hanging="360"/>
      </w:pPr>
    </w:lvl>
    <w:lvl w:ilvl="7">
      <w:start w:val="189"/>
      <w:numFmt w:val="decimal"/>
      <w:lvlText w:val="(%8)"/>
      <w:lvlJc w:val="left"/>
      <w:pPr>
        <w:ind w:left="5760" w:hanging="360"/>
      </w:pPr>
    </w:lvl>
    <w:lvl w:ilvl="8">
      <w:start w:val="189"/>
      <w:numFmt w:val="decimal"/>
      <w:lvlText w:val="(%9)"/>
      <w:lvlJc w:val="left"/>
      <w:pPr>
        <w:ind w:left="6480" w:hanging="360"/>
      </w:pPr>
    </w:lvl>
  </w:abstractNum>
  <w:abstractNum w:abstractNumId="9943192">
    <w:nsid w:val="A9943192"/>
    <w:multiLevelType w:val="multilevel"/>
    <w:lvl w:ilvl="0">
      <w:start w:val="192"/>
      <w:numFmt w:val="decimal"/>
      <w:lvlText w:val="(%1)"/>
      <w:lvlJc w:val="left"/>
      <w:pPr>
        <w:ind w:left="720" w:hanging="360"/>
      </w:pPr>
    </w:lvl>
    <w:lvl w:ilvl="1">
      <w:start w:val="192"/>
      <w:numFmt w:val="decimal"/>
      <w:lvlText w:val="(%2)"/>
      <w:lvlJc w:val="left"/>
      <w:pPr>
        <w:ind w:left="1440" w:hanging="360"/>
      </w:pPr>
    </w:lvl>
    <w:lvl w:ilvl="2">
      <w:start w:val="192"/>
      <w:numFmt w:val="decimal"/>
      <w:lvlText w:val="(%3)"/>
      <w:lvlJc w:val="left"/>
      <w:pPr>
        <w:ind w:left="2160" w:hanging="360"/>
      </w:pPr>
    </w:lvl>
    <w:lvl w:ilvl="3">
      <w:start w:val="192"/>
      <w:numFmt w:val="decimal"/>
      <w:lvlText w:val="(%4)"/>
      <w:lvlJc w:val="left"/>
      <w:pPr>
        <w:ind w:left="2880" w:hanging="360"/>
      </w:pPr>
    </w:lvl>
    <w:lvl w:ilvl="4">
      <w:start w:val="192"/>
      <w:numFmt w:val="decimal"/>
      <w:lvlText w:val="(%5)"/>
      <w:lvlJc w:val="left"/>
      <w:pPr>
        <w:ind w:left="3600" w:hanging="360"/>
      </w:pPr>
    </w:lvl>
    <w:lvl w:ilvl="5">
      <w:start w:val="192"/>
      <w:numFmt w:val="decimal"/>
      <w:lvlText w:val="(%6)"/>
      <w:lvlJc w:val="left"/>
      <w:pPr>
        <w:ind w:left="4320" w:hanging="360"/>
      </w:pPr>
    </w:lvl>
    <w:lvl w:ilvl="6">
      <w:start w:val="192"/>
      <w:numFmt w:val="decimal"/>
      <w:lvlText w:val="(%7)"/>
      <w:lvlJc w:val="left"/>
      <w:pPr>
        <w:ind w:left="5040" w:hanging="360"/>
      </w:pPr>
    </w:lvl>
    <w:lvl w:ilvl="7">
      <w:start w:val="192"/>
      <w:numFmt w:val="decimal"/>
      <w:lvlText w:val="(%8)"/>
      <w:lvlJc w:val="left"/>
      <w:pPr>
        <w:ind w:left="5760" w:hanging="360"/>
      </w:pPr>
    </w:lvl>
    <w:lvl w:ilvl="8">
      <w:start w:val="192"/>
      <w:numFmt w:val="decimal"/>
      <w:lvlText w:val="(%9)"/>
      <w:lvlJc w:val="left"/>
      <w:pPr>
        <w:ind w:left="6480" w:hanging="360"/>
      </w:pPr>
    </w:lvl>
  </w:abstractNum>
  <w:abstractNum w:abstractNumId="9943199">
    <w:nsid w:val="A9943199"/>
    <w:multiLevelType w:val="multilevel"/>
    <w:lvl w:ilvl="0">
      <w:start w:val="199"/>
      <w:numFmt w:val="decimal"/>
      <w:lvlText w:val="(%1)"/>
      <w:lvlJc w:val="left"/>
      <w:pPr>
        <w:ind w:left="720" w:hanging="360"/>
      </w:pPr>
    </w:lvl>
    <w:lvl w:ilvl="1">
      <w:start w:val="199"/>
      <w:numFmt w:val="decimal"/>
      <w:lvlText w:val="(%2)"/>
      <w:lvlJc w:val="left"/>
      <w:pPr>
        <w:ind w:left="1440" w:hanging="360"/>
      </w:pPr>
    </w:lvl>
    <w:lvl w:ilvl="2">
      <w:start w:val="199"/>
      <w:numFmt w:val="decimal"/>
      <w:lvlText w:val="(%3)"/>
      <w:lvlJc w:val="left"/>
      <w:pPr>
        <w:ind w:left="2160" w:hanging="360"/>
      </w:pPr>
    </w:lvl>
    <w:lvl w:ilvl="3">
      <w:start w:val="199"/>
      <w:numFmt w:val="decimal"/>
      <w:lvlText w:val="(%4)"/>
      <w:lvlJc w:val="left"/>
      <w:pPr>
        <w:ind w:left="2880" w:hanging="360"/>
      </w:pPr>
    </w:lvl>
    <w:lvl w:ilvl="4">
      <w:start w:val="199"/>
      <w:numFmt w:val="decimal"/>
      <w:lvlText w:val="(%5)"/>
      <w:lvlJc w:val="left"/>
      <w:pPr>
        <w:ind w:left="3600" w:hanging="360"/>
      </w:pPr>
    </w:lvl>
    <w:lvl w:ilvl="5">
      <w:start w:val="199"/>
      <w:numFmt w:val="decimal"/>
      <w:lvlText w:val="(%6)"/>
      <w:lvlJc w:val="left"/>
      <w:pPr>
        <w:ind w:left="4320" w:hanging="360"/>
      </w:pPr>
    </w:lvl>
    <w:lvl w:ilvl="6">
      <w:start w:val="199"/>
      <w:numFmt w:val="decimal"/>
      <w:lvlText w:val="(%7)"/>
      <w:lvlJc w:val="left"/>
      <w:pPr>
        <w:ind w:left="5040" w:hanging="360"/>
      </w:pPr>
    </w:lvl>
    <w:lvl w:ilvl="7">
      <w:start w:val="199"/>
      <w:numFmt w:val="decimal"/>
      <w:lvlText w:val="(%8)"/>
      <w:lvlJc w:val="left"/>
      <w:pPr>
        <w:ind w:left="5760" w:hanging="360"/>
      </w:pPr>
    </w:lvl>
    <w:lvl w:ilvl="8">
      <w:start w:val="199"/>
      <w:numFmt w:val="decimal"/>
      <w:lvlText w:val="(%9)"/>
      <w:lvlJc w:val="left"/>
      <w:pPr>
        <w:ind w:left="6480" w:hanging="360"/>
      </w:pPr>
    </w:lvl>
  </w:abstractNum>
  <w:abstractNum w:abstractNumId="9943203">
    <w:nsid w:val="A9943203"/>
    <w:multiLevelType w:val="multilevel"/>
    <w:lvl w:ilvl="0">
      <w:start w:val="203"/>
      <w:numFmt w:val="decimal"/>
      <w:lvlText w:val="(%1)"/>
      <w:lvlJc w:val="left"/>
      <w:pPr>
        <w:ind w:left="720" w:hanging="360"/>
      </w:pPr>
    </w:lvl>
    <w:lvl w:ilvl="1">
      <w:start w:val="203"/>
      <w:numFmt w:val="decimal"/>
      <w:lvlText w:val="(%2)"/>
      <w:lvlJc w:val="left"/>
      <w:pPr>
        <w:ind w:left="1440" w:hanging="360"/>
      </w:pPr>
    </w:lvl>
    <w:lvl w:ilvl="2">
      <w:start w:val="203"/>
      <w:numFmt w:val="decimal"/>
      <w:lvlText w:val="(%3)"/>
      <w:lvlJc w:val="left"/>
      <w:pPr>
        <w:ind w:left="2160" w:hanging="360"/>
      </w:pPr>
    </w:lvl>
    <w:lvl w:ilvl="3">
      <w:start w:val="203"/>
      <w:numFmt w:val="decimal"/>
      <w:lvlText w:val="(%4)"/>
      <w:lvlJc w:val="left"/>
      <w:pPr>
        <w:ind w:left="2880" w:hanging="360"/>
      </w:pPr>
    </w:lvl>
    <w:lvl w:ilvl="4">
      <w:start w:val="203"/>
      <w:numFmt w:val="decimal"/>
      <w:lvlText w:val="(%5)"/>
      <w:lvlJc w:val="left"/>
      <w:pPr>
        <w:ind w:left="3600" w:hanging="360"/>
      </w:pPr>
    </w:lvl>
    <w:lvl w:ilvl="5">
      <w:start w:val="203"/>
      <w:numFmt w:val="decimal"/>
      <w:lvlText w:val="(%6)"/>
      <w:lvlJc w:val="left"/>
      <w:pPr>
        <w:ind w:left="4320" w:hanging="360"/>
      </w:pPr>
    </w:lvl>
    <w:lvl w:ilvl="6">
      <w:start w:val="203"/>
      <w:numFmt w:val="decimal"/>
      <w:lvlText w:val="(%7)"/>
      <w:lvlJc w:val="left"/>
      <w:pPr>
        <w:ind w:left="5040" w:hanging="360"/>
      </w:pPr>
    </w:lvl>
    <w:lvl w:ilvl="7">
      <w:start w:val="203"/>
      <w:numFmt w:val="decimal"/>
      <w:lvlText w:val="(%8)"/>
      <w:lvlJc w:val="left"/>
      <w:pPr>
        <w:ind w:left="5760" w:hanging="360"/>
      </w:pPr>
    </w:lvl>
    <w:lvl w:ilvl="8">
      <w:start w:val="203"/>
      <w:numFmt w:val="decimal"/>
      <w:lvlText w:val="(%9)"/>
      <w:lvlJc w:val="left"/>
      <w:pPr>
        <w:ind w:left="6480" w:hanging="360"/>
      </w:pPr>
    </w:lvl>
  </w:abstractNum>
  <w:abstractNum w:abstractNumId="9943209">
    <w:nsid w:val="A9943209"/>
    <w:multiLevelType w:val="multilevel"/>
    <w:lvl w:ilvl="0">
      <w:start w:val="209"/>
      <w:numFmt w:val="decimal"/>
      <w:lvlText w:val="(%1)"/>
      <w:lvlJc w:val="left"/>
      <w:pPr>
        <w:ind w:left="720" w:hanging="360"/>
      </w:pPr>
    </w:lvl>
    <w:lvl w:ilvl="1">
      <w:start w:val="209"/>
      <w:numFmt w:val="decimal"/>
      <w:lvlText w:val="(%2)"/>
      <w:lvlJc w:val="left"/>
      <w:pPr>
        <w:ind w:left="1440" w:hanging="360"/>
      </w:pPr>
    </w:lvl>
    <w:lvl w:ilvl="2">
      <w:start w:val="209"/>
      <w:numFmt w:val="decimal"/>
      <w:lvlText w:val="(%3)"/>
      <w:lvlJc w:val="left"/>
      <w:pPr>
        <w:ind w:left="2160" w:hanging="360"/>
      </w:pPr>
    </w:lvl>
    <w:lvl w:ilvl="3">
      <w:start w:val="209"/>
      <w:numFmt w:val="decimal"/>
      <w:lvlText w:val="(%4)"/>
      <w:lvlJc w:val="left"/>
      <w:pPr>
        <w:ind w:left="2880" w:hanging="360"/>
      </w:pPr>
    </w:lvl>
    <w:lvl w:ilvl="4">
      <w:start w:val="209"/>
      <w:numFmt w:val="decimal"/>
      <w:lvlText w:val="(%5)"/>
      <w:lvlJc w:val="left"/>
      <w:pPr>
        <w:ind w:left="3600" w:hanging="360"/>
      </w:pPr>
    </w:lvl>
    <w:lvl w:ilvl="5">
      <w:start w:val="209"/>
      <w:numFmt w:val="decimal"/>
      <w:lvlText w:val="(%6)"/>
      <w:lvlJc w:val="left"/>
      <w:pPr>
        <w:ind w:left="4320" w:hanging="360"/>
      </w:pPr>
    </w:lvl>
    <w:lvl w:ilvl="6">
      <w:start w:val="209"/>
      <w:numFmt w:val="decimal"/>
      <w:lvlText w:val="(%7)"/>
      <w:lvlJc w:val="left"/>
      <w:pPr>
        <w:ind w:left="5040" w:hanging="360"/>
      </w:pPr>
    </w:lvl>
    <w:lvl w:ilvl="7">
      <w:start w:val="209"/>
      <w:numFmt w:val="decimal"/>
      <w:lvlText w:val="(%8)"/>
      <w:lvlJc w:val="left"/>
      <w:pPr>
        <w:ind w:left="5760" w:hanging="360"/>
      </w:pPr>
    </w:lvl>
    <w:lvl w:ilvl="8">
      <w:start w:val="209"/>
      <w:numFmt w:val="decimal"/>
      <w:lvlText w:val="(%9)"/>
      <w:lvlJc w:val="left"/>
      <w:pPr>
        <w:ind w:left="6480" w:hanging="360"/>
      </w:pPr>
    </w:lvl>
  </w:abstractNum>
  <w:abstractNum w:abstractNumId="9943213">
    <w:nsid w:val="A9943213"/>
    <w:multiLevelType w:val="multilevel"/>
    <w:lvl w:ilvl="0">
      <w:start w:val="213"/>
      <w:numFmt w:val="decimal"/>
      <w:lvlText w:val="(%1)"/>
      <w:lvlJc w:val="left"/>
      <w:pPr>
        <w:ind w:left="720" w:hanging="360"/>
      </w:pPr>
    </w:lvl>
    <w:lvl w:ilvl="1">
      <w:start w:val="213"/>
      <w:numFmt w:val="decimal"/>
      <w:lvlText w:val="(%2)"/>
      <w:lvlJc w:val="left"/>
      <w:pPr>
        <w:ind w:left="1440" w:hanging="360"/>
      </w:pPr>
    </w:lvl>
    <w:lvl w:ilvl="2">
      <w:start w:val="213"/>
      <w:numFmt w:val="decimal"/>
      <w:lvlText w:val="(%3)"/>
      <w:lvlJc w:val="left"/>
      <w:pPr>
        <w:ind w:left="2160" w:hanging="360"/>
      </w:pPr>
    </w:lvl>
    <w:lvl w:ilvl="3">
      <w:start w:val="213"/>
      <w:numFmt w:val="decimal"/>
      <w:lvlText w:val="(%4)"/>
      <w:lvlJc w:val="left"/>
      <w:pPr>
        <w:ind w:left="2880" w:hanging="360"/>
      </w:pPr>
    </w:lvl>
    <w:lvl w:ilvl="4">
      <w:start w:val="213"/>
      <w:numFmt w:val="decimal"/>
      <w:lvlText w:val="(%5)"/>
      <w:lvlJc w:val="left"/>
      <w:pPr>
        <w:ind w:left="3600" w:hanging="360"/>
      </w:pPr>
    </w:lvl>
    <w:lvl w:ilvl="5">
      <w:start w:val="213"/>
      <w:numFmt w:val="decimal"/>
      <w:lvlText w:val="(%6)"/>
      <w:lvlJc w:val="left"/>
      <w:pPr>
        <w:ind w:left="4320" w:hanging="360"/>
      </w:pPr>
    </w:lvl>
    <w:lvl w:ilvl="6">
      <w:start w:val="213"/>
      <w:numFmt w:val="decimal"/>
      <w:lvlText w:val="(%7)"/>
      <w:lvlJc w:val="left"/>
      <w:pPr>
        <w:ind w:left="5040" w:hanging="360"/>
      </w:pPr>
    </w:lvl>
    <w:lvl w:ilvl="7">
      <w:start w:val="213"/>
      <w:numFmt w:val="decimal"/>
      <w:lvlText w:val="(%8)"/>
      <w:lvlJc w:val="left"/>
      <w:pPr>
        <w:ind w:left="5760" w:hanging="360"/>
      </w:pPr>
    </w:lvl>
    <w:lvl w:ilvl="8">
      <w:start w:val="213"/>
      <w:numFmt w:val="decimal"/>
      <w:lvlText w:val="(%9)"/>
      <w:lvlJc w:val="left"/>
      <w:pPr>
        <w:ind w:left="6480" w:hanging="360"/>
      </w:pPr>
    </w:lvl>
  </w:abstractNum>
  <w:abstractNum w:abstractNumId="9943223">
    <w:nsid w:val="A9943223"/>
    <w:multiLevelType w:val="multilevel"/>
    <w:lvl w:ilvl="0">
      <w:start w:val="223"/>
      <w:numFmt w:val="decimal"/>
      <w:lvlText w:val="(%1)"/>
      <w:lvlJc w:val="left"/>
      <w:pPr>
        <w:ind w:left="720" w:hanging="360"/>
      </w:pPr>
    </w:lvl>
    <w:lvl w:ilvl="1">
      <w:start w:val="223"/>
      <w:numFmt w:val="decimal"/>
      <w:lvlText w:val="(%2)"/>
      <w:lvlJc w:val="left"/>
      <w:pPr>
        <w:ind w:left="1440" w:hanging="360"/>
      </w:pPr>
    </w:lvl>
    <w:lvl w:ilvl="2">
      <w:start w:val="223"/>
      <w:numFmt w:val="decimal"/>
      <w:lvlText w:val="(%3)"/>
      <w:lvlJc w:val="left"/>
      <w:pPr>
        <w:ind w:left="2160" w:hanging="360"/>
      </w:pPr>
    </w:lvl>
    <w:lvl w:ilvl="3">
      <w:start w:val="223"/>
      <w:numFmt w:val="decimal"/>
      <w:lvlText w:val="(%4)"/>
      <w:lvlJc w:val="left"/>
      <w:pPr>
        <w:ind w:left="2880" w:hanging="360"/>
      </w:pPr>
    </w:lvl>
    <w:lvl w:ilvl="4">
      <w:start w:val="223"/>
      <w:numFmt w:val="decimal"/>
      <w:lvlText w:val="(%5)"/>
      <w:lvlJc w:val="left"/>
      <w:pPr>
        <w:ind w:left="3600" w:hanging="360"/>
      </w:pPr>
    </w:lvl>
    <w:lvl w:ilvl="5">
      <w:start w:val="223"/>
      <w:numFmt w:val="decimal"/>
      <w:lvlText w:val="(%6)"/>
      <w:lvlJc w:val="left"/>
      <w:pPr>
        <w:ind w:left="4320" w:hanging="360"/>
      </w:pPr>
    </w:lvl>
    <w:lvl w:ilvl="6">
      <w:start w:val="223"/>
      <w:numFmt w:val="decimal"/>
      <w:lvlText w:val="(%7)"/>
      <w:lvlJc w:val="left"/>
      <w:pPr>
        <w:ind w:left="5040" w:hanging="360"/>
      </w:pPr>
    </w:lvl>
    <w:lvl w:ilvl="7">
      <w:start w:val="223"/>
      <w:numFmt w:val="decimal"/>
      <w:lvlText w:val="(%8)"/>
      <w:lvlJc w:val="left"/>
      <w:pPr>
        <w:ind w:left="5760" w:hanging="360"/>
      </w:pPr>
    </w:lvl>
    <w:lvl w:ilvl="8">
      <w:start w:val="223"/>
      <w:numFmt w:val="decimal"/>
      <w:lvlText w:val="(%9)"/>
      <w:lvlJc w:val="left"/>
      <w:pPr>
        <w:ind w:left="6480" w:hanging="360"/>
      </w:pPr>
    </w:lvl>
  </w:abstractNum>
  <w:abstractNum w:abstractNumId="9943235">
    <w:nsid w:val="A9943235"/>
    <w:multiLevelType w:val="multilevel"/>
    <w:lvl w:ilvl="0">
      <w:start w:val="235"/>
      <w:numFmt w:val="decimal"/>
      <w:lvlText w:val="(%1)"/>
      <w:lvlJc w:val="left"/>
      <w:pPr>
        <w:ind w:left="720" w:hanging="360"/>
      </w:pPr>
    </w:lvl>
    <w:lvl w:ilvl="1">
      <w:start w:val="235"/>
      <w:numFmt w:val="decimal"/>
      <w:lvlText w:val="(%2)"/>
      <w:lvlJc w:val="left"/>
      <w:pPr>
        <w:ind w:left="1440" w:hanging="360"/>
      </w:pPr>
    </w:lvl>
    <w:lvl w:ilvl="2">
      <w:start w:val="235"/>
      <w:numFmt w:val="decimal"/>
      <w:lvlText w:val="(%3)"/>
      <w:lvlJc w:val="left"/>
      <w:pPr>
        <w:ind w:left="2160" w:hanging="360"/>
      </w:pPr>
    </w:lvl>
    <w:lvl w:ilvl="3">
      <w:start w:val="235"/>
      <w:numFmt w:val="decimal"/>
      <w:lvlText w:val="(%4)"/>
      <w:lvlJc w:val="left"/>
      <w:pPr>
        <w:ind w:left="2880" w:hanging="360"/>
      </w:pPr>
    </w:lvl>
    <w:lvl w:ilvl="4">
      <w:start w:val="235"/>
      <w:numFmt w:val="decimal"/>
      <w:lvlText w:val="(%5)"/>
      <w:lvlJc w:val="left"/>
      <w:pPr>
        <w:ind w:left="3600" w:hanging="360"/>
      </w:pPr>
    </w:lvl>
    <w:lvl w:ilvl="5">
      <w:start w:val="235"/>
      <w:numFmt w:val="decimal"/>
      <w:lvlText w:val="(%6)"/>
      <w:lvlJc w:val="left"/>
      <w:pPr>
        <w:ind w:left="4320" w:hanging="360"/>
      </w:pPr>
    </w:lvl>
    <w:lvl w:ilvl="6">
      <w:start w:val="235"/>
      <w:numFmt w:val="decimal"/>
      <w:lvlText w:val="(%7)"/>
      <w:lvlJc w:val="left"/>
      <w:pPr>
        <w:ind w:left="5040" w:hanging="360"/>
      </w:pPr>
    </w:lvl>
    <w:lvl w:ilvl="7">
      <w:start w:val="235"/>
      <w:numFmt w:val="decimal"/>
      <w:lvlText w:val="(%8)"/>
      <w:lvlJc w:val="left"/>
      <w:pPr>
        <w:ind w:left="5760" w:hanging="360"/>
      </w:pPr>
    </w:lvl>
    <w:lvl w:ilvl="8">
      <w:start w:val="235"/>
      <w:numFmt w:val="decimal"/>
      <w:lvlText w:val="(%9)"/>
      <w:lvlJc w:val="left"/>
      <w:pPr>
        <w:ind w:left="6480" w:hanging="360"/>
      </w:pPr>
    </w:lvl>
  </w:abstractNum>
  <w:abstractNum w:abstractNumId="9943247">
    <w:nsid w:val="A9943247"/>
    <w:multiLevelType w:val="multilevel"/>
    <w:lvl w:ilvl="0">
      <w:start w:val="247"/>
      <w:numFmt w:val="decimal"/>
      <w:lvlText w:val="(%1)"/>
      <w:lvlJc w:val="left"/>
      <w:pPr>
        <w:ind w:left="720" w:hanging="360"/>
      </w:pPr>
    </w:lvl>
    <w:lvl w:ilvl="1">
      <w:start w:val="247"/>
      <w:numFmt w:val="decimal"/>
      <w:lvlText w:val="(%2)"/>
      <w:lvlJc w:val="left"/>
      <w:pPr>
        <w:ind w:left="1440" w:hanging="360"/>
      </w:pPr>
    </w:lvl>
    <w:lvl w:ilvl="2">
      <w:start w:val="247"/>
      <w:numFmt w:val="decimal"/>
      <w:lvlText w:val="(%3)"/>
      <w:lvlJc w:val="left"/>
      <w:pPr>
        <w:ind w:left="2160" w:hanging="360"/>
      </w:pPr>
    </w:lvl>
    <w:lvl w:ilvl="3">
      <w:start w:val="247"/>
      <w:numFmt w:val="decimal"/>
      <w:lvlText w:val="(%4)"/>
      <w:lvlJc w:val="left"/>
      <w:pPr>
        <w:ind w:left="2880" w:hanging="360"/>
      </w:pPr>
    </w:lvl>
    <w:lvl w:ilvl="4">
      <w:start w:val="247"/>
      <w:numFmt w:val="decimal"/>
      <w:lvlText w:val="(%5)"/>
      <w:lvlJc w:val="left"/>
      <w:pPr>
        <w:ind w:left="3600" w:hanging="360"/>
      </w:pPr>
    </w:lvl>
    <w:lvl w:ilvl="5">
      <w:start w:val="247"/>
      <w:numFmt w:val="decimal"/>
      <w:lvlText w:val="(%6)"/>
      <w:lvlJc w:val="left"/>
      <w:pPr>
        <w:ind w:left="4320" w:hanging="360"/>
      </w:pPr>
    </w:lvl>
    <w:lvl w:ilvl="6">
      <w:start w:val="247"/>
      <w:numFmt w:val="decimal"/>
      <w:lvlText w:val="(%7)"/>
      <w:lvlJc w:val="left"/>
      <w:pPr>
        <w:ind w:left="5040" w:hanging="360"/>
      </w:pPr>
    </w:lvl>
    <w:lvl w:ilvl="7">
      <w:start w:val="247"/>
      <w:numFmt w:val="decimal"/>
      <w:lvlText w:val="(%8)"/>
      <w:lvlJc w:val="left"/>
      <w:pPr>
        <w:ind w:left="5760" w:hanging="360"/>
      </w:pPr>
    </w:lvl>
    <w:lvl w:ilvl="8">
      <w:start w:val="247"/>
      <w:numFmt w:val="decimal"/>
      <w:lvlText w:val="(%9)"/>
      <w:lvlJc w:val="left"/>
      <w:pPr>
        <w:ind w:left="6480" w:hanging="360"/>
      </w:pPr>
    </w:lvl>
  </w:abstractNum>
  <w:abstractNum w:abstractNumId="9943253">
    <w:nsid w:val="A9943253"/>
    <w:multiLevelType w:val="multilevel"/>
    <w:lvl w:ilvl="0">
      <w:start w:val="253"/>
      <w:numFmt w:val="decimal"/>
      <w:lvlText w:val="(%1)"/>
      <w:lvlJc w:val="left"/>
      <w:pPr>
        <w:ind w:left="720" w:hanging="360"/>
      </w:pPr>
    </w:lvl>
    <w:lvl w:ilvl="1">
      <w:start w:val="253"/>
      <w:numFmt w:val="decimal"/>
      <w:lvlText w:val="(%2)"/>
      <w:lvlJc w:val="left"/>
      <w:pPr>
        <w:ind w:left="1440" w:hanging="360"/>
      </w:pPr>
    </w:lvl>
    <w:lvl w:ilvl="2">
      <w:start w:val="253"/>
      <w:numFmt w:val="decimal"/>
      <w:lvlText w:val="(%3)"/>
      <w:lvlJc w:val="left"/>
      <w:pPr>
        <w:ind w:left="2160" w:hanging="360"/>
      </w:pPr>
    </w:lvl>
    <w:lvl w:ilvl="3">
      <w:start w:val="253"/>
      <w:numFmt w:val="decimal"/>
      <w:lvlText w:val="(%4)"/>
      <w:lvlJc w:val="left"/>
      <w:pPr>
        <w:ind w:left="2880" w:hanging="360"/>
      </w:pPr>
    </w:lvl>
    <w:lvl w:ilvl="4">
      <w:start w:val="253"/>
      <w:numFmt w:val="decimal"/>
      <w:lvlText w:val="(%5)"/>
      <w:lvlJc w:val="left"/>
      <w:pPr>
        <w:ind w:left="3600" w:hanging="360"/>
      </w:pPr>
    </w:lvl>
    <w:lvl w:ilvl="5">
      <w:start w:val="253"/>
      <w:numFmt w:val="decimal"/>
      <w:lvlText w:val="(%6)"/>
      <w:lvlJc w:val="left"/>
      <w:pPr>
        <w:ind w:left="4320" w:hanging="360"/>
      </w:pPr>
    </w:lvl>
    <w:lvl w:ilvl="6">
      <w:start w:val="253"/>
      <w:numFmt w:val="decimal"/>
      <w:lvlText w:val="(%7)"/>
      <w:lvlJc w:val="left"/>
      <w:pPr>
        <w:ind w:left="5040" w:hanging="360"/>
      </w:pPr>
    </w:lvl>
    <w:lvl w:ilvl="7">
      <w:start w:val="253"/>
      <w:numFmt w:val="decimal"/>
      <w:lvlText w:val="(%8)"/>
      <w:lvlJc w:val="left"/>
      <w:pPr>
        <w:ind w:left="5760" w:hanging="360"/>
      </w:pPr>
    </w:lvl>
    <w:lvl w:ilvl="8">
      <w:start w:val="253"/>
      <w:numFmt w:val="decimal"/>
      <w:lvlText w:val="(%9)"/>
      <w:lvlJc w:val="left"/>
      <w:pPr>
        <w:ind w:left="6480" w:hanging="360"/>
      </w:pPr>
    </w:lvl>
  </w:abstractNum>
  <w:abstractNum w:abstractNumId="9943257">
    <w:nsid w:val="A9943257"/>
    <w:multiLevelType w:val="multilevel"/>
    <w:lvl w:ilvl="0">
      <w:start w:val="257"/>
      <w:numFmt w:val="decimal"/>
      <w:lvlText w:val="(%1)"/>
      <w:lvlJc w:val="left"/>
      <w:pPr>
        <w:ind w:left="720" w:hanging="360"/>
      </w:pPr>
    </w:lvl>
    <w:lvl w:ilvl="1">
      <w:start w:val="257"/>
      <w:numFmt w:val="decimal"/>
      <w:lvlText w:val="(%2)"/>
      <w:lvlJc w:val="left"/>
      <w:pPr>
        <w:ind w:left="1440" w:hanging="360"/>
      </w:pPr>
    </w:lvl>
    <w:lvl w:ilvl="2">
      <w:start w:val="257"/>
      <w:numFmt w:val="decimal"/>
      <w:lvlText w:val="(%3)"/>
      <w:lvlJc w:val="left"/>
      <w:pPr>
        <w:ind w:left="2160" w:hanging="360"/>
      </w:pPr>
    </w:lvl>
    <w:lvl w:ilvl="3">
      <w:start w:val="257"/>
      <w:numFmt w:val="decimal"/>
      <w:lvlText w:val="(%4)"/>
      <w:lvlJc w:val="left"/>
      <w:pPr>
        <w:ind w:left="2880" w:hanging="360"/>
      </w:pPr>
    </w:lvl>
    <w:lvl w:ilvl="4">
      <w:start w:val="257"/>
      <w:numFmt w:val="decimal"/>
      <w:lvlText w:val="(%5)"/>
      <w:lvlJc w:val="left"/>
      <w:pPr>
        <w:ind w:left="3600" w:hanging="360"/>
      </w:pPr>
    </w:lvl>
    <w:lvl w:ilvl="5">
      <w:start w:val="257"/>
      <w:numFmt w:val="decimal"/>
      <w:lvlText w:val="(%6)"/>
      <w:lvlJc w:val="left"/>
      <w:pPr>
        <w:ind w:left="4320" w:hanging="360"/>
      </w:pPr>
    </w:lvl>
    <w:lvl w:ilvl="6">
      <w:start w:val="257"/>
      <w:numFmt w:val="decimal"/>
      <w:lvlText w:val="(%7)"/>
      <w:lvlJc w:val="left"/>
      <w:pPr>
        <w:ind w:left="5040" w:hanging="360"/>
      </w:pPr>
    </w:lvl>
    <w:lvl w:ilvl="7">
      <w:start w:val="257"/>
      <w:numFmt w:val="decimal"/>
      <w:lvlText w:val="(%8)"/>
      <w:lvlJc w:val="left"/>
      <w:pPr>
        <w:ind w:left="5760" w:hanging="360"/>
      </w:pPr>
    </w:lvl>
    <w:lvl w:ilvl="8">
      <w:start w:val="257"/>
      <w:numFmt w:val="decimal"/>
      <w:lvlText w:val="(%9)"/>
      <w:lvlJc w:val="left"/>
      <w:pPr>
        <w:ind w:left="6480" w:hanging="360"/>
      </w:pPr>
    </w:lvl>
  </w:abstractNum>
  <w:abstractNum w:abstractNumId="9943263">
    <w:nsid w:val="A9943263"/>
    <w:multiLevelType w:val="multilevel"/>
    <w:lvl w:ilvl="0">
      <w:start w:val="263"/>
      <w:numFmt w:val="decimal"/>
      <w:lvlText w:val="(%1)"/>
      <w:lvlJc w:val="left"/>
      <w:pPr>
        <w:ind w:left="720" w:hanging="360"/>
      </w:pPr>
    </w:lvl>
    <w:lvl w:ilvl="1">
      <w:start w:val="263"/>
      <w:numFmt w:val="decimal"/>
      <w:lvlText w:val="(%2)"/>
      <w:lvlJc w:val="left"/>
      <w:pPr>
        <w:ind w:left="1440" w:hanging="360"/>
      </w:pPr>
    </w:lvl>
    <w:lvl w:ilvl="2">
      <w:start w:val="263"/>
      <w:numFmt w:val="decimal"/>
      <w:lvlText w:val="(%3)"/>
      <w:lvlJc w:val="left"/>
      <w:pPr>
        <w:ind w:left="2160" w:hanging="360"/>
      </w:pPr>
    </w:lvl>
    <w:lvl w:ilvl="3">
      <w:start w:val="263"/>
      <w:numFmt w:val="decimal"/>
      <w:lvlText w:val="(%4)"/>
      <w:lvlJc w:val="left"/>
      <w:pPr>
        <w:ind w:left="2880" w:hanging="360"/>
      </w:pPr>
    </w:lvl>
    <w:lvl w:ilvl="4">
      <w:start w:val="263"/>
      <w:numFmt w:val="decimal"/>
      <w:lvlText w:val="(%5)"/>
      <w:lvlJc w:val="left"/>
      <w:pPr>
        <w:ind w:left="3600" w:hanging="360"/>
      </w:pPr>
    </w:lvl>
    <w:lvl w:ilvl="5">
      <w:start w:val="263"/>
      <w:numFmt w:val="decimal"/>
      <w:lvlText w:val="(%6)"/>
      <w:lvlJc w:val="left"/>
      <w:pPr>
        <w:ind w:left="4320" w:hanging="360"/>
      </w:pPr>
    </w:lvl>
    <w:lvl w:ilvl="6">
      <w:start w:val="263"/>
      <w:numFmt w:val="decimal"/>
      <w:lvlText w:val="(%7)"/>
      <w:lvlJc w:val="left"/>
      <w:pPr>
        <w:ind w:left="5040" w:hanging="360"/>
      </w:pPr>
    </w:lvl>
    <w:lvl w:ilvl="7">
      <w:start w:val="263"/>
      <w:numFmt w:val="decimal"/>
      <w:lvlText w:val="(%8)"/>
      <w:lvlJc w:val="left"/>
      <w:pPr>
        <w:ind w:left="5760" w:hanging="360"/>
      </w:pPr>
    </w:lvl>
    <w:lvl w:ilvl="8">
      <w:start w:val="263"/>
      <w:numFmt w:val="decimal"/>
      <w:lvlText w:val="(%9)"/>
      <w:lvlJc w:val="left"/>
      <w:pPr>
        <w:ind w:left="6480" w:hanging="360"/>
      </w:pPr>
    </w:lvl>
  </w:abstractNum>
  <w:abstractNum w:abstractNumId="9943269">
    <w:nsid w:val="A9943269"/>
    <w:multiLevelType w:val="multilevel"/>
    <w:lvl w:ilvl="0">
      <w:start w:val="269"/>
      <w:numFmt w:val="decimal"/>
      <w:lvlText w:val="(%1)"/>
      <w:lvlJc w:val="left"/>
      <w:pPr>
        <w:ind w:left="720" w:hanging="360"/>
      </w:pPr>
    </w:lvl>
    <w:lvl w:ilvl="1">
      <w:start w:val="269"/>
      <w:numFmt w:val="decimal"/>
      <w:lvlText w:val="(%2)"/>
      <w:lvlJc w:val="left"/>
      <w:pPr>
        <w:ind w:left="1440" w:hanging="360"/>
      </w:pPr>
    </w:lvl>
    <w:lvl w:ilvl="2">
      <w:start w:val="269"/>
      <w:numFmt w:val="decimal"/>
      <w:lvlText w:val="(%3)"/>
      <w:lvlJc w:val="left"/>
      <w:pPr>
        <w:ind w:left="2160" w:hanging="360"/>
      </w:pPr>
    </w:lvl>
    <w:lvl w:ilvl="3">
      <w:start w:val="269"/>
      <w:numFmt w:val="decimal"/>
      <w:lvlText w:val="(%4)"/>
      <w:lvlJc w:val="left"/>
      <w:pPr>
        <w:ind w:left="2880" w:hanging="360"/>
      </w:pPr>
    </w:lvl>
    <w:lvl w:ilvl="4">
      <w:start w:val="269"/>
      <w:numFmt w:val="decimal"/>
      <w:lvlText w:val="(%5)"/>
      <w:lvlJc w:val="left"/>
      <w:pPr>
        <w:ind w:left="3600" w:hanging="360"/>
      </w:pPr>
    </w:lvl>
    <w:lvl w:ilvl="5">
      <w:start w:val="269"/>
      <w:numFmt w:val="decimal"/>
      <w:lvlText w:val="(%6)"/>
      <w:lvlJc w:val="left"/>
      <w:pPr>
        <w:ind w:left="4320" w:hanging="360"/>
      </w:pPr>
    </w:lvl>
    <w:lvl w:ilvl="6">
      <w:start w:val="269"/>
      <w:numFmt w:val="decimal"/>
      <w:lvlText w:val="(%7)"/>
      <w:lvlJc w:val="left"/>
      <w:pPr>
        <w:ind w:left="5040" w:hanging="360"/>
      </w:pPr>
    </w:lvl>
    <w:lvl w:ilvl="7">
      <w:start w:val="269"/>
      <w:numFmt w:val="decimal"/>
      <w:lvlText w:val="(%8)"/>
      <w:lvlJc w:val="left"/>
      <w:pPr>
        <w:ind w:left="5760" w:hanging="360"/>
      </w:pPr>
    </w:lvl>
    <w:lvl w:ilvl="8">
      <w:start w:val="269"/>
      <w:numFmt w:val="decimal"/>
      <w:lvlText w:val="(%9)"/>
      <w:lvlJc w:val="left"/>
      <w:pPr>
        <w:ind w:left="6480" w:hanging="360"/>
      </w:pPr>
    </w:lvl>
  </w:abstractNum>
  <w:abstractNum w:abstractNumId="9943273">
    <w:nsid w:val="A9943273"/>
    <w:multiLevelType w:val="multilevel"/>
    <w:lvl w:ilvl="0">
      <w:start w:val="273"/>
      <w:numFmt w:val="decimal"/>
      <w:lvlText w:val="(%1)"/>
      <w:lvlJc w:val="left"/>
      <w:pPr>
        <w:ind w:left="720" w:hanging="360"/>
      </w:pPr>
    </w:lvl>
    <w:lvl w:ilvl="1">
      <w:start w:val="273"/>
      <w:numFmt w:val="decimal"/>
      <w:lvlText w:val="(%2)"/>
      <w:lvlJc w:val="left"/>
      <w:pPr>
        <w:ind w:left="1440" w:hanging="360"/>
      </w:pPr>
    </w:lvl>
    <w:lvl w:ilvl="2">
      <w:start w:val="273"/>
      <w:numFmt w:val="decimal"/>
      <w:lvlText w:val="(%3)"/>
      <w:lvlJc w:val="left"/>
      <w:pPr>
        <w:ind w:left="2160" w:hanging="360"/>
      </w:pPr>
    </w:lvl>
    <w:lvl w:ilvl="3">
      <w:start w:val="273"/>
      <w:numFmt w:val="decimal"/>
      <w:lvlText w:val="(%4)"/>
      <w:lvlJc w:val="left"/>
      <w:pPr>
        <w:ind w:left="2880" w:hanging="360"/>
      </w:pPr>
    </w:lvl>
    <w:lvl w:ilvl="4">
      <w:start w:val="273"/>
      <w:numFmt w:val="decimal"/>
      <w:lvlText w:val="(%5)"/>
      <w:lvlJc w:val="left"/>
      <w:pPr>
        <w:ind w:left="3600" w:hanging="360"/>
      </w:pPr>
    </w:lvl>
    <w:lvl w:ilvl="5">
      <w:start w:val="273"/>
      <w:numFmt w:val="decimal"/>
      <w:lvlText w:val="(%6)"/>
      <w:lvlJc w:val="left"/>
      <w:pPr>
        <w:ind w:left="4320" w:hanging="360"/>
      </w:pPr>
    </w:lvl>
    <w:lvl w:ilvl="6">
      <w:start w:val="273"/>
      <w:numFmt w:val="decimal"/>
      <w:lvlText w:val="(%7)"/>
      <w:lvlJc w:val="left"/>
      <w:pPr>
        <w:ind w:left="5040" w:hanging="360"/>
      </w:pPr>
    </w:lvl>
    <w:lvl w:ilvl="7">
      <w:start w:val="273"/>
      <w:numFmt w:val="decimal"/>
      <w:lvlText w:val="(%8)"/>
      <w:lvlJc w:val="left"/>
      <w:pPr>
        <w:ind w:left="5760" w:hanging="360"/>
      </w:pPr>
    </w:lvl>
    <w:lvl w:ilvl="8">
      <w:start w:val="273"/>
      <w:numFmt w:val="decimal"/>
      <w:lvlText w:val="(%9)"/>
      <w:lvlJc w:val="left"/>
      <w:pPr>
        <w:ind w:left="6480" w:hanging="360"/>
      </w:pPr>
    </w:lvl>
  </w:abstractNum>
  <w:abstractNum w:abstractNumId="9943279">
    <w:nsid w:val="A9943279"/>
    <w:multiLevelType w:val="multilevel"/>
    <w:lvl w:ilvl="0">
      <w:start w:val="279"/>
      <w:numFmt w:val="decimal"/>
      <w:lvlText w:val="(%1)"/>
      <w:lvlJc w:val="left"/>
      <w:pPr>
        <w:ind w:left="720" w:hanging="360"/>
      </w:pPr>
    </w:lvl>
    <w:lvl w:ilvl="1">
      <w:start w:val="279"/>
      <w:numFmt w:val="decimal"/>
      <w:lvlText w:val="(%2)"/>
      <w:lvlJc w:val="left"/>
      <w:pPr>
        <w:ind w:left="1440" w:hanging="360"/>
      </w:pPr>
    </w:lvl>
    <w:lvl w:ilvl="2">
      <w:start w:val="279"/>
      <w:numFmt w:val="decimal"/>
      <w:lvlText w:val="(%3)"/>
      <w:lvlJc w:val="left"/>
      <w:pPr>
        <w:ind w:left="2160" w:hanging="360"/>
      </w:pPr>
    </w:lvl>
    <w:lvl w:ilvl="3">
      <w:start w:val="279"/>
      <w:numFmt w:val="decimal"/>
      <w:lvlText w:val="(%4)"/>
      <w:lvlJc w:val="left"/>
      <w:pPr>
        <w:ind w:left="2880" w:hanging="360"/>
      </w:pPr>
    </w:lvl>
    <w:lvl w:ilvl="4">
      <w:start w:val="279"/>
      <w:numFmt w:val="decimal"/>
      <w:lvlText w:val="(%5)"/>
      <w:lvlJc w:val="left"/>
      <w:pPr>
        <w:ind w:left="3600" w:hanging="360"/>
      </w:pPr>
    </w:lvl>
    <w:lvl w:ilvl="5">
      <w:start w:val="279"/>
      <w:numFmt w:val="decimal"/>
      <w:lvlText w:val="(%6)"/>
      <w:lvlJc w:val="left"/>
      <w:pPr>
        <w:ind w:left="4320" w:hanging="360"/>
      </w:pPr>
    </w:lvl>
    <w:lvl w:ilvl="6">
      <w:start w:val="279"/>
      <w:numFmt w:val="decimal"/>
      <w:lvlText w:val="(%7)"/>
      <w:lvlJc w:val="left"/>
      <w:pPr>
        <w:ind w:left="5040" w:hanging="360"/>
      </w:pPr>
    </w:lvl>
    <w:lvl w:ilvl="7">
      <w:start w:val="279"/>
      <w:numFmt w:val="decimal"/>
      <w:lvlText w:val="(%8)"/>
      <w:lvlJc w:val="left"/>
      <w:pPr>
        <w:ind w:left="5760" w:hanging="360"/>
      </w:pPr>
    </w:lvl>
    <w:lvl w:ilvl="8">
      <w:start w:val="279"/>
      <w:numFmt w:val="decimal"/>
      <w:lvlText w:val="(%9)"/>
      <w:lvlJc w:val="left"/>
      <w:pPr>
        <w:ind w:left="6480" w:hanging="360"/>
      </w:pPr>
    </w:lvl>
  </w:abstractNum>
  <w:abstractNum w:abstractNumId="9943284">
    <w:nsid w:val="A9943284"/>
    <w:multiLevelType w:val="multilevel"/>
    <w:lvl w:ilvl="0">
      <w:start w:val="284"/>
      <w:numFmt w:val="decimal"/>
      <w:lvlText w:val="(%1)"/>
      <w:lvlJc w:val="left"/>
      <w:pPr>
        <w:ind w:left="720" w:hanging="360"/>
      </w:pPr>
    </w:lvl>
    <w:lvl w:ilvl="1">
      <w:start w:val="284"/>
      <w:numFmt w:val="decimal"/>
      <w:lvlText w:val="(%2)"/>
      <w:lvlJc w:val="left"/>
      <w:pPr>
        <w:ind w:left="1440" w:hanging="360"/>
      </w:pPr>
    </w:lvl>
    <w:lvl w:ilvl="2">
      <w:start w:val="284"/>
      <w:numFmt w:val="decimal"/>
      <w:lvlText w:val="(%3)"/>
      <w:lvlJc w:val="left"/>
      <w:pPr>
        <w:ind w:left="2160" w:hanging="360"/>
      </w:pPr>
    </w:lvl>
    <w:lvl w:ilvl="3">
      <w:start w:val="284"/>
      <w:numFmt w:val="decimal"/>
      <w:lvlText w:val="(%4)"/>
      <w:lvlJc w:val="left"/>
      <w:pPr>
        <w:ind w:left="2880" w:hanging="360"/>
      </w:pPr>
    </w:lvl>
    <w:lvl w:ilvl="4">
      <w:start w:val="284"/>
      <w:numFmt w:val="decimal"/>
      <w:lvlText w:val="(%5)"/>
      <w:lvlJc w:val="left"/>
      <w:pPr>
        <w:ind w:left="3600" w:hanging="360"/>
      </w:pPr>
    </w:lvl>
    <w:lvl w:ilvl="5">
      <w:start w:val="284"/>
      <w:numFmt w:val="decimal"/>
      <w:lvlText w:val="(%6)"/>
      <w:lvlJc w:val="left"/>
      <w:pPr>
        <w:ind w:left="4320" w:hanging="360"/>
      </w:pPr>
    </w:lvl>
    <w:lvl w:ilvl="6">
      <w:start w:val="284"/>
      <w:numFmt w:val="decimal"/>
      <w:lvlText w:val="(%7)"/>
      <w:lvlJc w:val="left"/>
      <w:pPr>
        <w:ind w:left="5040" w:hanging="360"/>
      </w:pPr>
    </w:lvl>
    <w:lvl w:ilvl="7">
      <w:start w:val="284"/>
      <w:numFmt w:val="decimal"/>
      <w:lvlText w:val="(%8)"/>
      <w:lvlJc w:val="left"/>
      <w:pPr>
        <w:ind w:left="5760" w:hanging="360"/>
      </w:pPr>
    </w:lvl>
    <w:lvl w:ilvl="8">
      <w:start w:val="284"/>
      <w:numFmt w:val="decimal"/>
      <w:lvlText w:val="(%9)"/>
      <w:lvlJc w:val="left"/>
      <w:pPr>
        <w:ind w:left="6480" w:hanging="360"/>
      </w:pPr>
    </w:lvl>
  </w:abstractNum>
  <w:abstractNum w:abstractNumId="9943285">
    <w:nsid w:val="A9943285"/>
    <w:multiLevelType w:val="multilevel"/>
    <w:lvl w:ilvl="0">
      <w:start w:val="285"/>
      <w:numFmt w:val="decimal"/>
      <w:lvlText w:val="(%1)"/>
      <w:lvlJc w:val="left"/>
      <w:pPr>
        <w:ind w:left="720" w:hanging="360"/>
      </w:pPr>
    </w:lvl>
    <w:lvl w:ilvl="1">
      <w:start w:val="285"/>
      <w:numFmt w:val="decimal"/>
      <w:lvlText w:val="(%2)"/>
      <w:lvlJc w:val="left"/>
      <w:pPr>
        <w:ind w:left="1440" w:hanging="360"/>
      </w:pPr>
    </w:lvl>
    <w:lvl w:ilvl="2">
      <w:start w:val="285"/>
      <w:numFmt w:val="decimal"/>
      <w:lvlText w:val="(%3)"/>
      <w:lvlJc w:val="left"/>
      <w:pPr>
        <w:ind w:left="2160" w:hanging="360"/>
      </w:pPr>
    </w:lvl>
    <w:lvl w:ilvl="3">
      <w:start w:val="285"/>
      <w:numFmt w:val="decimal"/>
      <w:lvlText w:val="(%4)"/>
      <w:lvlJc w:val="left"/>
      <w:pPr>
        <w:ind w:left="2880" w:hanging="360"/>
      </w:pPr>
    </w:lvl>
    <w:lvl w:ilvl="4">
      <w:start w:val="285"/>
      <w:numFmt w:val="decimal"/>
      <w:lvlText w:val="(%5)"/>
      <w:lvlJc w:val="left"/>
      <w:pPr>
        <w:ind w:left="3600" w:hanging="360"/>
      </w:pPr>
    </w:lvl>
    <w:lvl w:ilvl="5">
      <w:start w:val="285"/>
      <w:numFmt w:val="decimal"/>
      <w:lvlText w:val="(%6)"/>
      <w:lvlJc w:val="left"/>
      <w:pPr>
        <w:ind w:left="4320" w:hanging="360"/>
      </w:pPr>
    </w:lvl>
    <w:lvl w:ilvl="6">
      <w:start w:val="285"/>
      <w:numFmt w:val="decimal"/>
      <w:lvlText w:val="(%7)"/>
      <w:lvlJc w:val="left"/>
      <w:pPr>
        <w:ind w:left="5040" w:hanging="360"/>
      </w:pPr>
    </w:lvl>
    <w:lvl w:ilvl="7">
      <w:start w:val="285"/>
      <w:numFmt w:val="decimal"/>
      <w:lvlText w:val="(%8)"/>
      <w:lvlJc w:val="left"/>
      <w:pPr>
        <w:ind w:left="5760" w:hanging="360"/>
      </w:pPr>
    </w:lvl>
    <w:lvl w:ilvl="8">
      <w:start w:val="285"/>
      <w:numFmt w:val="decimal"/>
      <w:lvlText w:val="(%9)"/>
      <w:lvlJc w:val="left"/>
      <w:pPr>
        <w:ind w:left="6480" w:hanging="360"/>
      </w:pPr>
    </w:lvl>
  </w:abstractNum>
  <w:abstractNum w:abstractNumId="9943291">
    <w:nsid w:val="A9943291"/>
    <w:multiLevelType w:val="multilevel"/>
    <w:lvl w:ilvl="0">
      <w:start w:val="291"/>
      <w:numFmt w:val="decimal"/>
      <w:lvlText w:val="(%1)"/>
      <w:lvlJc w:val="left"/>
      <w:pPr>
        <w:ind w:left="720" w:hanging="360"/>
      </w:pPr>
    </w:lvl>
    <w:lvl w:ilvl="1">
      <w:start w:val="291"/>
      <w:numFmt w:val="decimal"/>
      <w:lvlText w:val="(%2)"/>
      <w:lvlJc w:val="left"/>
      <w:pPr>
        <w:ind w:left="1440" w:hanging="360"/>
      </w:pPr>
    </w:lvl>
    <w:lvl w:ilvl="2">
      <w:start w:val="291"/>
      <w:numFmt w:val="decimal"/>
      <w:lvlText w:val="(%3)"/>
      <w:lvlJc w:val="left"/>
      <w:pPr>
        <w:ind w:left="2160" w:hanging="360"/>
      </w:pPr>
    </w:lvl>
    <w:lvl w:ilvl="3">
      <w:start w:val="291"/>
      <w:numFmt w:val="decimal"/>
      <w:lvlText w:val="(%4)"/>
      <w:lvlJc w:val="left"/>
      <w:pPr>
        <w:ind w:left="2880" w:hanging="360"/>
      </w:pPr>
    </w:lvl>
    <w:lvl w:ilvl="4">
      <w:start w:val="291"/>
      <w:numFmt w:val="decimal"/>
      <w:lvlText w:val="(%5)"/>
      <w:lvlJc w:val="left"/>
      <w:pPr>
        <w:ind w:left="3600" w:hanging="360"/>
      </w:pPr>
    </w:lvl>
    <w:lvl w:ilvl="5">
      <w:start w:val="291"/>
      <w:numFmt w:val="decimal"/>
      <w:lvlText w:val="(%6)"/>
      <w:lvlJc w:val="left"/>
      <w:pPr>
        <w:ind w:left="4320" w:hanging="360"/>
      </w:pPr>
    </w:lvl>
    <w:lvl w:ilvl="6">
      <w:start w:val="291"/>
      <w:numFmt w:val="decimal"/>
      <w:lvlText w:val="(%7)"/>
      <w:lvlJc w:val="left"/>
      <w:pPr>
        <w:ind w:left="5040" w:hanging="360"/>
      </w:pPr>
    </w:lvl>
    <w:lvl w:ilvl="7">
      <w:start w:val="291"/>
      <w:numFmt w:val="decimal"/>
      <w:lvlText w:val="(%8)"/>
      <w:lvlJc w:val="left"/>
      <w:pPr>
        <w:ind w:left="5760" w:hanging="360"/>
      </w:pPr>
    </w:lvl>
    <w:lvl w:ilvl="8">
      <w:start w:val="291"/>
      <w:numFmt w:val="decimal"/>
      <w:lvlText w:val="(%9)"/>
      <w:lvlJc w:val="left"/>
      <w:pPr>
        <w:ind w:left="6480" w:hanging="360"/>
      </w:pPr>
    </w:lvl>
  </w:abstractNum>
  <w:abstractNum w:abstractNumId="9943297">
    <w:nsid w:val="A9943297"/>
    <w:multiLevelType w:val="multilevel"/>
    <w:lvl w:ilvl="0">
      <w:start w:val="297"/>
      <w:numFmt w:val="decimal"/>
      <w:lvlText w:val="(%1)"/>
      <w:lvlJc w:val="left"/>
      <w:pPr>
        <w:ind w:left="720" w:hanging="360"/>
      </w:pPr>
    </w:lvl>
    <w:lvl w:ilvl="1">
      <w:start w:val="297"/>
      <w:numFmt w:val="decimal"/>
      <w:lvlText w:val="(%2)"/>
      <w:lvlJc w:val="left"/>
      <w:pPr>
        <w:ind w:left="1440" w:hanging="360"/>
      </w:pPr>
    </w:lvl>
    <w:lvl w:ilvl="2">
      <w:start w:val="297"/>
      <w:numFmt w:val="decimal"/>
      <w:lvlText w:val="(%3)"/>
      <w:lvlJc w:val="left"/>
      <w:pPr>
        <w:ind w:left="2160" w:hanging="360"/>
      </w:pPr>
    </w:lvl>
    <w:lvl w:ilvl="3">
      <w:start w:val="297"/>
      <w:numFmt w:val="decimal"/>
      <w:lvlText w:val="(%4)"/>
      <w:lvlJc w:val="left"/>
      <w:pPr>
        <w:ind w:left="2880" w:hanging="360"/>
      </w:pPr>
    </w:lvl>
    <w:lvl w:ilvl="4">
      <w:start w:val="297"/>
      <w:numFmt w:val="decimal"/>
      <w:lvlText w:val="(%5)"/>
      <w:lvlJc w:val="left"/>
      <w:pPr>
        <w:ind w:left="3600" w:hanging="360"/>
      </w:pPr>
    </w:lvl>
    <w:lvl w:ilvl="5">
      <w:start w:val="297"/>
      <w:numFmt w:val="decimal"/>
      <w:lvlText w:val="(%6)"/>
      <w:lvlJc w:val="left"/>
      <w:pPr>
        <w:ind w:left="4320" w:hanging="360"/>
      </w:pPr>
    </w:lvl>
    <w:lvl w:ilvl="6">
      <w:start w:val="297"/>
      <w:numFmt w:val="decimal"/>
      <w:lvlText w:val="(%7)"/>
      <w:lvlJc w:val="left"/>
      <w:pPr>
        <w:ind w:left="5040" w:hanging="360"/>
      </w:pPr>
    </w:lvl>
    <w:lvl w:ilvl="7">
      <w:start w:val="297"/>
      <w:numFmt w:val="decimal"/>
      <w:lvlText w:val="(%8)"/>
      <w:lvlJc w:val="left"/>
      <w:pPr>
        <w:ind w:left="5760" w:hanging="360"/>
      </w:pPr>
    </w:lvl>
    <w:lvl w:ilvl="8">
      <w:start w:val="297"/>
      <w:numFmt w:val="decimal"/>
      <w:lvlText w:val="(%9)"/>
      <w:lvlJc w:val="left"/>
      <w:pPr>
        <w:ind w:left="6480" w:hanging="360"/>
      </w:pPr>
    </w:lvl>
  </w:abstractNum>
  <w:abstractNum w:abstractNumId="9943299">
    <w:nsid w:val="A9943299"/>
    <w:multiLevelType w:val="multilevel"/>
    <w:lvl w:ilvl="0">
      <w:start w:val="299"/>
      <w:numFmt w:val="decimal"/>
      <w:lvlText w:val="(%1)"/>
      <w:lvlJc w:val="left"/>
      <w:pPr>
        <w:ind w:left="720" w:hanging="360"/>
      </w:pPr>
    </w:lvl>
    <w:lvl w:ilvl="1">
      <w:start w:val="299"/>
      <w:numFmt w:val="decimal"/>
      <w:lvlText w:val="(%2)"/>
      <w:lvlJc w:val="left"/>
      <w:pPr>
        <w:ind w:left="1440" w:hanging="360"/>
      </w:pPr>
    </w:lvl>
    <w:lvl w:ilvl="2">
      <w:start w:val="299"/>
      <w:numFmt w:val="decimal"/>
      <w:lvlText w:val="(%3)"/>
      <w:lvlJc w:val="left"/>
      <w:pPr>
        <w:ind w:left="2160" w:hanging="360"/>
      </w:pPr>
    </w:lvl>
    <w:lvl w:ilvl="3">
      <w:start w:val="299"/>
      <w:numFmt w:val="decimal"/>
      <w:lvlText w:val="(%4)"/>
      <w:lvlJc w:val="left"/>
      <w:pPr>
        <w:ind w:left="2880" w:hanging="360"/>
      </w:pPr>
    </w:lvl>
    <w:lvl w:ilvl="4">
      <w:start w:val="299"/>
      <w:numFmt w:val="decimal"/>
      <w:lvlText w:val="(%5)"/>
      <w:lvlJc w:val="left"/>
      <w:pPr>
        <w:ind w:left="3600" w:hanging="360"/>
      </w:pPr>
    </w:lvl>
    <w:lvl w:ilvl="5">
      <w:start w:val="299"/>
      <w:numFmt w:val="decimal"/>
      <w:lvlText w:val="(%6)"/>
      <w:lvlJc w:val="left"/>
      <w:pPr>
        <w:ind w:left="4320" w:hanging="360"/>
      </w:pPr>
    </w:lvl>
    <w:lvl w:ilvl="6">
      <w:start w:val="299"/>
      <w:numFmt w:val="decimal"/>
      <w:lvlText w:val="(%7)"/>
      <w:lvlJc w:val="left"/>
      <w:pPr>
        <w:ind w:left="5040" w:hanging="360"/>
      </w:pPr>
    </w:lvl>
    <w:lvl w:ilvl="7">
      <w:start w:val="299"/>
      <w:numFmt w:val="decimal"/>
      <w:lvlText w:val="(%8)"/>
      <w:lvlJc w:val="left"/>
      <w:pPr>
        <w:ind w:left="5760" w:hanging="360"/>
      </w:pPr>
    </w:lvl>
    <w:lvl w:ilvl="8">
      <w:start w:val="299"/>
      <w:numFmt w:val="decimal"/>
      <w:lvlText w:val="(%9)"/>
      <w:lvlJc w:val="left"/>
      <w:pPr>
        <w:ind w:left="6480" w:hanging="360"/>
      </w:pPr>
    </w:lvl>
  </w:abstractNum>
  <w:abstractNum w:abstractNumId="9943302">
    <w:nsid w:val="A9943302"/>
    <w:multiLevelType w:val="multilevel"/>
    <w:lvl w:ilvl="0">
      <w:start w:val="302"/>
      <w:numFmt w:val="decimal"/>
      <w:lvlText w:val="(%1)"/>
      <w:lvlJc w:val="left"/>
      <w:pPr>
        <w:ind w:left="720" w:hanging="360"/>
      </w:pPr>
    </w:lvl>
    <w:lvl w:ilvl="1">
      <w:start w:val="302"/>
      <w:numFmt w:val="decimal"/>
      <w:lvlText w:val="(%2)"/>
      <w:lvlJc w:val="left"/>
      <w:pPr>
        <w:ind w:left="1440" w:hanging="360"/>
      </w:pPr>
    </w:lvl>
    <w:lvl w:ilvl="2">
      <w:start w:val="302"/>
      <w:numFmt w:val="decimal"/>
      <w:lvlText w:val="(%3)"/>
      <w:lvlJc w:val="left"/>
      <w:pPr>
        <w:ind w:left="2160" w:hanging="360"/>
      </w:pPr>
    </w:lvl>
    <w:lvl w:ilvl="3">
      <w:start w:val="302"/>
      <w:numFmt w:val="decimal"/>
      <w:lvlText w:val="(%4)"/>
      <w:lvlJc w:val="left"/>
      <w:pPr>
        <w:ind w:left="2880" w:hanging="360"/>
      </w:pPr>
    </w:lvl>
    <w:lvl w:ilvl="4">
      <w:start w:val="302"/>
      <w:numFmt w:val="decimal"/>
      <w:lvlText w:val="(%5)"/>
      <w:lvlJc w:val="left"/>
      <w:pPr>
        <w:ind w:left="3600" w:hanging="360"/>
      </w:pPr>
    </w:lvl>
    <w:lvl w:ilvl="5">
      <w:start w:val="302"/>
      <w:numFmt w:val="decimal"/>
      <w:lvlText w:val="(%6)"/>
      <w:lvlJc w:val="left"/>
      <w:pPr>
        <w:ind w:left="4320" w:hanging="360"/>
      </w:pPr>
    </w:lvl>
    <w:lvl w:ilvl="6">
      <w:start w:val="302"/>
      <w:numFmt w:val="decimal"/>
      <w:lvlText w:val="(%7)"/>
      <w:lvlJc w:val="left"/>
      <w:pPr>
        <w:ind w:left="5040" w:hanging="360"/>
      </w:pPr>
    </w:lvl>
    <w:lvl w:ilvl="7">
      <w:start w:val="302"/>
      <w:numFmt w:val="decimal"/>
      <w:lvlText w:val="(%8)"/>
      <w:lvlJc w:val="left"/>
      <w:pPr>
        <w:ind w:left="5760" w:hanging="360"/>
      </w:pPr>
    </w:lvl>
    <w:lvl w:ilvl="8">
      <w:start w:val="302"/>
      <w:numFmt w:val="decimal"/>
      <w:lvlText w:val="(%9)"/>
      <w:lvlJc w:val="left"/>
      <w:pPr>
        <w:ind w:left="6480" w:hanging="360"/>
      </w:pPr>
    </w:lvl>
  </w:abstractNum>
  <w:abstractNum w:abstractNumId="9943310">
    <w:nsid w:val="A9943310"/>
    <w:multiLevelType w:val="multilevel"/>
    <w:lvl w:ilvl="0">
      <w:start w:val="310"/>
      <w:numFmt w:val="decimal"/>
      <w:lvlText w:val="(%1)"/>
      <w:lvlJc w:val="left"/>
      <w:pPr>
        <w:ind w:left="720" w:hanging="360"/>
      </w:pPr>
    </w:lvl>
    <w:lvl w:ilvl="1">
      <w:start w:val="310"/>
      <w:numFmt w:val="decimal"/>
      <w:lvlText w:val="(%2)"/>
      <w:lvlJc w:val="left"/>
      <w:pPr>
        <w:ind w:left="1440" w:hanging="360"/>
      </w:pPr>
    </w:lvl>
    <w:lvl w:ilvl="2">
      <w:start w:val="310"/>
      <w:numFmt w:val="decimal"/>
      <w:lvlText w:val="(%3)"/>
      <w:lvlJc w:val="left"/>
      <w:pPr>
        <w:ind w:left="2160" w:hanging="360"/>
      </w:pPr>
    </w:lvl>
    <w:lvl w:ilvl="3">
      <w:start w:val="310"/>
      <w:numFmt w:val="decimal"/>
      <w:lvlText w:val="(%4)"/>
      <w:lvlJc w:val="left"/>
      <w:pPr>
        <w:ind w:left="2880" w:hanging="360"/>
      </w:pPr>
    </w:lvl>
    <w:lvl w:ilvl="4">
      <w:start w:val="310"/>
      <w:numFmt w:val="decimal"/>
      <w:lvlText w:val="(%5)"/>
      <w:lvlJc w:val="left"/>
      <w:pPr>
        <w:ind w:left="3600" w:hanging="360"/>
      </w:pPr>
    </w:lvl>
    <w:lvl w:ilvl="5">
      <w:start w:val="310"/>
      <w:numFmt w:val="decimal"/>
      <w:lvlText w:val="(%6)"/>
      <w:lvlJc w:val="left"/>
      <w:pPr>
        <w:ind w:left="4320" w:hanging="360"/>
      </w:pPr>
    </w:lvl>
    <w:lvl w:ilvl="6">
      <w:start w:val="310"/>
      <w:numFmt w:val="decimal"/>
      <w:lvlText w:val="(%7)"/>
      <w:lvlJc w:val="left"/>
      <w:pPr>
        <w:ind w:left="5040" w:hanging="360"/>
      </w:pPr>
    </w:lvl>
    <w:lvl w:ilvl="7">
      <w:start w:val="310"/>
      <w:numFmt w:val="decimal"/>
      <w:lvlText w:val="(%8)"/>
      <w:lvlJc w:val="left"/>
      <w:pPr>
        <w:ind w:left="5760" w:hanging="360"/>
      </w:pPr>
    </w:lvl>
    <w:lvl w:ilvl="8">
      <w:start w:val="310"/>
      <w:numFmt w:val="decimal"/>
      <w:lvlText w:val="(%9)"/>
      <w:lvlJc w:val="left"/>
      <w:pPr>
        <w:ind w:left="6480" w:hanging="360"/>
      </w:pPr>
    </w:lvl>
  </w:abstractNum>
  <w:abstractNum w:abstractNumId="9943318">
    <w:nsid w:val="A9943318"/>
    <w:multiLevelType w:val="multilevel"/>
    <w:lvl w:ilvl="0">
      <w:start w:val="318"/>
      <w:numFmt w:val="decimal"/>
      <w:lvlText w:val="(%1)"/>
      <w:lvlJc w:val="left"/>
      <w:pPr>
        <w:ind w:left="720" w:hanging="360"/>
      </w:pPr>
    </w:lvl>
    <w:lvl w:ilvl="1">
      <w:start w:val="318"/>
      <w:numFmt w:val="decimal"/>
      <w:lvlText w:val="(%2)"/>
      <w:lvlJc w:val="left"/>
      <w:pPr>
        <w:ind w:left="1440" w:hanging="360"/>
      </w:pPr>
    </w:lvl>
    <w:lvl w:ilvl="2">
      <w:start w:val="318"/>
      <w:numFmt w:val="decimal"/>
      <w:lvlText w:val="(%3)"/>
      <w:lvlJc w:val="left"/>
      <w:pPr>
        <w:ind w:left="2160" w:hanging="360"/>
      </w:pPr>
    </w:lvl>
    <w:lvl w:ilvl="3">
      <w:start w:val="318"/>
      <w:numFmt w:val="decimal"/>
      <w:lvlText w:val="(%4)"/>
      <w:lvlJc w:val="left"/>
      <w:pPr>
        <w:ind w:left="2880" w:hanging="360"/>
      </w:pPr>
    </w:lvl>
    <w:lvl w:ilvl="4">
      <w:start w:val="318"/>
      <w:numFmt w:val="decimal"/>
      <w:lvlText w:val="(%5)"/>
      <w:lvlJc w:val="left"/>
      <w:pPr>
        <w:ind w:left="3600" w:hanging="360"/>
      </w:pPr>
    </w:lvl>
    <w:lvl w:ilvl="5">
      <w:start w:val="318"/>
      <w:numFmt w:val="decimal"/>
      <w:lvlText w:val="(%6)"/>
      <w:lvlJc w:val="left"/>
      <w:pPr>
        <w:ind w:left="4320" w:hanging="360"/>
      </w:pPr>
    </w:lvl>
    <w:lvl w:ilvl="6">
      <w:start w:val="318"/>
      <w:numFmt w:val="decimal"/>
      <w:lvlText w:val="(%7)"/>
      <w:lvlJc w:val="left"/>
      <w:pPr>
        <w:ind w:left="5040" w:hanging="360"/>
      </w:pPr>
    </w:lvl>
    <w:lvl w:ilvl="7">
      <w:start w:val="318"/>
      <w:numFmt w:val="decimal"/>
      <w:lvlText w:val="(%8)"/>
      <w:lvlJc w:val="left"/>
      <w:pPr>
        <w:ind w:left="5760" w:hanging="360"/>
      </w:pPr>
    </w:lvl>
    <w:lvl w:ilvl="8">
      <w:start w:val="318"/>
      <w:numFmt w:val="decimal"/>
      <w:lvlText w:val="(%9)"/>
      <w:lvlJc w:val="left"/>
      <w:pPr>
        <w:ind w:left="6480" w:hanging="360"/>
      </w:pPr>
    </w:lvl>
  </w:abstractNum>
  <w:abstractNum w:abstractNumId="9943324">
    <w:nsid w:val="A9943324"/>
    <w:multiLevelType w:val="multilevel"/>
    <w:lvl w:ilvl="0">
      <w:start w:val="324"/>
      <w:numFmt w:val="decimal"/>
      <w:lvlText w:val="(%1)"/>
      <w:lvlJc w:val="left"/>
      <w:pPr>
        <w:ind w:left="720" w:hanging="360"/>
      </w:pPr>
    </w:lvl>
    <w:lvl w:ilvl="1">
      <w:start w:val="324"/>
      <w:numFmt w:val="decimal"/>
      <w:lvlText w:val="(%2)"/>
      <w:lvlJc w:val="left"/>
      <w:pPr>
        <w:ind w:left="1440" w:hanging="360"/>
      </w:pPr>
    </w:lvl>
    <w:lvl w:ilvl="2">
      <w:start w:val="324"/>
      <w:numFmt w:val="decimal"/>
      <w:lvlText w:val="(%3)"/>
      <w:lvlJc w:val="left"/>
      <w:pPr>
        <w:ind w:left="2160" w:hanging="360"/>
      </w:pPr>
    </w:lvl>
    <w:lvl w:ilvl="3">
      <w:start w:val="324"/>
      <w:numFmt w:val="decimal"/>
      <w:lvlText w:val="(%4)"/>
      <w:lvlJc w:val="left"/>
      <w:pPr>
        <w:ind w:left="2880" w:hanging="360"/>
      </w:pPr>
    </w:lvl>
    <w:lvl w:ilvl="4">
      <w:start w:val="324"/>
      <w:numFmt w:val="decimal"/>
      <w:lvlText w:val="(%5)"/>
      <w:lvlJc w:val="left"/>
      <w:pPr>
        <w:ind w:left="3600" w:hanging="360"/>
      </w:pPr>
    </w:lvl>
    <w:lvl w:ilvl="5">
      <w:start w:val="324"/>
      <w:numFmt w:val="decimal"/>
      <w:lvlText w:val="(%6)"/>
      <w:lvlJc w:val="left"/>
      <w:pPr>
        <w:ind w:left="4320" w:hanging="360"/>
      </w:pPr>
    </w:lvl>
    <w:lvl w:ilvl="6">
      <w:start w:val="324"/>
      <w:numFmt w:val="decimal"/>
      <w:lvlText w:val="(%7)"/>
      <w:lvlJc w:val="left"/>
      <w:pPr>
        <w:ind w:left="5040" w:hanging="360"/>
      </w:pPr>
    </w:lvl>
    <w:lvl w:ilvl="7">
      <w:start w:val="324"/>
      <w:numFmt w:val="decimal"/>
      <w:lvlText w:val="(%8)"/>
      <w:lvlJc w:val="left"/>
      <w:pPr>
        <w:ind w:left="5760" w:hanging="360"/>
      </w:pPr>
    </w:lvl>
    <w:lvl w:ilvl="8">
      <w:start w:val="324"/>
      <w:numFmt w:val="decimal"/>
      <w:lvlText w:val="(%9)"/>
      <w:lvlJc w:val="left"/>
      <w:pPr>
        <w:ind w:left="6480" w:hanging="360"/>
      </w:pPr>
    </w:lvl>
  </w:abstractNum>
  <w:abstractNum w:abstractNumId="9943335">
    <w:nsid w:val="A9943335"/>
    <w:multiLevelType w:val="multilevel"/>
    <w:lvl w:ilvl="0">
      <w:start w:val="335"/>
      <w:numFmt w:val="decimal"/>
      <w:lvlText w:val="(%1)"/>
      <w:lvlJc w:val="left"/>
      <w:pPr>
        <w:ind w:left="720" w:hanging="360"/>
      </w:pPr>
    </w:lvl>
    <w:lvl w:ilvl="1">
      <w:start w:val="335"/>
      <w:numFmt w:val="decimal"/>
      <w:lvlText w:val="(%2)"/>
      <w:lvlJc w:val="left"/>
      <w:pPr>
        <w:ind w:left="1440" w:hanging="360"/>
      </w:pPr>
    </w:lvl>
    <w:lvl w:ilvl="2">
      <w:start w:val="335"/>
      <w:numFmt w:val="decimal"/>
      <w:lvlText w:val="(%3)"/>
      <w:lvlJc w:val="left"/>
      <w:pPr>
        <w:ind w:left="2160" w:hanging="360"/>
      </w:pPr>
    </w:lvl>
    <w:lvl w:ilvl="3">
      <w:start w:val="335"/>
      <w:numFmt w:val="decimal"/>
      <w:lvlText w:val="(%4)"/>
      <w:lvlJc w:val="left"/>
      <w:pPr>
        <w:ind w:left="2880" w:hanging="360"/>
      </w:pPr>
    </w:lvl>
    <w:lvl w:ilvl="4">
      <w:start w:val="335"/>
      <w:numFmt w:val="decimal"/>
      <w:lvlText w:val="(%5)"/>
      <w:lvlJc w:val="left"/>
      <w:pPr>
        <w:ind w:left="3600" w:hanging="360"/>
      </w:pPr>
    </w:lvl>
    <w:lvl w:ilvl="5">
      <w:start w:val="335"/>
      <w:numFmt w:val="decimal"/>
      <w:lvlText w:val="(%6)"/>
      <w:lvlJc w:val="left"/>
      <w:pPr>
        <w:ind w:left="4320" w:hanging="360"/>
      </w:pPr>
    </w:lvl>
    <w:lvl w:ilvl="6">
      <w:start w:val="335"/>
      <w:numFmt w:val="decimal"/>
      <w:lvlText w:val="(%7)"/>
      <w:lvlJc w:val="left"/>
      <w:pPr>
        <w:ind w:left="5040" w:hanging="360"/>
      </w:pPr>
    </w:lvl>
    <w:lvl w:ilvl="7">
      <w:start w:val="335"/>
      <w:numFmt w:val="decimal"/>
      <w:lvlText w:val="(%8)"/>
      <w:lvlJc w:val="left"/>
      <w:pPr>
        <w:ind w:left="5760" w:hanging="360"/>
      </w:pPr>
    </w:lvl>
    <w:lvl w:ilvl="8">
      <w:start w:val="335"/>
      <w:numFmt w:val="decimal"/>
      <w:lvlText w:val="(%9)"/>
      <w:lvlJc w:val="left"/>
      <w:pPr>
        <w:ind w:left="6480" w:hanging="360"/>
      </w:pPr>
    </w:lvl>
  </w:abstractNum>
  <w:abstractNum w:abstractNumId="9943342">
    <w:nsid w:val="A9943342"/>
    <w:multiLevelType w:val="multilevel"/>
    <w:lvl w:ilvl="0">
      <w:start w:val="342"/>
      <w:numFmt w:val="decimal"/>
      <w:lvlText w:val="(%1)"/>
      <w:lvlJc w:val="left"/>
      <w:pPr>
        <w:ind w:left="720" w:hanging="360"/>
      </w:pPr>
    </w:lvl>
    <w:lvl w:ilvl="1">
      <w:start w:val="342"/>
      <w:numFmt w:val="decimal"/>
      <w:lvlText w:val="(%2)"/>
      <w:lvlJc w:val="left"/>
      <w:pPr>
        <w:ind w:left="1440" w:hanging="360"/>
      </w:pPr>
    </w:lvl>
    <w:lvl w:ilvl="2">
      <w:start w:val="342"/>
      <w:numFmt w:val="decimal"/>
      <w:lvlText w:val="(%3)"/>
      <w:lvlJc w:val="left"/>
      <w:pPr>
        <w:ind w:left="2160" w:hanging="360"/>
      </w:pPr>
    </w:lvl>
    <w:lvl w:ilvl="3">
      <w:start w:val="342"/>
      <w:numFmt w:val="decimal"/>
      <w:lvlText w:val="(%4)"/>
      <w:lvlJc w:val="left"/>
      <w:pPr>
        <w:ind w:left="2880" w:hanging="360"/>
      </w:pPr>
    </w:lvl>
    <w:lvl w:ilvl="4">
      <w:start w:val="342"/>
      <w:numFmt w:val="decimal"/>
      <w:lvlText w:val="(%5)"/>
      <w:lvlJc w:val="left"/>
      <w:pPr>
        <w:ind w:left="3600" w:hanging="360"/>
      </w:pPr>
    </w:lvl>
    <w:lvl w:ilvl="5">
      <w:start w:val="342"/>
      <w:numFmt w:val="decimal"/>
      <w:lvlText w:val="(%6)"/>
      <w:lvlJc w:val="left"/>
      <w:pPr>
        <w:ind w:left="4320" w:hanging="360"/>
      </w:pPr>
    </w:lvl>
    <w:lvl w:ilvl="6">
      <w:start w:val="342"/>
      <w:numFmt w:val="decimal"/>
      <w:lvlText w:val="(%7)"/>
      <w:lvlJc w:val="left"/>
      <w:pPr>
        <w:ind w:left="5040" w:hanging="360"/>
      </w:pPr>
    </w:lvl>
    <w:lvl w:ilvl="7">
      <w:start w:val="342"/>
      <w:numFmt w:val="decimal"/>
      <w:lvlText w:val="(%8)"/>
      <w:lvlJc w:val="left"/>
      <w:pPr>
        <w:ind w:left="5760" w:hanging="360"/>
      </w:pPr>
    </w:lvl>
    <w:lvl w:ilvl="8">
      <w:start w:val="342"/>
      <w:numFmt w:val="decimal"/>
      <w:lvlText w:val="(%9)"/>
      <w:lvlJc w:val="left"/>
      <w:pPr>
        <w:ind w:left="6480" w:hanging="360"/>
      </w:pPr>
    </w:lvl>
  </w:abstractNum>
  <w:abstractNum w:abstractNumId="9943354">
    <w:nsid w:val="A9943354"/>
    <w:multiLevelType w:val="multilevel"/>
    <w:lvl w:ilvl="0">
      <w:start w:val="354"/>
      <w:numFmt w:val="decimal"/>
      <w:lvlText w:val="(%1)"/>
      <w:lvlJc w:val="left"/>
      <w:pPr>
        <w:ind w:left="720" w:hanging="360"/>
      </w:pPr>
    </w:lvl>
    <w:lvl w:ilvl="1">
      <w:start w:val="354"/>
      <w:numFmt w:val="decimal"/>
      <w:lvlText w:val="(%2)"/>
      <w:lvlJc w:val="left"/>
      <w:pPr>
        <w:ind w:left="1440" w:hanging="360"/>
      </w:pPr>
    </w:lvl>
    <w:lvl w:ilvl="2">
      <w:start w:val="354"/>
      <w:numFmt w:val="decimal"/>
      <w:lvlText w:val="(%3)"/>
      <w:lvlJc w:val="left"/>
      <w:pPr>
        <w:ind w:left="2160" w:hanging="360"/>
      </w:pPr>
    </w:lvl>
    <w:lvl w:ilvl="3">
      <w:start w:val="354"/>
      <w:numFmt w:val="decimal"/>
      <w:lvlText w:val="(%4)"/>
      <w:lvlJc w:val="left"/>
      <w:pPr>
        <w:ind w:left="2880" w:hanging="360"/>
      </w:pPr>
    </w:lvl>
    <w:lvl w:ilvl="4">
      <w:start w:val="354"/>
      <w:numFmt w:val="decimal"/>
      <w:lvlText w:val="(%5)"/>
      <w:lvlJc w:val="left"/>
      <w:pPr>
        <w:ind w:left="3600" w:hanging="360"/>
      </w:pPr>
    </w:lvl>
    <w:lvl w:ilvl="5">
      <w:start w:val="354"/>
      <w:numFmt w:val="decimal"/>
      <w:lvlText w:val="(%6)"/>
      <w:lvlJc w:val="left"/>
      <w:pPr>
        <w:ind w:left="4320" w:hanging="360"/>
      </w:pPr>
    </w:lvl>
    <w:lvl w:ilvl="6">
      <w:start w:val="354"/>
      <w:numFmt w:val="decimal"/>
      <w:lvlText w:val="(%7)"/>
      <w:lvlJc w:val="left"/>
      <w:pPr>
        <w:ind w:left="5040" w:hanging="360"/>
      </w:pPr>
    </w:lvl>
    <w:lvl w:ilvl="7">
      <w:start w:val="354"/>
      <w:numFmt w:val="decimal"/>
      <w:lvlText w:val="(%8)"/>
      <w:lvlJc w:val="left"/>
      <w:pPr>
        <w:ind w:left="5760" w:hanging="360"/>
      </w:pPr>
    </w:lvl>
    <w:lvl w:ilvl="8">
      <w:start w:val="354"/>
      <w:numFmt w:val="decimal"/>
      <w:lvlText w:val="(%9)"/>
      <w:lvlJc w:val="left"/>
      <w:pPr>
        <w:ind w:left="6480" w:hanging="360"/>
      </w:pPr>
    </w:lvl>
  </w:abstractNum>
  <w:abstractNum w:abstractNumId="9943365">
    <w:nsid w:val="A9943365"/>
    <w:multiLevelType w:val="multilevel"/>
    <w:lvl w:ilvl="0">
      <w:start w:val="365"/>
      <w:numFmt w:val="decimal"/>
      <w:lvlText w:val="(%1)"/>
      <w:lvlJc w:val="left"/>
      <w:pPr>
        <w:ind w:left="720" w:hanging="360"/>
      </w:pPr>
    </w:lvl>
    <w:lvl w:ilvl="1">
      <w:start w:val="365"/>
      <w:numFmt w:val="decimal"/>
      <w:lvlText w:val="(%2)"/>
      <w:lvlJc w:val="left"/>
      <w:pPr>
        <w:ind w:left="1440" w:hanging="360"/>
      </w:pPr>
    </w:lvl>
    <w:lvl w:ilvl="2">
      <w:start w:val="365"/>
      <w:numFmt w:val="decimal"/>
      <w:lvlText w:val="(%3)"/>
      <w:lvlJc w:val="left"/>
      <w:pPr>
        <w:ind w:left="2160" w:hanging="360"/>
      </w:pPr>
    </w:lvl>
    <w:lvl w:ilvl="3">
      <w:start w:val="365"/>
      <w:numFmt w:val="decimal"/>
      <w:lvlText w:val="(%4)"/>
      <w:lvlJc w:val="left"/>
      <w:pPr>
        <w:ind w:left="2880" w:hanging="360"/>
      </w:pPr>
    </w:lvl>
    <w:lvl w:ilvl="4">
      <w:start w:val="365"/>
      <w:numFmt w:val="decimal"/>
      <w:lvlText w:val="(%5)"/>
      <w:lvlJc w:val="left"/>
      <w:pPr>
        <w:ind w:left="3600" w:hanging="360"/>
      </w:pPr>
    </w:lvl>
    <w:lvl w:ilvl="5">
      <w:start w:val="365"/>
      <w:numFmt w:val="decimal"/>
      <w:lvlText w:val="(%6)"/>
      <w:lvlJc w:val="left"/>
      <w:pPr>
        <w:ind w:left="4320" w:hanging="360"/>
      </w:pPr>
    </w:lvl>
    <w:lvl w:ilvl="6">
      <w:start w:val="365"/>
      <w:numFmt w:val="decimal"/>
      <w:lvlText w:val="(%7)"/>
      <w:lvlJc w:val="left"/>
      <w:pPr>
        <w:ind w:left="5040" w:hanging="360"/>
      </w:pPr>
    </w:lvl>
    <w:lvl w:ilvl="7">
      <w:start w:val="365"/>
      <w:numFmt w:val="decimal"/>
      <w:lvlText w:val="(%8)"/>
      <w:lvlJc w:val="left"/>
      <w:pPr>
        <w:ind w:left="5760" w:hanging="360"/>
      </w:pPr>
    </w:lvl>
    <w:lvl w:ilvl="8">
      <w:start w:val="365"/>
      <w:numFmt w:val="decimal"/>
      <w:lvlText w:val="(%9)"/>
      <w:lvlJc w:val="left"/>
      <w:pPr>
        <w:ind w:left="6480" w:hanging="360"/>
      </w:pPr>
    </w:lvl>
  </w:abstractNum>
  <w:abstractNum w:abstractNumId="9943368">
    <w:nsid w:val="A9943368"/>
    <w:multiLevelType w:val="multilevel"/>
    <w:lvl w:ilvl="0">
      <w:start w:val="368"/>
      <w:numFmt w:val="decimal"/>
      <w:lvlText w:val="(%1)"/>
      <w:lvlJc w:val="left"/>
      <w:pPr>
        <w:ind w:left="720" w:hanging="360"/>
      </w:pPr>
    </w:lvl>
    <w:lvl w:ilvl="1">
      <w:start w:val="368"/>
      <w:numFmt w:val="decimal"/>
      <w:lvlText w:val="(%2)"/>
      <w:lvlJc w:val="left"/>
      <w:pPr>
        <w:ind w:left="1440" w:hanging="360"/>
      </w:pPr>
    </w:lvl>
    <w:lvl w:ilvl="2">
      <w:start w:val="368"/>
      <w:numFmt w:val="decimal"/>
      <w:lvlText w:val="(%3)"/>
      <w:lvlJc w:val="left"/>
      <w:pPr>
        <w:ind w:left="2160" w:hanging="360"/>
      </w:pPr>
    </w:lvl>
    <w:lvl w:ilvl="3">
      <w:start w:val="368"/>
      <w:numFmt w:val="decimal"/>
      <w:lvlText w:val="(%4)"/>
      <w:lvlJc w:val="left"/>
      <w:pPr>
        <w:ind w:left="2880" w:hanging="360"/>
      </w:pPr>
    </w:lvl>
    <w:lvl w:ilvl="4">
      <w:start w:val="368"/>
      <w:numFmt w:val="decimal"/>
      <w:lvlText w:val="(%5)"/>
      <w:lvlJc w:val="left"/>
      <w:pPr>
        <w:ind w:left="3600" w:hanging="360"/>
      </w:pPr>
    </w:lvl>
    <w:lvl w:ilvl="5">
      <w:start w:val="368"/>
      <w:numFmt w:val="decimal"/>
      <w:lvlText w:val="(%6)"/>
      <w:lvlJc w:val="left"/>
      <w:pPr>
        <w:ind w:left="4320" w:hanging="360"/>
      </w:pPr>
    </w:lvl>
    <w:lvl w:ilvl="6">
      <w:start w:val="368"/>
      <w:numFmt w:val="decimal"/>
      <w:lvlText w:val="(%7)"/>
      <w:lvlJc w:val="left"/>
      <w:pPr>
        <w:ind w:left="5040" w:hanging="360"/>
      </w:pPr>
    </w:lvl>
    <w:lvl w:ilvl="7">
      <w:start w:val="368"/>
      <w:numFmt w:val="decimal"/>
      <w:lvlText w:val="(%8)"/>
      <w:lvlJc w:val="left"/>
      <w:pPr>
        <w:ind w:left="5760" w:hanging="360"/>
      </w:pPr>
    </w:lvl>
    <w:lvl w:ilvl="8">
      <w:start w:val="368"/>
      <w:numFmt w:val="decimal"/>
      <w:lvlText w:val="(%9)"/>
      <w:lvlJc w:val="left"/>
      <w:pPr>
        <w:ind w:left="6480" w:hanging="360"/>
      </w:pPr>
    </w:lvl>
  </w:abstractNum>
  <w:abstractNum w:abstractNumId="9943372">
    <w:nsid w:val="A9943372"/>
    <w:multiLevelType w:val="multilevel"/>
    <w:lvl w:ilvl="0">
      <w:start w:val="372"/>
      <w:numFmt w:val="decimal"/>
      <w:lvlText w:val="(%1)"/>
      <w:lvlJc w:val="left"/>
      <w:pPr>
        <w:ind w:left="720" w:hanging="360"/>
      </w:pPr>
    </w:lvl>
    <w:lvl w:ilvl="1">
      <w:start w:val="372"/>
      <w:numFmt w:val="decimal"/>
      <w:lvlText w:val="(%2)"/>
      <w:lvlJc w:val="left"/>
      <w:pPr>
        <w:ind w:left="1440" w:hanging="360"/>
      </w:pPr>
    </w:lvl>
    <w:lvl w:ilvl="2">
      <w:start w:val="372"/>
      <w:numFmt w:val="decimal"/>
      <w:lvlText w:val="(%3)"/>
      <w:lvlJc w:val="left"/>
      <w:pPr>
        <w:ind w:left="2160" w:hanging="360"/>
      </w:pPr>
    </w:lvl>
    <w:lvl w:ilvl="3">
      <w:start w:val="372"/>
      <w:numFmt w:val="decimal"/>
      <w:lvlText w:val="(%4)"/>
      <w:lvlJc w:val="left"/>
      <w:pPr>
        <w:ind w:left="2880" w:hanging="360"/>
      </w:pPr>
    </w:lvl>
    <w:lvl w:ilvl="4">
      <w:start w:val="372"/>
      <w:numFmt w:val="decimal"/>
      <w:lvlText w:val="(%5)"/>
      <w:lvlJc w:val="left"/>
      <w:pPr>
        <w:ind w:left="3600" w:hanging="360"/>
      </w:pPr>
    </w:lvl>
    <w:lvl w:ilvl="5">
      <w:start w:val="372"/>
      <w:numFmt w:val="decimal"/>
      <w:lvlText w:val="(%6)"/>
      <w:lvlJc w:val="left"/>
      <w:pPr>
        <w:ind w:left="4320" w:hanging="360"/>
      </w:pPr>
    </w:lvl>
    <w:lvl w:ilvl="6">
      <w:start w:val="372"/>
      <w:numFmt w:val="decimal"/>
      <w:lvlText w:val="(%7)"/>
      <w:lvlJc w:val="left"/>
      <w:pPr>
        <w:ind w:left="5040" w:hanging="360"/>
      </w:pPr>
    </w:lvl>
    <w:lvl w:ilvl="7">
      <w:start w:val="372"/>
      <w:numFmt w:val="decimal"/>
      <w:lvlText w:val="(%8)"/>
      <w:lvlJc w:val="left"/>
      <w:pPr>
        <w:ind w:left="5760" w:hanging="360"/>
      </w:pPr>
    </w:lvl>
    <w:lvl w:ilvl="8">
      <w:start w:val="372"/>
      <w:numFmt w:val="decimal"/>
      <w:lvlText w:val="(%9)"/>
      <w:lvlJc w:val="left"/>
      <w:pPr>
        <w:ind w:left="6480" w:hanging="360"/>
      </w:pPr>
    </w:lvl>
  </w:abstractNum>
  <w:abstractNum w:abstractNumId="9943377">
    <w:nsid w:val="A9943377"/>
    <w:multiLevelType w:val="multilevel"/>
    <w:lvl w:ilvl="0">
      <w:start w:val="377"/>
      <w:numFmt w:val="decimal"/>
      <w:lvlText w:val="(%1)"/>
      <w:lvlJc w:val="left"/>
      <w:pPr>
        <w:ind w:left="720" w:hanging="360"/>
      </w:pPr>
    </w:lvl>
    <w:lvl w:ilvl="1">
      <w:start w:val="377"/>
      <w:numFmt w:val="decimal"/>
      <w:lvlText w:val="(%2)"/>
      <w:lvlJc w:val="left"/>
      <w:pPr>
        <w:ind w:left="1440" w:hanging="360"/>
      </w:pPr>
    </w:lvl>
    <w:lvl w:ilvl="2">
      <w:start w:val="377"/>
      <w:numFmt w:val="decimal"/>
      <w:lvlText w:val="(%3)"/>
      <w:lvlJc w:val="left"/>
      <w:pPr>
        <w:ind w:left="2160" w:hanging="360"/>
      </w:pPr>
    </w:lvl>
    <w:lvl w:ilvl="3">
      <w:start w:val="377"/>
      <w:numFmt w:val="decimal"/>
      <w:lvlText w:val="(%4)"/>
      <w:lvlJc w:val="left"/>
      <w:pPr>
        <w:ind w:left="2880" w:hanging="360"/>
      </w:pPr>
    </w:lvl>
    <w:lvl w:ilvl="4">
      <w:start w:val="377"/>
      <w:numFmt w:val="decimal"/>
      <w:lvlText w:val="(%5)"/>
      <w:lvlJc w:val="left"/>
      <w:pPr>
        <w:ind w:left="3600" w:hanging="360"/>
      </w:pPr>
    </w:lvl>
    <w:lvl w:ilvl="5">
      <w:start w:val="377"/>
      <w:numFmt w:val="decimal"/>
      <w:lvlText w:val="(%6)"/>
      <w:lvlJc w:val="left"/>
      <w:pPr>
        <w:ind w:left="4320" w:hanging="360"/>
      </w:pPr>
    </w:lvl>
    <w:lvl w:ilvl="6">
      <w:start w:val="377"/>
      <w:numFmt w:val="decimal"/>
      <w:lvlText w:val="(%7)"/>
      <w:lvlJc w:val="left"/>
      <w:pPr>
        <w:ind w:left="5040" w:hanging="360"/>
      </w:pPr>
    </w:lvl>
    <w:lvl w:ilvl="7">
      <w:start w:val="377"/>
      <w:numFmt w:val="decimal"/>
      <w:lvlText w:val="(%8)"/>
      <w:lvlJc w:val="left"/>
      <w:pPr>
        <w:ind w:left="5760" w:hanging="360"/>
      </w:pPr>
    </w:lvl>
    <w:lvl w:ilvl="8">
      <w:start w:val="377"/>
      <w:numFmt w:val="decimal"/>
      <w:lvlText w:val="(%9)"/>
      <w:lvlJc w:val="left"/>
      <w:pPr>
        <w:ind w:left="6480" w:hanging="360"/>
      </w:pPr>
    </w:lvl>
  </w:abstractNum>
  <w:abstractNum w:abstractNumId="9943383">
    <w:nsid w:val="A9943383"/>
    <w:multiLevelType w:val="multilevel"/>
    <w:lvl w:ilvl="0">
      <w:start w:val="383"/>
      <w:numFmt w:val="decimal"/>
      <w:lvlText w:val="(%1)"/>
      <w:lvlJc w:val="left"/>
      <w:pPr>
        <w:ind w:left="720" w:hanging="360"/>
      </w:pPr>
    </w:lvl>
    <w:lvl w:ilvl="1">
      <w:start w:val="383"/>
      <w:numFmt w:val="decimal"/>
      <w:lvlText w:val="(%2)"/>
      <w:lvlJc w:val="left"/>
      <w:pPr>
        <w:ind w:left="1440" w:hanging="360"/>
      </w:pPr>
    </w:lvl>
    <w:lvl w:ilvl="2">
      <w:start w:val="383"/>
      <w:numFmt w:val="decimal"/>
      <w:lvlText w:val="(%3)"/>
      <w:lvlJc w:val="left"/>
      <w:pPr>
        <w:ind w:left="2160" w:hanging="360"/>
      </w:pPr>
    </w:lvl>
    <w:lvl w:ilvl="3">
      <w:start w:val="383"/>
      <w:numFmt w:val="decimal"/>
      <w:lvlText w:val="(%4)"/>
      <w:lvlJc w:val="left"/>
      <w:pPr>
        <w:ind w:left="2880" w:hanging="360"/>
      </w:pPr>
    </w:lvl>
    <w:lvl w:ilvl="4">
      <w:start w:val="383"/>
      <w:numFmt w:val="decimal"/>
      <w:lvlText w:val="(%5)"/>
      <w:lvlJc w:val="left"/>
      <w:pPr>
        <w:ind w:left="3600" w:hanging="360"/>
      </w:pPr>
    </w:lvl>
    <w:lvl w:ilvl="5">
      <w:start w:val="383"/>
      <w:numFmt w:val="decimal"/>
      <w:lvlText w:val="(%6)"/>
      <w:lvlJc w:val="left"/>
      <w:pPr>
        <w:ind w:left="4320" w:hanging="360"/>
      </w:pPr>
    </w:lvl>
    <w:lvl w:ilvl="6">
      <w:start w:val="383"/>
      <w:numFmt w:val="decimal"/>
      <w:lvlText w:val="(%7)"/>
      <w:lvlJc w:val="left"/>
      <w:pPr>
        <w:ind w:left="5040" w:hanging="360"/>
      </w:pPr>
    </w:lvl>
    <w:lvl w:ilvl="7">
      <w:start w:val="383"/>
      <w:numFmt w:val="decimal"/>
      <w:lvlText w:val="(%8)"/>
      <w:lvlJc w:val="left"/>
      <w:pPr>
        <w:ind w:left="5760" w:hanging="360"/>
      </w:pPr>
    </w:lvl>
    <w:lvl w:ilvl="8">
      <w:start w:val="383"/>
      <w:numFmt w:val="decimal"/>
      <w:lvlText w:val="(%9)"/>
      <w:lvlJc w:val="left"/>
      <w:pPr>
        <w:ind w:left="6480" w:hanging="360"/>
      </w:pPr>
    </w:lvl>
  </w:abstractNum>
  <w:abstractNum w:abstractNumId="9943387">
    <w:nsid w:val="A9943387"/>
    <w:multiLevelType w:val="multilevel"/>
    <w:lvl w:ilvl="0">
      <w:start w:val="387"/>
      <w:numFmt w:val="decimal"/>
      <w:lvlText w:val="(%1)"/>
      <w:lvlJc w:val="left"/>
      <w:pPr>
        <w:ind w:left="720" w:hanging="360"/>
      </w:pPr>
    </w:lvl>
    <w:lvl w:ilvl="1">
      <w:start w:val="387"/>
      <w:numFmt w:val="decimal"/>
      <w:lvlText w:val="(%2)"/>
      <w:lvlJc w:val="left"/>
      <w:pPr>
        <w:ind w:left="1440" w:hanging="360"/>
      </w:pPr>
    </w:lvl>
    <w:lvl w:ilvl="2">
      <w:start w:val="387"/>
      <w:numFmt w:val="decimal"/>
      <w:lvlText w:val="(%3)"/>
      <w:lvlJc w:val="left"/>
      <w:pPr>
        <w:ind w:left="2160" w:hanging="360"/>
      </w:pPr>
    </w:lvl>
    <w:lvl w:ilvl="3">
      <w:start w:val="387"/>
      <w:numFmt w:val="decimal"/>
      <w:lvlText w:val="(%4)"/>
      <w:lvlJc w:val="left"/>
      <w:pPr>
        <w:ind w:left="2880" w:hanging="360"/>
      </w:pPr>
    </w:lvl>
    <w:lvl w:ilvl="4">
      <w:start w:val="387"/>
      <w:numFmt w:val="decimal"/>
      <w:lvlText w:val="(%5)"/>
      <w:lvlJc w:val="left"/>
      <w:pPr>
        <w:ind w:left="3600" w:hanging="360"/>
      </w:pPr>
    </w:lvl>
    <w:lvl w:ilvl="5">
      <w:start w:val="387"/>
      <w:numFmt w:val="decimal"/>
      <w:lvlText w:val="(%6)"/>
      <w:lvlJc w:val="left"/>
      <w:pPr>
        <w:ind w:left="4320" w:hanging="360"/>
      </w:pPr>
    </w:lvl>
    <w:lvl w:ilvl="6">
      <w:start w:val="387"/>
      <w:numFmt w:val="decimal"/>
      <w:lvlText w:val="(%7)"/>
      <w:lvlJc w:val="left"/>
      <w:pPr>
        <w:ind w:left="5040" w:hanging="360"/>
      </w:pPr>
    </w:lvl>
    <w:lvl w:ilvl="7">
      <w:start w:val="387"/>
      <w:numFmt w:val="decimal"/>
      <w:lvlText w:val="(%8)"/>
      <w:lvlJc w:val="left"/>
      <w:pPr>
        <w:ind w:left="5760" w:hanging="360"/>
      </w:pPr>
    </w:lvl>
    <w:lvl w:ilvl="8">
      <w:start w:val="387"/>
      <w:numFmt w:val="decimal"/>
      <w:lvlText w:val="(%9)"/>
      <w:lvlJc w:val="left"/>
      <w:pPr>
        <w:ind w:left="6480" w:hanging="360"/>
      </w:pPr>
    </w:lvl>
  </w:abstractNum>
  <w:abstractNum w:abstractNumId="9943390">
    <w:nsid w:val="A9943390"/>
    <w:multiLevelType w:val="multilevel"/>
    <w:lvl w:ilvl="0">
      <w:start w:val="390"/>
      <w:numFmt w:val="decimal"/>
      <w:lvlText w:val="(%1)"/>
      <w:lvlJc w:val="left"/>
      <w:pPr>
        <w:ind w:left="720" w:hanging="360"/>
      </w:pPr>
    </w:lvl>
    <w:lvl w:ilvl="1">
      <w:start w:val="390"/>
      <w:numFmt w:val="decimal"/>
      <w:lvlText w:val="(%2)"/>
      <w:lvlJc w:val="left"/>
      <w:pPr>
        <w:ind w:left="1440" w:hanging="360"/>
      </w:pPr>
    </w:lvl>
    <w:lvl w:ilvl="2">
      <w:start w:val="390"/>
      <w:numFmt w:val="decimal"/>
      <w:lvlText w:val="(%3)"/>
      <w:lvlJc w:val="left"/>
      <w:pPr>
        <w:ind w:left="2160" w:hanging="360"/>
      </w:pPr>
    </w:lvl>
    <w:lvl w:ilvl="3">
      <w:start w:val="390"/>
      <w:numFmt w:val="decimal"/>
      <w:lvlText w:val="(%4)"/>
      <w:lvlJc w:val="left"/>
      <w:pPr>
        <w:ind w:left="2880" w:hanging="360"/>
      </w:pPr>
    </w:lvl>
    <w:lvl w:ilvl="4">
      <w:start w:val="390"/>
      <w:numFmt w:val="decimal"/>
      <w:lvlText w:val="(%5)"/>
      <w:lvlJc w:val="left"/>
      <w:pPr>
        <w:ind w:left="3600" w:hanging="360"/>
      </w:pPr>
    </w:lvl>
    <w:lvl w:ilvl="5">
      <w:start w:val="390"/>
      <w:numFmt w:val="decimal"/>
      <w:lvlText w:val="(%6)"/>
      <w:lvlJc w:val="left"/>
      <w:pPr>
        <w:ind w:left="4320" w:hanging="360"/>
      </w:pPr>
    </w:lvl>
    <w:lvl w:ilvl="6">
      <w:start w:val="390"/>
      <w:numFmt w:val="decimal"/>
      <w:lvlText w:val="(%7)"/>
      <w:lvlJc w:val="left"/>
      <w:pPr>
        <w:ind w:left="5040" w:hanging="360"/>
      </w:pPr>
    </w:lvl>
    <w:lvl w:ilvl="7">
      <w:start w:val="390"/>
      <w:numFmt w:val="decimal"/>
      <w:lvlText w:val="(%8)"/>
      <w:lvlJc w:val="left"/>
      <w:pPr>
        <w:ind w:left="5760" w:hanging="360"/>
      </w:pPr>
    </w:lvl>
    <w:lvl w:ilvl="8">
      <w:start w:val="390"/>
      <w:numFmt w:val="decimal"/>
      <w:lvlText w:val="(%9)"/>
      <w:lvlJc w:val="left"/>
      <w:pPr>
        <w:ind w:left="6480" w:hanging="360"/>
      </w:pPr>
    </w:lvl>
  </w:abstractNum>
  <w:abstractNum w:abstractNumId="9943392">
    <w:nsid w:val="A9943392"/>
    <w:multiLevelType w:val="multilevel"/>
    <w:lvl w:ilvl="0">
      <w:start w:val="392"/>
      <w:numFmt w:val="decimal"/>
      <w:lvlText w:val="(%1)"/>
      <w:lvlJc w:val="left"/>
      <w:pPr>
        <w:ind w:left="720" w:hanging="360"/>
      </w:pPr>
    </w:lvl>
    <w:lvl w:ilvl="1">
      <w:start w:val="392"/>
      <w:numFmt w:val="decimal"/>
      <w:lvlText w:val="(%2)"/>
      <w:lvlJc w:val="left"/>
      <w:pPr>
        <w:ind w:left="1440" w:hanging="360"/>
      </w:pPr>
    </w:lvl>
    <w:lvl w:ilvl="2">
      <w:start w:val="392"/>
      <w:numFmt w:val="decimal"/>
      <w:lvlText w:val="(%3)"/>
      <w:lvlJc w:val="left"/>
      <w:pPr>
        <w:ind w:left="2160" w:hanging="360"/>
      </w:pPr>
    </w:lvl>
    <w:lvl w:ilvl="3">
      <w:start w:val="392"/>
      <w:numFmt w:val="decimal"/>
      <w:lvlText w:val="(%4)"/>
      <w:lvlJc w:val="left"/>
      <w:pPr>
        <w:ind w:left="2880" w:hanging="360"/>
      </w:pPr>
    </w:lvl>
    <w:lvl w:ilvl="4">
      <w:start w:val="392"/>
      <w:numFmt w:val="decimal"/>
      <w:lvlText w:val="(%5)"/>
      <w:lvlJc w:val="left"/>
      <w:pPr>
        <w:ind w:left="3600" w:hanging="360"/>
      </w:pPr>
    </w:lvl>
    <w:lvl w:ilvl="5">
      <w:start w:val="392"/>
      <w:numFmt w:val="decimal"/>
      <w:lvlText w:val="(%6)"/>
      <w:lvlJc w:val="left"/>
      <w:pPr>
        <w:ind w:left="4320" w:hanging="360"/>
      </w:pPr>
    </w:lvl>
    <w:lvl w:ilvl="6">
      <w:start w:val="392"/>
      <w:numFmt w:val="decimal"/>
      <w:lvlText w:val="(%7)"/>
      <w:lvlJc w:val="left"/>
      <w:pPr>
        <w:ind w:left="5040" w:hanging="360"/>
      </w:pPr>
    </w:lvl>
    <w:lvl w:ilvl="7">
      <w:start w:val="392"/>
      <w:numFmt w:val="decimal"/>
      <w:lvlText w:val="(%8)"/>
      <w:lvlJc w:val="left"/>
      <w:pPr>
        <w:ind w:left="5760" w:hanging="360"/>
      </w:pPr>
    </w:lvl>
    <w:lvl w:ilvl="8">
      <w:start w:val="392"/>
      <w:numFmt w:val="decimal"/>
      <w:lvlText w:val="(%9)"/>
      <w:lvlJc w:val="left"/>
      <w:pPr>
        <w:ind w:left="6480" w:hanging="360"/>
      </w:pPr>
    </w:lvl>
  </w:abstractNum>
  <w:abstractNum w:abstractNumId="9943393">
    <w:nsid w:val="A9943393"/>
    <w:multiLevelType w:val="multilevel"/>
    <w:lvl w:ilvl="0">
      <w:start w:val="393"/>
      <w:numFmt w:val="decimal"/>
      <w:lvlText w:val="(%1)"/>
      <w:lvlJc w:val="left"/>
      <w:pPr>
        <w:ind w:left="720" w:hanging="360"/>
      </w:pPr>
    </w:lvl>
    <w:lvl w:ilvl="1">
      <w:start w:val="393"/>
      <w:numFmt w:val="decimal"/>
      <w:lvlText w:val="(%2)"/>
      <w:lvlJc w:val="left"/>
      <w:pPr>
        <w:ind w:left="1440" w:hanging="360"/>
      </w:pPr>
    </w:lvl>
    <w:lvl w:ilvl="2">
      <w:start w:val="393"/>
      <w:numFmt w:val="decimal"/>
      <w:lvlText w:val="(%3)"/>
      <w:lvlJc w:val="left"/>
      <w:pPr>
        <w:ind w:left="2160" w:hanging="360"/>
      </w:pPr>
    </w:lvl>
    <w:lvl w:ilvl="3">
      <w:start w:val="393"/>
      <w:numFmt w:val="decimal"/>
      <w:lvlText w:val="(%4)"/>
      <w:lvlJc w:val="left"/>
      <w:pPr>
        <w:ind w:left="2880" w:hanging="360"/>
      </w:pPr>
    </w:lvl>
    <w:lvl w:ilvl="4">
      <w:start w:val="393"/>
      <w:numFmt w:val="decimal"/>
      <w:lvlText w:val="(%5)"/>
      <w:lvlJc w:val="left"/>
      <w:pPr>
        <w:ind w:left="3600" w:hanging="360"/>
      </w:pPr>
    </w:lvl>
    <w:lvl w:ilvl="5">
      <w:start w:val="393"/>
      <w:numFmt w:val="decimal"/>
      <w:lvlText w:val="(%6)"/>
      <w:lvlJc w:val="left"/>
      <w:pPr>
        <w:ind w:left="4320" w:hanging="360"/>
      </w:pPr>
    </w:lvl>
    <w:lvl w:ilvl="6">
      <w:start w:val="393"/>
      <w:numFmt w:val="decimal"/>
      <w:lvlText w:val="(%7)"/>
      <w:lvlJc w:val="left"/>
      <w:pPr>
        <w:ind w:left="5040" w:hanging="360"/>
      </w:pPr>
    </w:lvl>
    <w:lvl w:ilvl="7">
      <w:start w:val="393"/>
      <w:numFmt w:val="decimal"/>
      <w:lvlText w:val="(%8)"/>
      <w:lvlJc w:val="left"/>
      <w:pPr>
        <w:ind w:left="5760" w:hanging="360"/>
      </w:pPr>
    </w:lvl>
    <w:lvl w:ilvl="8">
      <w:start w:val="393"/>
      <w:numFmt w:val="decimal"/>
      <w:lvlText w:val="(%9)"/>
      <w:lvlJc w:val="left"/>
      <w:pPr>
        <w:ind w:left="6480" w:hanging="360"/>
      </w:pPr>
    </w:lvl>
  </w:abstractNum>
  <w:abstractNum w:abstractNumId="9943394">
    <w:nsid w:val="A9943394"/>
    <w:multiLevelType w:val="multilevel"/>
    <w:lvl w:ilvl="0">
      <w:start w:val="394"/>
      <w:numFmt w:val="decimal"/>
      <w:lvlText w:val="(%1)"/>
      <w:lvlJc w:val="left"/>
      <w:pPr>
        <w:ind w:left="720" w:hanging="360"/>
      </w:pPr>
    </w:lvl>
    <w:lvl w:ilvl="1">
      <w:start w:val="394"/>
      <w:numFmt w:val="decimal"/>
      <w:lvlText w:val="(%2)"/>
      <w:lvlJc w:val="left"/>
      <w:pPr>
        <w:ind w:left="1440" w:hanging="360"/>
      </w:pPr>
    </w:lvl>
    <w:lvl w:ilvl="2">
      <w:start w:val="394"/>
      <w:numFmt w:val="decimal"/>
      <w:lvlText w:val="(%3)"/>
      <w:lvlJc w:val="left"/>
      <w:pPr>
        <w:ind w:left="2160" w:hanging="360"/>
      </w:pPr>
    </w:lvl>
    <w:lvl w:ilvl="3">
      <w:start w:val="394"/>
      <w:numFmt w:val="decimal"/>
      <w:lvlText w:val="(%4)"/>
      <w:lvlJc w:val="left"/>
      <w:pPr>
        <w:ind w:left="2880" w:hanging="360"/>
      </w:pPr>
    </w:lvl>
    <w:lvl w:ilvl="4">
      <w:start w:val="394"/>
      <w:numFmt w:val="decimal"/>
      <w:lvlText w:val="(%5)"/>
      <w:lvlJc w:val="left"/>
      <w:pPr>
        <w:ind w:left="3600" w:hanging="360"/>
      </w:pPr>
    </w:lvl>
    <w:lvl w:ilvl="5">
      <w:start w:val="394"/>
      <w:numFmt w:val="decimal"/>
      <w:lvlText w:val="(%6)"/>
      <w:lvlJc w:val="left"/>
      <w:pPr>
        <w:ind w:left="4320" w:hanging="360"/>
      </w:pPr>
    </w:lvl>
    <w:lvl w:ilvl="6">
      <w:start w:val="394"/>
      <w:numFmt w:val="decimal"/>
      <w:lvlText w:val="(%7)"/>
      <w:lvlJc w:val="left"/>
      <w:pPr>
        <w:ind w:left="5040" w:hanging="360"/>
      </w:pPr>
    </w:lvl>
    <w:lvl w:ilvl="7">
      <w:start w:val="394"/>
      <w:numFmt w:val="decimal"/>
      <w:lvlText w:val="(%8)"/>
      <w:lvlJc w:val="left"/>
      <w:pPr>
        <w:ind w:left="5760" w:hanging="360"/>
      </w:pPr>
    </w:lvl>
    <w:lvl w:ilvl="8">
      <w:start w:val="394"/>
      <w:numFmt w:val="decimal"/>
      <w:lvlText w:val="(%9)"/>
      <w:lvlJc w:val="left"/>
      <w:pPr>
        <w:ind w:left="6480" w:hanging="360"/>
      </w:pPr>
    </w:lvl>
  </w:abstractNum>
  <w:abstractNum w:abstractNumId="9943399">
    <w:nsid w:val="A9943399"/>
    <w:multiLevelType w:val="multilevel"/>
    <w:lvl w:ilvl="0">
      <w:start w:val="399"/>
      <w:numFmt w:val="decimal"/>
      <w:lvlText w:val="(%1)"/>
      <w:lvlJc w:val="left"/>
      <w:pPr>
        <w:ind w:left="720" w:hanging="360"/>
      </w:pPr>
    </w:lvl>
    <w:lvl w:ilvl="1">
      <w:start w:val="399"/>
      <w:numFmt w:val="decimal"/>
      <w:lvlText w:val="(%2)"/>
      <w:lvlJc w:val="left"/>
      <w:pPr>
        <w:ind w:left="1440" w:hanging="360"/>
      </w:pPr>
    </w:lvl>
    <w:lvl w:ilvl="2">
      <w:start w:val="399"/>
      <w:numFmt w:val="decimal"/>
      <w:lvlText w:val="(%3)"/>
      <w:lvlJc w:val="left"/>
      <w:pPr>
        <w:ind w:left="2160" w:hanging="360"/>
      </w:pPr>
    </w:lvl>
    <w:lvl w:ilvl="3">
      <w:start w:val="399"/>
      <w:numFmt w:val="decimal"/>
      <w:lvlText w:val="(%4)"/>
      <w:lvlJc w:val="left"/>
      <w:pPr>
        <w:ind w:left="2880" w:hanging="360"/>
      </w:pPr>
    </w:lvl>
    <w:lvl w:ilvl="4">
      <w:start w:val="399"/>
      <w:numFmt w:val="decimal"/>
      <w:lvlText w:val="(%5)"/>
      <w:lvlJc w:val="left"/>
      <w:pPr>
        <w:ind w:left="3600" w:hanging="360"/>
      </w:pPr>
    </w:lvl>
    <w:lvl w:ilvl="5">
      <w:start w:val="399"/>
      <w:numFmt w:val="decimal"/>
      <w:lvlText w:val="(%6)"/>
      <w:lvlJc w:val="left"/>
      <w:pPr>
        <w:ind w:left="4320" w:hanging="360"/>
      </w:pPr>
    </w:lvl>
    <w:lvl w:ilvl="6">
      <w:start w:val="399"/>
      <w:numFmt w:val="decimal"/>
      <w:lvlText w:val="(%7)"/>
      <w:lvlJc w:val="left"/>
      <w:pPr>
        <w:ind w:left="5040" w:hanging="360"/>
      </w:pPr>
    </w:lvl>
    <w:lvl w:ilvl="7">
      <w:start w:val="399"/>
      <w:numFmt w:val="decimal"/>
      <w:lvlText w:val="(%8)"/>
      <w:lvlJc w:val="left"/>
      <w:pPr>
        <w:ind w:left="5760" w:hanging="360"/>
      </w:pPr>
    </w:lvl>
    <w:lvl w:ilvl="8">
      <w:start w:val="399"/>
      <w:numFmt w:val="decimal"/>
      <w:lvlText w:val="(%9)"/>
      <w:lvlJc w:val="left"/>
      <w:pPr>
        <w:ind w:left="6480" w:hanging="360"/>
      </w:pPr>
    </w:lvl>
  </w:abstractNum>
  <w:abstractNum w:abstractNumId="9943403">
    <w:nsid w:val="A9943403"/>
    <w:multiLevelType w:val="multilevel"/>
    <w:lvl w:ilvl="0">
      <w:start w:val="403"/>
      <w:numFmt w:val="decimal"/>
      <w:lvlText w:val="(%1)"/>
      <w:lvlJc w:val="left"/>
      <w:pPr>
        <w:ind w:left="720" w:hanging="360"/>
      </w:pPr>
    </w:lvl>
    <w:lvl w:ilvl="1">
      <w:start w:val="403"/>
      <w:numFmt w:val="decimal"/>
      <w:lvlText w:val="(%2)"/>
      <w:lvlJc w:val="left"/>
      <w:pPr>
        <w:ind w:left="1440" w:hanging="360"/>
      </w:pPr>
    </w:lvl>
    <w:lvl w:ilvl="2">
      <w:start w:val="403"/>
      <w:numFmt w:val="decimal"/>
      <w:lvlText w:val="(%3)"/>
      <w:lvlJc w:val="left"/>
      <w:pPr>
        <w:ind w:left="2160" w:hanging="360"/>
      </w:pPr>
    </w:lvl>
    <w:lvl w:ilvl="3">
      <w:start w:val="403"/>
      <w:numFmt w:val="decimal"/>
      <w:lvlText w:val="(%4)"/>
      <w:lvlJc w:val="left"/>
      <w:pPr>
        <w:ind w:left="2880" w:hanging="360"/>
      </w:pPr>
    </w:lvl>
    <w:lvl w:ilvl="4">
      <w:start w:val="403"/>
      <w:numFmt w:val="decimal"/>
      <w:lvlText w:val="(%5)"/>
      <w:lvlJc w:val="left"/>
      <w:pPr>
        <w:ind w:left="3600" w:hanging="360"/>
      </w:pPr>
    </w:lvl>
    <w:lvl w:ilvl="5">
      <w:start w:val="403"/>
      <w:numFmt w:val="decimal"/>
      <w:lvlText w:val="(%6)"/>
      <w:lvlJc w:val="left"/>
      <w:pPr>
        <w:ind w:left="4320" w:hanging="360"/>
      </w:pPr>
    </w:lvl>
    <w:lvl w:ilvl="6">
      <w:start w:val="403"/>
      <w:numFmt w:val="decimal"/>
      <w:lvlText w:val="(%7)"/>
      <w:lvlJc w:val="left"/>
      <w:pPr>
        <w:ind w:left="5040" w:hanging="360"/>
      </w:pPr>
    </w:lvl>
    <w:lvl w:ilvl="7">
      <w:start w:val="403"/>
      <w:numFmt w:val="decimal"/>
      <w:lvlText w:val="(%8)"/>
      <w:lvlJc w:val="left"/>
      <w:pPr>
        <w:ind w:left="5760" w:hanging="360"/>
      </w:pPr>
    </w:lvl>
    <w:lvl w:ilvl="8">
      <w:start w:val="403"/>
      <w:numFmt w:val="decimal"/>
      <w:lvlText w:val="(%9)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31">
    <w:nsid w:val="00A994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abstractNum w:abstractNumId="99432">
    <w:nsid w:val="00A99432"/>
    <w:multiLevelType w:val="multilevel"/>
    <w:lvl w:ilvl="0">
      <w:start w:val="2"/>
      <w:numFmt w:val="decimal"/>
      <w:lvlText w:val="(%1)"/>
      <w:lvlJc w:val="left"/>
      <w:pPr>
        <w:ind w:left="720" w:hanging="360"/>
      </w:pPr>
    </w:lvl>
    <w:lvl w:ilvl="1">
      <w:start w:val="2"/>
      <w:numFmt w:val="decimal"/>
      <w:lvlText w:val="(%2)"/>
      <w:lvlJc w:val="left"/>
      <w:pPr>
        <w:ind w:left="1440" w:hanging="360"/>
      </w:pPr>
    </w:lvl>
    <w:lvl w:ilvl="2">
      <w:start w:val="2"/>
      <w:numFmt w:val="decimal"/>
      <w:lvlText w:val="(%3)"/>
      <w:lvlJc w:val="left"/>
      <w:pPr>
        <w:ind w:left="2160" w:hanging="360"/>
      </w:pPr>
    </w:lvl>
    <w:lvl w:ilvl="3">
      <w:start w:val="2"/>
      <w:numFmt w:val="decimal"/>
      <w:lvlText w:val="(%4)"/>
      <w:lvlJc w:val="left"/>
      <w:pPr>
        <w:ind w:left="2880" w:hanging="360"/>
      </w:pPr>
    </w:lvl>
    <w:lvl w:ilvl="4">
      <w:start w:val="2"/>
      <w:numFmt w:val="decimal"/>
      <w:lvlText w:val="(%5)"/>
      <w:lvlJc w:val="left"/>
      <w:pPr>
        <w:ind w:left="3600" w:hanging="360"/>
      </w:pPr>
    </w:lvl>
    <w:lvl w:ilvl="5">
      <w:start w:val="2"/>
      <w:numFmt w:val="decimal"/>
      <w:lvlText w:val="(%6)"/>
      <w:lvlJc w:val="left"/>
      <w:pPr>
        <w:ind w:left="4320" w:hanging="360"/>
      </w:pPr>
    </w:lvl>
    <w:lvl w:ilvl="6">
      <w:start w:val="2"/>
      <w:numFmt w:val="decimal"/>
      <w:lvlText w:val="(%7)"/>
      <w:lvlJc w:val="left"/>
      <w:pPr>
        <w:ind w:left="5040" w:hanging="360"/>
      </w:pPr>
    </w:lvl>
    <w:lvl w:ilvl="7">
      <w:start w:val="2"/>
      <w:numFmt w:val="decimal"/>
      <w:lvlText w:val="(%8)"/>
      <w:lvlJc w:val="left"/>
      <w:pPr>
        <w:ind w:left="5760" w:hanging="360"/>
      </w:pPr>
    </w:lvl>
    <w:lvl w:ilvl="8">
      <w:start w:val="2"/>
      <w:numFmt w:val="decimal"/>
      <w:lvlText w:val="(%9)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3406">
    <w:nsid w:val="A9943406"/>
    <w:multiLevelType w:val="multilevel"/>
    <w:lvl w:ilvl="0">
      <w:start w:val="406"/>
      <w:numFmt w:val="decimal"/>
      <w:lvlText w:val="(%1)"/>
      <w:lvlJc w:val="left"/>
      <w:pPr>
        <w:ind w:left="720" w:hanging="360"/>
      </w:pPr>
    </w:lvl>
    <w:lvl w:ilvl="1">
      <w:start w:val="406"/>
      <w:numFmt w:val="decimal"/>
      <w:lvlText w:val="(%2)"/>
      <w:lvlJc w:val="left"/>
      <w:pPr>
        <w:ind w:left="1440" w:hanging="360"/>
      </w:pPr>
    </w:lvl>
    <w:lvl w:ilvl="2">
      <w:start w:val="406"/>
      <w:numFmt w:val="decimal"/>
      <w:lvlText w:val="(%3)"/>
      <w:lvlJc w:val="left"/>
      <w:pPr>
        <w:ind w:left="2160" w:hanging="360"/>
      </w:pPr>
    </w:lvl>
    <w:lvl w:ilvl="3">
      <w:start w:val="406"/>
      <w:numFmt w:val="decimal"/>
      <w:lvlText w:val="(%4)"/>
      <w:lvlJc w:val="left"/>
      <w:pPr>
        <w:ind w:left="2880" w:hanging="360"/>
      </w:pPr>
    </w:lvl>
    <w:lvl w:ilvl="4">
      <w:start w:val="406"/>
      <w:numFmt w:val="decimal"/>
      <w:lvlText w:val="(%5)"/>
      <w:lvlJc w:val="left"/>
      <w:pPr>
        <w:ind w:left="3600" w:hanging="360"/>
      </w:pPr>
    </w:lvl>
    <w:lvl w:ilvl="5">
      <w:start w:val="406"/>
      <w:numFmt w:val="decimal"/>
      <w:lvlText w:val="(%6)"/>
      <w:lvlJc w:val="left"/>
      <w:pPr>
        <w:ind w:left="4320" w:hanging="360"/>
      </w:pPr>
    </w:lvl>
    <w:lvl w:ilvl="6">
      <w:start w:val="406"/>
      <w:numFmt w:val="decimal"/>
      <w:lvlText w:val="(%7)"/>
      <w:lvlJc w:val="left"/>
      <w:pPr>
        <w:ind w:left="5040" w:hanging="360"/>
      </w:pPr>
    </w:lvl>
    <w:lvl w:ilvl="7">
      <w:start w:val="406"/>
      <w:numFmt w:val="decimal"/>
      <w:lvlText w:val="(%8)"/>
      <w:lvlJc w:val="left"/>
      <w:pPr>
        <w:ind w:left="5760" w:hanging="360"/>
      </w:pPr>
    </w:lvl>
    <w:lvl w:ilvl="8">
      <w:start w:val="406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43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2">
    <w:abstractNumId w:val="9943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3">
    <w:abstractNumId w:val="9943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4">
    <w:abstractNumId w:val="996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5">
    <w:abstractNumId w:val="994312"/>
    <w:lvlOverride w:ilvl="0">
      <w:startOverride w:val="12"/>
    </w:lvlOverride>
    <w:lvlOverride w:ilvl="1">
      <w:startOverride w:val="12"/>
    </w:lvlOverride>
    <w:lvlOverride w:ilvl="2">
      <w:startOverride w:val="12"/>
    </w:lvlOverride>
    <w:lvlOverride w:ilvl="3">
      <w:startOverride w:val="12"/>
    </w:lvlOverride>
    <w:lvlOverride w:ilvl="4">
      <w:startOverride w:val="12"/>
    </w:lvlOverride>
    <w:lvlOverride w:ilvl="5">
      <w:startOverride w:val="12"/>
    </w:lvlOverride>
    <w:lvlOverride w:ilvl="6">
      <w:startOverride w:val="12"/>
    </w:lvlOverride>
    <w:lvlOverride w:ilvl="7">
      <w:startOverride w:val="12"/>
    </w:lvlOverride>
    <w:lvlOverride w:ilvl="8">
      <w:startOverride w:val="12"/>
    </w:lvlOverride>
  </w:num>
  <w:num w:numId="1006">
    <w:abstractNumId w:val="994313"/>
    <w:lvlOverride w:ilvl="0">
      <w:startOverride w:val="13"/>
    </w:lvlOverride>
    <w:lvlOverride w:ilvl="1">
      <w:startOverride w:val="13"/>
    </w:lvlOverride>
    <w:lvlOverride w:ilvl="2">
      <w:startOverride w:val="13"/>
    </w:lvlOverride>
    <w:lvlOverride w:ilvl="3">
      <w:startOverride w:val="13"/>
    </w:lvlOverride>
    <w:lvlOverride w:ilvl="4">
      <w:startOverride w:val="13"/>
    </w:lvlOverride>
    <w:lvlOverride w:ilvl="5">
      <w:startOverride w:val="13"/>
    </w:lvlOverride>
    <w:lvlOverride w:ilvl="6">
      <w:startOverride w:val="13"/>
    </w:lvlOverride>
    <w:lvlOverride w:ilvl="7">
      <w:startOverride w:val="13"/>
    </w:lvlOverride>
    <w:lvlOverride w:ilvl="8">
      <w:startOverride w:val="13"/>
    </w:lvlOverride>
  </w:num>
  <w:num w:numId="1007">
    <w:abstractNumId w:val="996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8">
    <w:abstractNumId w:val="994316"/>
    <w:lvlOverride w:ilvl="0">
      <w:startOverride w:val="16"/>
    </w:lvlOverride>
    <w:lvlOverride w:ilvl="1">
      <w:startOverride w:val="16"/>
    </w:lvlOverride>
    <w:lvlOverride w:ilvl="2">
      <w:startOverride w:val="16"/>
    </w:lvlOverride>
    <w:lvlOverride w:ilvl="3">
      <w:startOverride w:val="16"/>
    </w:lvlOverride>
    <w:lvlOverride w:ilvl="4">
      <w:startOverride w:val="16"/>
    </w:lvlOverride>
    <w:lvlOverride w:ilvl="5">
      <w:startOverride w:val="16"/>
    </w:lvlOverride>
    <w:lvlOverride w:ilvl="6">
      <w:startOverride w:val="16"/>
    </w:lvlOverride>
    <w:lvlOverride w:ilvl="7">
      <w:startOverride w:val="16"/>
    </w:lvlOverride>
    <w:lvlOverride w:ilvl="8">
      <w:startOverride w:val="16"/>
    </w:lvlOverride>
  </w:num>
  <w:num w:numId="1009">
    <w:abstractNumId w:val="994317"/>
    <w:lvlOverride w:ilvl="0">
      <w:startOverride w:val="17"/>
    </w:lvlOverride>
    <w:lvlOverride w:ilvl="1">
      <w:startOverride w:val="17"/>
    </w:lvlOverride>
    <w:lvlOverride w:ilvl="2">
      <w:startOverride w:val="17"/>
    </w:lvlOverride>
    <w:lvlOverride w:ilvl="3">
      <w:startOverride w:val="17"/>
    </w:lvlOverride>
    <w:lvlOverride w:ilvl="4">
      <w:startOverride w:val="17"/>
    </w:lvlOverride>
    <w:lvlOverride w:ilvl="5">
      <w:startOverride w:val="17"/>
    </w:lvlOverride>
    <w:lvlOverride w:ilvl="6">
      <w:startOverride w:val="17"/>
    </w:lvlOverride>
    <w:lvlOverride w:ilvl="7">
      <w:startOverride w:val="17"/>
    </w:lvlOverride>
    <w:lvlOverride w:ilvl="8">
      <w:startOverride w:val="17"/>
    </w:lvlOverride>
  </w:num>
  <w:num w:numId="1010">
    <w:abstractNumId w:val="994321"/>
    <w:lvlOverride w:ilvl="0">
      <w:startOverride w:val="21"/>
    </w:lvlOverride>
    <w:lvlOverride w:ilvl="1">
      <w:startOverride w:val="21"/>
    </w:lvlOverride>
    <w:lvlOverride w:ilvl="2">
      <w:startOverride w:val="21"/>
    </w:lvlOverride>
    <w:lvlOverride w:ilvl="3">
      <w:startOverride w:val="21"/>
    </w:lvlOverride>
    <w:lvlOverride w:ilvl="4">
      <w:startOverride w:val="21"/>
    </w:lvlOverride>
    <w:lvlOverride w:ilvl="5">
      <w:startOverride w:val="21"/>
    </w:lvlOverride>
    <w:lvlOverride w:ilvl="6">
      <w:startOverride w:val="21"/>
    </w:lvlOverride>
    <w:lvlOverride w:ilvl="7">
      <w:startOverride w:val="21"/>
    </w:lvlOverride>
    <w:lvlOverride w:ilvl="8">
      <w:startOverride w:val="21"/>
    </w:lvlOverride>
  </w:num>
  <w:num w:numId="1011">
    <w:abstractNumId w:val="994323"/>
    <w:lvlOverride w:ilvl="0">
      <w:startOverride w:val="23"/>
    </w:lvlOverride>
    <w:lvlOverride w:ilvl="1">
      <w:startOverride w:val="23"/>
    </w:lvlOverride>
    <w:lvlOverride w:ilvl="2">
      <w:startOverride w:val="23"/>
    </w:lvlOverride>
    <w:lvlOverride w:ilvl="3">
      <w:startOverride w:val="23"/>
    </w:lvlOverride>
    <w:lvlOverride w:ilvl="4">
      <w:startOverride w:val="23"/>
    </w:lvlOverride>
    <w:lvlOverride w:ilvl="5">
      <w:startOverride w:val="23"/>
    </w:lvlOverride>
    <w:lvlOverride w:ilvl="6">
      <w:startOverride w:val="23"/>
    </w:lvlOverride>
    <w:lvlOverride w:ilvl="7">
      <w:startOverride w:val="23"/>
    </w:lvlOverride>
    <w:lvlOverride w:ilvl="8">
      <w:startOverride w:val="23"/>
    </w:lvlOverride>
  </w:num>
  <w:num w:numId="1012">
    <w:abstractNumId w:val="994327"/>
    <w:lvlOverride w:ilvl="0">
      <w:startOverride w:val="27"/>
    </w:lvlOverride>
    <w:lvlOverride w:ilvl="1">
      <w:startOverride w:val="27"/>
    </w:lvlOverride>
    <w:lvlOverride w:ilvl="2">
      <w:startOverride w:val="27"/>
    </w:lvlOverride>
    <w:lvlOverride w:ilvl="3">
      <w:startOverride w:val="27"/>
    </w:lvlOverride>
    <w:lvlOverride w:ilvl="4">
      <w:startOverride w:val="27"/>
    </w:lvlOverride>
    <w:lvlOverride w:ilvl="5">
      <w:startOverride w:val="27"/>
    </w:lvlOverride>
    <w:lvlOverride w:ilvl="6">
      <w:startOverride w:val="27"/>
    </w:lvlOverride>
    <w:lvlOverride w:ilvl="7">
      <w:startOverride w:val="27"/>
    </w:lvlOverride>
    <w:lvlOverride w:ilvl="8">
      <w:startOverride w:val="27"/>
    </w:lvlOverride>
  </w:num>
  <w:num w:numId="1013">
    <w:abstractNumId w:val="994329"/>
    <w:lvlOverride w:ilvl="0">
      <w:startOverride w:val="29"/>
    </w:lvlOverride>
    <w:lvlOverride w:ilvl="1">
      <w:startOverride w:val="29"/>
    </w:lvlOverride>
    <w:lvlOverride w:ilvl="2">
      <w:startOverride w:val="29"/>
    </w:lvlOverride>
    <w:lvlOverride w:ilvl="3">
      <w:startOverride w:val="29"/>
    </w:lvlOverride>
    <w:lvlOverride w:ilvl="4">
      <w:startOverride w:val="29"/>
    </w:lvlOverride>
    <w:lvlOverride w:ilvl="5">
      <w:startOverride w:val="29"/>
    </w:lvlOverride>
    <w:lvlOverride w:ilvl="6">
      <w:startOverride w:val="29"/>
    </w:lvlOverride>
    <w:lvlOverride w:ilvl="7">
      <w:startOverride w:val="29"/>
    </w:lvlOverride>
    <w:lvlOverride w:ilvl="8">
      <w:startOverride w:val="29"/>
    </w:lvlOverride>
  </w:num>
  <w:num w:numId="1014">
    <w:abstractNumId w:val="994333"/>
    <w:lvlOverride w:ilvl="0">
      <w:startOverride w:val="33"/>
    </w:lvlOverride>
    <w:lvlOverride w:ilvl="1">
      <w:startOverride w:val="33"/>
    </w:lvlOverride>
    <w:lvlOverride w:ilvl="2">
      <w:startOverride w:val="33"/>
    </w:lvlOverride>
    <w:lvlOverride w:ilvl="3">
      <w:startOverride w:val="33"/>
    </w:lvlOverride>
    <w:lvlOverride w:ilvl="4">
      <w:startOverride w:val="33"/>
    </w:lvlOverride>
    <w:lvlOverride w:ilvl="5">
      <w:startOverride w:val="33"/>
    </w:lvlOverride>
    <w:lvlOverride w:ilvl="6">
      <w:startOverride w:val="33"/>
    </w:lvlOverride>
    <w:lvlOverride w:ilvl="7">
      <w:startOverride w:val="33"/>
    </w:lvlOverride>
    <w:lvlOverride w:ilvl="8">
      <w:startOverride w:val="33"/>
    </w:lvlOverride>
  </w:num>
  <w:num w:numId="1015">
    <w:abstractNumId w:val="994334"/>
    <w:lvlOverride w:ilvl="0">
      <w:startOverride w:val="34"/>
    </w:lvlOverride>
    <w:lvlOverride w:ilvl="1">
      <w:startOverride w:val="34"/>
    </w:lvlOverride>
    <w:lvlOverride w:ilvl="2">
      <w:startOverride w:val="34"/>
    </w:lvlOverride>
    <w:lvlOverride w:ilvl="3">
      <w:startOverride w:val="34"/>
    </w:lvlOverride>
    <w:lvlOverride w:ilvl="4">
      <w:startOverride w:val="34"/>
    </w:lvlOverride>
    <w:lvlOverride w:ilvl="5">
      <w:startOverride w:val="34"/>
    </w:lvlOverride>
    <w:lvlOverride w:ilvl="6">
      <w:startOverride w:val="34"/>
    </w:lvlOverride>
    <w:lvlOverride w:ilvl="7">
      <w:startOverride w:val="34"/>
    </w:lvlOverride>
    <w:lvlOverride w:ilvl="8">
      <w:startOverride w:val="34"/>
    </w:lvlOverride>
  </w:num>
  <w:num w:numId="1016">
    <w:abstractNumId w:val="994336"/>
    <w:lvlOverride w:ilvl="0">
      <w:startOverride w:val="36"/>
    </w:lvlOverride>
    <w:lvlOverride w:ilvl="1">
      <w:startOverride w:val="36"/>
    </w:lvlOverride>
    <w:lvlOverride w:ilvl="2">
      <w:startOverride w:val="36"/>
    </w:lvlOverride>
    <w:lvlOverride w:ilvl="3">
      <w:startOverride w:val="36"/>
    </w:lvlOverride>
    <w:lvlOverride w:ilvl="4">
      <w:startOverride w:val="36"/>
    </w:lvlOverride>
    <w:lvlOverride w:ilvl="5">
      <w:startOverride w:val="36"/>
    </w:lvlOverride>
    <w:lvlOverride w:ilvl="6">
      <w:startOverride w:val="36"/>
    </w:lvlOverride>
    <w:lvlOverride w:ilvl="7">
      <w:startOverride w:val="36"/>
    </w:lvlOverride>
    <w:lvlOverride w:ilvl="8">
      <w:startOverride w:val="36"/>
    </w:lvlOverride>
  </w:num>
  <w:num w:numId="1017">
    <w:abstractNumId w:val="994338"/>
    <w:lvlOverride w:ilvl="0">
      <w:startOverride w:val="38"/>
    </w:lvlOverride>
    <w:lvlOverride w:ilvl="1">
      <w:startOverride w:val="38"/>
    </w:lvlOverride>
    <w:lvlOverride w:ilvl="2">
      <w:startOverride w:val="38"/>
    </w:lvlOverride>
    <w:lvlOverride w:ilvl="3">
      <w:startOverride w:val="38"/>
    </w:lvlOverride>
    <w:lvlOverride w:ilvl="4">
      <w:startOverride w:val="38"/>
    </w:lvlOverride>
    <w:lvlOverride w:ilvl="5">
      <w:startOverride w:val="38"/>
    </w:lvlOverride>
    <w:lvlOverride w:ilvl="6">
      <w:startOverride w:val="38"/>
    </w:lvlOverride>
    <w:lvlOverride w:ilvl="7">
      <w:startOverride w:val="38"/>
    </w:lvlOverride>
    <w:lvlOverride w:ilvl="8">
      <w:startOverride w:val="38"/>
    </w:lvlOverride>
  </w:num>
  <w:num w:numId="1018">
    <w:abstractNumId w:val="994341"/>
    <w:lvlOverride w:ilvl="0">
      <w:startOverride w:val="41"/>
    </w:lvlOverride>
    <w:lvlOverride w:ilvl="1">
      <w:startOverride w:val="41"/>
    </w:lvlOverride>
    <w:lvlOverride w:ilvl="2">
      <w:startOverride w:val="41"/>
    </w:lvlOverride>
    <w:lvlOverride w:ilvl="3">
      <w:startOverride w:val="41"/>
    </w:lvlOverride>
    <w:lvlOverride w:ilvl="4">
      <w:startOverride w:val="41"/>
    </w:lvlOverride>
    <w:lvlOverride w:ilvl="5">
      <w:startOverride w:val="41"/>
    </w:lvlOverride>
    <w:lvlOverride w:ilvl="6">
      <w:startOverride w:val="41"/>
    </w:lvlOverride>
    <w:lvlOverride w:ilvl="7">
      <w:startOverride w:val="41"/>
    </w:lvlOverride>
    <w:lvlOverride w:ilvl="8">
      <w:startOverride w:val="41"/>
    </w:lvlOverride>
  </w:num>
  <w:num w:numId="1019">
    <w:abstractNumId w:val="994346"/>
    <w:lvlOverride w:ilvl="0">
      <w:startOverride w:val="46"/>
    </w:lvlOverride>
    <w:lvlOverride w:ilvl="1">
      <w:startOverride w:val="46"/>
    </w:lvlOverride>
    <w:lvlOverride w:ilvl="2">
      <w:startOverride w:val="46"/>
    </w:lvlOverride>
    <w:lvlOverride w:ilvl="3">
      <w:startOverride w:val="46"/>
    </w:lvlOverride>
    <w:lvlOverride w:ilvl="4">
      <w:startOverride w:val="46"/>
    </w:lvlOverride>
    <w:lvlOverride w:ilvl="5">
      <w:startOverride w:val="46"/>
    </w:lvlOverride>
    <w:lvlOverride w:ilvl="6">
      <w:startOverride w:val="46"/>
    </w:lvlOverride>
    <w:lvlOverride w:ilvl="7">
      <w:startOverride w:val="46"/>
    </w:lvlOverride>
    <w:lvlOverride w:ilvl="8">
      <w:startOverride w:val="46"/>
    </w:lvlOverride>
  </w:num>
  <w:num w:numId="1020">
    <w:abstractNumId w:val="994348"/>
    <w:lvlOverride w:ilvl="0">
      <w:startOverride w:val="48"/>
    </w:lvlOverride>
    <w:lvlOverride w:ilvl="1">
      <w:startOverride w:val="48"/>
    </w:lvlOverride>
    <w:lvlOverride w:ilvl="2">
      <w:startOverride w:val="48"/>
    </w:lvlOverride>
    <w:lvlOverride w:ilvl="3">
      <w:startOverride w:val="48"/>
    </w:lvlOverride>
    <w:lvlOverride w:ilvl="4">
      <w:startOverride w:val="48"/>
    </w:lvlOverride>
    <w:lvlOverride w:ilvl="5">
      <w:startOverride w:val="48"/>
    </w:lvlOverride>
    <w:lvlOverride w:ilvl="6">
      <w:startOverride w:val="48"/>
    </w:lvlOverride>
    <w:lvlOverride w:ilvl="7">
      <w:startOverride w:val="48"/>
    </w:lvlOverride>
    <w:lvlOverride w:ilvl="8">
      <w:startOverride w:val="48"/>
    </w:lvlOverride>
  </w:num>
  <w:num w:numId="1021">
    <w:abstractNumId w:val="994350"/>
    <w:lvlOverride w:ilvl="0">
      <w:startOverride w:val="50"/>
    </w:lvlOverride>
    <w:lvlOverride w:ilvl="1">
      <w:startOverride w:val="50"/>
    </w:lvlOverride>
    <w:lvlOverride w:ilvl="2">
      <w:startOverride w:val="50"/>
    </w:lvlOverride>
    <w:lvlOverride w:ilvl="3">
      <w:startOverride w:val="50"/>
    </w:lvlOverride>
    <w:lvlOverride w:ilvl="4">
      <w:startOverride w:val="50"/>
    </w:lvlOverride>
    <w:lvlOverride w:ilvl="5">
      <w:startOverride w:val="50"/>
    </w:lvlOverride>
    <w:lvlOverride w:ilvl="6">
      <w:startOverride w:val="50"/>
    </w:lvlOverride>
    <w:lvlOverride w:ilvl="7">
      <w:startOverride w:val="50"/>
    </w:lvlOverride>
    <w:lvlOverride w:ilvl="8">
      <w:startOverride w:val="50"/>
    </w:lvlOverride>
  </w:num>
  <w:num w:numId="1022">
    <w:abstractNumId w:val="994354"/>
    <w:lvlOverride w:ilvl="0">
      <w:startOverride w:val="54"/>
    </w:lvlOverride>
    <w:lvlOverride w:ilvl="1">
      <w:startOverride w:val="54"/>
    </w:lvlOverride>
    <w:lvlOverride w:ilvl="2">
      <w:startOverride w:val="54"/>
    </w:lvlOverride>
    <w:lvlOverride w:ilvl="3">
      <w:startOverride w:val="54"/>
    </w:lvlOverride>
    <w:lvlOverride w:ilvl="4">
      <w:startOverride w:val="54"/>
    </w:lvlOverride>
    <w:lvlOverride w:ilvl="5">
      <w:startOverride w:val="54"/>
    </w:lvlOverride>
    <w:lvlOverride w:ilvl="6">
      <w:startOverride w:val="54"/>
    </w:lvlOverride>
    <w:lvlOverride w:ilvl="7">
      <w:startOverride w:val="54"/>
    </w:lvlOverride>
    <w:lvlOverride w:ilvl="8">
      <w:startOverride w:val="54"/>
    </w:lvlOverride>
  </w:num>
  <w:num w:numId="1023">
    <w:abstractNumId w:val="994359"/>
    <w:lvlOverride w:ilvl="0">
      <w:startOverride w:val="59"/>
    </w:lvlOverride>
    <w:lvlOverride w:ilvl="1">
      <w:startOverride w:val="59"/>
    </w:lvlOverride>
    <w:lvlOverride w:ilvl="2">
      <w:startOverride w:val="59"/>
    </w:lvlOverride>
    <w:lvlOverride w:ilvl="3">
      <w:startOverride w:val="59"/>
    </w:lvlOverride>
    <w:lvlOverride w:ilvl="4">
      <w:startOverride w:val="59"/>
    </w:lvlOverride>
    <w:lvlOverride w:ilvl="5">
      <w:startOverride w:val="59"/>
    </w:lvlOverride>
    <w:lvlOverride w:ilvl="6">
      <w:startOverride w:val="59"/>
    </w:lvlOverride>
    <w:lvlOverride w:ilvl="7">
      <w:startOverride w:val="59"/>
    </w:lvlOverride>
    <w:lvlOverride w:ilvl="8">
      <w:startOverride w:val="59"/>
    </w:lvlOverride>
  </w:num>
  <w:num w:numId="1024">
    <w:abstractNumId w:val="994360"/>
    <w:lvlOverride w:ilvl="0">
      <w:startOverride w:val="60"/>
    </w:lvlOverride>
    <w:lvlOverride w:ilvl="1">
      <w:startOverride w:val="60"/>
    </w:lvlOverride>
    <w:lvlOverride w:ilvl="2">
      <w:startOverride w:val="60"/>
    </w:lvlOverride>
    <w:lvlOverride w:ilvl="3">
      <w:startOverride w:val="60"/>
    </w:lvlOverride>
    <w:lvlOverride w:ilvl="4">
      <w:startOverride w:val="60"/>
    </w:lvlOverride>
    <w:lvlOverride w:ilvl="5">
      <w:startOverride w:val="60"/>
    </w:lvlOverride>
    <w:lvlOverride w:ilvl="6">
      <w:startOverride w:val="60"/>
    </w:lvlOverride>
    <w:lvlOverride w:ilvl="7">
      <w:startOverride w:val="60"/>
    </w:lvlOverride>
    <w:lvlOverride w:ilvl="8">
      <w:startOverride w:val="60"/>
    </w:lvlOverride>
  </w:num>
  <w:num w:numId="1025">
    <w:abstractNumId w:val="994364"/>
    <w:lvlOverride w:ilvl="0">
      <w:startOverride w:val="64"/>
    </w:lvlOverride>
    <w:lvlOverride w:ilvl="1">
      <w:startOverride w:val="64"/>
    </w:lvlOverride>
    <w:lvlOverride w:ilvl="2">
      <w:startOverride w:val="64"/>
    </w:lvlOverride>
    <w:lvlOverride w:ilvl="3">
      <w:startOverride w:val="64"/>
    </w:lvlOverride>
    <w:lvlOverride w:ilvl="4">
      <w:startOverride w:val="64"/>
    </w:lvlOverride>
    <w:lvlOverride w:ilvl="5">
      <w:startOverride w:val="64"/>
    </w:lvlOverride>
    <w:lvlOverride w:ilvl="6">
      <w:startOverride w:val="64"/>
    </w:lvlOverride>
    <w:lvlOverride w:ilvl="7">
      <w:startOverride w:val="64"/>
    </w:lvlOverride>
    <w:lvlOverride w:ilvl="8">
      <w:startOverride w:val="64"/>
    </w:lvlOverride>
  </w:num>
  <w:num w:numId="1026">
    <w:abstractNumId w:val="994369"/>
    <w:lvlOverride w:ilvl="0">
      <w:startOverride w:val="69"/>
    </w:lvlOverride>
    <w:lvlOverride w:ilvl="1">
      <w:startOverride w:val="69"/>
    </w:lvlOverride>
    <w:lvlOverride w:ilvl="2">
      <w:startOverride w:val="69"/>
    </w:lvlOverride>
    <w:lvlOverride w:ilvl="3">
      <w:startOverride w:val="69"/>
    </w:lvlOverride>
    <w:lvlOverride w:ilvl="4">
      <w:startOverride w:val="69"/>
    </w:lvlOverride>
    <w:lvlOverride w:ilvl="5">
      <w:startOverride w:val="69"/>
    </w:lvlOverride>
    <w:lvlOverride w:ilvl="6">
      <w:startOverride w:val="69"/>
    </w:lvlOverride>
    <w:lvlOverride w:ilvl="7">
      <w:startOverride w:val="69"/>
    </w:lvlOverride>
    <w:lvlOverride w:ilvl="8">
      <w:startOverride w:val="69"/>
    </w:lvlOverride>
  </w:num>
  <w:num w:numId="1027">
    <w:abstractNumId w:val="994372"/>
    <w:lvlOverride w:ilvl="0">
      <w:startOverride w:val="72"/>
    </w:lvlOverride>
    <w:lvlOverride w:ilvl="1">
      <w:startOverride w:val="72"/>
    </w:lvlOverride>
    <w:lvlOverride w:ilvl="2">
      <w:startOverride w:val="72"/>
    </w:lvlOverride>
    <w:lvlOverride w:ilvl="3">
      <w:startOverride w:val="72"/>
    </w:lvlOverride>
    <w:lvlOverride w:ilvl="4">
      <w:startOverride w:val="72"/>
    </w:lvlOverride>
    <w:lvlOverride w:ilvl="5">
      <w:startOverride w:val="72"/>
    </w:lvlOverride>
    <w:lvlOverride w:ilvl="6">
      <w:startOverride w:val="72"/>
    </w:lvlOverride>
    <w:lvlOverride w:ilvl="7">
      <w:startOverride w:val="72"/>
    </w:lvlOverride>
    <w:lvlOverride w:ilvl="8">
      <w:startOverride w:val="72"/>
    </w:lvlOverride>
  </w:num>
  <w:num w:numId="1028">
    <w:abstractNumId w:val="994376"/>
    <w:lvlOverride w:ilvl="0">
      <w:startOverride w:val="76"/>
    </w:lvlOverride>
    <w:lvlOverride w:ilvl="1">
      <w:startOverride w:val="76"/>
    </w:lvlOverride>
    <w:lvlOverride w:ilvl="2">
      <w:startOverride w:val="76"/>
    </w:lvlOverride>
    <w:lvlOverride w:ilvl="3">
      <w:startOverride w:val="76"/>
    </w:lvlOverride>
    <w:lvlOverride w:ilvl="4">
      <w:startOverride w:val="76"/>
    </w:lvlOverride>
    <w:lvlOverride w:ilvl="5">
      <w:startOverride w:val="76"/>
    </w:lvlOverride>
    <w:lvlOverride w:ilvl="6">
      <w:startOverride w:val="76"/>
    </w:lvlOverride>
    <w:lvlOverride w:ilvl="7">
      <w:startOverride w:val="76"/>
    </w:lvlOverride>
    <w:lvlOverride w:ilvl="8">
      <w:startOverride w:val="76"/>
    </w:lvlOverride>
  </w:num>
  <w:num w:numId="1029">
    <w:abstractNumId w:val="994381"/>
    <w:lvlOverride w:ilvl="0">
      <w:startOverride w:val="81"/>
    </w:lvlOverride>
    <w:lvlOverride w:ilvl="1">
      <w:startOverride w:val="81"/>
    </w:lvlOverride>
    <w:lvlOverride w:ilvl="2">
      <w:startOverride w:val="81"/>
    </w:lvlOverride>
    <w:lvlOverride w:ilvl="3">
      <w:startOverride w:val="81"/>
    </w:lvlOverride>
    <w:lvlOverride w:ilvl="4">
      <w:startOverride w:val="81"/>
    </w:lvlOverride>
    <w:lvlOverride w:ilvl="5">
      <w:startOverride w:val="81"/>
    </w:lvlOverride>
    <w:lvlOverride w:ilvl="6">
      <w:startOverride w:val="81"/>
    </w:lvlOverride>
    <w:lvlOverride w:ilvl="7">
      <w:startOverride w:val="81"/>
    </w:lvlOverride>
    <w:lvlOverride w:ilvl="8">
      <w:startOverride w:val="81"/>
    </w:lvlOverride>
  </w:num>
  <w:num w:numId="1030">
    <w:abstractNumId w:val="994383"/>
    <w:lvlOverride w:ilvl="0">
      <w:startOverride w:val="83"/>
    </w:lvlOverride>
    <w:lvlOverride w:ilvl="1">
      <w:startOverride w:val="83"/>
    </w:lvlOverride>
    <w:lvlOverride w:ilvl="2">
      <w:startOverride w:val="83"/>
    </w:lvlOverride>
    <w:lvlOverride w:ilvl="3">
      <w:startOverride w:val="83"/>
    </w:lvlOverride>
    <w:lvlOverride w:ilvl="4">
      <w:startOverride w:val="83"/>
    </w:lvlOverride>
    <w:lvlOverride w:ilvl="5">
      <w:startOverride w:val="83"/>
    </w:lvlOverride>
    <w:lvlOverride w:ilvl="6">
      <w:startOverride w:val="83"/>
    </w:lvlOverride>
    <w:lvlOverride w:ilvl="7">
      <w:startOverride w:val="83"/>
    </w:lvlOverride>
    <w:lvlOverride w:ilvl="8">
      <w:startOverride w:val="83"/>
    </w:lvlOverride>
  </w:num>
  <w:num w:numId="1031">
    <w:abstractNumId w:val="994388"/>
    <w:lvlOverride w:ilvl="0">
      <w:startOverride w:val="88"/>
    </w:lvlOverride>
    <w:lvlOverride w:ilvl="1">
      <w:startOverride w:val="88"/>
    </w:lvlOverride>
    <w:lvlOverride w:ilvl="2">
      <w:startOverride w:val="88"/>
    </w:lvlOverride>
    <w:lvlOverride w:ilvl="3">
      <w:startOverride w:val="88"/>
    </w:lvlOverride>
    <w:lvlOverride w:ilvl="4">
      <w:startOverride w:val="88"/>
    </w:lvlOverride>
    <w:lvlOverride w:ilvl="5">
      <w:startOverride w:val="88"/>
    </w:lvlOverride>
    <w:lvlOverride w:ilvl="6">
      <w:startOverride w:val="88"/>
    </w:lvlOverride>
    <w:lvlOverride w:ilvl="7">
      <w:startOverride w:val="88"/>
    </w:lvlOverride>
    <w:lvlOverride w:ilvl="8">
      <w:startOverride w:val="88"/>
    </w:lvlOverride>
  </w:num>
  <w:num w:numId="1032">
    <w:abstractNumId w:val="991"/>
  </w:num>
  <w:num w:numId="1033">
    <w:abstractNumId w:val="994390"/>
    <w:lvlOverride w:ilvl="0">
      <w:startOverride w:val="90"/>
    </w:lvlOverride>
    <w:lvlOverride w:ilvl="1">
      <w:startOverride w:val="90"/>
    </w:lvlOverride>
    <w:lvlOverride w:ilvl="2">
      <w:startOverride w:val="90"/>
    </w:lvlOverride>
    <w:lvlOverride w:ilvl="3">
      <w:startOverride w:val="90"/>
    </w:lvlOverride>
    <w:lvlOverride w:ilvl="4">
      <w:startOverride w:val="90"/>
    </w:lvlOverride>
    <w:lvlOverride w:ilvl="5">
      <w:startOverride w:val="90"/>
    </w:lvlOverride>
    <w:lvlOverride w:ilvl="6">
      <w:startOverride w:val="90"/>
    </w:lvlOverride>
    <w:lvlOverride w:ilvl="7">
      <w:startOverride w:val="90"/>
    </w:lvlOverride>
    <w:lvlOverride w:ilvl="8">
      <w:startOverride w:val="90"/>
    </w:lvlOverride>
  </w:num>
  <w:num w:numId="1034">
    <w:abstractNumId w:val="994394"/>
    <w:lvlOverride w:ilvl="0">
      <w:startOverride w:val="94"/>
    </w:lvlOverride>
    <w:lvlOverride w:ilvl="1">
      <w:startOverride w:val="94"/>
    </w:lvlOverride>
    <w:lvlOverride w:ilvl="2">
      <w:startOverride w:val="94"/>
    </w:lvlOverride>
    <w:lvlOverride w:ilvl="3">
      <w:startOverride w:val="94"/>
    </w:lvlOverride>
    <w:lvlOverride w:ilvl="4">
      <w:startOverride w:val="94"/>
    </w:lvlOverride>
    <w:lvlOverride w:ilvl="5">
      <w:startOverride w:val="94"/>
    </w:lvlOverride>
    <w:lvlOverride w:ilvl="6">
      <w:startOverride w:val="94"/>
    </w:lvlOverride>
    <w:lvlOverride w:ilvl="7">
      <w:startOverride w:val="94"/>
    </w:lvlOverride>
    <w:lvlOverride w:ilvl="8">
      <w:startOverride w:val="94"/>
    </w:lvlOverride>
  </w:num>
  <w:num w:numId="1035">
    <w:abstractNumId w:val="994398"/>
    <w:lvlOverride w:ilvl="0">
      <w:startOverride w:val="98"/>
    </w:lvlOverride>
    <w:lvlOverride w:ilvl="1">
      <w:startOverride w:val="98"/>
    </w:lvlOverride>
    <w:lvlOverride w:ilvl="2">
      <w:startOverride w:val="98"/>
    </w:lvlOverride>
    <w:lvlOverride w:ilvl="3">
      <w:startOverride w:val="98"/>
    </w:lvlOverride>
    <w:lvlOverride w:ilvl="4">
      <w:startOverride w:val="98"/>
    </w:lvlOverride>
    <w:lvlOverride w:ilvl="5">
      <w:startOverride w:val="98"/>
    </w:lvlOverride>
    <w:lvlOverride w:ilvl="6">
      <w:startOverride w:val="98"/>
    </w:lvlOverride>
    <w:lvlOverride w:ilvl="7">
      <w:startOverride w:val="98"/>
    </w:lvlOverride>
    <w:lvlOverride w:ilvl="8">
      <w:startOverride w:val="98"/>
    </w:lvlOverride>
  </w:num>
  <w:num w:numId="1036">
    <w:abstractNumId w:val="9943103"/>
    <w:lvlOverride w:ilvl="0">
      <w:startOverride w:val="103"/>
    </w:lvlOverride>
    <w:lvlOverride w:ilvl="1">
      <w:startOverride w:val="103"/>
    </w:lvlOverride>
    <w:lvlOverride w:ilvl="2">
      <w:startOverride w:val="103"/>
    </w:lvlOverride>
    <w:lvlOverride w:ilvl="3">
      <w:startOverride w:val="103"/>
    </w:lvlOverride>
    <w:lvlOverride w:ilvl="4">
      <w:startOverride w:val="103"/>
    </w:lvlOverride>
    <w:lvlOverride w:ilvl="5">
      <w:startOverride w:val="103"/>
    </w:lvlOverride>
    <w:lvlOverride w:ilvl="6">
      <w:startOverride w:val="103"/>
    </w:lvlOverride>
    <w:lvlOverride w:ilvl="7">
      <w:startOverride w:val="103"/>
    </w:lvlOverride>
    <w:lvlOverride w:ilvl="8">
      <w:startOverride w:val="103"/>
    </w:lvlOverride>
  </w:num>
  <w:num w:numId="1037">
    <w:abstractNumId w:val="9943106"/>
    <w:lvlOverride w:ilvl="0">
      <w:startOverride w:val="106"/>
    </w:lvlOverride>
    <w:lvlOverride w:ilvl="1">
      <w:startOverride w:val="106"/>
    </w:lvlOverride>
    <w:lvlOverride w:ilvl="2">
      <w:startOverride w:val="106"/>
    </w:lvlOverride>
    <w:lvlOverride w:ilvl="3">
      <w:startOverride w:val="106"/>
    </w:lvlOverride>
    <w:lvlOverride w:ilvl="4">
      <w:startOverride w:val="106"/>
    </w:lvlOverride>
    <w:lvlOverride w:ilvl="5">
      <w:startOverride w:val="106"/>
    </w:lvlOverride>
    <w:lvlOverride w:ilvl="6">
      <w:startOverride w:val="106"/>
    </w:lvlOverride>
    <w:lvlOverride w:ilvl="7">
      <w:startOverride w:val="106"/>
    </w:lvlOverride>
    <w:lvlOverride w:ilvl="8">
      <w:startOverride w:val="106"/>
    </w:lvlOverride>
  </w:num>
  <w:num w:numId="1038">
    <w:abstractNumId w:val="9943108"/>
    <w:lvlOverride w:ilvl="0">
      <w:startOverride w:val="108"/>
    </w:lvlOverride>
    <w:lvlOverride w:ilvl="1">
      <w:startOverride w:val="108"/>
    </w:lvlOverride>
    <w:lvlOverride w:ilvl="2">
      <w:startOverride w:val="108"/>
    </w:lvlOverride>
    <w:lvlOverride w:ilvl="3">
      <w:startOverride w:val="108"/>
    </w:lvlOverride>
    <w:lvlOverride w:ilvl="4">
      <w:startOverride w:val="108"/>
    </w:lvlOverride>
    <w:lvlOverride w:ilvl="5">
      <w:startOverride w:val="108"/>
    </w:lvlOverride>
    <w:lvlOverride w:ilvl="6">
      <w:startOverride w:val="108"/>
    </w:lvlOverride>
    <w:lvlOverride w:ilvl="7">
      <w:startOverride w:val="108"/>
    </w:lvlOverride>
    <w:lvlOverride w:ilvl="8">
      <w:startOverride w:val="108"/>
    </w:lvlOverride>
  </w:num>
  <w:num w:numId="1039">
    <w:abstractNumId w:val="9943109"/>
    <w:lvlOverride w:ilvl="0">
      <w:startOverride w:val="109"/>
    </w:lvlOverride>
    <w:lvlOverride w:ilvl="1">
      <w:startOverride w:val="109"/>
    </w:lvlOverride>
    <w:lvlOverride w:ilvl="2">
      <w:startOverride w:val="109"/>
    </w:lvlOverride>
    <w:lvlOverride w:ilvl="3">
      <w:startOverride w:val="109"/>
    </w:lvlOverride>
    <w:lvlOverride w:ilvl="4">
      <w:startOverride w:val="109"/>
    </w:lvlOverride>
    <w:lvlOverride w:ilvl="5">
      <w:startOverride w:val="109"/>
    </w:lvlOverride>
    <w:lvlOverride w:ilvl="6">
      <w:startOverride w:val="109"/>
    </w:lvlOverride>
    <w:lvlOverride w:ilvl="7">
      <w:startOverride w:val="109"/>
    </w:lvlOverride>
    <w:lvlOverride w:ilvl="8">
      <w:startOverride w:val="109"/>
    </w:lvlOverride>
  </w:num>
  <w:num w:numId="1040">
    <w:abstractNumId w:val="9943110"/>
    <w:lvlOverride w:ilvl="0">
      <w:startOverride w:val="110"/>
    </w:lvlOverride>
    <w:lvlOverride w:ilvl="1">
      <w:startOverride w:val="110"/>
    </w:lvlOverride>
    <w:lvlOverride w:ilvl="2">
      <w:startOverride w:val="110"/>
    </w:lvlOverride>
    <w:lvlOverride w:ilvl="3">
      <w:startOverride w:val="110"/>
    </w:lvlOverride>
    <w:lvlOverride w:ilvl="4">
      <w:startOverride w:val="110"/>
    </w:lvlOverride>
    <w:lvlOverride w:ilvl="5">
      <w:startOverride w:val="110"/>
    </w:lvlOverride>
    <w:lvlOverride w:ilvl="6">
      <w:startOverride w:val="110"/>
    </w:lvlOverride>
    <w:lvlOverride w:ilvl="7">
      <w:startOverride w:val="110"/>
    </w:lvlOverride>
    <w:lvlOverride w:ilvl="8">
      <w:startOverride w:val="110"/>
    </w:lvlOverride>
  </w:num>
  <w:num w:numId="1041">
    <w:abstractNumId w:val="991"/>
  </w:num>
  <w:num w:numId="1042">
    <w:abstractNumId w:val="9943111"/>
    <w:lvlOverride w:ilvl="0">
      <w:startOverride w:val="111"/>
    </w:lvlOverride>
    <w:lvlOverride w:ilvl="1">
      <w:startOverride w:val="111"/>
    </w:lvlOverride>
    <w:lvlOverride w:ilvl="2">
      <w:startOverride w:val="111"/>
    </w:lvlOverride>
    <w:lvlOverride w:ilvl="3">
      <w:startOverride w:val="111"/>
    </w:lvlOverride>
    <w:lvlOverride w:ilvl="4">
      <w:startOverride w:val="111"/>
    </w:lvlOverride>
    <w:lvlOverride w:ilvl="5">
      <w:startOverride w:val="111"/>
    </w:lvlOverride>
    <w:lvlOverride w:ilvl="6">
      <w:startOverride w:val="111"/>
    </w:lvlOverride>
    <w:lvlOverride w:ilvl="7">
      <w:startOverride w:val="111"/>
    </w:lvlOverride>
    <w:lvlOverride w:ilvl="8">
      <w:startOverride w:val="111"/>
    </w:lvlOverride>
  </w:num>
  <w:num w:numId="1043">
    <w:abstractNumId w:val="9943113"/>
    <w:lvlOverride w:ilvl="0">
      <w:startOverride w:val="113"/>
    </w:lvlOverride>
    <w:lvlOverride w:ilvl="1">
      <w:startOverride w:val="113"/>
    </w:lvlOverride>
    <w:lvlOverride w:ilvl="2">
      <w:startOverride w:val="113"/>
    </w:lvlOverride>
    <w:lvlOverride w:ilvl="3">
      <w:startOverride w:val="113"/>
    </w:lvlOverride>
    <w:lvlOverride w:ilvl="4">
      <w:startOverride w:val="113"/>
    </w:lvlOverride>
    <w:lvlOverride w:ilvl="5">
      <w:startOverride w:val="113"/>
    </w:lvlOverride>
    <w:lvlOverride w:ilvl="6">
      <w:startOverride w:val="113"/>
    </w:lvlOverride>
    <w:lvlOverride w:ilvl="7">
      <w:startOverride w:val="113"/>
    </w:lvlOverride>
    <w:lvlOverride w:ilvl="8">
      <w:startOverride w:val="113"/>
    </w:lvlOverride>
  </w:num>
  <w:num w:numId="1044">
    <w:abstractNumId w:val="9943116"/>
    <w:lvlOverride w:ilvl="0">
      <w:startOverride w:val="116"/>
    </w:lvlOverride>
    <w:lvlOverride w:ilvl="1">
      <w:startOverride w:val="116"/>
    </w:lvlOverride>
    <w:lvlOverride w:ilvl="2">
      <w:startOverride w:val="116"/>
    </w:lvlOverride>
    <w:lvlOverride w:ilvl="3">
      <w:startOverride w:val="116"/>
    </w:lvlOverride>
    <w:lvlOverride w:ilvl="4">
      <w:startOverride w:val="116"/>
    </w:lvlOverride>
    <w:lvlOverride w:ilvl="5">
      <w:startOverride w:val="116"/>
    </w:lvlOverride>
    <w:lvlOverride w:ilvl="6">
      <w:startOverride w:val="116"/>
    </w:lvlOverride>
    <w:lvlOverride w:ilvl="7">
      <w:startOverride w:val="116"/>
    </w:lvlOverride>
    <w:lvlOverride w:ilvl="8">
      <w:startOverride w:val="116"/>
    </w:lvlOverride>
  </w:num>
  <w:num w:numId="1045">
    <w:abstractNumId w:val="9943122"/>
    <w:lvlOverride w:ilvl="0">
      <w:startOverride w:val="122"/>
    </w:lvlOverride>
    <w:lvlOverride w:ilvl="1">
      <w:startOverride w:val="122"/>
    </w:lvlOverride>
    <w:lvlOverride w:ilvl="2">
      <w:startOverride w:val="122"/>
    </w:lvlOverride>
    <w:lvlOverride w:ilvl="3">
      <w:startOverride w:val="122"/>
    </w:lvlOverride>
    <w:lvlOverride w:ilvl="4">
      <w:startOverride w:val="122"/>
    </w:lvlOverride>
    <w:lvlOverride w:ilvl="5">
      <w:startOverride w:val="122"/>
    </w:lvlOverride>
    <w:lvlOverride w:ilvl="6">
      <w:startOverride w:val="122"/>
    </w:lvlOverride>
    <w:lvlOverride w:ilvl="7">
      <w:startOverride w:val="122"/>
    </w:lvlOverride>
    <w:lvlOverride w:ilvl="8">
      <w:startOverride w:val="122"/>
    </w:lvlOverride>
  </w:num>
  <w:num w:numId="1046">
    <w:abstractNumId w:val="9943152"/>
    <w:lvlOverride w:ilvl="0">
      <w:startOverride w:val="152"/>
    </w:lvlOverride>
    <w:lvlOverride w:ilvl="1">
      <w:startOverride w:val="152"/>
    </w:lvlOverride>
    <w:lvlOverride w:ilvl="2">
      <w:startOverride w:val="152"/>
    </w:lvlOverride>
    <w:lvlOverride w:ilvl="3">
      <w:startOverride w:val="152"/>
    </w:lvlOverride>
    <w:lvlOverride w:ilvl="4">
      <w:startOverride w:val="152"/>
    </w:lvlOverride>
    <w:lvlOverride w:ilvl="5">
      <w:startOverride w:val="152"/>
    </w:lvlOverride>
    <w:lvlOverride w:ilvl="6">
      <w:startOverride w:val="152"/>
    </w:lvlOverride>
    <w:lvlOverride w:ilvl="7">
      <w:startOverride w:val="152"/>
    </w:lvlOverride>
    <w:lvlOverride w:ilvl="8">
      <w:startOverride w:val="152"/>
    </w:lvlOverride>
  </w:num>
  <w:num w:numId="1047">
    <w:abstractNumId w:val="9943159"/>
    <w:lvlOverride w:ilvl="0">
      <w:startOverride w:val="159"/>
    </w:lvlOverride>
    <w:lvlOverride w:ilvl="1">
      <w:startOverride w:val="159"/>
    </w:lvlOverride>
    <w:lvlOverride w:ilvl="2">
      <w:startOverride w:val="159"/>
    </w:lvlOverride>
    <w:lvlOverride w:ilvl="3">
      <w:startOverride w:val="159"/>
    </w:lvlOverride>
    <w:lvlOverride w:ilvl="4">
      <w:startOverride w:val="159"/>
    </w:lvlOverride>
    <w:lvlOverride w:ilvl="5">
      <w:startOverride w:val="159"/>
    </w:lvlOverride>
    <w:lvlOverride w:ilvl="6">
      <w:startOverride w:val="159"/>
    </w:lvlOverride>
    <w:lvlOverride w:ilvl="7">
      <w:startOverride w:val="159"/>
    </w:lvlOverride>
    <w:lvlOverride w:ilvl="8">
      <w:startOverride w:val="159"/>
    </w:lvlOverride>
  </w:num>
  <w:num w:numId="1048">
    <w:abstractNumId w:val="9943167"/>
    <w:lvlOverride w:ilvl="0">
      <w:startOverride w:val="167"/>
    </w:lvlOverride>
    <w:lvlOverride w:ilvl="1">
      <w:startOverride w:val="167"/>
    </w:lvlOverride>
    <w:lvlOverride w:ilvl="2">
      <w:startOverride w:val="167"/>
    </w:lvlOverride>
    <w:lvlOverride w:ilvl="3">
      <w:startOverride w:val="167"/>
    </w:lvlOverride>
    <w:lvlOverride w:ilvl="4">
      <w:startOverride w:val="167"/>
    </w:lvlOverride>
    <w:lvlOverride w:ilvl="5">
      <w:startOverride w:val="167"/>
    </w:lvlOverride>
    <w:lvlOverride w:ilvl="6">
      <w:startOverride w:val="167"/>
    </w:lvlOverride>
    <w:lvlOverride w:ilvl="7">
      <w:startOverride w:val="167"/>
    </w:lvlOverride>
    <w:lvlOverride w:ilvl="8">
      <w:startOverride w:val="167"/>
    </w:lvlOverride>
  </w:num>
  <w:num w:numId="1049">
    <w:abstractNumId w:val="9943172"/>
    <w:lvlOverride w:ilvl="0">
      <w:startOverride w:val="172"/>
    </w:lvlOverride>
    <w:lvlOverride w:ilvl="1">
      <w:startOverride w:val="172"/>
    </w:lvlOverride>
    <w:lvlOverride w:ilvl="2">
      <w:startOverride w:val="172"/>
    </w:lvlOverride>
    <w:lvlOverride w:ilvl="3">
      <w:startOverride w:val="172"/>
    </w:lvlOverride>
    <w:lvlOverride w:ilvl="4">
      <w:startOverride w:val="172"/>
    </w:lvlOverride>
    <w:lvlOverride w:ilvl="5">
      <w:startOverride w:val="172"/>
    </w:lvlOverride>
    <w:lvlOverride w:ilvl="6">
      <w:startOverride w:val="172"/>
    </w:lvlOverride>
    <w:lvlOverride w:ilvl="7">
      <w:startOverride w:val="172"/>
    </w:lvlOverride>
    <w:lvlOverride w:ilvl="8">
      <w:startOverride w:val="172"/>
    </w:lvlOverride>
  </w:num>
  <w:num w:numId="1050">
    <w:abstractNumId w:val="9943178"/>
    <w:lvlOverride w:ilvl="0">
      <w:startOverride w:val="178"/>
    </w:lvlOverride>
    <w:lvlOverride w:ilvl="1">
      <w:startOverride w:val="178"/>
    </w:lvlOverride>
    <w:lvlOverride w:ilvl="2">
      <w:startOverride w:val="178"/>
    </w:lvlOverride>
    <w:lvlOverride w:ilvl="3">
      <w:startOverride w:val="178"/>
    </w:lvlOverride>
    <w:lvlOverride w:ilvl="4">
      <w:startOverride w:val="178"/>
    </w:lvlOverride>
    <w:lvlOverride w:ilvl="5">
      <w:startOverride w:val="178"/>
    </w:lvlOverride>
    <w:lvlOverride w:ilvl="6">
      <w:startOverride w:val="178"/>
    </w:lvlOverride>
    <w:lvlOverride w:ilvl="7">
      <w:startOverride w:val="178"/>
    </w:lvlOverride>
    <w:lvlOverride w:ilvl="8">
      <w:startOverride w:val="178"/>
    </w:lvlOverride>
  </w:num>
  <w:num w:numId="1051">
    <w:abstractNumId w:val="9943186"/>
    <w:lvlOverride w:ilvl="0">
      <w:startOverride w:val="186"/>
    </w:lvlOverride>
    <w:lvlOverride w:ilvl="1">
      <w:startOverride w:val="186"/>
    </w:lvlOverride>
    <w:lvlOverride w:ilvl="2">
      <w:startOverride w:val="186"/>
    </w:lvlOverride>
    <w:lvlOverride w:ilvl="3">
      <w:startOverride w:val="186"/>
    </w:lvlOverride>
    <w:lvlOverride w:ilvl="4">
      <w:startOverride w:val="186"/>
    </w:lvlOverride>
    <w:lvlOverride w:ilvl="5">
      <w:startOverride w:val="186"/>
    </w:lvlOverride>
    <w:lvlOverride w:ilvl="6">
      <w:startOverride w:val="186"/>
    </w:lvlOverride>
    <w:lvlOverride w:ilvl="7">
      <w:startOverride w:val="186"/>
    </w:lvlOverride>
    <w:lvlOverride w:ilvl="8">
      <w:startOverride w:val="186"/>
    </w:lvlOverride>
  </w:num>
  <w:num w:numId="1052">
    <w:abstractNumId w:val="9943189"/>
    <w:lvlOverride w:ilvl="0">
      <w:startOverride w:val="189"/>
    </w:lvlOverride>
    <w:lvlOverride w:ilvl="1">
      <w:startOverride w:val="189"/>
    </w:lvlOverride>
    <w:lvlOverride w:ilvl="2">
      <w:startOverride w:val="189"/>
    </w:lvlOverride>
    <w:lvlOverride w:ilvl="3">
      <w:startOverride w:val="189"/>
    </w:lvlOverride>
    <w:lvlOverride w:ilvl="4">
      <w:startOverride w:val="189"/>
    </w:lvlOverride>
    <w:lvlOverride w:ilvl="5">
      <w:startOverride w:val="189"/>
    </w:lvlOverride>
    <w:lvlOverride w:ilvl="6">
      <w:startOverride w:val="189"/>
    </w:lvlOverride>
    <w:lvlOverride w:ilvl="7">
      <w:startOverride w:val="189"/>
    </w:lvlOverride>
    <w:lvlOverride w:ilvl="8">
      <w:startOverride w:val="189"/>
    </w:lvlOverride>
  </w:num>
  <w:num w:numId="1053">
    <w:abstractNumId w:val="9943192"/>
    <w:lvlOverride w:ilvl="0">
      <w:startOverride w:val="192"/>
    </w:lvlOverride>
    <w:lvlOverride w:ilvl="1">
      <w:startOverride w:val="192"/>
    </w:lvlOverride>
    <w:lvlOverride w:ilvl="2">
      <w:startOverride w:val="192"/>
    </w:lvlOverride>
    <w:lvlOverride w:ilvl="3">
      <w:startOverride w:val="192"/>
    </w:lvlOverride>
    <w:lvlOverride w:ilvl="4">
      <w:startOverride w:val="192"/>
    </w:lvlOverride>
    <w:lvlOverride w:ilvl="5">
      <w:startOverride w:val="192"/>
    </w:lvlOverride>
    <w:lvlOverride w:ilvl="6">
      <w:startOverride w:val="192"/>
    </w:lvlOverride>
    <w:lvlOverride w:ilvl="7">
      <w:startOverride w:val="192"/>
    </w:lvlOverride>
    <w:lvlOverride w:ilvl="8">
      <w:startOverride w:val="192"/>
    </w:lvlOverride>
  </w:num>
  <w:num w:numId="1054">
    <w:abstractNumId w:val="9943199"/>
    <w:lvlOverride w:ilvl="0">
      <w:startOverride w:val="199"/>
    </w:lvlOverride>
    <w:lvlOverride w:ilvl="1">
      <w:startOverride w:val="199"/>
    </w:lvlOverride>
    <w:lvlOverride w:ilvl="2">
      <w:startOverride w:val="199"/>
    </w:lvlOverride>
    <w:lvlOverride w:ilvl="3">
      <w:startOverride w:val="199"/>
    </w:lvlOverride>
    <w:lvlOverride w:ilvl="4">
      <w:startOverride w:val="199"/>
    </w:lvlOverride>
    <w:lvlOverride w:ilvl="5">
      <w:startOverride w:val="199"/>
    </w:lvlOverride>
    <w:lvlOverride w:ilvl="6">
      <w:startOverride w:val="199"/>
    </w:lvlOverride>
    <w:lvlOverride w:ilvl="7">
      <w:startOverride w:val="199"/>
    </w:lvlOverride>
    <w:lvlOverride w:ilvl="8">
      <w:startOverride w:val="199"/>
    </w:lvlOverride>
  </w:num>
  <w:num w:numId="1055">
    <w:abstractNumId w:val="9943203"/>
    <w:lvlOverride w:ilvl="0">
      <w:startOverride w:val="203"/>
    </w:lvlOverride>
    <w:lvlOverride w:ilvl="1">
      <w:startOverride w:val="203"/>
    </w:lvlOverride>
    <w:lvlOverride w:ilvl="2">
      <w:startOverride w:val="203"/>
    </w:lvlOverride>
    <w:lvlOverride w:ilvl="3">
      <w:startOverride w:val="203"/>
    </w:lvlOverride>
    <w:lvlOverride w:ilvl="4">
      <w:startOverride w:val="203"/>
    </w:lvlOverride>
    <w:lvlOverride w:ilvl="5">
      <w:startOverride w:val="203"/>
    </w:lvlOverride>
    <w:lvlOverride w:ilvl="6">
      <w:startOverride w:val="203"/>
    </w:lvlOverride>
    <w:lvlOverride w:ilvl="7">
      <w:startOverride w:val="203"/>
    </w:lvlOverride>
    <w:lvlOverride w:ilvl="8">
      <w:startOverride w:val="203"/>
    </w:lvlOverride>
  </w:num>
  <w:num w:numId="1056">
    <w:abstractNumId w:val="9943209"/>
    <w:lvlOverride w:ilvl="0">
      <w:startOverride w:val="209"/>
    </w:lvlOverride>
    <w:lvlOverride w:ilvl="1">
      <w:startOverride w:val="209"/>
    </w:lvlOverride>
    <w:lvlOverride w:ilvl="2">
      <w:startOverride w:val="209"/>
    </w:lvlOverride>
    <w:lvlOverride w:ilvl="3">
      <w:startOverride w:val="209"/>
    </w:lvlOverride>
    <w:lvlOverride w:ilvl="4">
      <w:startOverride w:val="209"/>
    </w:lvlOverride>
    <w:lvlOverride w:ilvl="5">
      <w:startOverride w:val="209"/>
    </w:lvlOverride>
    <w:lvlOverride w:ilvl="6">
      <w:startOverride w:val="209"/>
    </w:lvlOverride>
    <w:lvlOverride w:ilvl="7">
      <w:startOverride w:val="209"/>
    </w:lvlOverride>
    <w:lvlOverride w:ilvl="8">
      <w:startOverride w:val="209"/>
    </w:lvlOverride>
  </w:num>
  <w:num w:numId="1057">
    <w:abstractNumId w:val="9943213"/>
    <w:lvlOverride w:ilvl="0">
      <w:startOverride w:val="213"/>
    </w:lvlOverride>
    <w:lvlOverride w:ilvl="1">
      <w:startOverride w:val="213"/>
    </w:lvlOverride>
    <w:lvlOverride w:ilvl="2">
      <w:startOverride w:val="213"/>
    </w:lvlOverride>
    <w:lvlOverride w:ilvl="3">
      <w:startOverride w:val="213"/>
    </w:lvlOverride>
    <w:lvlOverride w:ilvl="4">
      <w:startOverride w:val="213"/>
    </w:lvlOverride>
    <w:lvlOverride w:ilvl="5">
      <w:startOverride w:val="213"/>
    </w:lvlOverride>
    <w:lvlOverride w:ilvl="6">
      <w:startOverride w:val="213"/>
    </w:lvlOverride>
    <w:lvlOverride w:ilvl="7">
      <w:startOverride w:val="213"/>
    </w:lvlOverride>
    <w:lvlOverride w:ilvl="8">
      <w:startOverride w:val="213"/>
    </w:lvlOverride>
  </w:num>
  <w:num w:numId="1058">
    <w:abstractNumId w:val="9943223"/>
    <w:lvlOverride w:ilvl="0">
      <w:startOverride w:val="223"/>
    </w:lvlOverride>
    <w:lvlOverride w:ilvl="1">
      <w:startOverride w:val="223"/>
    </w:lvlOverride>
    <w:lvlOverride w:ilvl="2">
      <w:startOverride w:val="223"/>
    </w:lvlOverride>
    <w:lvlOverride w:ilvl="3">
      <w:startOverride w:val="223"/>
    </w:lvlOverride>
    <w:lvlOverride w:ilvl="4">
      <w:startOverride w:val="223"/>
    </w:lvlOverride>
    <w:lvlOverride w:ilvl="5">
      <w:startOverride w:val="223"/>
    </w:lvlOverride>
    <w:lvlOverride w:ilvl="6">
      <w:startOverride w:val="223"/>
    </w:lvlOverride>
    <w:lvlOverride w:ilvl="7">
      <w:startOverride w:val="223"/>
    </w:lvlOverride>
    <w:lvlOverride w:ilvl="8">
      <w:startOverride w:val="223"/>
    </w:lvlOverride>
  </w:num>
  <w:num w:numId="1059">
    <w:abstractNumId w:val="9943235"/>
    <w:lvlOverride w:ilvl="0">
      <w:startOverride w:val="235"/>
    </w:lvlOverride>
    <w:lvlOverride w:ilvl="1">
      <w:startOverride w:val="235"/>
    </w:lvlOverride>
    <w:lvlOverride w:ilvl="2">
      <w:startOverride w:val="235"/>
    </w:lvlOverride>
    <w:lvlOverride w:ilvl="3">
      <w:startOverride w:val="235"/>
    </w:lvlOverride>
    <w:lvlOverride w:ilvl="4">
      <w:startOverride w:val="235"/>
    </w:lvlOverride>
    <w:lvlOverride w:ilvl="5">
      <w:startOverride w:val="235"/>
    </w:lvlOverride>
    <w:lvlOverride w:ilvl="6">
      <w:startOverride w:val="235"/>
    </w:lvlOverride>
    <w:lvlOverride w:ilvl="7">
      <w:startOverride w:val="235"/>
    </w:lvlOverride>
    <w:lvlOverride w:ilvl="8">
      <w:startOverride w:val="235"/>
    </w:lvlOverride>
  </w:num>
  <w:num w:numId="1060">
    <w:abstractNumId w:val="9943247"/>
    <w:lvlOverride w:ilvl="0">
      <w:startOverride w:val="247"/>
    </w:lvlOverride>
    <w:lvlOverride w:ilvl="1">
      <w:startOverride w:val="247"/>
    </w:lvlOverride>
    <w:lvlOverride w:ilvl="2">
      <w:startOverride w:val="247"/>
    </w:lvlOverride>
    <w:lvlOverride w:ilvl="3">
      <w:startOverride w:val="247"/>
    </w:lvlOverride>
    <w:lvlOverride w:ilvl="4">
      <w:startOverride w:val="247"/>
    </w:lvlOverride>
    <w:lvlOverride w:ilvl="5">
      <w:startOverride w:val="247"/>
    </w:lvlOverride>
    <w:lvlOverride w:ilvl="6">
      <w:startOverride w:val="247"/>
    </w:lvlOverride>
    <w:lvlOverride w:ilvl="7">
      <w:startOverride w:val="247"/>
    </w:lvlOverride>
    <w:lvlOverride w:ilvl="8">
      <w:startOverride w:val="247"/>
    </w:lvlOverride>
  </w:num>
  <w:num w:numId="1061">
    <w:abstractNumId w:val="9943253"/>
    <w:lvlOverride w:ilvl="0">
      <w:startOverride w:val="253"/>
    </w:lvlOverride>
    <w:lvlOverride w:ilvl="1">
      <w:startOverride w:val="253"/>
    </w:lvlOverride>
    <w:lvlOverride w:ilvl="2">
      <w:startOverride w:val="253"/>
    </w:lvlOverride>
    <w:lvlOverride w:ilvl="3">
      <w:startOverride w:val="253"/>
    </w:lvlOverride>
    <w:lvlOverride w:ilvl="4">
      <w:startOverride w:val="253"/>
    </w:lvlOverride>
    <w:lvlOverride w:ilvl="5">
      <w:startOverride w:val="253"/>
    </w:lvlOverride>
    <w:lvlOverride w:ilvl="6">
      <w:startOverride w:val="253"/>
    </w:lvlOverride>
    <w:lvlOverride w:ilvl="7">
      <w:startOverride w:val="253"/>
    </w:lvlOverride>
    <w:lvlOverride w:ilvl="8">
      <w:startOverride w:val="253"/>
    </w:lvlOverride>
  </w:num>
  <w:num w:numId="1062">
    <w:abstractNumId w:val="9943257"/>
    <w:lvlOverride w:ilvl="0">
      <w:startOverride w:val="257"/>
    </w:lvlOverride>
    <w:lvlOverride w:ilvl="1">
      <w:startOverride w:val="257"/>
    </w:lvlOverride>
    <w:lvlOverride w:ilvl="2">
      <w:startOverride w:val="257"/>
    </w:lvlOverride>
    <w:lvlOverride w:ilvl="3">
      <w:startOverride w:val="257"/>
    </w:lvlOverride>
    <w:lvlOverride w:ilvl="4">
      <w:startOverride w:val="257"/>
    </w:lvlOverride>
    <w:lvlOverride w:ilvl="5">
      <w:startOverride w:val="257"/>
    </w:lvlOverride>
    <w:lvlOverride w:ilvl="6">
      <w:startOverride w:val="257"/>
    </w:lvlOverride>
    <w:lvlOverride w:ilvl="7">
      <w:startOverride w:val="257"/>
    </w:lvlOverride>
    <w:lvlOverride w:ilvl="8">
      <w:startOverride w:val="257"/>
    </w:lvlOverride>
  </w:num>
  <w:num w:numId="1063">
    <w:abstractNumId w:val="9943263"/>
    <w:lvlOverride w:ilvl="0">
      <w:startOverride w:val="263"/>
    </w:lvlOverride>
    <w:lvlOverride w:ilvl="1">
      <w:startOverride w:val="263"/>
    </w:lvlOverride>
    <w:lvlOverride w:ilvl="2">
      <w:startOverride w:val="263"/>
    </w:lvlOverride>
    <w:lvlOverride w:ilvl="3">
      <w:startOverride w:val="263"/>
    </w:lvlOverride>
    <w:lvlOverride w:ilvl="4">
      <w:startOverride w:val="263"/>
    </w:lvlOverride>
    <w:lvlOverride w:ilvl="5">
      <w:startOverride w:val="263"/>
    </w:lvlOverride>
    <w:lvlOverride w:ilvl="6">
      <w:startOverride w:val="263"/>
    </w:lvlOverride>
    <w:lvlOverride w:ilvl="7">
      <w:startOverride w:val="263"/>
    </w:lvlOverride>
    <w:lvlOverride w:ilvl="8">
      <w:startOverride w:val="263"/>
    </w:lvlOverride>
  </w:num>
  <w:num w:numId="1064">
    <w:abstractNumId w:val="9943269"/>
    <w:lvlOverride w:ilvl="0">
      <w:startOverride w:val="269"/>
    </w:lvlOverride>
    <w:lvlOverride w:ilvl="1">
      <w:startOverride w:val="269"/>
    </w:lvlOverride>
    <w:lvlOverride w:ilvl="2">
      <w:startOverride w:val="269"/>
    </w:lvlOverride>
    <w:lvlOverride w:ilvl="3">
      <w:startOverride w:val="269"/>
    </w:lvlOverride>
    <w:lvlOverride w:ilvl="4">
      <w:startOverride w:val="269"/>
    </w:lvlOverride>
    <w:lvlOverride w:ilvl="5">
      <w:startOverride w:val="269"/>
    </w:lvlOverride>
    <w:lvlOverride w:ilvl="6">
      <w:startOverride w:val="269"/>
    </w:lvlOverride>
    <w:lvlOverride w:ilvl="7">
      <w:startOverride w:val="269"/>
    </w:lvlOverride>
    <w:lvlOverride w:ilvl="8">
      <w:startOverride w:val="269"/>
    </w:lvlOverride>
  </w:num>
  <w:num w:numId="1065">
    <w:abstractNumId w:val="9943273"/>
    <w:lvlOverride w:ilvl="0">
      <w:startOverride w:val="273"/>
    </w:lvlOverride>
    <w:lvlOverride w:ilvl="1">
      <w:startOverride w:val="273"/>
    </w:lvlOverride>
    <w:lvlOverride w:ilvl="2">
      <w:startOverride w:val="273"/>
    </w:lvlOverride>
    <w:lvlOverride w:ilvl="3">
      <w:startOverride w:val="273"/>
    </w:lvlOverride>
    <w:lvlOverride w:ilvl="4">
      <w:startOverride w:val="273"/>
    </w:lvlOverride>
    <w:lvlOverride w:ilvl="5">
      <w:startOverride w:val="273"/>
    </w:lvlOverride>
    <w:lvlOverride w:ilvl="6">
      <w:startOverride w:val="273"/>
    </w:lvlOverride>
    <w:lvlOverride w:ilvl="7">
      <w:startOverride w:val="273"/>
    </w:lvlOverride>
    <w:lvlOverride w:ilvl="8">
      <w:startOverride w:val="273"/>
    </w:lvlOverride>
  </w:num>
  <w:num w:numId="1066">
    <w:abstractNumId w:val="9943279"/>
    <w:lvlOverride w:ilvl="0">
      <w:startOverride w:val="279"/>
    </w:lvlOverride>
    <w:lvlOverride w:ilvl="1">
      <w:startOverride w:val="279"/>
    </w:lvlOverride>
    <w:lvlOverride w:ilvl="2">
      <w:startOverride w:val="279"/>
    </w:lvlOverride>
    <w:lvlOverride w:ilvl="3">
      <w:startOverride w:val="279"/>
    </w:lvlOverride>
    <w:lvlOverride w:ilvl="4">
      <w:startOverride w:val="279"/>
    </w:lvlOverride>
    <w:lvlOverride w:ilvl="5">
      <w:startOverride w:val="279"/>
    </w:lvlOverride>
    <w:lvlOverride w:ilvl="6">
      <w:startOverride w:val="279"/>
    </w:lvlOverride>
    <w:lvlOverride w:ilvl="7">
      <w:startOverride w:val="279"/>
    </w:lvlOverride>
    <w:lvlOverride w:ilvl="8">
      <w:startOverride w:val="279"/>
    </w:lvlOverride>
  </w:num>
  <w:num w:numId="1067">
    <w:abstractNumId w:val="9943284"/>
    <w:lvlOverride w:ilvl="0">
      <w:startOverride w:val="284"/>
    </w:lvlOverride>
    <w:lvlOverride w:ilvl="1">
      <w:startOverride w:val="284"/>
    </w:lvlOverride>
    <w:lvlOverride w:ilvl="2">
      <w:startOverride w:val="284"/>
    </w:lvlOverride>
    <w:lvlOverride w:ilvl="3">
      <w:startOverride w:val="284"/>
    </w:lvlOverride>
    <w:lvlOverride w:ilvl="4">
      <w:startOverride w:val="284"/>
    </w:lvlOverride>
    <w:lvlOverride w:ilvl="5">
      <w:startOverride w:val="284"/>
    </w:lvlOverride>
    <w:lvlOverride w:ilvl="6">
      <w:startOverride w:val="284"/>
    </w:lvlOverride>
    <w:lvlOverride w:ilvl="7">
      <w:startOverride w:val="284"/>
    </w:lvlOverride>
    <w:lvlOverride w:ilvl="8">
      <w:startOverride w:val="284"/>
    </w:lvlOverride>
  </w:num>
  <w:num w:numId="1068">
    <w:abstractNumId w:val="9943285"/>
    <w:lvlOverride w:ilvl="0">
      <w:startOverride w:val="285"/>
    </w:lvlOverride>
    <w:lvlOverride w:ilvl="1">
      <w:startOverride w:val="285"/>
    </w:lvlOverride>
    <w:lvlOverride w:ilvl="2">
      <w:startOverride w:val="285"/>
    </w:lvlOverride>
    <w:lvlOverride w:ilvl="3">
      <w:startOverride w:val="285"/>
    </w:lvlOverride>
    <w:lvlOverride w:ilvl="4">
      <w:startOverride w:val="285"/>
    </w:lvlOverride>
    <w:lvlOverride w:ilvl="5">
      <w:startOverride w:val="285"/>
    </w:lvlOverride>
    <w:lvlOverride w:ilvl="6">
      <w:startOverride w:val="285"/>
    </w:lvlOverride>
    <w:lvlOverride w:ilvl="7">
      <w:startOverride w:val="285"/>
    </w:lvlOverride>
    <w:lvlOverride w:ilvl="8">
      <w:startOverride w:val="285"/>
    </w:lvlOverride>
  </w:num>
  <w:num w:numId="1069">
    <w:abstractNumId w:val="9943291"/>
    <w:lvlOverride w:ilvl="0">
      <w:startOverride w:val="291"/>
    </w:lvlOverride>
    <w:lvlOverride w:ilvl="1">
      <w:startOverride w:val="291"/>
    </w:lvlOverride>
    <w:lvlOverride w:ilvl="2">
      <w:startOverride w:val="291"/>
    </w:lvlOverride>
    <w:lvlOverride w:ilvl="3">
      <w:startOverride w:val="291"/>
    </w:lvlOverride>
    <w:lvlOverride w:ilvl="4">
      <w:startOverride w:val="291"/>
    </w:lvlOverride>
    <w:lvlOverride w:ilvl="5">
      <w:startOverride w:val="291"/>
    </w:lvlOverride>
    <w:lvlOverride w:ilvl="6">
      <w:startOverride w:val="291"/>
    </w:lvlOverride>
    <w:lvlOverride w:ilvl="7">
      <w:startOverride w:val="291"/>
    </w:lvlOverride>
    <w:lvlOverride w:ilvl="8">
      <w:startOverride w:val="291"/>
    </w:lvlOverride>
  </w:num>
  <w:num w:numId="1070">
    <w:abstractNumId w:val="9943297"/>
    <w:lvlOverride w:ilvl="0">
      <w:startOverride w:val="297"/>
    </w:lvlOverride>
    <w:lvlOverride w:ilvl="1">
      <w:startOverride w:val="297"/>
    </w:lvlOverride>
    <w:lvlOverride w:ilvl="2">
      <w:startOverride w:val="297"/>
    </w:lvlOverride>
    <w:lvlOverride w:ilvl="3">
      <w:startOverride w:val="297"/>
    </w:lvlOverride>
    <w:lvlOverride w:ilvl="4">
      <w:startOverride w:val="297"/>
    </w:lvlOverride>
    <w:lvlOverride w:ilvl="5">
      <w:startOverride w:val="297"/>
    </w:lvlOverride>
    <w:lvlOverride w:ilvl="6">
      <w:startOverride w:val="297"/>
    </w:lvlOverride>
    <w:lvlOverride w:ilvl="7">
      <w:startOverride w:val="297"/>
    </w:lvlOverride>
    <w:lvlOverride w:ilvl="8">
      <w:startOverride w:val="297"/>
    </w:lvlOverride>
  </w:num>
  <w:num w:numId="1071">
    <w:abstractNumId w:val="9943299"/>
    <w:lvlOverride w:ilvl="0">
      <w:startOverride w:val="299"/>
    </w:lvlOverride>
    <w:lvlOverride w:ilvl="1">
      <w:startOverride w:val="299"/>
    </w:lvlOverride>
    <w:lvlOverride w:ilvl="2">
      <w:startOverride w:val="299"/>
    </w:lvlOverride>
    <w:lvlOverride w:ilvl="3">
      <w:startOverride w:val="299"/>
    </w:lvlOverride>
    <w:lvlOverride w:ilvl="4">
      <w:startOverride w:val="299"/>
    </w:lvlOverride>
    <w:lvlOverride w:ilvl="5">
      <w:startOverride w:val="299"/>
    </w:lvlOverride>
    <w:lvlOverride w:ilvl="6">
      <w:startOverride w:val="299"/>
    </w:lvlOverride>
    <w:lvlOverride w:ilvl="7">
      <w:startOverride w:val="299"/>
    </w:lvlOverride>
    <w:lvlOverride w:ilvl="8">
      <w:startOverride w:val="299"/>
    </w:lvlOverride>
  </w:num>
  <w:num w:numId="1072">
    <w:abstractNumId w:val="9943302"/>
    <w:lvlOverride w:ilvl="0">
      <w:startOverride w:val="302"/>
    </w:lvlOverride>
    <w:lvlOverride w:ilvl="1">
      <w:startOverride w:val="302"/>
    </w:lvlOverride>
    <w:lvlOverride w:ilvl="2">
      <w:startOverride w:val="302"/>
    </w:lvlOverride>
    <w:lvlOverride w:ilvl="3">
      <w:startOverride w:val="302"/>
    </w:lvlOverride>
    <w:lvlOverride w:ilvl="4">
      <w:startOverride w:val="302"/>
    </w:lvlOverride>
    <w:lvlOverride w:ilvl="5">
      <w:startOverride w:val="302"/>
    </w:lvlOverride>
    <w:lvlOverride w:ilvl="6">
      <w:startOverride w:val="302"/>
    </w:lvlOverride>
    <w:lvlOverride w:ilvl="7">
      <w:startOverride w:val="302"/>
    </w:lvlOverride>
    <w:lvlOverride w:ilvl="8">
      <w:startOverride w:val="302"/>
    </w:lvlOverride>
  </w:num>
  <w:num w:numId="1073">
    <w:abstractNumId w:val="9943310"/>
    <w:lvlOverride w:ilvl="0">
      <w:startOverride w:val="310"/>
    </w:lvlOverride>
    <w:lvlOverride w:ilvl="1">
      <w:startOverride w:val="310"/>
    </w:lvlOverride>
    <w:lvlOverride w:ilvl="2">
      <w:startOverride w:val="310"/>
    </w:lvlOverride>
    <w:lvlOverride w:ilvl="3">
      <w:startOverride w:val="310"/>
    </w:lvlOverride>
    <w:lvlOverride w:ilvl="4">
      <w:startOverride w:val="310"/>
    </w:lvlOverride>
    <w:lvlOverride w:ilvl="5">
      <w:startOverride w:val="310"/>
    </w:lvlOverride>
    <w:lvlOverride w:ilvl="6">
      <w:startOverride w:val="310"/>
    </w:lvlOverride>
    <w:lvlOverride w:ilvl="7">
      <w:startOverride w:val="310"/>
    </w:lvlOverride>
    <w:lvlOverride w:ilvl="8">
      <w:startOverride w:val="310"/>
    </w:lvlOverride>
  </w:num>
  <w:num w:numId="1074">
    <w:abstractNumId w:val="9943318"/>
    <w:lvlOverride w:ilvl="0">
      <w:startOverride w:val="318"/>
    </w:lvlOverride>
    <w:lvlOverride w:ilvl="1">
      <w:startOverride w:val="318"/>
    </w:lvlOverride>
    <w:lvlOverride w:ilvl="2">
      <w:startOverride w:val="318"/>
    </w:lvlOverride>
    <w:lvlOverride w:ilvl="3">
      <w:startOverride w:val="318"/>
    </w:lvlOverride>
    <w:lvlOverride w:ilvl="4">
      <w:startOverride w:val="318"/>
    </w:lvlOverride>
    <w:lvlOverride w:ilvl="5">
      <w:startOverride w:val="318"/>
    </w:lvlOverride>
    <w:lvlOverride w:ilvl="6">
      <w:startOverride w:val="318"/>
    </w:lvlOverride>
    <w:lvlOverride w:ilvl="7">
      <w:startOverride w:val="318"/>
    </w:lvlOverride>
    <w:lvlOverride w:ilvl="8">
      <w:startOverride w:val="318"/>
    </w:lvlOverride>
  </w:num>
  <w:num w:numId="1075">
    <w:abstractNumId w:val="9943324"/>
    <w:lvlOverride w:ilvl="0">
      <w:startOverride w:val="324"/>
    </w:lvlOverride>
    <w:lvlOverride w:ilvl="1">
      <w:startOverride w:val="324"/>
    </w:lvlOverride>
    <w:lvlOverride w:ilvl="2">
      <w:startOverride w:val="324"/>
    </w:lvlOverride>
    <w:lvlOverride w:ilvl="3">
      <w:startOverride w:val="324"/>
    </w:lvlOverride>
    <w:lvlOverride w:ilvl="4">
      <w:startOverride w:val="324"/>
    </w:lvlOverride>
    <w:lvlOverride w:ilvl="5">
      <w:startOverride w:val="324"/>
    </w:lvlOverride>
    <w:lvlOverride w:ilvl="6">
      <w:startOverride w:val="324"/>
    </w:lvlOverride>
    <w:lvlOverride w:ilvl="7">
      <w:startOverride w:val="324"/>
    </w:lvlOverride>
    <w:lvlOverride w:ilvl="8">
      <w:startOverride w:val="324"/>
    </w:lvlOverride>
  </w:num>
  <w:num w:numId="1076">
    <w:abstractNumId w:val="9943335"/>
    <w:lvlOverride w:ilvl="0">
      <w:startOverride w:val="335"/>
    </w:lvlOverride>
    <w:lvlOverride w:ilvl="1">
      <w:startOverride w:val="335"/>
    </w:lvlOverride>
    <w:lvlOverride w:ilvl="2">
      <w:startOverride w:val="335"/>
    </w:lvlOverride>
    <w:lvlOverride w:ilvl="3">
      <w:startOverride w:val="335"/>
    </w:lvlOverride>
    <w:lvlOverride w:ilvl="4">
      <w:startOverride w:val="335"/>
    </w:lvlOverride>
    <w:lvlOverride w:ilvl="5">
      <w:startOverride w:val="335"/>
    </w:lvlOverride>
    <w:lvlOverride w:ilvl="6">
      <w:startOverride w:val="335"/>
    </w:lvlOverride>
    <w:lvlOverride w:ilvl="7">
      <w:startOverride w:val="335"/>
    </w:lvlOverride>
    <w:lvlOverride w:ilvl="8">
      <w:startOverride w:val="335"/>
    </w:lvlOverride>
  </w:num>
  <w:num w:numId="1077">
    <w:abstractNumId w:val="9943342"/>
    <w:lvlOverride w:ilvl="0">
      <w:startOverride w:val="342"/>
    </w:lvlOverride>
    <w:lvlOverride w:ilvl="1">
      <w:startOverride w:val="342"/>
    </w:lvlOverride>
    <w:lvlOverride w:ilvl="2">
      <w:startOverride w:val="342"/>
    </w:lvlOverride>
    <w:lvlOverride w:ilvl="3">
      <w:startOverride w:val="342"/>
    </w:lvlOverride>
    <w:lvlOverride w:ilvl="4">
      <w:startOverride w:val="342"/>
    </w:lvlOverride>
    <w:lvlOverride w:ilvl="5">
      <w:startOverride w:val="342"/>
    </w:lvlOverride>
    <w:lvlOverride w:ilvl="6">
      <w:startOverride w:val="342"/>
    </w:lvlOverride>
    <w:lvlOverride w:ilvl="7">
      <w:startOverride w:val="342"/>
    </w:lvlOverride>
    <w:lvlOverride w:ilvl="8">
      <w:startOverride w:val="342"/>
    </w:lvlOverride>
  </w:num>
  <w:num w:numId="1078">
    <w:abstractNumId w:val="9943354"/>
    <w:lvlOverride w:ilvl="0">
      <w:startOverride w:val="354"/>
    </w:lvlOverride>
    <w:lvlOverride w:ilvl="1">
      <w:startOverride w:val="354"/>
    </w:lvlOverride>
    <w:lvlOverride w:ilvl="2">
      <w:startOverride w:val="354"/>
    </w:lvlOverride>
    <w:lvlOverride w:ilvl="3">
      <w:startOverride w:val="354"/>
    </w:lvlOverride>
    <w:lvlOverride w:ilvl="4">
      <w:startOverride w:val="354"/>
    </w:lvlOverride>
    <w:lvlOverride w:ilvl="5">
      <w:startOverride w:val="354"/>
    </w:lvlOverride>
    <w:lvlOverride w:ilvl="6">
      <w:startOverride w:val="354"/>
    </w:lvlOverride>
    <w:lvlOverride w:ilvl="7">
      <w:startOverride w:val="354"/>
    </w:lvlOverride>
    <w:lvlOverride w:ilvl="8">
      <w:startOverride w:val="354"/>
    </w:lvlOverride>
  </w:num>
  <w:num w:numId="1079">
    <w:abstractNumId w:val="9943365"/>
    <w:lvlOverride w:ilvl="0">
      <w:startOverride w:val="365"/>
    </w:lvlOverride>
    <w:lvlOverride w:ilvl="1">
      <w:startOverride w:val="365"/>
    </w:lvlOverride>
    <w:lvlOverride w:ilvl="2">
      <w:startOverride w:val="365"/>
    </w:lvlOverride>
    <w:lvlOverride w:ilvl="3">
      <w:startOverride w:val="365"/>
    </w:lvlOverride>
    <w:lvlOverride w:ilvl="4">
      <w:startOverride w:val="365"/>
    </w:lvlOverride>
    <w:lvlOverride w:ilvl="5">
      <w:startOverride w:val="365"/>
    </w:lvlOverride>
    <w:lvlOverride w:ilvl="6">
      <w:startOverride w:val="365"/>
    </w:lvlOverride>
    <w:lvlOverride w:ilvl="7">
      <w:startOverride w:val="365"/>
    </w:lvlOverride>
    <w:lvlOverride w:ilvl="8">
      <w:startOverride w:val="365"/>
    </w:lvlOverride>
  </w:num>
  <w:num w:numId="1080">
    <w:abstractNumId w:val="9943368"/>
    <w:lvlOverride w:ilvl="0">
      <w:startOverride w:val="368"/>
    </w:lvlOverride>
    <w:lvlOverride w:ilvl="1">
      <w:startOverride w:val="368"/>
    </w:lvlOverride>
    <w:lvlOverride w:ilvl="2">
      <w:startOverride w:val="368"/>
    </w:lvlOverride>
    <w:lvlOverride w:ilvl="3">
      <w:startOverride w:val="368"/>
    </w:lvlOverride>
    <w:lvlOverride w:ilvl="4">
      <w:startOverride w:val="368"/>
    </w:lvlOverride>
    <w:lvlOverride w:ilvl="5">
      <w:startOverride w:val="368"/>
    </w:lvlOverride>
    <w:lvlOverride w:ilvl="6">
      <w:startOverride w:val="368"/>
    </w:lvlOverride>
    <w:lvlOverride w:ilvl="7">
      <w:startOverride w:val="368"/>
    </w:lvlOverride>
    <w:lvlOverride w:ilvl="8">
      <w:startOverride w:val="368"/>
    </w:lvlOverride>
  </w:num>
  <w:num w:numId="1081">
    <w:abstractNumId w:val="9943372"/>
    <w:lvlOverride w:ilvl="0">
      <w:startOverride w:val="372"/>
    </w:lvlOverride>
    <w:lvlOverride w:ilvl="1">
      <w:startOverride w:val="372"/>
    </w:lvlOverride>
    <w:lvlOverride w:ilvl="2">
      <w:startOverride w:val="372"/>
    </w:lvlOverride>
    <w:lvlOverride w:ilvl="3">
      <w:startOverride w:val="372"/>
    </w:lvlOverride>
    <w:lvlOverride w:ilvl="4">
      <w:startOverride w:val="372"/>
    </w:lvlOverride>
    <w:lvlOverride w:ilvl="5">
      <w:startOverride w:val="372"/>
    </w:lvlOverride>
    <w:lvlOverride w:ilvl="6">
      <w:startOverride w:val="372"/>
    </w:lvlOverride>
    <w:lvlOverride w:ilvl="7">
      <w:startOverride w:val="372"/>
    </w:lvlOverride>
    <w:lvlOverride w:ilvl="8">
      <w:startOverride w:val="372"/>
    </w:lvlOverride>
  </w:num>
  <w:num w:numId="1082">
    <w:abstractNumId w:val="9943377"/>
    <w:lvlOverride w:ilvl="0">
      <w:startOverride w:val="377"/>
    </w:lvlOverride>
    <w:lvlOverride w:ilvl="1">
      <w:startOverride w:val="377"/>
    </w:lvlOverride>
    <w:lvlOverride w:ilvl="2">
      <w:startOverride w:val="377"/>
    </w:lvlOverride>
    <w:lvlOverride w:ilvl="3">
      <w:startOverride w:val="377"/>
    </w:lvlOverride>
    <w:lvlOverride w:ilvl="4">
      <w:startOverride w:val="377"/>
    </w:lvlOverride>
    <w:lvlOverride w:ilvl="5">
      <w:startOverride w:val="377"/>
    </w:lvlOverride>
    <w:lvlOverride w:ilvl="6">
      <w:startOverride w:val="377"/>
    </w:lvlOverride>
    <w:lvlOverride w:ilvl="7">
      <w:startOverride w:val="377"/>
    </w:lvlOverride>
    <w:lvlOverride w:ilvl="8">
      <w:startOverride w:val="377"/>
    </w:lvlOverride>
  </w:num>
  <w:num w:numId="1083">
    <w:abstractNumId w:val="9943383"/>
    <w:lvlOverride w:ilvl="0">
      <w:startOverride w:val="383"/>
    </w:lvlOverride>
    <w:lvlOverride w:ilvl="1">
      <w:startOverride w:val="383"/>
    </w:lvlOverride>
    <w:lvlOverride w:ilvl="2">
      <w:startOverride w:val="383"/>
    </w:lvlOverride>
    <w:lvlOverride w:ilvl="3">
      <w:startOverride w:val="383"/>
    </w:lvlOverride>
    <w:lvlOverride w:ilvl="4">
      <w:startOverride w:val="383"/>
    </w:lvlOverride>
    <w:lvlOverride w:ilvl="5">
      <w:startOverride w:val="383"/>
    </w:lvlOverride>
    <w:lvlOverride w:ilvl="6">
      <w:startOverride w:val="383"/>
    </w:lvlOverride>
    <w:lvlOverride w:ilvl="7">
      <w:startOverride w:val="383"/>
    </w:lvlOverride>
    <w:lvlOverride w:ilvl="8">
      <w:startOverride w:val="383"/>
    </w:lvlOverride>
  </w:num>
  <w:num w:numId="1084">
    <w:abstractNumId w:val="9943387"/>
    <w:lvlOverride w:ilvl="0">
      <w:startOverride w:val="387"/>
    </w:lvlOverride>
    <w:lvlOverride w:ilvl="1">
      <w:startOverride w:val="387"/>
    </w:lvlOverride>
    <w:lvlOverride w:ilvl="2">
      <w:startOverride w:val="387"/>
    </w:lvlOverride>
    <w:lvlOverride w:ilvl="3">
      <w:startOverride w:val="387"/>
    </w:lvlOverride>
    <w:lvlOverride w:ilvl="4">
      <w:startOverride w:val="387"/>
    </w:lvlOverride>
    <w:lvlOverride w:ilvl="5">
      <w:startOverride w:val="387"/>
    </w:lvlOverride>
    <w:lvlOverride w:ilvl="6">
      <w:startOverride w:val="387"/>
    </w:lvlOverride>
    <w:lvlOverride w:ilvl="7">
      <w:startOverride w:val="387"/>
    </w:lvlOverride>
    <w:lvlOverride w:ilvl="8">
      <w:startOverride w:val="387"/>
    </w:lvlOverride>
  </w:num>
  <w:num w:numId="1085">
    <w:abstractNumId w:val="9943390"/>
    <w:lvlOverride w:ilvl="0">
      <w:startOverride w:val="390"/>
    </w:lvlOverride>
    <w:lvlOverride w:ilvl="1">
      <w:startOverride w:val="390"/>
    </w:lvlOverride>
    <w:lvlOverride w:ilvl="2">
      <w:startOverride w:val="390"/>
    </w:lvlOverride>
    <w:lvlOverride w:ilvl="3">
      <w:startOverride w:val="390"/>
    </w:lvlOverride>
    <w:lvlOverride w:ilvl="4">
      <w:startOverride w:val="390"/>
    </w:lvlOverride>
    <w:lvlOverride w:ilvl="5">
      <w:startOverride w:val="390"/>
    </w:lvlOverride>
    <w:lvlOverride w:ilvl="6">
      <w:startOverride w:val="390"/>
    </w:lvlOverride>
    <w:lvlOverride w:ilvl="7">
      <w:startOverride w:val="390"/>
    </w:lvlOverride>
    <w:lvlOverride w:ilvl="8">
      <w:startOverride w:val="390"/>
    </w:lvlOverride>
  </w:num>
  <w:num w:numId="1086">
    <w:abstractNumId w:val="9943392"/>
    <w:lvlOverride w:ilvl="0">
      <w:startOverride w:val="392"/>
    </w:lvlOverride>
    <w:lvlOverride w:ilvl="1">
      <w:startOverride w:val="392"/>
    </w:lvlOverride>
    <w:lvlOverride w:ilvl="2">
      <w:startOverride w:val="392"/>
    </w:lvlOverride>
    <w:lvlOverride w:ilvl="3">
      <w:startOverride w:val="392"/>
    </w:lvlOverride>
    <w:lvlOverride w:ilvl="4">
      <w:startOverride w:val="392"/>
    </w:lvlOverride>
    <w:lvlOverride w:ilvl="5">
      <w:startOverride w:val="392"/>
    </w:lvlOverride>
    <w:lvlOverride w:ilvl="6">
      <w:startOverride w:val="392"/>
    </w:lvlOverride>
    <w:lvlOverride w:ilvl="7">
      <w:startOverride w:val="392"/>
    </w:lvlOverride>
    <w:lvlOverride w:ilvl="8">
      <w:startOverride w:val="392"/>
    </w:lvlOverride>
  </w:num>
  <w:num w:numId="1087">
    <w:abstractNumId w:val="9943393"/>
    <w:lvlOverride w:ilvl="0">
      <w:startOverride w:val="393"/>
    </w:lvlOverride>
    <w:lvlOverride w:ilvl="1">
      <w:startOverride w:val="393"/>
    </w:lvlOverride>
    <w:lvlOverride w:ilvl="2">
      <w:startOverride w:val="393"/>
    </w:lvlOverride>
    <w:lvlOverride w:ilvl="3">
      <w:startOverride w:val="393"/>
    </w:lvlOverride>
    <w:lvlOverride w:ilvl="4">
      <w:startOverride w:val="393"/>
    </w:lvlOverride>
    <w:lvlOverride w:ilvl="5">
      <w:startOverride w:val="393"/>
    </w:lvlOverride>
    <w:lvlOverride w:ilvl="6">
      <w:startOverride w:val="393"/>
    </w:lvlOverride>
    <w:lvlOverride w:ilvl="7">
      <w:startOverride w:val="393"/>
    </w:lvlOverride>
    <w:lvlOverride w:ilvl="8">
      <w:startOverride w:val="393"/>
    </w:lvlOverride>
  </w:num>
  <w:num w:numId="1088">
    <w:abstractNumId w:val="9943394"/>
    <w:lvlOverride w:ilvl="0">
      <w:startOverride w:val="394"/>
    </w:lvlOverride>
    <w:lvlOverride w:ilvl="1">
      <w:startOverride w:val="394"/>
    </w:lvlOverride>
    <w:lvlOverride w:ilvl="2">
      <w:startOverride w:val="394"/>
    </w:lvlOverride>
    <w:lvlOverride w:ilvl="3">
      <w:startOverride w:val="394"/>
    </w:lvlOverride>
    <w:lvlOverride w:ilvl="4">
      <w:startOverride w:val="394"/>
    </w:lvlOverride>
    <w:lvlOverride w:ilvl="5">
      <w:startOverride w:val="394"/>
    </w:lvlOverride>
    <w:lvlOverride w:ilvl="6">
      <w:startOverride w:val="394"/>
    </w:lvlOverride>
    <w:lvlOverride w:ilvl="7">
      <w:startOverride w:val="394"/>
    </w:lvlOverride>
    <w:lvlOverride w:ilvl="8">
      <w:startOverride w:val="394"/>
    </w:lvlOverride>
  </w:num>
  <w:num w:numId="1089">
    <w:abstractNumId w:val="9943399"/>
    <w:lvlOverride w:ilvl="0">
      <w:startOverride w:val="399"/>
    </w:lvlOverride>
    <w:lvlOverride w:ilvl="1">
      <w:startOverride w:val="399"/>
    </w:lvlOverride>
    <w:lvlOverride w:ilvl="2">
      <w:startOverride w:val="399"/>
    </w:lvlOverride>
    <w:lvlOverride w:ilvl="3">
      <w:startOverride w:val="399"/>
    </w:lvlOverride>
    <w:lvlOverride w:ilvl="4">
      <w:startOverride w:val="399"/>
    </w:lvlOverride>
    <w:lvlOverride w:ilvl="5">
      <w:startOverride w:val="399"/>
    </w:lvlOverride>
    <w:lvlOverride w:ilvl="6">
      <w:startOverride w:val="399"/>
    </w:lvlOverride>
    <w:lvlOverride w:ilvl="7">
      <w:startOverride w:val="399"/>
    </w:lvlOverride>
    <w:lvlOverride w:ilvl="8">
      <w:startOverride w:val="399"/>
    </w:lvlOverride>
  </w:num>
  <w:num w:numId="1090">
    <w:abstractNumId w:val="9943403"/>
    <w:lvlOverride w:ilvl="0">
      <w:startOverride w:val="403"/>
    </w:lvlOverride>
    <w:lvlOverride w:ilvl="1">
      <w:startOverride w:val="403"/>
    </w:lvlOverride>
    <w:lvlOverride w:ilvl="2">
      <w:startOverride w:val="403"/>
    </w:lvlOverride>
    <w:lvlOverride w:ilvl="3">
      <w:startOverride w:val="403"/>
    </w:lvlOverride>
    <w:lvlOverride w:ilvl="4">
      <w:startOverride w:val="403"/>
    </w:lvlOverride>
    <w:lvlOverride w:ilvl="5">
      <w:startOverride w:val="403"/>
    </w:lvlOverride>
    <w:lvlOverride w:ilvl="6">
      <w:startOverride w:val="403"/>
    </w:lvlOverride>
    <w:lvlOverride w:ilvl="7">
      <w:startOverride w:val="403"/>
    </w:lvlOverride>
    <w:lvlOverride w:ilvl="8">
      <w:startOverride w:val="403"/>
    </w:lvlOverride>
  </w:num>
  <w:num w:numId="1091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92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3">
    <w:abstractNumId w:val="994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94">
    <w:abstractNumId w:val="9943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9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6">
    <w:abstractNumId w:val="9943406"/>
    <w:lvlOverride w:ilvl="0">
      <w:startOverride w:val="406"/>
    </w:lvlOverride>
    <w:lvlOverride w:ilvl="1">
      <w:startOverride w:val="406"/>
    </w:lvlOverride>
    <w:lvlOverride w:ilvl="2">
      <w:startOverride w:val="406"/>
    </w:lvlOverride>
    <w:lvlOverride w:ilvl="3">
      <w:startOverride w:val="406"/>
    </w:lvlOverride>
    <w:lvlOverride w:ilvl="4">
      <w:startOverride w:val="406"/>
    </w:lvlOverride>
    <w:lvlOverride w:ilvl="5">
      <w:startOverride w:val="406"/>
    </w:lvlOverride>
    <w:lvlOverride w:ilvl="6">
      <w:startOverride w:val="406"/>
    </w:lvlOverride>
    <w:lvlOverride w:ilvl="7">
      <w:startOverride w:val="406"/>
    </w:lvlOverride>
    <w:lvlOverride w:ilvl="8">
      <w:startOverride w:val="406"/>
    </w:lvlOverride>
  </w:num>
  <w:num w:numId="1097">
    <w:abstractNumId w:val="9943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2026-07-31T16:48:47Z</dcterms:created>
  <dcterms:modified xsi:type="dcterms:W3CDTF">2026-07-31T16:48:47Z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