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24.6.2026</w:t>
      </w:r>
      <w:r>
        <w:br/>
      </w:r>
      <w:r>
        <w:t xml:space="preserve">SWD(2026) 561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t xml:space="preserve"> </w:t>
      </w:r>
      <w:r>
        <w:t xml:space="preserve">Amending Council Directives 2003/49/EC, 2009/133/EC, 2011/96/EU, (EU) 2016/1164,</w:t>
      </w:r>
      <w:r>
        <w:t xml:space="preserve"> </w:t>
      </w:r>
      <w:r>
        <w:t xml:space="preserve">(EU) 2017/1852, and EU 2025/50 as regards the simplification of the Union framework</w:t>
      </w:r>
      <w:r>
        <w:t xml:space="preserve"> </w:t>
      </w:r>
      <w:r>
        <w:t xml:space="preserve">on direct taxation and supporting growth and competitiveness of the EU</w:t>
      </w:r>
      <w:r>
        <w:t xml:space="preserve"> </w:t>
      </w:r>
      <w:r>
        <w:t xml:space="preserve">{COM(2026) 560 final} - {SEC(2026) 560 final} - {SWD(2026) 560 final} -</w:t>
      </w:r>
      <w:r>
        <w:t xml:space="preserve"> </w:t>
      </w:r>
      <w:r>
        <w:t xml:space="preserve">{SWD(2026) 562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……………………………………………………………………………………………13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……………………………………………………………………..15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……………………………………………………………17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……………………………………………………39</w:t>
      </w:r>
      <w:r>
        <w:t xml:space="preserve"> </w:t>
      </w:r>
      <w:r>
        <w:t xml:space="preserve">7. HOW DO THE OPTIONS COMPARE? …………………………………………………………………………………….62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………………………………………………………………………………………………………..68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EVALUATED?……………………………..73</w:t>
      </w:r>
      <w:r>
        <w:t xml:space="preserve"> </w:t>
      </w:r>
      <w:r>
        <w:t xml:space="preserve">ANNEX 1: PROCEDURAL INFORMATION …………………………………………………………………………………76</w:t>
      </w:r>
      <w:r>
        <w:t xml:space="preserve"> </w:t>
      </w:r>
      <w:r>
        <w:t xml:space="preserve">ANNEX 2: STAKEHOLDER CONSULTATION (SYNOPSIS REPORT) ………………………………………….80</w:t>
      </w:r>
      <w:r>
        <w:t xml:space="preserve"> </w:t>
      </w:r>
      <w:r>
        <w:t xml:space="preserve">ANNEX 3: WHO IS AFFECTED AND HOW? ……………………………………………………………………………….85</w:t>
      </w:r>
      <w:r>
        <w:t xml:space="preserve"> </w:t>
      </w:r>
      <w:r>
        <w:t xml:space="preserve">ANNEX 4: ANALYTICAL METHODS …………………………………………………………………………………………90</w:t>
      </w:r>
      <w:r>
        <w:t xml:space="preserve"> </w:t>
      </w:r>
      <w:r>
        <w:t xml:space="preserve">ANNEX 5: COMPETITIVENESS CHECK …………………………………………………………………………………..106</w:t>
      </w:r>
      <w:r>
        <w:t xml:space="preserve"> </w:t>
      </w:r>
      <w:r>
        <w:t xml:space="preserve">ANNEX 6: SME CHECK ……………………………………………………………………………………………………………107</w:t>
      </w:r>
      <w:r>
        <w:t xml:space="preserve"> </w:t>
      </w:r>
      <w:r>
        <w:t xml:space="preserve">ANNEX 7: TIMELINE OF EU DIRECTIVES IN DIRECT TAXATION …………………………………………110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ATAD</w:t>
      </w:r>
      <w:r>
        <w:t xml:space="preserve"> </w:t>
      </w:r>
      <w:r>
        <w:t xml:space="preserve">Anti-Tax Avoidance Directive</w:t>
      </w:r>
      <w:r>
        <w:t xml:space="preserve"> </w:t>
      </w:r>
      <w:r>
        <w:t xml:space="preserve">BEPS</w:t>
      </w:r>
      <w:r>
        <w:t xml:space="preserve"> </w:t>
      </w:r>
      <w:r>
        <w:t xml:space="preserve">Base Erosion and Profit Shifting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CFC</w:t>
      </w:r>
      <w:r>
        <w:t xml:space="preserve"> </w:t>
      </w:r>
      <w:r>
        <w:t xml:space="preserve">Controlled Foreign Company</w:t>
      </w:r>
      <w:r>
        <w:t xml:space="preserve"> </w:t>
      </w:r>
      <w:r>
        <w:t xml:space="preserve">CIT</w:t>
      </w:r>
      <w:r>
        <w:t xml:space="preserve"> </w:t>
      </w:r>
      <w:r>
        <w:t xml:space="preserve">Corporate Income Tax</w:t>
      </w:r>
      <w:r>
        <w:t xml:space="preserve"> </w:t>
      </w:r>
      <w:r>
        <w:t xml:space="preserve">DAC</w:t>
      </w:r>
      <w:r>
        <w:t xml:space="preserve"> </w:t>
      </w:r>
      <w:r>
        <w:t xml:space="preserve">Directive on Administrative Cooperation</w:t>
      </w:r>
      <w:r>
        <w:t xml:space="preserve"> </w:t>
      </w:r>
      <w:r>
        <w:t xml:space="preserve">Direct taxation</w:t>
      </w:r>
      <w:r>
        <w:t xml:space="preserve"> </w:t>
      </w:r>
      <w:r>
        <w:t xml:space="preserve">Tax concept where taxes are imposed directly on the</w:t>
      </w:r>
      <w:r>
        <w:t xml:space="preserve"> </w:t>
      </w:r>
      <w:r>
        <w:t xml:space="preserve">taxpayer, e.g., a business, and cannot be shifted to others</w:t>
      </w:r>
      <w:r>
        <w:t xml:space="preserve"> </w:t>
      </w:r>
      <w:r>
        <w:t xml:space="preserve">DTA</w:t>
      </w:r>
      <w:r>
        <w:t xml:space="preserve"> </w:t>
      </w:r>
      <w:r>
        <w:t xml:space="preserve">Double Tax Agreement</w:t>
      </w:r>
      <w:r>
        <w:t xml:space="preserve"> </w:t>
      </w:r>
      <w:r>
        <w:t xml:space="preserve">DRM</w:t>
      </w:r>
      <w:r>
        <w:t xml:space="preserve"> </w:t>
      </w:r>
      <w:r>
        <w:t xml:space="preserve">Dispute Resolution Mechanisms Directive</w:t>
      </w:r>
      <w:r>
        <w:t xml:space="preserve"> </w:t>
      </w:r>
      <w:r>
        <w:t xml:space="preserve">EBITDA</w:t>
      </w:r>
      <w:r>
        <w:t xml:space="preserve"> </w:t>
      </w:r>
      <w:r>
        <w:t xml:space="preserve">Earnings</w:t>
      </w:r>
      <w:r>
        <w:t xml:space="preserve"> </w:t>
      </w:r>
      <w:r>
        <w:t xml:space="preserve">before</w:t>
      </w:r>
      <w:r>
        <w:t xml:space="preserve"> </w:t>
      </w:r>
      <w:r>
        <w:t xml:space="preserve">interest,</w:t>
      </w:r>
      <w:r>
        <w:t xml:space="preserve"> </w:t>
      </w:r>
      <w:r>
        <w:t xml:space="preserve">tax,</w:t>
      </w:r>
      <w:r>
        <w:t xml:space="preserve"> </w:t>
      </w:r>
      <w:r>
        <w:t xml:space="preserve">depreciation</w:t>
      </w:r>
      <w:r>
        <w:t xml:space="preserve"> </w:t>
      </w:r>
      <w:r>
        <w:t xml:space="preserve">and</w:t>
      </w:r>
      <w:r>
        <w:t xml:space="preserve"> </w:t>
      </w:r>
      <w:r>
        <w:t xml:space="preserve">amortisation</w:t>
      </w:r>
      <w:r>
        <w:t xml:space="preserve"> </w:t>
      </w:r>
      <w:r>
        <w:t xml:space="preserve">EFTA</w:t>
      </w:r>
      <w:r>
        <w:t xml:space="preserve"> </w:t>
      </w:r>
      <w:r>
        <w:t xml:space="preserve">The European Free Trade Association</w:t>
      </w:r>
      <w:r>
        <w:t xml:space="preserve"> </w:t>
      </w:r>
      <w:r>
        <w:t xml:space="preserve">ETR</w:t>
      </w:r>
      <w:r>
        <w:t xml:space="preserve"> </w:t>
      </w:r>
      <w:r>
        <w:t xml:space="preserve">Effective tax rate</w:t>
      </w:r>
      <w:r>
        <w:t xml:space="preserve"> </w:t>
      </w:r>
      <w:r>
        <w:t xml:space="preserve">EU</w:t>
      </w:r>
      <w:r>
        <w:t xml:space="preserve"> </w:t>
      </w:r>
      <w:r>
        <w:t xml:space="preserve">The European Union</w:t>
      </w:r>
      <w:r>
        <w:t xml:space="preserve"> </w:t>
      </w:r>
      <w:r>
        <w:t xml:space="preserve">EU tax rules</w:t>
      </w:r>
      <w:r>
        <w:t xml:space="preserve"> </w:t>
      </w:r>
      <w:r>
        <w:t xml:space="preserve">Rules deriving from the Directives adopted by the</w:t>
      </w:r>
      <w:r>
        <w:t xml:space="preserve"> </w:t>
      </w:r>
      <w:r>
        <w:t xml:space="preserve">Council of the European Union in the area of direct</w:t>
      </w:r>
      <w:r>
        <w:t xml:space="preserve"> </w:t>
      </w:r>
      <w:r>
        <w:t xml:space="preserve">taxation</w:t>
      </w:r>
      <w:r>
        <w:t xml:space="preserve"> </w:t>
      </w:r>
      <w:r>
        <w:t xml:space="preserve">Existing Directives</w:t>
      </w:r>
      <w:r>
        <w:t xml:space="preserve"> </w:t>
      </w:r>
      <w:r>
        <w:t xml:space="preserve">Directives adopted by the Council of the European</w:t>
      </w:r>
      <w:r>
        <w:t xml:space="preserve"> </w:t>
      </w:r>
      <w:r>
        <w:t xml:space="preserve">Union in the area of direct taxation</w:t>
      </w:r>
      <w:r>
        <w:t xml:space="preserve"> </w:t>
      </w:r>
      <w:r>
        <w:t xml:space="preserve">FASTER</w:t>
      </w:r>
      <w:r>
        <w:t xml:space="preserve"> </w:t>
      </w:r>
      <w:r>
        <w:t xml:space="preserve">Directive on faster and safer relief of excess withholding</w:t>
      </w:r>
      <w:r>
        <w:t xml:space="preserve"> </w:t>
      </w:r>
      <w:r>
        <w:t xml:space="preserve">taxes</w:t>
      </w:r>
    </w:p>
    <w:p>
      <w:pPr>
        <w:pStyle w:val="BodyText"/>
      </w:pPr>
      <w:r>
        <w:t xml:space="preserve">FDI</w:t>
      </w:r>
      <w:r>
        <w:t xml:space="preserve"> </w:t>
      </w:r>
      <w:r>
        <w:t xml:space="preserve">Foreign direct investment(s)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br/>
      </w:r>
      <w:r>
        <w:t xml:space="preserve">HOT</w:t>
      </w:r>
      <w:r>
        <w:t xml:space="preserve"> </w:t>
      </w:r>
      <w:r>
        <w:t xml:space="preserve">Head Office Taxation</w:t>
      </w:r>
      <w:r>
        <w:t xml:space="preserve"> </w:t>
      </w:r>
      <w:r>
        <w:t xml:space="preserve">IIR</w:t>
      </w:r>
      <w:r>
        <w:t xml:space="preserve"> </w:t>
      </w:r>
      <w:r>
        <w:t xml:space="preserve">Income Inclusion Rule under Pillar 2</w:t>
      </w:r>
      <w:r>
        <w:t xml:space="preserve"> </w:t>
      </w:r>
      <w:r>
        <w:t xml:space="preserve">ILR</w:t>
      </w:r>
      <w:r>
        <w:t xml:space="preserve"> </w:t>
      </w:r>
      <w:r>
        <w:t xml:space="preserve">Interest Limitation Rule</w:t>
      </w:r>
      <w:r>
        <w:t xml:space="preserve"> </w:t>
      </w:r>
      <w:r>
        <w:t xml:space="preserve">IRD</w:t>
      </w:r>
      <w:r>
        <w:t xml:space="preserve"> </w:t>
      </w:r>
      <w:r>
        <w:t xml:space="preserve">Interest and Royalties Directive</w:t>
      </w:r>
      <w:r>
        <w:t xml:space="preserve"> </w:t>
      </w:r>
      <w:r>
        <w:t xml:space="preserve">JRC</w:t>
      </w:r>
      <w:r>
        <w:t xml:space="preserve"> </w:t>
      </w:r>
      <w:r>
        <w:t xml:space="preserve">The Joint Research Centre</w:t>
      </w:r>
      <w:r>
        <w:t xml:space="preserve"> </w:t>
      </w:r>
      <w:r>
        <w:t xml:space="preserve">MAP</w:t>
      </w:r>
      <w:r>
        <w:t xml:space="preserve"> </w:t>
      </w:r>
      <w:r>
        <w:t xml:space="preserve">Mutual Agreement Procedure</w:t>
      </w:r>
      <w:r>
        <w:t xml:space="preserve"> </w:t>
      </w:r>
      <w:r>
        <w:t xml:space="preserve">MNE(s)</w:t>
      </w:r>
      <w:r>
        <w:t xml:space="preserve"> </w:t>
      </w:r>
      <w:r>
        <w:t xml:space="preserve">Multinational Enterprise(s)</w:t>
      </w:r>
      <w:r>
        <w:t xml:space="preserve"> </w:t>
      </w:r>
      <w:r>
        <w:t xml:space="preserve">OECD</w:t>
      </w:r>
      <w:r>
        <w:t xml:space="preserve"> </w:t>
      </w:r>
      <w:r>
        <w:t xml:space="preserve">The Organisation for Economic Co-operation 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Pillar 2</w:t>
      </w:r>
      <w:r>
        <w:br/>
      </w:r>
      <w:r>
        <w:t xml:space="preserve">OECD framework aiming at establishing a global</w:t>
      </w:r>
      <w:r>
        <w:t xml:space="preserve"> </w:t>
      </w:r>
      <w:r>
        <w:t xml:space="preserve">minimum effective tax rate for multinational enterprises</w:t>
      </w:r>
      <w:r>
        <w:br/>
      </w:r>
      <w:r>
        <w:t xml:space="preserve">Pillar 2 Directive</w:t>
      </w:r>
      <w:r>
        <w:t xml:space="preserve"> </w:t>
      </w:r>
      <w:r>
        <w:t xml:space="preserve">Directive on ensuring a global minimum level of</w:t>
      </w:r>
      <w:r>
        <w:t xml:space="preserve"> </w:t>
      </w:r>
      <w:r>
        <w:t xml:space="preserve">taxation for multinational enterprise groups and large-</w:t>
      </w:r>
      <w:r>
        <w:t xml:space="preserve"> </w:t>
      </w:r>
      <w:r>
        <w:t xml:space="preserve">scale domestic groups in the Union</w:t>
      </w:r>
      <w:r>
        <w:t xml:space="preserve"> </w:t>
      </w:r>
      <w:r>
        <w:t xml:space="preserve">PSD</w:t>
      </w:r>
      <w:r>
        <w:t xml:space="preserve"> </w:t>
      </w:r>
      <w:r>
        <w:t xml:space="preserve">Parent-Subsidiary Directive</w:t>
      </w:r>
      <w:r>
        <w:t xml:space="preserve"> </w:t>
      </w:r>
      <w:r>
        <w:t xml:space="preserve">QDMTT</w:t>
      </w:r>
      <w:r>
        <w:t xml:space="preserve"> </w:t>
      </w:r>
      <w:r>
        <w:t xml:space="preserve">Qualified Domestic Minimum Top-up Tax under Pillar 2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SbS</w:t>
      </w:r>
      <w:r>
        <w:t xml:space="preserve"> </w:t>
      </w:r>
      <w:r>
        <w:t xml:space="preserve">Side-by-Side system under Pillar 2 that introduces safe-</w:t>
      </w:r>
      <w:r>
        <w:t xml:space="preserve"> </w:t>
      </w:r>
      <w:r>
        <w:t xml:space="preserve">harbours to reduce compliance burdens for MNEs in</w:t>
      </w:r>
      <w:r>
        <w:t xml:space="preserve"> </w:t>
      </w:r>
      <w:r>
        <w:t xml:space="preserve">jurisdictions with qualifying domestic tax regimes as of</w:t>
      </w:r>
      <w:r>
        <w:t xml:space="preserve"> </w:t>
      </w:r>
      <w:r>
        <w:t xml:space="preserve">1 January 2026.</w:t>
      </w:r>
      <w:r>
        <w:t xml:space="preserve"> </w:t>
      </w:r>
      <w:r>
        <w:t xml:space="preserve">SME(s)</w:t>
      </w:r>
      <w:r>
        <w:t xml:space="preserve"> </w:t>
      </w:r>
      <w:r>
        <w:t xml:space="preserve">Small and Medium-sized Enterprise(s)</w:t>
      </w:r>
    </w:p>
    <w:p>
      <w:pPr>
        <w:pStyle w:val="BodyText"/>
      </w:pPr>
      <w:r>
        <w:t xml:space="preserve">TEC</w:t>
      </w:r>
      <w:r>
        <w:t xml:space="preserve"> </w:t>
      </w:r>
      <w:r>
        <w:t xml:space="preserve">Treaty establishing the European Community</w:t>
      </w:r>
      <w:r>
        <w:t xml:space="preserve"> </w:t>
      </w:r>
      <w:r>
        <w:t xml:space="preserve">TEU</w:t>
      </w:r>
      <w:r>
        <w:t xml:space="preserve"> </w:t>
      </w:r>
      <w:r>
        <w:t xml:space="preserve">Treaty on the European Union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Third-party loan</w:t>
      </w:r>
      <w:r>
        <w:t xml:space="preserve"> </w:t>
      </w:r>
      <w:r>
        <w:t xml:space="preserve">A loan provided by an external lender who is not directly</w:t>
      </w:r>
      <w:r>
        <w:t xml:space="preserve"> </w:t>
      </w:r>
      <w:r>
        <w:t xml:space="preserve">involved in the ownership or operations of the</w:t>
      </w:r>
      <w:r>
        <w:t xml:space="preserve"> </w:t>
      </w:r>
      <w:r>
        <w:t xml:space="preserve">borrower’s business or personal finances</w:t>
      </w:r>
      <w:r>
        <w:t xml:space="preserve"> </w:t>
      </w:r>
      <w:r>
        <w:t xml:space="preserve">TMD</w:t>
      </w:r>
      <w:r>
        <w:t xml:space="preserve"> </w:t>
      </w:r>
      <w:r>
        <w:t xml:space="preserve">Tax Merger Directive</w:t>
      </w:r>
      <w:r>
        <w:t xml:space="preserve"> </w:t>
      </w:r>
      <w:r>
        <w:t xml:space="preserve">UN</w:t>
      </w:r>
      <w:r>
        <w:t xml:space="preserve"> </w:t>
      </w:r>
      <w:r>
        <w:t xml:space="preserve">The United Nations</w:t>
      </w:r>
      <w:r>
        <w:t xml:space="preserve"> </w:t>
      </w:r>
      <w:r>
        <w:t xml:space="preserve">UTPR</w:t>
      </w:r>
      <w:r>
        <w:t xml:space="preserve"> </w:t>
      </w:r>
      <w:r>
        <w:t xml:space="preserve">Under-Taxed Profit Rule under Pillar 2</w:t>
      </w:r>
      <w:r>
        <w:t xml:space="preserve"> </w:t>
      </w:r>
      <w:r>
        <w:t xml:space="preserve">WHT</w:t>
      </w:r>
      <w:r>
        <w:t xml:space="preserve"> </w:t>
      </w:r>
      <w:r>
        <w:t xml:space="preserve">Withholding tax(es)</w:t>
      </w:r>
      <w:r>
        <w:t xml:space="preserve"> </w:t>
      </w:r>
      <w:r>
        <w:t xml:space="preserve">Zero-tax jurisdiction</w:t>
      </w:r>
      <w:r>
        <w:t xml:space="preserve"> </w:t>
      </w:r>
      <w:r>
        <w:t xml:space="preserve">Third country that does not levy corporate income tax or</w:t>
      </w:r>
      <w:r>
        <w:t xml:space="preserve"> </w:t>
      </w:r>
      <w:r>
        <w:t xml:space="preserve">applies a zero corporate income tax rate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In the Political Guidelines for the European Commission1, President Von der Leyen stressed the</w:t>
      </w:r>
      <w:r>
        <w:t xml:space="preserve"> </w:t>
      </w:r>
      <w:r>
        <w:t xml:space="preserve">Commission’s commitment to make business easier and faster in Europe. Simplification of EU</w:t>
      </w:r>
      <w:r>
        <w:t xml:space="preserve"> </w:t>
      </w:r>
      <w:r>
        <w:t xml:space="preserve">policies and laws, and ensuring their better implementation is essential to attaining these objectives</w:t>
      </w:r>
      <w:r>
        <w:t xml:space="preserve"> </w:t>
      </w:r>
      <w:r>
        <w:t xml:space="preserve">and to strengthening European competitiveness.</w:t>
      </w:r>
      <w:r>
        <w:br/>
      </w:r>
      <w:r>
        <w:t xml:space="preserve">Accordingly, the President has tasked each Commissioner to focus on simplification, i.e., less red</w:t>
      </w:r>
      <w:r>
        <w:t xml:space="preserve"> </w:t>
      </w:r>
      <w:r>
        <w:t xml:space="preserve">tape, more trust, better enforcement, and faster permitting. Concretely, the Commission has set a</w:t>
      </w:r>
      <w:r>
        <w:t xml:space="preserve"> </w:t>
      </w:r>
      <w:r>
        <w:t xml:space="preserve">target of reducing administrative burden by at least 25% for all businesses, and by at least 35% for</w:t>
      </w:r>
      <w:r>
        <w:t xml:space="preserve"> </w:t>
      </w:r>
      <w:r>
        <w:t xml:space="preserve">SMEs, by the end of the mandate, without undermining the policy objectives of the revisited</w:t>
      </w:r>
      <w:r>
        <w:t xml:space="preserve"> </w:t>
      </w:r>
      <w:r>
        <w:t xml:space="preserve">initiatives.</w:t>
      </w:r>
      <w:r>
        <w:t xml:space="preserve"> </w:t>
      </w:r>
      <w:r>
        <w:t xml:space="preserve">On this basis, the Commission committed to make proposals to simplify, consolidate and codify</w:t>
      </w:r>
      <w:r>
        <w:t xml:space="preserve"> </w:t>
      </w:r>
      <w:r>
        <w:t xml:space="preserve">legislation to eliminate any overlaps and contradictions, while maintaining high standards.2 Already</w:t>
      </w:r>
      <w:r>
        <w:t xml:space="preserve"> </w:t>
      </w:r>
      <w:r>
        <w:t xml:space="preserve">in 2025, the Commission proposed ten omnibus proposals, e.g., in the area of environment,</w:t>
      </w:r>
      <w:r>
        <w:t xml:space="preserve"> </w:t>
      </w:r>
      <w:r>
        <w:t xml:space="preserve">investment, and digitalisation, that reduce recurrent administrative costs by EUR 11.9 billion.3</w:t>
      </w:r>
      <w:r>
        <w:t xml:space="preserve"> </w:t>
      </w:r>
      <w:r>
        <w:t xml:space="preserve">In accordance with the mission letter to the Commissioner for Climate, Net Zero and Clean</w:t>
      </w:r>
      <w:r>
        <w:t xml:space="preserve"> </w:t>
      </w:r>
      <w:r>
        <w:t xml:space="preserve">Growth, Wopke Hoekstra,4 and as outlined in the 2026 Commission Work Programme5, the present</w:t>
      </w:r>
      <w:r>
        <w:t xml:space="preserve"> </w:t>
      </w:r>
      <w:r>
        <w:t xml:space="preserve">proposal for an Omnibus on Taxation aims to simplify, streamline and clarify existing directives in</w:t>
      </w:r>
      <w:r>
        <w:t xml:space="preserve"> </w:t>
      </w:r>
      <w:r>
        <w:t xml:space="preserve">the area of direct taxation: the Interest and Royalties Directive (IRD)6, the Parent-Subsidiary</w:t>
      </w:r>
      <w:r>
        <w:t xml:space="preserve"> </w:t>
      </w:r>
      <w:r>
        <w:t xml:space="preserve">Directive (PSD)7, the Tax Merger Directive (TMD)8, the Anti-Tax Avoidance Directive (ATAD)9,</w:t>
      </w:r>
      <w:r>
        <w:t xml:space="preserve"> </w:t>
      </w:r>
      <w:r>
        <w:t xml:space="preserve">and the Dispute Resolution Mechanisms Directive (DRM)10 (collectively the ‘Directives’).</w:t>
      </w:r>
      <w:r>
        <w:br/>
      </w:r>
      <w:r>
        <w:t xml:space="preserve">The corporate tax directives (IRD, PSD and TMD) aim to eliminate double taxation on cross-border</w:t>
      </w:r>
      <w:r>
        <w:t xml:space="preserve"> </w:t>
      </w:r>
      <w:r>
        <w:t xml:space="preserve">dividend, interest and royalty payments and to ensure tax neutrality for cross-border corporate</w:t>
      </w:r>
      <w:r>
        <w:t xml:space="preserve"> </w:t>
      </w:r>
      <w:r>
        <w:t xml:space="preserve">reorganisations. The ATAD seeks to prevent aggressive tax planning within the EU, and, in turn,</w:t>
      </w:r>
      <w:r>
        <w:t xml:space="preserve"> </w:t>
      </w:r>
      <w:r>
        <w:t xml:space="preserve">the DRM aims to ensure effective resolution of cross-border tax disputes that involve double</w:t>
      </w:r>
      <w:r>
        <w:t xml:space="preserve"> </w:t>
      </w:r>
      <w:r>
        <w:t xml:space="preserve">taxation or arising from double taxation conventions. The broad objectives of these critical</w:t>
      </w:r>
      <w:r>
        <w:t xml:space="preserve"> </w:t>
      </w:r>
      <w:r>
        <w:t xml:space="preserve">Directives remain valid, although the means and detailed rules through which these objectives are</w:t>
      </w:r>
      <w:r>
        <w:t xml:space="preserve"> </w:t>
      </w:r>
      <w:r>
        <w:t xml:space="preserve">to be met require adjustments to adapt to a changing tax landscape, as well as economic and market</w:t>
      </w:r>
      <w:r>
        <w:t xml:space="preserve"> </w:t>
      </w:r>
      <w:r>
        <w:t xml:space="preserve">developments. In preparation of this proposal, this impact assessment report considers the issues at</w:t>
      </w:r>
      <w:r>
        <w:t xml:space="preserve"> </w:t>
      </w:r>
      <w:r>
        <w:t xml:space="preserve">stake and different policy options. This analysis is mainly based on the experience and challenges</w:t>
      </w:r>
    </w:p>
    <w:p>
      <w:pPr>
        <w:pStyle w:val="FirstParagraph"/>
      </w:pPr>
      <w:r>
        <w:t xml:space="preserve">1 Political Guidelines 2024 -2029.</w:t>
      </w:r>
      <w:r>
        <w:br/>
      </w:r>
      <w:r>
        <w:t xml:space="preserve">2 Political Guidelines 2024-2029.</w:t>
      </w:r>
      <w:r>
        <w:br/>
      </w:r>
      <w:r>
        <w:t xml:space="preserve">3 Simplification - European Commission</w:t>
      </w:r>
      <w:r>
        <w:t xml:space="preserve"> </w:t>
      </w:r>
      <w:r>
        <w:t xml:space="preserve">4 President von der Leyen’s mission letter to Wopke Hoekstra; Mission-letter-Wopke-Hoekstra.pdf</w:t>
      </w:r>
      <w:r>
        <w:t xml:space="preserve"> </w:t>
      </w:r>
      <w:r>
        <w:t xml:space="preserve">5 Commission work programme 2026 - European CommissionCommission work programme 2026 - European</w:t>
      </w:r>
      <w:r>
        <w:t xml:space="preserve"> </w:t>
      </w:r>
      <w:r>
        <w:t xml:space="preserve">CommissionCommission work programme 2026 - European CommissionCommission work programme 2026 -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6 Council Directive 2003/49/EC of 3 June 2003 on a common system of taxation applicable to interest and royalty</w:t>
      </w:r>
      <w:r>
        <w:t xml:space="preserve"> </w:t>
      </w:r>
      <w:r>
        <w:t xml:space="preserve">payments made between associated companies of different Member States.</w:t>
      </w:r>
      <w:r>
        <w:t xml:space="preserve"> </w:t>
      </w:r>
      <w:r>
        <w:t xml:space="preserve">7 Council Directive 2011/96/EU of 30 November 2011 on the common system of taxation applicable in the case of</w:t>
      </w:r>
      <w:r>
        <w:t xml:space="preserve"> </w:t>
      </w:r>
      <w:r>
        <w:t xml:space="preserve">parent companies and subsidiaries of different Member States.</w:t>
      </w:r>
      <w:r>
        <w:t xml:space="preserve"> </w:t>
      </w:r>
      <w:r>
        <w:t xml:space="preserve">8 Council Directive 2009/133/EC of 19 October 2009 on the common system of taxation applicable to mergers,</w:t>
      </w:r>
      <w:r>
        <w:t xml:space="preserve"> </w:t>
      </w:r>
      <w:r>
        <w:t xml:space="preserve">divisions, partial divisions, transfers of assets and exchanges of shares concerning companies of different Member</w:t>
      </w:r>
      <w:r>
        <w:t xml:space="preserve"> </w:t>
      </w:r>
      <w:r>
        <w:t xml:space="preserve">States and to the transfer of the registered office of an SE or SCE between Member States.</w:t>
      </w:r>
      <w:r>
        <w:t xml:space="preserve"> </w:t>
      </w:r>
      <w:r>
        <w:t xml:space="preserve">9 Council Directive (EU) 2016/1164 of 12 July 2016 laying down rules against tax avoidance practices that directly</w:t>
      </w:r>
      <w:r>
        <w:t xml:space="preserve"> </w:t>
      </w:r>
      <w:r>
        <w:t xml:space="preserve">affect the functioning of the internal market.</w:t>
      </w:r>
      <w:r>
        <w:br/>
      </w:r>
      <w:r>
        <w:t xml:space="preserve">10 Council Directive (EU) 2017/1852 of 10 October 2017 on tax dispute resolution mechanisms in the European Union.</w:t>
      </w:r>
    </w:p>
    <w:p>
      <w:pPr>
        <w:pStyle w:val="BodyText"/>
      </w:pPr>
      <w:r>
        <w:t xml:space="preserve">from applying these Directives in practice, as well as their interaction with more recent EU and</w:t>
      </w:r>
      <w:r>
        <w:t xml:space="preserve"> </w:t>
      </w:r>
      <w:r>
        <w:t xml:space="preserve">international tax developments, such as the newly adopted Pillar 2 Directive11.</w:t>
      </w:r>
      <w:r>
        <w:t xml:space="preserve"> </w:t>
      </w:r>
      <w:r>
        <w:t xml:space="preserve">Simplification efforts in the area of taxation do not only include the Omnibus on Taxation, on</w:t>
      </w:r>
      <w:r>
        <w:t xml:space="preserve"> </w:t>
      </w:r>
      <w:r>
        <w:t xml:space="preserve">which this impact assessment focuses; they also include a separate proposal amending and recasting</w:t>
      </w:r>
      <w:r>
        <w:t xml:space="preserve"> </w:t>
      </w:r>
      <w:r>
        <w:t xml:space="preserve">all the Directives on Administrative Cooperation (DAC 1-9), which is prepared in parallel. The</w:t>
      </w:r>
      <w:r>
        <w:t xml:space="preserve"> </w:t>
      </w:r>
      <w:r>
        <w:t xml:space="preserve">proposal for a DAC Recast aims to simplify the administrative framework in tax matters and to</w:t>
      </w:r>
      <w:r>
        <w:t xml:space="preserve"> </w:t>
      </w:r>
      <w:r>
        <w:t xml:space="preserve">enhance clarity and effectiveness in administrative tax cooperation among EU Member States. An</w:t>
      </w:r>
      <w:r>
        <w:t xml:space="preserve"> </w:t>
      </w:r>
      <w:r>
        <w:t xml:space="preserve">individual impact assessment report has been prepared for the DAC Recast.</w:t>
      </w:r>
      <w:r>
        <w:t xml:space="preserve"> </w:t>
      </w:r>
      <w:r>
        <w:t xml:space="preserve">The importance of the work in this area has been confirmed by the Council of the European Union</w:t>
      </w:r>
      <w:r>
        <w:t xml:space="preserve"> </w:t>
      </w:r>
      <w:r>
        <w:t xml:space="preserve">in its conclusions on a tax decluttering and simplification agenda, which contributes to the EU’s</w:t>
      </w:r>
      <w:r>
        <w:t xml:space="preserve"> </w:t>
      </w:r>
      <w:r>
        <w:t xml:space="preserve">competitiveness.12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This section defines and analyses the problems and their drivers and assesses the evolution of such</w:t>
      </w:r>
      <w:r>
        <w:t xml:space="preserve"> </w:t>
      </w:r>
      <w:r>
        <w:t xml:space="preserve">problems in the absence of EU policy intervention. The ‘Problem tree’ in Figure 1 presents the</w:t>
      </w:r>
      <w:r>
        <w:t xml:space="preserve"> </w:t>
      </w:r>
      <w:r>
        <w:t xml:space="preserve">context, the drivers, the problems and the negative consequences that the Omnibus on Taxation will</w:t>
      </w:r>
      <w:r>
        <w:t xml:space="preserve"> </w:t>
      </w:r>
      <w:r>
        <w:t xml:space="preserve">aim to address.</w:t>
      </w:r>
      <w:r>
        <w:t xml:space="preserve"> </w:t>
      </w:r>
      <w:r>
        <w:t xml:space="preserve">Figure 1: Problem Tree</w:t>
      </w:r>
    </w:p>
    <w:p>
      <w:pPr>
        <w:pStyle w:val="BodyText"/>
      </w:pPr>
      <w:r>
        <w:t xml:space="preserve">2.1. What are the problems?</w:t>
      </w:r>
      <w:r>
        <w:t xml:space="preserve"> </w:t>
      </w:r>
      <w:r>
        <w:t xml:space="preserve">Tax systems in the Member States consist of national rules. In specific fields of a primarily cross-</w:t>
      </w:r>
      <w:r>
        <w:t xml:space="preserve"> </w:t>
      </w:r>
      <w:r>
        <w:t xml:space="preserve">border nature, these national rules are juxtaposed with tax measures that transpose EU directives.</w:t>
      </w:r>
      <w:r>
        <w:t xml:space="preserve"> </w:t>
      </w:r>
      <w:r>
        <w:t xml:space="preserve">The EU acquis in direct taxation represents a significant achievement for the EU. The relevant</w:t>
      </w:r>
      <w:r>
        <w:t xml:space="preserve"> </w:t>
      </w:r>
      <w:r>
        <w:t xml:space="preserve">Directives have successfully facilitated the EU internal market by establishing common rules at EU</w:t>
      </w:r>
      <w:r>
        <w:t xml:space="preserve"> </w:t>
      </w:r>
      <w:r>
        <w:t xml:space="preserve">level. These common rules help taxpayers expand their commercial activity across borders in the</w:t>
      </w:r>
    </w:p>
    <w:p>
      <w:pPr>
        <w:pStyle w:val="BodyText"/>
      </w:pPr>
      <w:r>
        <w:t xml:space="preserve">11 Council Directive (EU) 2022/2523 of 14 December 2022 on ensuring a global minimum level of taxation for</w:t>
      </w:r>
      <w:r>
        <w:t xml:space="preserve"> </w:t>
      </w:r>
      <w:r>
        <w:t xml:space="preserve">multinational enterprise groups and large-scale domestic groups in the Union.</w:t>
      </w:r>
      <w:r>
        <w:t xml:space="preserve"> </w:t>
      </w:r>
      <w:r>
        <w:t xml:space="preserve">12 Taxation: Council sets tax decluttering and simplification agenda - Consilium</w:t>
      </w:r>
    </w:p>
    <w:p>
      <w:pPr>
        <w:pStyle w:val="BodyText"/>
      </w:pPr>
      <w:r>
        <w:t xml:space="preserve">internal market. Cross-border operations have been facilitated in many ways, notably by</w:t>
      </w:r>
      <w:r>
        <w:t xml:space="preserve"> </w:t>
      </w:r>
      <w:r>
        <w:t xml:space="preserve">eliminating withholding taxes and relieving double taxation on cross-border intra-group</w:t>
      </w:r>
      <w:r>
        <w:t xml:space="preserve"> </w:t>
      </w:r>
      <w:r>
        <w:t xml:space="preserve">transactions, deferring the tax liability on capital gains in the case of restructurings, and ensuring a</w:t>
      </w:r>
      <w:r>
        <w:t xml:space="preserve"> </w:t>
      </w:r>
      <w:r>
        <w:t xml:space="preserve">more consistent anti-tax avoidance framework as opposed to disparities and mismatches amongst</w:t>
      </w:r>
      <w:r>
        <w:t xml:space="preserve"> </w:t>
      </w:r>
      <w:r>
        <w:t xml:space="preserve">national tax systems in the Member States.</w:t>
      </w:r>
      <w:r>
        <w:br/>
      </w:r>
      <w:r>
        <w:t xml:space="preserve">Since the adoption of these Directives, the legal, economic and geopolitical landscape has</w:t>
      </w:r>
      <w:r>
        <w:t xml:space="preserve"> </w:t>
      </w:r>
      <w:r>
        <w:t xml:space="preserve">significantly evolved. Among others, globalisation and digitalisation have further materialised and</w:t>
      </w:r>
      <w:r>
        <w:t xml:space="preserve"> </w:t>
      </w:r>
      <w:r>
        <w:t xml:space="preserve">inevitably, resulted in rendering some of the older rules outdated. Additionally, increasing external</w:t>
      </w:r>
      <w:r>
        <w:t xml:space="preserve"> </w:t>
      </w:r>
      <w:r>
        <w:t xml:space="preserve">competition is putting pressure on Europe’s tax base and the attractiveness of the internal market is</w:t>
      </w:r>
      <w:r>
        <w:t xml:space="preserve"> </w:t>
      </w:r>
      <w:r>
        <w:t xml:space="preserve">being jeopardised. In this context, the EU and more than thirty other countries worldwide have</w:t>
      </w:r>
      <w:r>
        <w:t xml:space="preserve"> </w:t>
      </w:r>
      <w:r>
        <w:t xml:space="preserve">implemented global minimum taxation (Pillar 2), based on an internationally agreed common</w:t>
      </w:r>
      <w:r>
        <w:t xml:space="preserve"> </w:t>
      </w:r>
      <w:r>
        <w:t xml:space="preserve">approach within the OECD/G20 Inclusive Framework. Pillar 2 creates a necessary safety net, but</w:t>
      </w:r>
      <w:r>
        <w:t xml:space="preserve"> </w:t>
      </w:r>
      <w:r>
        <w:t xml:space="preserve">adds an additional layer of rules for businesses and tax administrators to apply.</w:t>
      </w:r>
      <w:r>
        <w:t xml:space="preserve"> </w:t>
      </w:r>
      <w:r>
        <w:t xml:space="preserve">The Omnibus on Taxation must be considered in this context where four main problems have been</w:t>
      </w:r>
      <w:r>
        <w:t xml:space="preserve"> </w:t>
      </w:r>
      <w:r>
        <w:t xml:space="preserve">identified on the basis of extensive consultations with Member States, private stakeholders, and the</w:t>
      </w:r>
      <w:r>
        <w:t xml:space="preserve"> </w:t>
      </w:r>
      <w:r>
        <w:t xml:space="preserve">results of the ATAD evaluation13:</w:t>
      </w:r>
      <w:r>
        <w:t xml:space="preserve"> </w:t>
      </w:r>
      <w:r>
        <w:t xml:space="preserve">2.1.1. Tax compliance requirements that are disproportionate</w:t>
      </w:r>
      <w:r>
        <w:t xml:space="preserve"> </w:t>
      </w:r>
      <w:r>
        <w:t xml:space="preserve">The multilayered tax landscape, combined with recent developments, have led to significant</w:t>
      </w:r>
      <w:r>
        <w:t xml:space="preserve"> </w:t>
      </w:r>
      <w:r>
        <w:t xml:space="preserve">complexity. The amount of applicable tax rules has accumulated, making tax compliance more</w:t>
      </w:r>
      <w:r>
        <w:t xml:space="preserve"> </w:t>
      </w:r>
      <w:r>
        <w:t xml:space="preserve">complicated than necessary. Research done by or for other EU institutions, such as the European</w:t>
      </w:r>
      <w:r>
        <w:t xml:space="preserve"> </w:t>
      </w:r>
      <w:r>
        <w:t xml:space="preserve">Parliament, points out that the tax compliance costs have more than doubled since 2014, and that</w:t>
      </w:r>
      <w:r>
        <w:t xml:space="preserve"> </w:t>
      </w:r>
      <w:r>
        <w:t xml:space="preserve">corporate tax has been identified amongst those areas with the highest compliance burden.14 On</w:t>
      </w:r>
      <w:r>
        <w:t xml:space="preserve"> </w:t>
      </w:r>
      <w:r>
        <w:t xml:space="preserve">average, EU businesses incur annual costs in meeting their tax compliance obligations equivalent to</w:t>
      </w:r>
      <w:r>
        <w:t xml:space="preserve"> </w:t>
      </w:r>
      <w:r>
        <w:t xml:space="preserve">almost 2% of their total turnover, placing a particularly heavy burden on smaller businesses.15 It has</w:t>
      </w:r>
      <w:r>
        <w:t xml:space="preserve"> </w:t>
      </w:r>
      <w:r>
        <w:t xml:space="preserve">been estimated the current corporate tax compliance cost for companies with cross-border activities</w:t>
      </w:r>
      <w:r>
        <w:t xml:space="preserve"> </w:t>
      </w:r>
      <w:r>
        <w:t xml:space="preserve">are annually EUR 3,308 for SMEs and EUR 8,266 for larger businesses.16</w:t>
      </w:r>
      <w:r>
        <w:t xml:space="preserve"> </w:t>
      </w:r>
      <w:r>
        <w:t xml:space="preserve">In the Call for Evidence, it was pointed out by approximately 68% of the 117 respondents,</w:t>
      </w:r>
      <w:r>
        <w:t xml:space="preserve"> </w:t>
      </w:r>
      <w:r>
        <w:t xml:space="preserve">including all businesses and business associations, that tax compliance requirements in the EU have</w:t>
      </w:r>
      <w:r>
        <w:t xml:space="preserve"> </w:t>
      </w:r>
      <w:r>
        <w:t xml:space="preserve">become disproportionate.17 For example, while the IRD and the PSD harmonise the tax treatment of</w:t>
      </w:r>
      <w:r>
        <w:t xml:space="preserve"> </w:t>
      </w:r>
      <w:r>
        <w:t xml:space="preserve">interest, royalty, and dividend payments within the EU, the procedures for obtaining the tax</w:t>
      </w:r>
      <w:r>
        <w:t xml:space="preserve"> </w:t>
      </w:r>
      <w:r>
        <w:t xml:space="preserve">exemption are mainly determined by the Member States (Box 1). During the targeted consultations,</w:t>
      </w:r>
      <w:r>
        <w:t xml:space="preserve"> </w:t>
      </w:r>
      <w:r>
        <w:t xml:space="preserve">many businesses voiced concerns about the complexity and, consequently, the significant</w:t>
      </w:r>
    </w:p>
    <w:p>
      <w:pPr>
        <w:pStyle w:val="BodyText"/>
      </w:pPr>
      <w:r>
        <w:t xml:space="preserve">13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market.</w:t>
      </w:r>
      <w:r>
        <w:t xml:space="preserve"> </w:t>
      </w:r>
      <w:r>
        <w:t xml:space="preserve">14 European Parliamentary Research Service, Tax compliance costs in the EU: Striking the right balance p. 1; Study</w:t>
      </w:r>
      <w:r>
        <w:t xml:space="preserve"> </w:t>
      </w:r>
      <w:r>
        <w:t xml:space="preserve">requested by the FISC Subcommittee, European Parliament, Removal of taxation-based obstacles and distortions in the</w:t>
      </w:r>
      <w:r>
        <w:t xml:space="preserve"> </w:t>
      </w:r>
      <w:r>
        <w:t xml:space="preserve">Single Market in order to encourage cross border investment, p. 9-11.</w:t>
      </w:r>
      <w:r>
        <w:t xml:space="preserve"> </w:t>
      </w:r>
      <w:r>
        <w:t xml:space="preserve">15 VVA/KPMG (2022), Tax compliance costs for SMEs: An update and a complement Final Report KPMG/VVA 2022.</w:t>
      </w:r>
      <w:r>
        <w:t xml:space="preserve"> </w:t>
      </w:r>
      <w:r>
        <w:t xml:space="preserve">16 Impact Assessment Report Accompanying the proposal for a Council Directive establishing a Head Office Taxation</w:t>
      </w:r>
      <w:r>
        <w:t xml:space="preserve"> </w:t>
      </w:r>
      <w:r>
        <w:t xml:space="preserve">(HOT) system (2023), eur-lex.europa.eu/legal-content/EN/TXT/PDF/?uri=CELEX%3A52023SC0308.</w:t>
      </w:r>
      <w:r>
        <w:t xml:space="preserve"> </w:t>
      </w:r>
      <w:r>
        <w:t xml:space="preserve">17 Simplifying EU rules on direct taxation – omnibus; Annex 2: Stakeholder consultation synopsis report</w:t>
      </w:r>
    </w:p>
    <w:p>
      <w:pPr>
        <w:pStyle w:val="BodyText"/>
      </w:pPr>
      <w:r>
        <w:t xml:space="preserve">compliance burden they face when operating cross-border. It was noted that unwieldy procedures</w:t>
      </w:r>
      <w:r>
        <w:t xml:space="preserve"> </w:t>
      </w:r>
      <w:r>
        <w:t xml:space="preserve">for obtaining the tax exemption in certain Member States may often discourage companies from</w:t>
      </w:r>
      <w:r>
        <w:t xml:space="preserve"> </w:t>
      </w:r>
      <w:r>
        <w:t xml:space="preserve">applying the IRD and PSD, as the burdens outweigh the benefits. Similar views were expressed in</w:t>
      </w:r>
      <w:r>
        <w:t xml:space="preserve"> </w:t>
      </w:r>
      <w:r>
        <w:t xml:space="preserve">the Call for Evidence where approximately 67% of the 117 respondents identified issues related to</w:t>
      </w:r>
      <w:r>
        <w:t xml:space="preserve"> </w:t>
      </w:r>
      <w:r>
        <w:t xml:space="preserve">the withholding tax relief, including the procedures, under the IRD and PSD18.</w:t>
      </w:r>
      <w:r>
        <w:t xml:space="preserve"> </w:t>
      </w:r>
      <w:r>
        <w:t xml:space="preserve">Box 1: Withholding taxes on interests, royalties, and dividends</w:t>
      </w:r>
      <w:r>
        <w:t xml:space="preserve"> </w:t>
      </w:r>
      <w:r>
        <w:t xml:space="preserve">As a general rule, a company located in one state, which makes an interest, a royalty, or a</w:t>
      </w:r>
      <w:r>
        <w:t xml:space="preserve"> </w:t>
      </w:r>
      <w:r>
        <w:t xml:space="preserve">dividend payment to an associated company, i.e., another company where it holds a</w:t>
      </w:r>
      <w:r>
        <w:t xml:space="preserve"> </w:t>
      </w:r>
      <w:r>
        <w:t xml:space="preserve">significant degree of influence, control, or ownership, in another state, would pay a</w:t>
      </w:r>
      <w:r>
        <w:t xml:space="preserve"> </w:t>
      </w:r>
      <w:r>
        <w:t xml:space="preserve">withholding tax on the transaction in the state where the payor is located (taxation at</w:t>
      </w:r>
      <w:r>
        <w:t xml:space="preserve"> </w:t>
      </w:r>
      <w:r>
        <w:t xml:space="preserve">source). In some cases, the transaction would also be taxable as income in the state of the</w:t>
      </w:r>
      <w:r>
        <w:t xml:space="preserve"> </w:t>
      </w:r>
      <w:r>
        <w:t xml:space="preserve">receiving company. The IRD and the PSD exempt these payments between associated</w:t>
      </w:r>
      <w:r>
        <w:t xml:space="preserve"> </w:t>
      </w:r>
      <w:r>
        <w:t xml:space="preserve">companies in the EU from withholding taxes and eliminate double taxation. Although the</w:t>
      </w:r>
      <w:r>
        <w:t xml:space="preserve"> </w:t>
      </w:r>
      <w:r>
        <w:t xml:space="preserve">IRD and PSD pursue similar objectives, the requirements for applying the Directives</w:t>
      </w:r>
      <w:r>
        <w:t xml:space="preserve"> </w:t>
      </w:r>
      <w:r>
        <w:t xml:space="preserve">differ, as explained in Section 5.1, and the procedures for enforcing the withholding tax</w:t>
      </w:r>
      <w:r>
        <w:t xml:space="preserve"> </w:t>
      </w:r>
      <w:r>
        <w:t xml:space="preserve">exemption are broadly left for the Member States to decide. While the FASTER Directive</w:t>
      </w:r>
      <w:r>
        <w:t xml:space="preserve"> </w:t>
      </w:r>
      <w:r>
        <w:t xml:space="preserve">streamlined withholding tax procedures for certain cross-border portfolio investments, its</w:t>
      </w:r>
      <w:r>
        <w:t xml:space="preserve"> </w:t>
      </w:r>
      <w:r>
        <w:t xml:space="preserve">scope is limited to publicly traded securities and does not extend to all payments covered</w:t>
      </w:r>
      <w:r>
        <w:t xml:space="preserve"> </w:t>
      </w:r>
      <w:r>
        <w:t xml:space="preserve">by the IRD and the PSD.</w:t>
      </w:r>
    </w:p>
    <w:p>
      <w:pPr>
        <w:pStyle w:val="BodyText"/>
      </w:pPr>
      <w:r>
        <w:t xml:space="preserve">Furthermore, the adoption of the Pillar 2 Directive, which introduces a global minimum corporate</w:t>
      </w:r>
      <w:r>
        <w:t xml:space="preserve"> </w:t>
      </w:r>
      <w:r>
        <w:t xml:space="preserve">tax rate of 15% for MNEs to ensure a level playing field across jurisdictions, is an addition of a</w:t>
      </w:r>
      <w:r>
        <w:t xml:space="preserve"> </w:t>
      </w:r>
      <w:r>
        <w:t xml:space="preserve">new system of international tax rules layered on top of the existing rules. A recent study estimates</w:t>
      </w:r>
      <w:r>
        <w:t xml:space="preserve"> </w:t>
      </w:r>
      <w:r>
        <w:t xml:space="preserve">that the total aggregate one-off compliance costs related to Pillar 2 are about EUR 1.2 billion and</w:t>
      </w:r>
      <w:r>
        <w:t xml:space="preserve"> </w:t>
      </w:r>
      <w:r>
        <w:t xml:space="preserve">recurring annual costs for the companies in scope of about EUR 517 million.19</w:t>
      </w:r>
      <w:r>
        <w:br/>
      </w:r>
      <w:r>
        <w:t xml:space="preserve">While the importance of Pillar 2 is indisputable, it has inevitably increased the density of the tax</w:t>
      </w:r>
      <w:r>
        <w:t xml:space="preserve"> </w:t>
      </w:r>
      <w:r>
        <w:t xml:space="preserve">architecture. Therefore, it is necessary to consider whether other pre-existing rules on tackling tax</w:t>
      </w:r>
      <w:r>
        <w:t xml:space="preserve"> </w:t>
      </w:r>
      <w:r>
        <w:t xml:space="preserve">avoidance behaviours remain relevant, or whether their objectives are effectively achieved by Pillar</w:t>
      </w:r>
      <w:r>
        <w:t xml:space="preserve"> </w:t>
      </w:r>
      <w:r>
        <w:t xml:space="preserve">2. For instance, in the Call for Evidence, approximately 68% of the respondents found that Pillar 2</w:t>
      </w:r>
      <w:r>
        <w:t xml:space="preserve"> </w:t>
      </w:r>
      <w:r>
        <w:t xml:space="preserve">and the Controlled Foreign Company (CFC) rules in ATAD pursue, to a certain extent, similar</w:t>
      </w:r>
      <w:r>
        <w:t xml:space="preserve"> </w:t>
      </w:r>
      <w:r>
        <w:t xml:space="preserve">objectives in ensuring that multinational groups pay a fair level of tax. Although the rules differ in</w:t>
      </w:r>
      <w:r>
        <w:t xml:space="preserve"> </w:t>
      </w:r>
      <w:r>
        <w:t xml:space="preserve">mechanism and scope, this dual effort may cause some degree of overlap (Box 2Box 2). This issue</w:t>
      </w:r>
      <w:r>
        <w:t xml:space="preserve"> </w:t>
      </w:r>
      <w:r>
        <w:t xml:space="preserve">was also emphasised in the ATAD evaluation, as businesses often regard the CFC rules as being</w:t>
      </w:r>
      <w:r>
        <w:t xml:space="preserve"> </w:t>
      </w:r>
      <w:r>
        <w:t xml:space="preserve">obsolete for companies in scope of Pillar 2.20</w:t>
      </w:r>
      <w:r>
        <w:t xml:space="preserve"> </w:t>
      </w:r>
      <w:r>
        <w:t xml:space="preserve">Box 2: Taxation of low-taxed foreign entities</w:t>
      </w:r>
      <w:r>
        <w:br/>
      </w:r>
      <w:r>
        <w:t xml:space="preserve">CFC rules are designed to prevent companies from using foreign subsidiaries in low-tax</w:t>
      </w:r>
    </w:p>
    <w:p>
      <w:pPr>
        <w:pStyle w:val="BodyText"/>
      </w:pPr>
      <w:r>
        <w:t xml:space="preserve">18 Ibid.</w:t>
      </w:r>
      <w:r>
        <w:t xml:space="preserve"> </w:t>
      </w:r>
      <w:r>
        <w:t xml:space="preserve">19 OECD Pillar 2 Compliance Costs. A Quantitative Assessment for EU-Headquartered Groups (2025), Sean Bray,</w:t>
      </w:r>
      <w:r>
        <w:t xml:space="preserve"> </w:t>
      </w:r>
      <w:r>
        <w:t xml:space="preserve">Daniel Bunn, Johannes J. Gaul, Christoph Spengel, DP 25-053.</w:t>
      </w:r>
      <w:r>
        <w:t xml:space="preserve"> </w:t>
      </w:r>
      <w:r>
        <w:t xml:space="preserve">20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37.</w:t>
      </w:r>
    </w:p>
    <w:p>
      <w:pPr>
        <w:pStyle w:val="BodyText"/>
      </w:pPr>
      <w:r>
        <w:t xml:space="preserve">jurisdictions to avoid paying taxes in their home country. Under CFC rules, if the</w:t>
      </w:r>
      <w:r>
        <w:t xml:space="preserve"> </w:t>
      </w:r>
      <w:r>
        <w:t xml:space="preserve">undistributed profits of a foreign subsidiary are low-taxed (usually less than half of the</w:t>
      </w:r>
      <w:r>
        <w:t xml:space="preserve"> </w:t>
      </w:r>
      <w:r>
        <w:t xml:space="preserve">applicable national statutory rate), the EU parent company of the subsidiary will be</w:t>
      </w:r>
      <w:r>
        <w:t xml:space="preserve"> </w:t>
      </w:r>
      <w:r>
        <w:t xml:space="preserve">additionally taxed on this income at an appropriate level (usually the national statutory rate of</w:t>
      </w:r>
      <w:r>
        <w:t xml:space="preserve"> </w:t>
      </w:r>
      <w:r>
        <w:t xml:space="preserve">its Member State). Undistributed profits which are taxed under CFC rules often relate to</w:t>
      </w:r>
      <w:r>
        <w:t xml:space="preserve"> </w:t>
      </w:r>
      <w:r>
        <w:t xml:space="preserve">passive income. Pillar 2 rules ensure that multinational enterprises (MNEs) in scope pay a</w:t>
      </w:r>
      <w:r>
        <w:t xml:space="preserve"> </w:t>
      </w:r>
      <w:r>
        <w:t xml:space="preserve">minimum level of tax in each jurisdiction where they operate at an effective rate of 15% on a</w:t>
      </w:r>
      <w:r>
        <w:t xml:space="preserve"> </w:t>
      </w:r>
      <w:r>
        <w:t xml:space="preserve">broader tax base comprising passive and active income. This tax can apply at the level of the</w:t>
      </w:r>
      <w:r>
        <w:t xml:space="preserve"> </w:t>
      </w:r>
      <w:r>
        <w:t xml:space="preserve">shareholder under the income inclusion rule or at the level of the CFC under the qualified</w:t>
      </w:r>
      <w:r>
        <w:t xml:space="preserve"> </w:t>
      </w:r>
      <w:r>
        <w:t xml:space="preserve">domestic top-up tax. The parallel application of CFC rules and the Pillar 2 framework may</w:t>
      </w:r>
      <w:r>
        <w:t xml:space="preserve"> </w:t>
      </w:r>
      <w:r>
        <w:t xml:space="preserve">result not only in economic double taxation but also duplicative and complex compliance</w:t>
      </w:r>
      <w:r>
        <w:t xml:space="preserve"> </w:t>
      </w:r>
      <w:r>
        <w:t xml:space="preserve">obligations for MNE groups, which are required to perform overlapping calculations and</w:t>
      </w:r>
      <w:r>
        <w:t xml:space="preserve"> </w:t>
      </w:r>
      <w:r>
        <w:t xml:space="preserve">reporting under both sets of rules.</w:t>
      </w:r>
    </w:p>
    <w:p>
      <w:pPr>
        <w:pStyle w:val="BodyText"/>
      </w:pPr>
      <w:r>
        <w:t xml:space="preserve">In the Call for Evidence, it has also been pointed out by approximately 45% of the respondents that</w:t>
      </w:r>
      <w:r>
        <w:t xml:space="preserve"> </w:t>
      </w:r>
      <w:r>
        <w:t xml:space="preserve">the CFC rules, and other rules in ATAD, such as the Interest Limitation Rule and the Hybrid</w:t>
      </w:r>
      <w:r>
        <w:t xml:space="preserve"> </w:t>
      </w:r>
      <w:r>
        <w:t xml:space="preserve">Mismatch Rules, are insufficiently targeted leading to heavy compliance burdens, particularly for</w:t>
      </w:r>
      <w:r>
        <w:t xml:space="preserve"> </w:t>
      </w:r>
      <w:r>
        <w:t xml:space="preserve">SMEs21. This burden related to CFC rules and the Interest Limitation Rule can be considered</w:t>
      </w:r>
      <w:r>
        <w:t xml:space="preserve"> </w:t>
      </w:r>
      <w:r>
        <w:t xml:space="preserve">disproportionate for SMEs as these businesses face high administrative costs associated with</w:t>
      </w:r>
      <w:r>
        <w:t xml:space="preserve"> </w:t>
      </w:r>
      <w:r>
        <w:t xml:space="preserve">applying the rules, although they are less likely to engage in aggressive tax planning practices.22</w:t>
      </w:r>
      <w:r>
        <w:t xml:space="preserve"> </w:t>
      </w:r>
      <w:r>
        <w:t xml:space="preserve">For the Hybrid Mismatch Rules, and particularly the rules on imported mismatches, it was</w:t>
      </w:r>
      <w:r>
        <w:t xml:space="preserve"> </w:t>
      </w:r>
      <w:r>
        <w:t xml:space="preserve">highlighted by approximately 43% of the respondents in the Call for Evidence that the rules are</w:t>
      </w:r>
      <w:r>
        <w:t xml:space="preserve"> </w:t>
      </w:r>
      <w:r>
        <w:t xml:space="preserve">overly complex.23 This was identified in the ATAD evaluation as a cause of heavy administrative</w:t>
      </w:r>
      <w:r>
        <w:t xml:space="preserve"> </w:t>
      </w:r>
      <w:r>
        <w:t xml:space="preserve">and compliance burdens for both businesses and tax authorities.24 Overall, it has been found that</w:t>
      </w:r>
      <w:r>
        <w:t xml:space="preserve"> </w:t>
      </w:r>
      <w:r>
        <w:t xml:space="preserve">MNEs’ compliance with ATAD rules may annually amount to up to EUR 100,000 per company</w:t>
      </w:r>
      <w:r>
        <w:t xml:space="preserve"> </w:t>
      </w:r>
      <w:r>
        <w:t xml:space="preserve">depending on the size and corporate complexity.25</w:t>
      </w:r>
    </w:p>
    <w:p>
      <w:pPr>
        <w:pStyle w:val="BodyText"/>
      </w:pPr>
      <w:r>
        <w:t xml:space="preserve">2.1.2. Legal uncertainty due to unclear tax rules and terms</w:t>
      </w:r>
      <w:r>
        <w:t xml:space="preserve"> </w:t>
      </w:r>
      <w:r>
        <w:t xml:space="preserve">Ambiguity in the legal wording can cause lingering doubt on the meaning of certain EU tax rules,</w:t>
      </w:r>
      <w:r>
        <w:t xml:space="preserve"> </w:t>
      </w:r>
      <w:r>
        <w:t xml:space="preserve">leading to legal uncertainty which way pointed out as a problem by approximately 73% of the</w:t>
      </w:r>
      <w:r>
        <w:t xml:space="preserve"> </w:t>
      </w:r>
      <w:r>
        <w:t xml:space="preserve">respondents in the Call for Evidence. Legal uncertainty and an increased risk of disputes distort</w:t>
      </w:r>
      <w:r>
        <w:t xml:space="preserve"> </w:t>
      </w:r>
      <w:r>
        <w:t xml:space="preserve">investment decisions and makes it difficult for EU companies to navigate their tax obligations</w:t>
      </w:r>
      <w:r>
        <w:t xml:space="preserve"> </w:t>
      </w:r>
      <w:r>
        <w:t xml:space="preserve">across the EU.</w:t>
      </w:r>
      <w:r>
        <w:br/>
      </w:r>
      <w:r>
        <w:t xml:space="preserve">For example, as the holding requirements in the PSD and IRD are not interpreted in the same way</w:t>
      </w:r>
      <w:r>
        <w:t xml:space="preserve"> </w:t>
      </w:r>
      <w:r>
        <w:t xml:space="preserve">in all Member States (Box 33), companies may be left uncertain about whether they will be able to</w:t>
      </w:r>
      <w:r>
        <w:t xml:space="preserve"> </w:t>
      </w:r>
      <w:r>
        <w:t xml:space="preserve">avail of the tax exemption in one country or another. Consequently, companies are required to</w:t>
      </w:r>
    </w:p>
    <w:p>
      <w:pPr>
        <w:pStyle w:val="BodyText"/>
      </w:pPr>
      <w:r>
        <w:t xml:space="preserve">21 Simplifying EU rules on direct taxation – omnibus; Annex 2: Stakeholder consultation synopsis report</w:t>
      </w:r>
      <w:r>
        <w:t xml:space="preserve"> </w:t>
      </w:r>
      <w:r>
        <w:t xml:space="preserve">22 Base erosion and profit shifting (BEPS) | OECD and Commission Staff Working Document: Evaluation of Council</w:t>
      </w:r>
      <w:r>
        <w:t xml:space="preserve"> </w:t>
      </w:r>
      <w:r>
        <w:t xml:space="preserve">Directive 2016/1164 laying down rules against tax avoidance practices that directly affect the functioning of the</w:t>
      </w:r>
      <w:r>
        <w:t xml:space="preserve"> </w:t>
      </w:r>
      <w:r>
        <w:t xml:space="preserve">internal market, p. 39.</w:t>
      </w:r>
      <w:r>
        <w:t xml:space="preserve"> </w:t>
      </w:r>
      <w:r>
        <w:t xml:space="preserve">23 Simplifying EU rules on direct taxation – omnibus; Annex 2: Stake holder consultation synopsis report</w:t>
      </w:r>
      <w:r>
        <w:t xml:space="preserve"> </w:t>
      </w:r>
      <w:r>
        <w:t xml:space="preserve">24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48.</w:t>
      </w:r>
      <w:r>
        <w:t xml:space="preserve"> </w:t>
      </w:r>
      <w:r>
        <w:t xml:space="preserve">25 Ibid., p. 29.</w:t>
      </w:r>
    </w:p>
    <w:p>
      <w:pPr>
        <w:pStyle w:val="BodyText"/>
      </w:pPr>
      <w:r>
        <w:t xml:space="preserve">acquire country-specific knowledge when they intend to establish entities or carry out business</w:t>
      </w:r>
      <w:r>
        <w:t xml:space="preserve"> </w:t>
      </w:r>
      <w:r>
        <w:t xml:space="preserve">activities across borders.</w:t>
      </w:r>
      <w:r>
        <w:br/>
      </w:r>
      <w:r>
        <w:t xml:space="preserve">Box 3: Holding requirements under IRD and PSD</w:t>
      </w:r>
      <w:r>
        <w:t xml:space="preserve"> </w:t>
      </w:r>
      <w:r>
        <w:t xml:space="preserve">The IRD is applicable to interest and royalty payments between associated companies in the</w:t>
      </w:r>
      <w:r>
        <w:t xml:space="preserve"> </w:t>
      </w:r>
      <w:r>
        <w:t xml:space="preserve">EU. For companies to be associated, the IRD requires that a company has a holding of</w:t>
      </w:r>
      <w:r>
        <w:t xml:space="preserve"> </w:t>
      </w:r>
      <w:r>
        <w:t xml:space="preserve">minimum 25% in capital or voting rights of another company. As the IRD does not specify</w:t>
      </w:r>
      <w:r>
        <w:t xml:space="preserve"> </w:t>
      </w:r>
      <w:r>
        <w:t xml:space="preserve">whether the minimum holding has to be direct or indirect, the requirement has been</w:t>
      </w:r>
      <w:r>
        <w:t xml:space="preserve"> </w:t>
      </w:r>
      <w:r>
        <w:t xml:space="preserve">interpretated differently in the Member States. In addition, the PSD contains a similar</w:t>
      </w:r>
      <w:r>
        <w:t xml:space="preserve"> </w:t>
      </w:r>
      <w:r>
        <w:t xml:space="preserve">requirement as the PSD is applicable to dividend payments between associated companies,</w:t>
      </w:r>
      <w:r>
        <w:t xml:space="preserve"> </w:t>
      </w:r>
      <w:r>
        <w:t xml:space="preserve">i.e., parent companies and subsidiaries, in the EU. However, for companies to be associated</w:t>
      </w:r>
      <w:r>
        <w:t xml:space="preserve"> </w:t>
      </w:r>
      <w:r>
        <w:t xml:space="preserve">in this regard, a company must have a direct or indirect minimum holding of 10 % in capital</w:t>
      </w:r>
      <w:r>
        <w:t xml:space="preserve"> </w:t>
      </w:r>
      <w:r>
        <w:t xml:space="preserve">or voting rights of another company.</w:t>
      </w:r>
    </w:p>
    <w:p>
      <w:pPr>
        <w:pStyle w:val="BodyText"/>
      </w:pPr>
      <w:r>
        <w:t xml:space="preserve">Legal uncertainty has also been identified in relation to the DRM. The lack of clear terms and</w:t>
      </w:r>
      <w:r>
        <w:t xml:space="preserve"> </w:t>
      </w:r>
      <w:r>
        <w:t xml:space="preserve">requirements, e.g., with regard to the admission criteria and deadlines, was criticised by</w:t>
      </w:r>
      <w:r>
        <w:t xml:space="preserve"> </w:t>
      </w:r>
      <w:r>
        <w:t xml:space="preserve">approximately 38% of the respondents in the Call for Evidence who found that dispute resolution in</w:t>
      </w:r>
      <w:r>
        <w:t xml:space="preserve"> </w:t>
      </w:r>
      <w:r>
        <w:t xml:space="preserve">the EU remain too slow and complex, leading to high compliance costs and underuse of the internal</w:t>
      </w:r>
      <w:r>
        <w:t xml:space="preserve"> </w:t>
      </w:r>
      <w:r>
        <w:t xml:space="preserve">market.26</w:t>
      </w:r>
    </w:p>
    <w:p>
      <w:pPr>
        <w:pStyle w:val="BodyText"/>
      </w:pPr>
      <w:r>
        <w:t xml:space="preserve">2.1.3. Different tax treatment depending on national specificities</w:t>
      </w:r>
      <w:r>
        <w:t xml:space="preserve"> </w:t>
      </w:r>
      <w:r>
        <w:t xml:space="preserve">Not all existing Directives have been implemented consistently due to various options or differing</w:t>
      </w:r>
      <w:r>
        <w:t xml:space="preserve"> </w:t>
      </w:r>
      <w:r>
        <w:t xml:space="preserve">interpretations of the same rules and terms. This has led to different tax treatment of businesses</w:t>
      </w:r>
      <w:r>
        <w:t xml:space="preserve"> </w:t>
      </w:r>
      <w:r>
        <w:t xml:space="preserve">depending on the national approach to specific EU tax provisions and has been identified as a</w:t>
      </w:r>
      <w:r>
        <w:t xml:space="preserve"> </w:t>
      </w:r>
      <w:r>
        <w:t xml:space="preserve">problem by approximately 73% of the respondents in the Call for Evidence.27</w:t>
      </w:r>
      <w:r>
        <w:t xml:space="preserve"> </w:t>
      </w:r>
      <w:r>
        <w:t xml:space="preserve">The ‘minimum standard’ approach to ATAD, leaving a wide range of national discretion to</w:t>
      </w:r>
      <w:r>
        <w:t xml:space="preserve"> </w:t>
      </w:r>
      <w:r>
        <w:t xml:space="preserve">Member States in their implementation of the Directive, was criticised by approximately 67% of</w:t>
      </w:r>
      <w:r>
        <w:t xml:space="preserve"> </w:t>
      </w:r>
      <w:r>
        <w:t xml:space="preserve">the respondents in the Call for Evidence. Similar findings are presented in the ATAD evaluation.28</w:t>
      </w:r>
      <w:r>
        <w:t xml:space="preserve"> </w:t>
      </w:r>
      <w:r>
        <w:t xml:space="preserve">For example, CFC rules, which are applicable to EU businesses with certain low-taxed subsidiaries,</w:t>
      </w:r>
      <w:r>
        <w:t xml:space="preserve"> </w:t>
      </w:r>
      <w:r>
        <w:t xml:space="preserve">are implemented differently across the EU based on two different ‘models’ which are presented</w:t>
      </w:r>
      <w:r>
        <w:t xml:space="preserve"> </w:t>
      </w:r>
      <w:r>
        <w:t xml:space="preserve">ATAD. This is also the case for the Interest Limitation Rule in the ATAD which, according to the</w:t>
      </w:r>
      <w:r>
        <w:t xml:space="preserve"> </w:t>
      </w:r>
      <w:r>
        <w:t xml:space="preserve">ATAD evaluation, has been considered as offering extensive flexibility that has resulted in</w:t>
      </w:r>
      <w:r>
        <w:t xml:space="preserve"> </w:t>
      </w:r>
      <w:r>
        <w:t xml:space="preserve">fragmented implementation across the EU29 (Box 44) causing high compliance costs and underuse</w:t>
      </w:r>
      <w:r>
        <w:t xml:space="preserve"> </w:t>
      </w:r>
      <w:r>
        <w:t xml:space="preserve">of the internal market.</w:t>
      </w:r>
      <w:r>
        <w:t xml:space="preserve"> </w:t>
      </w:r>
      <w:r>
        <w:t xml:space="preserve">Box 4: Interest Limitation Rule in ATAD</w:t>
      </w:r>
      <w:r>
        <w:t xml:space="preserve"> </w:t>
      </w:r>
      <w:r>
        <w:t xml:space="preserve">The Interest Limitation Rule caps the amount of interest that corporate taxpayers are entitled</w:t>
      </w:r>
    </w:p>
    <w:p>
      <w:pPr>
        <w:pStyle w:val="BodyText"/>
      </w:pPr>
      <w:r>
        <w:t xml:space="preserve">26 Simplifying EU rules on direct taxation – omnibus; Annex 2: Stakeholder consultation synopsis report</w:t>
      </w:r>
      <w:r>
        <w:t xml:space="preserve"> </w:t>
      </w:r>
      <w:r>
        <w:t xml:space="preserve">27 Ibid.</w:t>
      </w:r>
      <w:r>
        <w:t xml:space="preserve"> </w:t>
      </w:r>
      <w:r>
        <w:t xml:space="preserve">28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46-47</w:t>
      </w:r>
      <w:r>
        <w:t xml:space="preserve"> </w:t>
      </w:r>
      <w:r>
        <w:t xml:space="preserve">29 Ibid., p. 46-47</w:t>
      </w:r>
    </w:p>
    <w:p>
      <w:pPr>
        <w:pStyle w:val="BodyText"/>
      </w:pPr>
      <w:r>
        <w:t xml:space="preserve">to deduct in a tax year. The purpose of this rule is to limit deductible interest expenses which</w:t>
      </w:r>
      <w:r>
        <w:t xml:space="preserve"> </w:t>
      </w:r>
      <w:r>
        <w:t xml:space="preserve">can be strategically used by taxpayers to place excessive debt in high-tax jurisdictions in</w:t>
      </w:r>
      <w:r>
        <w:t xml:space="preserve"> </w:t>
      </w:r>
      <w:r>
        <w:t xml:space="preserve">order to reduce their tax liability. However, this rule has not put an end to the fragmentation</w:t>
      </w:r>
      <w:r>
        <w:t xml:space="preserve"> </w:t>
      </w:r>
      <w:r>
        <w:t xml:space="preserve">in the internal market as its transposition varies strongly from one Member State to another.</w:t>
      </w:r>
      <w:r>
        <w:t xml:space="preserve"> </w:t>
      </w:r>
      <w:r>
        <w:t xml:space="preserve">This is a result of the ATAD offering a number of transposition options related to: i) the</w:t>
      </w:r>
      <w:r>
        <w:t xml:space="preserve"> </w:t>
      </w:r>
      <w:r>
        <w:t xml:space="preserve">deductibility limit, ii) a de minimis safe harbour, iii) a standalone entity exemption, iv) a</w:t>
      </w:r>
      <w:r>
        <w:t xml:space="preserve"> </w:t>
      </w:r>
      <w:r>
        <w:t xml:space="preserve">grandfathering clause, v) an infrastructure exemption, vi) a group escape, vii) carry forward</w:t>
      </w:r>
      <w:r>
        <w:t xml:space="preserve"> </w:t>
      </w:r>
      <w:r>
        <w:t xml:space="preserve">and carry back options, and viii) an exclusion of financial undertakings. According to the</w:t>
      </w:r>
      <w:r>
        <w:t xml:space="preserve"> </w:t>
      </w:r>
      <w:r>
        <w:t xml:space="preserve">ATAD evaluation, the various options have led to excessive fragmentation. For instance, 6</w:t>
      </w:r>
      <w:r>
        <w:t xml:space="preserve"> </w:t>
      </w:r>
      <w:r>
        <w:t xml:space="preserve">Member States adopted safe harbours lower than the minimum standard of EUR 3 million</w:t>
      </w:r>
      <w:r>
        <w:t xml:space="preserve"> </w:t>
      </w:r>
      <w:r>
        <w:t xml:space="preserve">established in the ATAD, and 7 did not exclude the application of the rule to loans used to</w:t>
      </w:r>
      <w:r>
        <w:t xml:space="preserve"> </w:t>
      </w:r>
      <w:r>
        <w:t xml:space="preserve">fund long-term public infrastructure projects.30</w:t>
      </w:r>
    </w:p>
    <w:p>
      <w:pPr>
        <w:pStyle w:val="BodyText"/>
      </w:pPr>
      <w:r>
        <w:t xml:space="preserve">In addition, for a variety of reasons that may have been justified at the time, some legal texts were</w:t>
      </w:r>
      <w:r>
        <w:t xml:space="preserve"> </w:t>
      </w:r>
      <w:r>
        <w:t xml:space="preserve">not sufficiently aligned with other legal acts when the Directives were drafted or negotiated. Such</w:t>
      </w:r>
      <w:r>
        <w:t xml:space="preserve"> </w:t>
      </w:r>
      <w:r>
        <w:t xml:space="preserve">lack of consistency is, for example, the case for the definitions of eligible companies in the PSD,</w:t>
      </w:r>
      <w:r>
        <w:t xml:space="preserve"> </w:t>
      </w:r>
      <w:r>
        <w:t xml:space="preserve">IRD, and TMD. These differences in eligibility requirements create problems, as they entail</w:t>
      </w:r>
      <w:r>
        <w:t xml:space="preserve"> </w:t>
      </w:r>
      <w:r>
        <w:t xml:space="preserve">inconsistent access for businesses to the benefits of the IRD, PSD and TMD. This results in</w:t>
      </w:r>
      <w:r>
        <w:t xml:space="preserve"> </w:t>
      </w:r>
      <w:r>
        <w:t xml:space="preserve">increased risks of disputes, competitiveness concerns and, ultimately, underuse of the potential of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2.1.4. Tax barriers on cross-border business activities</w:t>
      </w:r>
      <w:r>
        <w:t xml:space="preserve"> </w:t>
      </w:r>
      <w:r>
        <w:t xml:space="preserve">While the existing Directives have improved the functioning of the internal market by removing</w:t>
      </w:r>
      <w:r>
        <w:t xml:space="preserve"> </w:t>
      </w:r>
      <w:r>
        <w:t xml:space="preserve">certain distortions caused by diverging national tax treatments, approximately 70% of the</w:t>
      </w:r>
      <w:r>
        <w:t xml:space="preserve"> </w:t>
      </w:r>
      <w:r>
        <w:t xml:space="preserve">respondents in the Call for Evidence still identified tax barriers in the internal market as a factor for</w:t>
      </w:r>
      <w:r>
        <w:t xml:space="preserve"> </w:t>
      </w:r>
      <w:r>
        <w:t xml:space="preserve">preventing businesses to engage more extensively in cross-border activities.31</w:t>
      </w:r>
      <w:r>
        <w:br/>
      </w:r>
      <w:r>
        <w:t xml:space="preserve">In this regard, studies done by or for the European Parliament have criticised Member States for</w:t>
      </w:r>
      <w:r>
        <w:t xml:space="preserve"> </w:t>
      </w:r>
      <w:r>
        <w:t xml:space="preserve">finding it much easier to agree on curbing international tax planning, including implementing rules</w:t>
      </w:r>
      <w:r>
        <w:t xml:space="preserve"> </w:t>
      </w:r>
      <w:r>
        <w:t xml:space="preserve">agreed at OECD level, such as ATAD and Pillar 2, than on reducing tax and administrative barriers</w:t>
      </w:r>
      <w:r>
        <w:t xml:space="preserve"> </w:t>
      </w:r>
      <w:r>
        <w:t xml:space="preserve">in the internal market, resulting in what one study, for instance, calls a ‘complexity explosion’.32</w:t>
      </w:r>
      <w:r>
        <w:t xml:space="preserve"> </w:t>
      </w:r>
      <w:r>
        <w:t xml:space="preserve">According to the Tax Complexity Index, tax rules and procedures are generally more complex in</w:t>
      </w:r>
      <w:r>
        <w:t xml:space="preserve"> </w:t>
      </w:r>
      <w:r>
        <w:t xml:space="preserve">the EU than in other big economies, such as the United States and China.33</w:t>
      </w:r>
      <w:r>
        <w:br/>
      </w:r>
      <w:r>
        <w:t xml:space="preserve">Tax obstacles, including complexity, cause underuse of the potential of internal market and</w:t>
      </w:r>
      <w:r>
        <w:t xml:space="preserve"> </w:t>
      </w:r>
      <w:r>
        <w:t xml:space="preserve">competitiveness concerns. For instance, the IRD and PSD only exempt certain intra-group</w:t>
      </w:r>
      <w:r>
        <w:t xml:space="preserve"> </w:t>
      </w:r>
      <w:r>
        <w:t xml:space="preserve">payments from withholding tax, subject to specific conditions and procedural restrictions (Box 5).</w:t>
      </w:r>
      <w:r>
        <w:t xml:space="preserve"> </w:t>
      </w:r>
      <w:r>
        <w:t xml:space="preserve">This means that national withholding taxes still apply to many cross-border business transactions in</w:t>
      </w:r>
    </w:p>
    <w:p>
      <w:pPr>
        <w:pStyle w:val="BodyText"/>
      </w:pPr>
      <w:r>
        <w:t xml:space="preserve">30 Ibid., p. 12-14.</w:t>
      </w:r>
      <w:r>
        <w:t xml:space="preserve"> </w:t>
      </w:r>
      <w:r>
        <w:t xml:space="preserve">31 Simplifying EU rules on direct taxation – omnibus; Annex 2: Stakeholder consultation synopsis report</w:t>
      </w:r>
      <w:r>
        <w:t xml:space="preserve"> </w:t>
      </w:r>
      <w:r>
        <w:t xml:space="preserve">32 European Parliamentary Research Service, Tax compliance costs in the EU: Striking the right balance p. 1; Study</w:t>
      </w:r>
      <w:r>
        <w:t xml:space="preserve"> </w:t>
      </w:r>
      <w:r>
        <w:t xml:space="preserve">requested by the FISC Subcommittee, European Parliament, Removal of taxation-based obstacles and distortions in the</w:t>
      </w:r>
      <w:r>
        <w:t xml:space="preserve"> </w:t>
      </w:r>
      <w:r>
        <w:t xml:space="preserve">Single Market in order to encourage cross border investment, p. 9-11.</w:t>
      </w:r>
      <w:r>
        <w:t xml:space="preserve"> </w:t>
      </w:r>
      <w:r>
        <w:t xml:space="preserve">33 Tax Complexity Index; In 2024, 13 Member States are found to have higher tax complexity than the US and 20</w:t>
      </w:r>
      <w:r>
        <w:t xml:space="preserve"> </w:t>
      </w:r>
      <w:r>
        <w:t xml:space="preserve">Member States are found to have higher tax complexity than China.</w:t>
      </w:r>
    </w:p>
    <w:p>
      <w:pPr>
        <w:pStyle w:val="BodyText"/>
      </w:pPr>
      <w:r>
        <w:t xml:space="preserve">the EU and are coupled with different procedures while interacting with applicable tax treaties. As</w:t>
      </w:r>
      <w:r>
        <w:t xml:space="preserve"> </w:t>
      </w:r>
      <w:r>
        <w:t xml:space="preserve">a result, businesses operating across borders generally face more cumbersome rules than purely</w:t>
      </w:r>
      <w:r>
        <w:t xml:space="preserve"> </w:t>
      </w:r>
      <w:r>
        <w:t xml:space="preserve">domestic companies. This limits business prospects for expansion within the internal market and,</w:t>
      </w:r>
      <w:r>
        <w:t xml:space="preserve"> </w:t>
      </w:r>
      <w:r>
        <w:t xml:space="preserve">consequently, economic growth.</w:t>
      </w:r>
      <w:r>
        <w:br/>
      </w:r>
      <w:r>
        <w:t xml:space="preserve">Box 5: Scope of IRD and PSD</w:t>
      </w:r>
      <w:r>
        <w:t xml:space="preserve"> </w:t>
      </w:r>
      <w:r>
        <w:t xml:space="preserve">The IRD does not cover interest and royalty payments made between companies of different</w:t>
      </w:r>
      <w:r>
        <w:t xml:space="preserve"> </w:t>
      </w:r>
      <w:r>
        <w:t xml:space="preserve">Member States that directly hold less than 25% in the capital or voting rights. The PSD, on</w:t>
      </w:r>
      <w:r>
        <w:t xml:space="preserve"> </w:t>
      </w:r>
      <w:r>
        <w:t xml:space="preserve">the other hand, does not cover profit distributions paid to companies that hold less than 10%</w:t>
      </w:r>
      <w:r>
        <w:t xml:space="preserve"> </w:t>
      </w:r>
      <w:r>
        <w:t xml:space="preserve">of the capital or voting rights. In addition, payments of interests, royalties, and dividends,</w:t>
      </w:r>
      <w:r>
        <w:t xml:space="preserve"> </w:t>
      </w:r>
      <w:r>
        <w:t xml:space="preserve">which are made to a company that takes a form which is not explicitly covered by each</w:t>
      </w:r>
      <w:r>
        <w:t xml:space="preserve"> </w:t>
      </w:r>
      <w:r>
        <w:t xml:space="preserve">Annex respectively, are not entitled to benefit from the tax exemptions provided by the IRD</w:t>
      </w:r>
      <w:r>
        <w:t xml:space="preserve"> </w:t>
      </w:r>
      <w:r>
        <w:t xml:space="preserve">and PSD (the European Court of Justice (CJEU) has ruled that the Annex to the PSD provides</w:t>
      </w:r>
      <w:r>
        <w:t xml:space="preserve"> </w:t>
      </w:r>
      <w:r>
        <w:t xml:space="preserve">for an exhaustive list of companies34). Accordingly, many cross-border payments remain</w:t>
      </w:r>
      <w:r>
        <w:t xml:space="preserve"> </w:t>
      </w:r>
      <w:r>
        <w:t xml:space="preserve">subject to withholding taxation, insofar they are not already exempt by bilateral tax treaties</w:t>
      </w:r>
      <w:r>
        <w:t xml:space="preserve"> </w:t>
      </w:r>
      <w:r>
        <w:t xml:space="preserve">between EU Member States.</w:t>
      </w:r>
    </w:p>
    <w:p>
      <w:pPr>
        <w:pStyle w:val="BodyText"/>
      </w:pPr>
      <w:r>
        <w:t xml:space="preserve">Another remaining barrier, which was pointed out by businesses in the targeted consultations, was</w:t>
      </w:r>
      <w:r>
        <w:t xml:space="preserve"> </w:t>
      </w:r>
      <w:r>
        <w:t xml:space="preserve">disparities in the scope of the TMD and Company Law Merger Directive as amended by the</w:t>
      </w:r>
      <w:r>
        <w:t xml:space="preserve"> </w:t>
      </w:r>
      <w:r>
        <w:t xml:space="preserve">Mobility Directive. As the type of restructurings that are recognised under EU company law are</w:t>
      </w:r>
      <w:r>
        <w:t xml:space="preserve"> </w:t>
      </w:r>
      <w:r>
        <w:t xml:space="preserve">broader than the ones recognised in the TMD, there is a mismatch in the EU acquis which limits the</w:t>
      </w:r>
      <w:r>
        <w:t xml:space="preserve"> </w:t>
      </w:r>
      <w:r>
        <w:t xml:space="preserve">possibilities of carrying out restructurings in the internal market without triggering immediate</w:t>
      </w:r>
      <w:r>
        <w:t xml:space="preserve"> </w:t>
      </w:r>
      <w:r>
        <w:t xml:space="preserve">capital gains or other tax liabilities. This issue was also identified by approximately 38% of the</w:t>
      </w:r>
      <w:r>
        <w:t xml:space="preserve"> </w:t>
      </w:r>
      <w:r>
        <w:t xml:space="preserve">respondents in the Call for Evidence35 causing competitiveness concerns and underuse of the</w:t>
      </w:r>
      <w:r>
        <w:t xml:space="preserve"> </w:t>
      </w:r>
      <w:r>
        <w:t xml:space="preserve">internal market.</w:t>
      </w:r>
      <w:r>
        <w:t xml:space="preserve"> </w:t>
      </w:r>
      <w:r>
        <w:t xml:space="preserve">However, tax barriers do not only exist due to limited scopes of existing Directives. Other research</w:t>
      </w:r>
      <w:r>
        <w:t xml:space="preserve"> </w:t>
      </w:r>
      <w:r>
        <w:t xml:space="preserve">indicates that a comprehensive harmonisation of Member States’ tax systems by way of positive</w:t>
      </w:r>
      <w:r>
        <w:t xml:space="preserve"> </w:t>
      </w:r>
      <w:r>
        <w:t xml:space="preserve">integration would be necessary to sustainably eliminate tax obstacles to cross border business</w:t>
      </w:r>
      <w:r>
        <w:t xml:space="preserve"> </w:t>
      </w:r>
      <w:r>
        <w:t xml:space="preserve">activities.36 In addition, in the Call for Evidence, approximately 61% of the respondents called for</w:t>
      </w:r>
      <w:r>
        <w:t xml:space="preserve"> </w:t>
      </w:r>
      <w:r>
        <w:t xml:space="preserve">simplification beyond the existing Directives,37 a clear signal that the current landscape of</w:t>
      </w:r>
      <w:r>
        <w:t xml:space="preserve"> </w:t>
      </w:r>
      <w:r>
        <w:t xml:space="preserve">fragmented national tax rules imposes unnecessary complexity on businesses operating across</w:t>
      </w:r>
      <w:r>
        <w:t xml:space="preserve"> </w:t>
      </w:r>
      <w:r>
        <w:t xml:space="preserve">borders and restricts cross-border investments.</w:t>
      </w:r>
      <w:r>
        <w:t xml:space="preserve"> </w:t>
      </w:r>
      <w:r>
        <w:t xml:space="preserve">An easily identifiable tax barrier is the divergent approach to the tax treatment of research and</w:t>
      </w:r>
      <w:r>
        <w:t xml:space="preserve"> </w:t>
      </w:r>
      <w:r>
        <w:t xml:space="preserve">development (R&amp;D) activities. Businesses investing in R&amp;D across the internal market face a</w:t>
      </w:r>
      <w:r>
        <w:t xml:space="preserve"> </w:t>
      </w:r>
      <w:r>
        <w:t xml:space="preserve">fragmented landscape of national regimes, e.g., divergent eligibility criteria, definitions of</w:t>
      </w:r>
      <w:r>
        <w:t xml:space="preserve"> </w:t>
      </w:r>
      <w:r>
        <w:t xml:space="preserve">qualifying expenditure, incentive rates, deductibility rules and periods; all of which complicates</w:t>
      </w:r>
      <w:r>
        <w:t xml:space="preserve"> </w:t>
      </w:r>
      <w:r>
        <w:t xml:space="preserve">cross-border investment decisions, raises compliance costs, and makes it harder to plan and develop</w:t>
      </w:r>
      <w:r>
        <w:t xml:space="preserve"> </w:t>
      </w:r>
      <w:r>
        <w:t xml:space="preserve">R&amp;D activities across the internal market. Stakeholders have noted that this fragmentation creates a</w:t>
      </w:r>
    </w:p>
    <w:p>
      <w:pPr>
        <w:pStyle w:val="BodyText"/>
      </w:pPr>
      <w:r>
        <w:t xml:space="preserve">34 Judgment of the Court (First Chamber) of 1 October 2009, Gaz de France - Berliner Investissement SA v</w:t>
      </w:r>
      <w:r>
        <w:t xml:space="preserve"> </w:t>
      </w:r>
      <w:r>
        <w:t xml:space="preserve">Bundeszentralamt für Steuern, Case C-247/08, ECLI:EU:C:2009:600.</w:t>
      </w:r>
      <w:r>
        <w:t xml:space="preserve"> </w:t>
      </w:r>
      <w:r>
        <w:t xml:space="preserve">35 Simplifying EU rules on direct taxation – omnibus; Annex 2: Stakeholder consultation synopsis report</w:t>
      </w:r>
      <w:r>
        <w:t xml:space="preserve"> </w:t>
      </w:r>
      <w:r>
        <w:t xml:space="preserve">36 Study requested by the FISC Subcommittee, European Parliament, Removal of taxation-based obstacles and</w:t>
      </w:r>
      <w:r>
        <w:t xml:space="preserve"> </w:t>
      </w:r>
      <w:r>
        <w:t xml:space="preserve">distortions in the Single Market in order to encourage cross border investment, p. 17.</w:t>
      </w:r>
      <w:r>
        <w:t xml:space="preserve"> </w:t>
      </w:r>
      <w:r>
        <w:t xml:space="preserve">37 Ibid.</w:t>
      </w:r>
    </w:p>
    <w:p>
      <w:pPr>
        <w:pStyle w:val="BodyText"/>
      </w:pPr>
      <w:r>
        <w:t xml:space="preserve">major barrier for scaling38. Accordingly, this also undermines the EU’s attractiveness as a location</w:t>
      </w:r>
      <w:r>
        <w:t xml:space="preserve"> </w:t>
      </w:r>
      <w:r>
        <w:t xml:space="preserve">for innovation-driven investment vis-à-vis major international competitors, such as the United</w:t>
      </w:r>
      <w:r>
        <w:t xml:space="preserve"> </w:t>
      </w:r>
      <w:r>
        <w:t xml:space="preserve">States.</w:t>
      </w:r>
      <w:r>
        <w:t xml:space="preserve"> </w:t>
      </w:r>
      <w:r>
        <w:t xml:space="preserve">The growing regulatory fragmentation and administrative complexity across Member States is a</w:t>
      </w:r>
      <w:r>
        <w:t xml:space="preserve"> </w:t>
      </w:r>
      <w:r>
        <w:t xml:space="preserve">structural factor contributing to the EU’s widening innovation gap. As highlighted in the Draghi</w:t>
      </w:r>
      <w:r>
        <w:t xml:space="preserve"> </w:t>
      </w:r>
      <w:r>
        <w:t xml:space="preserve">Report39, Europe’s current R&amp;I framework is not sufficiently coordinated to support breakthrough</w:t>
      </w:r>
      <w:r>
        <w:t xml:space="preserve"> </w:t>
      </w:r>
      <w:r>
        <w:t xml:space="preserve">innovation, resulting in firms concentrating on mature technologies with limited disruptive</w:t>
      </w:r>
      <w:r>
        <w:t xml:space="preserve"> </w:t>
      </w:r>
      <w:r>
        <w:t xml:space="preserve">potential.</w:t>
      </w:r>
      <w:r>
        <w:t xml:space="preserve"> </w:t>
      </w:r>
      <w:r>
        <w:t xml:space="preserve">This is reflected in the persistent underinvestment in research and innovation. EU companies spent</w:t>
      </w:r>
      <w:r>
        <w:t xml:space="preserve"> </w:t>
      </w:r>
      <w:r>
        <w:t xml:space="preserve">approximately EUR 270 billion less than their US counterparts in 202140. The lack of a genuinely</w:t>
      </w:r>
      <w:r>
        <w:t xml:space="preserve"> </w:t>
      </w:r>
      <w:r>
        <w:t xml:space="preserve">integrated approach weakens scale effects, slows diffusion of innovation, and limits the ability to</w:t>
      </w:r>
      <w:r>
        <w:t xml:space="preserve"> </w:t>
      </w:r>
      <w:r>
        <w:t xml:space="preserve">translate research into globally competitive technologies.</w:t>
      </w:r>
      <w:r>
        <w:t xml:space="preserve"> </w:t>
      </w:r>
      <w:r>
        <w:t xml:space="preserve">In addition, divergent national definitions of qualifying R&amp;D expenditure across Member States</w:t>
      </w:r>
      <w:r>
        <w:t xml:space="preserve"> </w:t>
      </w:r>
      <w:r>
        <w:t xml:space="preserve">create a specific and identifiable compliance cost burden for cross-border operators41 and the</w:t>
      </w:r>
      <w:r>
        <w:t xml:space="preserve"> </w:t>
      </w:r>
      <w:r>
        <w:t xml:space="preserve">absence of greater coordination in the tax treatment of R&amp;D across the EU risks undermines the</w:t>
      </w:r>
      <w:r>
        <w:t xml:space="preserve"> </w:t>
      </w:r>
      <w:r>
        <w:t xml:space="preserve">common market42. This makes the tax treatment of R&amp;D expenditure a particular issue that a</w:t>
      </w:r>
      <w:r>
        <w:t xml:space="preserve"> </w:t>
      </w:r>
      <w:r>
        <w:t xml:space="preserve">common EU approach would be well-placed to address.</w:t>
      </w:r>
      <w:r>
        <w:t xml:space="preserve"> </w:t>
      </w:r>
      <w:r>
        <w:t xml:space="preserve">R&amp;D is critical for innovation; yet the EU falls behind its key global trading partners. Based on</w:t>
      </w:r>
      <w:r>
        <w:t xml:space="preserve"> </w:t>
      </w:r>
      <w:r>
        <w:t xml:space="preserve">2024 figures in purchasing power parity–adjusted terms, R&amp;D expenditure in the United States and</w:t>
      </w:r>
      <w:r>
        <w:t xml:space="preserve"> </w:t>
      </w:r>
      <w:r>
        <w:t xml:space="preserve">China amounted to approximately USD 1 trillion, compared to roughly USD 600 billion in the EU</w:t>
      </w:r>
      <w:r>
        <w:t xml:space="preserve"> </w:t>
      </w:r>
      <w:r>
        <w:t xml:space="preserve">(thus about 60% of the United States’ level, marking a 10 percentage point decrease from 70% in</w:t>
      </w:r>
      <w:r>
        <w:t xml:space="preserve"> </w:t>
      </w:r>
      <w:r>
        <w:t xml:space="preserve">2014).43</w:t>
      </w:r>
      <w:r>
        <w:br/>
      </w:r>
      <w:r>
        <w:t xml:space="preserve">More specifically, the EU’s R&amp;D intensity gap relative to its main global competitors is primarily</w:t>
      </w:r>
      <w:r>
        <w:t xml:space="preserve"> </w:t>
      </w:r>
      <w:r>
        <w:t xml:space="preserve">driven by lower levels of private-sector investment. In 2020, China surpassed the EU for the first</w:t>
      </w:r>
      <w:r>
        <w:t xml:space="preserve"> </w:t>
      </w:r>
      <w:r>
        <w:t xml:space="preserve">time in R&amp;D intensity (2.4%), while the EU’s R&amp;D intensity stood at 2.3% in 2021 and declined</w:t>
      </w:r>
      <w:r>
        <w:t xml:space="preserve"> </w:t>
      </w:r>
      <w:r>
        <w:t xml:space="preserve">further to 2.2% in 2022, remaining well below that of the United States (3.5%), Japan (3.3%), and</w:t>
      </w:r>
      <w:r>
        <w:t xml:space="preserve"> </w:t>
      </w:r>
      <w:r>
        <w:t xml:space="preserve">South Korea (4.9%).</w:t>
      </w:r>
      <w:r>
        <w:t xml:space="preserve"> </w:t>
      </w:r>
      <w:r>
        <w:t xml:space="preserve">Although the EU has increased its R&amp;D investment over the past two decades, a significant gap</w:t>
      </w:r>
      <w:r>
        <w:t xml:space="preserve"> </w:t>
      </w:r>
      <w:r>
        <w:t xml:space="preserve">persists compared with its principal international competitors, and its relative share of global R&amp;D</w:t>
      </w:r>
      <w:r>
        <w:t xml:space="preserve"> </w:t>
      </w:r>
      <w:r>
        <w:t xml:space="preserve">activity continues to decline. Furthermore, evidence suggests that the overall reduction in</w:t>
      </w:r>
    </w:p>
    <w:p>
      <w:pPr>
        <w:pStyle w:val="BodyText"/>
      </w:pPr>
      <w:r>
        <w:t xml:space="preserve">38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(Commission Staff Working Document), The EU Startup and Scaleup</w:t>
      </w:r>
      <w:r>
        <w:t xml:space="preserve"> </w:t>
      </w:r>
      <w:r>
        <w:t xml:space="preserve">Strategy, COM(2025)270 final, pages 53 and 54.</w:t>
      </w:r>
      <w:r>
        <w:br/>
      </w:r>
      <w:r>
        <w:t xml:space="preserve">39 M. Draghi, The future of European competitiveness (Part A, A competitiveness strategy for Europe), September</w:t>
      </w:r>
      <w:r>
        <w:t xml:space="preserve"> </w:t>
      </w:r>
      <w:r>
        <w:t xml:space="preserve">2024.</w:t>
      </w:r>
      <w:r>
        <w:t xml:space="preserve"> </w:t>
      </w:r>
      <w:r>
        <w:t xml:space="preserve">40 Ibid, p. 6.</w:t>
      </w:r>
      <w:r>
        <w:t xml:space="preserve"> </w:t>
      </w:r>
      <w:r>
        <w:t xml:space="preserve">41 European Law Institute, For a European Approach to R&amp;D Tax Incentive(s), 2021.</w:t>
      </w:r>
      <w:r>
        <w:t xml:space="preserve"> </w:t>
      </w:r>
      <w:r>
        <w:t xml:space="preserve">42 D. D’Andria, D. Pontikakis, A. Skonieczna, Towards a European R&amp;D Incentive? An assessment of R&amp;D</w:t>
      </w:r>
      <w:r>
        <w:t xml:space="preserve"> </w:t>
      </w:r>
      <w:r>
        <w:t xml:space="preserve">Provisions under a Common Corporate Tax Base, Working Paper No 69 – 2017, p. 4.</w:t>
      </w:r>
      <w:r>
        <w:t xml:space="preserve"> </w:t>
      </w:r>
      <w:r>
        <w:t xml:space="preserve">43 OECD R&amp;D statistics released on 31 March 2026, cf. https://www.oecd.org/en/data/insights/statistical-</w:t>
      </w:r>
      <w:r>
        <w:t xml:space="preserve"> </w:t>
      </w:r>
      <w:r>
        <w:t xml:space="preserve">releases/2026/03/oecd-overall-rd-growth-stable-government-rd-budgets-decline-and-reorient-towards-defence.html.</w:t>
      </w:r>
    </w:p>
    <w:p>
      <w:pPr>
        <w:pStyle w:val="BodyText"/>
      </w:pPr>
      <w:r>
        <w:t xml:space="preserve">government support for private R&amp;D within the EU has been partly driven by a decline in tax-</w:t>
      </w:r>
      <w:r>
        <w:t xml:space="preserve"> </w:t>
      </w:r>
      <w:r>
        <w:t xml:space="preserve">based support measures.44</w:t>
      </w:r>
      <w:r>
        <w:t xml:space="preserve"> </w:t>
      </w:r>
      <w:r>
        <w:t xml:space="preserve">While taxation is not the sole determinant of R&amp;D investment decisions, it plays an important</w:t>
      </w:r>
      <w:r>
        <w:t xml:space="preserve"> </w:t>
      </w:r>
      <w:r>
        <w:t xml:space="preserve">enabling role. It is therefore closely linked to the objectives of reducing tax-related barriers within</w:t>
      </w:r>
      <w:r>
        <w:t xml:space="preserve"> </w:t>
      </w:r>
      <w:r>
        <w:t xml:space="preserve">the internal market, promoting simplification, and strengthening competitiveness.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The problems identified in the previous section have two main drivers: The first driver is the</w:t>
      </w:r>
      <w:r>
        <w:t xml:space="preserve"> </w:t>
      </w:r>
      <w:r>
        <w:t xml:space="preserve">inconsistent application of the EU direct tax acquis. The second is the existence of outdated and</w:t>
      </w:r>
      <w:r>
        <w:t xml:space="preserve"> </w:t>
      </w:r>
      <w:r>
        <w:t xml:space="preserve">overlapping rules.</w:t>
      </w:r>
      <w:r>
        <w:t xml:space="preserve"> </w:t>
      </w:r>
      <w:r>
        <w:t xml:space="preserve">The inconsistent implementation and application of the EU direct tax acquis relate to the</w:t>
      </w:r>
      <w:r>
        <w:t xml:space="preserve"> </w:t>
      </w:r>
      <w:r>
        <w:t xml:space="preserve">current fragmentation of the internal market. The EU tax framework has grown over decades and</w:t>
      </w:r>
      <w:r>
        <w:t xml:space="preserve"> </w:t>
      </w:r>
      <w:r>
        <w:t xml:space="preserve">while old directives remain in place, new anti-abuse layers were added. Member States have also</w:t>
      </w:r>
      <w:r>
        <w:t xml:space="preserve"> </w:t>
      </w:r>
      <w:r>
        <w:t xml:space="preserve">implemented EU rules differently and added additional rules or obligations. Inconsistency and</w:t>
      </w:r>
      <w:r>
        <w:t xml:space="preserve"> </w:t>
      </w:r>
      <w:r>
        <w:t xml:space="preserve">fragmentation were pointed to as the root of the identified problems by 77% of the respondents in</w:t>
      </w:r>
      <w:r>
        <w:t xml:space="preserve"> </w:t>
      </w:r>
      <w:r>
        <w:t xml:space="preserve">the Call for Evidence. The inconsistency cannot be solved by infringement procedures, guidance or</w:t>
      </w:r>
      <w:r>
        <w:t xml:space="preserve"> </w:t>
      </w:r>
      <w:r>
        <w:t xml:space="preserve">other tools, since the existing Directives themselves provide for several options, and include</w:t>
      </w:r>
      <w:r>
        <w:t xml:space="preserve"> </w:t>
      </w:r>
      <w:r>
        <w:t xml:space="preserve">undefined terms or constructively ambiguous wording. Hence, there are several inconsistencies that</w:t>
      </w:r>
      <w:r>
        <w:t xml:space="preserve"> </w:t>
      </w:r>
      <w:r>
        <w:t xml:space="preserve">can only be sufficiently addressed by legislative action. Firstly, certain provisions provide options</w:t>
      </w:r>
      <w:r>
        <w:t xml:space="preserve"> </w:t>
      </w:r>
      <w:r>
        <w:t xml:space="preserve">to Member States, to choose the most appropriate implementation at national level. ATAD, for</w:t>
      </w:r>
      <w:r>
        <w:t xml:space="preserve"> </w:t>
      </w:r>
      <w:r>
        <w:t xml:space="preserve">example, allows Member States to choose between several options for the application of the</w:t>
      </w:r>
      <w:r>
        <w:t xml:space="preserve"> </w:t>
      </w:r>
      <w:r>
        <w:t xml:space="preserve">Interest Limitation Rule and CFC taxation. Consequently, the limited degree of harmonisation has</w:t>
      </w:r>
      <w:r>
        <w:t xml:space="preserve"> </w:t>
      </w:r>
      <w:r>
        <w:t xml:space="preserve">proven insufficient, and the EU framework remains fragmented, with a costly compliance burden,</w:t>
      </w:r>
      <w:r>
        <w:t xml:space="preserve"> </w:t>
      </w:r>
      <w:r>
        <w:t xml:space="preserve">legal uncertainty, different tax treatment and tax barriers for taxpayers as a result. These findings</w:t>
      </w:r>
      <w:r>
        <w:t xml:space="preserve"> </w:t>
      </w:r>
      <w:r>
        <w:t xml:space="preserve">reflect the conclusion in the ATAD evaluation which indicates that the excessive flexibility of the</w:t>
      </w:r>
      <w:r>
        <w:t xml:space="preserve"> </w:t>
      </w:r>
      <w:r>
        <w:t xml:space="preserve">rules causes problems, despite the overall positive assessment that the ATAD remains fit for</w:t>
      </w:r>
      <w:r>
        <w:t xml:space="preserve"> </w:t>
      </w:r>
      <w:r>
        <w:t xml:space="preserve">purpose.45</w:t>
      </w:r>
      <w:r>
        <w:t xml:space="preserve"> </w:t>
      </w:r>
      <w:r>
        <w:t xml:space="preserve">Moreover, inconsistent applications have even occasionally lead to problems concerning provisions</w:t>
      </w:r>
      <w:r>
        <w:t xml:space="preserve"> </w:t>
      </w:r>
      <w:r>
        <w:t xml:space="preserve">that do not include options for implementation. This has occurred in some instances where the legal</w:t>
      </w:r>
      <w:r>
        <w:t xml:space="preserve"> </w:t>
      </w:r>
      <w:r>
        <w:t xml:space="preserve">texts are not fully aligned. For example, there are differences in the holding requirements for</w:t>
      </w:r>
      <w:r>
        <w:t xml:space="preserve"> </w:t>
      </w:r>
      <w:r>
        <w:t xml:space="preserve">entitlement to the IRD and PSD. In others, a lack of precision or the flexible nature of certain rules</w:t>
      </w:r>
      <w:r>
        <w:t xml:space="preserve"> </w:t>
      </w:r>
      <w:r>
        <w:t xml:space="preserve">has led to divergent interpretations of the Directives, fuelled by unintended inconsistencies. By way</w:t>
      </w:r>
      <w:r>
        <w:t xml:space="preserve"> </w:t>
      </w:r>
      <w:r>
        <w:t xml:space="preserve">of example, where variations in the interpretation of certain provisions of the DRM exist – such as</w:t>
      </w:r>
      <w:r>
        <w:t xml:space="preserve"> </w:t>
      </w:r>
      <w:r>
        <w:t xml:space="preserve">the admission criteria and imposed deadlines – have been demonstrated to contribute to legal</w:t>
      </w:r>
      <w:r>
        <w:t xml:space="preserve"> </w:t>
      </w:r>
      <w:r>
        <w:t xml:space="preserve">uncertainty.46</w:t>
      </w:r>
      <w:r>
        <w:br/>
      </w:r>
      <w:r>
        <w:t xml:space="preserve">The existing direct taxation Directives have been adopted over the past 35 years (Annex 7) and</w:t>
      </w:r>
      <w:r>
        <w:t xml:space="preserve"> </w:t>
      </w:r>
      <w:r>
        <w:t xml:space="preserve">most of these Directives have undergone only very limited amendments since. Consequently,</w:t>
      </w:r>
      <w:r>
        <w:t xml:space="preserve"> </w:t>
      </w:r>
      <w:r>
        <w:t xml:space="preserve">outdated and overlapping rules cause problems in the internal market. Attempts to revisit their</w:t>
      </w:r>
      <w:r>
        <w:t xml:space="preserve"> </w:t>
      </w:r>
      <w:r>
        <w:t xml:space="preserve">content have previously been made, for example, with the IRD recast in 2011, but this attempt did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Science,</w:t>
      </w:r>
      <w:r>
        <w:t xml:space="preserve"> </w:t>
      </w:r>
      <w:r>
        <w:t xml:space="preserve">Research</w:t>
      </w:r>
      <w:r>
        <w:t xml:space="preserve"> </w:t>
      </w:r>
      <w:r>
        <w:t xml:space="preserve">and</w:t>
      </w:r>
      <w:r>
        <w:t xml:space="preserve"> </w:t>
      </w:r>
      <w:r>
        <w:t xml:space="preserve">Innovation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2024</w:t>
      </w:r>
      <w:r>
        <w:t xml:space="preserve"> </w:t>
      </w:r>
      <w:r>
        <w:t xml:space="preserve">report,</w:t>
      </w:r>
      <w:r>
        <w:t xml:space="preserve"> </w:t>
      </w:r>
      <w:r>
        <w:t xml:space="preserve">Chapter</w:t>
      </w:r>
      <w:r>
        <w:t xml:space="preserve"> </w:t>
      </w:r>
      <w:r>
        <w:t xml:space="preserve">2,</w:t>
      </w:r>
      <w:r>
        <w:t xml:space="preserve"> </w:t>
      </w:r>
      <w:r>
        <w:t xml:space="preserve">cf. </w:t>
      </w:r>
      <w:r>
        <w:t xml:space="preserve"> </w:t>
      </w:r>
      <w:r>
        <w:t xml:space="preserve">https://op.europa.eu/en/publication-detail/-/publication/c683268c-3cdc-11ef-ab8f-01aa75ed71a1/language-en</w:t>
      </w:r>
      <w:r>
        <w:br/>
      </w:r>
      <w:r>
        <w:t xml:space="preserve">45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46-48.</w:t>
      </w:r>
      <w:r>
        <w:t xml:space="preserve"> </w:t>
      </w:r>
      <w:r>
        <w:t xml:space="preserve">46 Simplifying EU rules on direct taxation – omnibus; Annex 2: Stakeholder consultation synopsis report</w:t>
      </w:r>
    </w:p>
    <w:p>
      <w:pPr>
        <w:pStyle w:val="BodyText"/>
      </w:pPr>
      <w:r>
        <w:t xml:space="preserve">not advance in Council. As a result, certain provisions in the existing direct taxation Directives do</w:t>
      </w:r>
      <w:r>
        <w:t xml:space="preserve"> </w:t>
      </w:r>
      <w:r>
        <w:t xml:space="preserve">not sufficiently reflect economic reality. In the Call for Evidence, issues related to the IRD and the</w:t>
      </w:r>
      <w:r>
        <w:t xml:space="preserve"> </w:t>
      </w:r>
      <w:r>
        <w:t xml:space="preserve">PSD were pointed out by approximately 67% of the respondents who inter alia identified outdated</w:t>
      </w:r>
      <w:r>
        <w:t xml:space="preserve"> </w:t>
      </w:r>
      <w:r>
        <w:t xml:space="preserve">requirements, which are not flexible enough to include new company forms, as a cause. Concerning</w:t>
      </w:r>
      <w:r>
        <w:t xml:space="preserve"> </w:t>
      </w:r>
      <w:r>
        <w:t xml:space="preserve">the ATAD Interest Limitation Rule, approximately 52% of the respondents in the Call for Evidence</w:t>
      </w:r>
      <w:r>
        <w:t xml:space="preserve"> </w:t>
      </w:r>
      <w:r>
        <w:t xml:space="preserve">noted problems, e.g., because the rule was designed at a time where the macroeconomic</w:t>
      </w:r>
      <w:r>
        <w:t xml:space="preserve"> </w:t>
      </w:r>
      <w:r>
        <w:t xml:space="preserve">environment was characterised by a prolonged period of historically low interest rates, before the</w:t>
      </w:r>
      <w:r>
        <w:t xml:space="preserve"> </w:t>
      </w:r>
      <w:r>
        <w:t xml:space="preserve">significant changes observed in more recent years.47</w:t>
      </w:r>
      <w:r>
        <w:br/>
      </w:r>
      <w:r>
        <w:t xml:space="preserve">It is important to also consider that subsequent global and EU tax developments have resulted in the</w:t>
      </w:r>
      <w:r>
        <w:t xml:space="preserve"> </w:t>
      </w:r>
      <w:r>
        <w:t xml:space="preserve">further extension of a complex international tax architecture over time. This has inevitably created</w:t>
      </w:r>
      <w:r>
        <w:t xml:space="preserve"> </w:t>
      </w:r>
      <w:r>
        <w:t xml:space="preserve">some overlaps between different sets of rules, which pursue similar objectives or have a</w:t>
      </w:r>
      <w:r>
        <w:t xml:space="preserve"> </w:t>
      </w:r>
      <w:r>
        <w:t xml:space="preserve">comparable scope, as it is further explained below. Such duplications, or layering, make tax</w:t>
      </w:r>
      <w:r>
        <w:t xml:space="preserve"> </w:t>
      </w:r>
      <w:r>
        <w:t xml:space="preserve">compliance more burdensome than necessary for businesses. In the Call for Evidence,</w:t>
      </w:r>
      <w:r>
        <w:t xml:space="preserve"> </w:t>
      </w:r>
      <w:r>
        <w:t xml:space="preserve">approximately 68% of respondents identified overlaps, especially between ATAD and Pillar 2, as a</w:t>
      </w:r>
      <w:r>
        <w:t xml:space="preserve"> </w:t>
      </w:r>
      <w:r>
        <w:t xml:space="preserve">problem driver.48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In the absence of EU policy action, businesses operating across the EU internal market will</w:t>
      </w:r>
      <w:r>
        <w:t xml:space="preserve"> </w:t>
      </w:r>
      <w:r>
        <w:t xml:space="preserve">continue to face high compliance costs, increased risks of disputes, and it will be more difficult for</w:t>
      </w:r>
      <w:r>
        <w:t xml:space="preserve"> </w:t>
      </w:r>
      <w:r>
        <w:t xml:space="preserve">EU businesses to make use of the opportunities of the internal market and compete globally.</w:t>
      </w:r>
      <w:r>
        <w:br/>
      </w:r>
      <w:r>
        <w:t xml:space="preserve">During targeted consultations, many key stakeholders voiced concerns about the significant and</w:t>
      </w:r>
      <w:r>
        <w:t xml:space="preserve"> </w:t>
      </w:r>
      <w:r>
        <w:t xml:space="preserve">growing compliance burden they face when operating in the internal market and called for</w:t>
      </w:r>
      <w:r>
        <w:t xml:space="preserve"> </w:t>
      </w:r>
      <w:r>
        <w:t xml:space="preserve">enhanced clarity and certainty around different concepts as well as for simplifying procedures</w:t>
      </w:r>
      <w:r>
        <w:t xml:space="preserve"> </w:t>
      </w:r>
      <w:r>
        <w:t xml:space="preserve">going forward. While there is significant progress on simplifying rules and procedures in some</w:t>
      </w:r>
      <w:r>
        <w:t xml:space="preserve"> </w:t>
      </w:r>
      <w:r>
        <w:t xml:space="preserve">other areas, complexity and fragmentation remain very substantial in direct taxation.</w:t>
      </w:r>
      <w:r>
        <w:br/>
      </w:r>
      <w:r>
        <w:t xml:space="preserve">If no action is taken at EU level, the identified problems are expected to persist and worsen as long</w:t>
      </w:r>
      <w:r>
        <w:t xml:space="preserve"> </w:t>
      </w:r>
      <w:r>
        <w:t xml:space="preserve">as tax rules are added, but not revised, replaced or repealed. Research done by or for other EU</w:t>
      </w:r>
      <w:r>
        <w:t xml:space="preserve"> </w:t>
      </w:r>
      <w:r>
        <w:t xml:space="preserve">institutions, such as the European Parliament, also conclude that some of the fundamental tax</w:t>
      </w:r>
      <w:r>
        <w:t xml:space="preserve"> </w:t>
      </w:r>
      <w:r>
        <w:t xml:space="preserve">obstacles and distortions, such as complexity, in the internal market can only be addressed by a</w:t>
      </w:r>
      <w:r>
        <w:t xml:space="preserve"> </w:t>
      </w:r>
      <w:r>
        <w:t xml:space="preserve">substantial harmonisation of corporate taxation in the EU.49 Similar views were expressed by</w:t>
      </w:r>
      <w:r>
        <w:t xml:space="preserve"> </w:t>
      </w:r>
      <w:r>
        <w:t xml:space="preserve">approximately 77% of respondents in the Call for Evidence who called for enhanced tax</w:t>
      </w:r>
      <w:r>
        <w:t xml:space="preserve"> </w:t>
      </w:r>
      <w:r>
        <w:t xml:space="preserve">harmonisation at EU level.50</w:t>
      </w:r>
      <w:r>
        <w:t xml:space="preserve"> </w:t>
      </w:r>
      <w:r>
        <w:t xml:space="preserve">While Member States can embark on initiatives to simplify their national tax rules, unilateral</w:t>
      </w:r>
      <w:r>
        <w:t xml:space="preserve"> </w:t>
      </w:r>
      <w:r>
        <w:t xml:space="preserve">actions cannot achieve the general interest objectives of ensuring that obstacles do not restrict</w:t>
      </w:r>
      <w:r>
        <w:t xml:space="preserve"> </w:t>
      </w:r>
      <w:r>
        <w:t xml:space="preserve">businesses activities in the internal market, facilitate more efficient operations and compliance,</w:t>
      </w:r>
      <w:r>
        <w:t xml:space="preserve"> </w:t>
      </w:r>
      <w:r>
        <w:t xml:space="preserve">particularly in a cross-border context, or impose heavy administrative burdens on the tax</w:t>
      </w:r>
      <w:r>
        <w:t xml:space="preserve"> </w:t>
      </w:r>
      <w:r>
        <w:t xml:space="preserve">administrations. In addition, it should be recalled that some problems are related to complexity and</w:t>
      </w:r>
      <w:r>
        <w:t xml:space="preserve"> </w:t>
      </w:r>
      <w:r>
        <w:t xml:space="preserve">fragmentation in the area of direct taxation. Action at the individual Member State level would only</w:t>
      </w:r>
      <w:r>
        <w:t xml:space="preserve"> </w:t>
      </w:r>
      <w:r>
        <w:t xml:space="preserve">aggravate the complexity in adhering to and applying EU tax rules. Such individual actions would</w:t>
      </w:r>
    </w:p>
    <w:p>
      <w:pPr>
        <w:pStyle w:val="BodyText"/>
      </w:pPr>
      <w:r>
        <w:t xml:space="preserve">47 Ibid.</w:t>
      </w:r>
      <w:r>
        <w:t xml:space="preserve"> </w:t>
      </w:r>
      <w:r>
        <w:t xml:space="preserve">48 Ibid.</w:t>
      </w:r>
      <w:r>
        <w:t xml:space="preserve"> </w:t>
      </w:r>
      <w:r>
        <w:t xml:space="preserve">49 European Parliamentary Research Service, Tax compliance costs in the EU: Striking the right balance p. 1; Study</w:t>
      </w:r>
      <w:r>
        <w:t xml:space="preserve"> </w:t>
      </w:r>
      <w:r>
        <w:t xml:space="preserve">requested by the FISC Subcommittee, European Parliament, Removal of taxation-based obstacles and distortions in the</w:t>
      </w:r>
      <w:r>
        <w:t xml:space="preserve"> </w:t>
      </w:r>
      <w:r>
        <w:t xml:space="preserve">Single Market in order to encourage cross border investment p. 9-11.</w:t>
      </w:r>
      <w:r>
        <w:t xml:space="preserve"> </w:t>
      </w:r>
      <w:r>
        <w:t xml:space="preserve">50 Simplifying EU rules on direct taxation – omnibus; Annex 2: Stakeholder consultation synopsis report</w:t>
      </w:r>
    </w:p>
    <w:p>
      <w:pPr>
        <w:pStyle w:val="BodyText"/>
      </w:pPr>
      <w:r>
        <w:t xml:space="preserve">cause impediments to cross-border operations, increase the compliance burden on taxpayers, and</w:t>
      </w:r>
      <w:r>
        <w:t xml:space="preserve"> </w:t>
      </w:r>
      <w:r>
        <w:t xml:space="preserve">undermine the level playing field. As the tax landscape keeps on evolving, the problems are only</w:t>
      </w:r>
      <w:r>
        <w:t xml:space="preserve"> </w:t>
      </w:r>
      <w:r>
        <w:t xml:space="preserve">expected to grow, and the current state of play will be aggravated over the years to come.</w:t>
      </w:r>
      <w:r>
        <w:br/>
      </w:r>
      <w:r>
        <w:t xml:space="preserve">3. WHY SHOULD THE EU ACT?</w:t>
      </w:r>
      <w:r>
        <w:t xml:space="preserve"> </w:t>
      </w:r>
      <w:r>
        <w:t xml:space="preserve">The Union can only act in areas where the Treaties confer competence to it. In areas not falling</w:t>
      </w:r>
      <w:r>
        <w:t xml:space="preserve"> </w:t>
      </w:r>
      <w:r>
        <w:t xml:space="preserve">under its exclusive competence, it must be established that the objectives of a Union action cannot</w:t>
      </w:r>
      <w:r>
        <w:t xml:space="preserve"> </w:t>
      </w:r>
      <w:r>
        <w:t xml:space="preserve">be sufficiently achieved by independent action of individual countries without equal action by other</w:t>
      </w:r>
      <w:r>
        <w:t xml:space="preserve"> </w:t>
      </w:r>
      <w:r>
        <w:t xml:space="preserve">Member States (principle of subsidiarity). Consequently, this section will scrutinise the legal basis</w:t>
      </w:r>
      <w:r>
        <w:t xml:space="preserve"> </w:t>
      </w:r>
      <w:r>
        <w:t xml:space="preserve">and the principle of subsidiarity regarding the Omnibus on Taxation.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proposal for an Omnibus on Taxation is intended to amend existing EU direct taxation</w:t>
      </w:r>
      <w:r>
        <w:t xml:space="preserve"> </w:t>
      </w:r>
      <w:r>
        <w:t xml:space="preserve">Directives which have been adopted over the last 35 years (Annex 7) on the basis on Article 115</w:t>
      </w:r>
      <w:r>
        <w:t xml:space="preserve"> </w:t>
      </w:r>
      <w:r>
        <w:t xml:space="preserve">TFEU (ex Article 94 TEC). This provision allows for the approximation of laws of the Member</w:t>
      </w:r>
      <w:r>
        <w:t xml:space="preserve"> </w:t>
      </w:r>
      <w:r>
        <w:t xml:space="preserve">States, which directly affect the establishment or functioning of the internal market. On this basis,</w:t>
      </w:r>
      <w:r>
        <w:t xml:space="preserve"> </w:t>
      </w:r>
      <w:r>
        <w:t xml:space="preserve">the overall objective of the existing Directives is to ensure that business activities, which are carried</w:t>
      </w:r>
      <w:r>
        <w:t xml:space="preserve"> </w:t>
      </w:r>
      <w:r>
        <w:t xml:space="preserve">out between taxpayers of different Member States, are not subject to more, or less, favourable tax</w:t>
      </w:r>
      <w:r>
        <w:t xml:space="preserve"> </w:t>
      </w:r>
      <w:r>
        <w:t xml:space="preserve">conditions than those applied to business activities carried out between companies of the same</w:t>
      </w:r>
      <w:r>
        <w:t xml:space="preserve"> </w:t>
      </w:r>
      <w:r>
        <w:t xml:space="preserve">Member State.</w:t>
      </w:r>
      <w:r>
        <w:br/>
      </w:r>
      <w:r>
        <w:t xml:space="preserve">Article 115 TFEU will also be the legal basis for the Omnibus on Taxation proposal that entail</w:t>
      </w:r>
      <w:r>
        <w:t xml:space="preserve"> </w:t>
      </w:r>
      <w:r>
        <w:t xml:space="preserve">adoption through the special legislative procedure, requiring unanimous vote in Council and</w:t>
      </w:r>
      <w:r>
        <w:t xml:space="preserve"> </w:t>
      </w:r>
      <w:r>
        <w:t xml:space="preserve">consultation of the European Parliament and Economic and Social Committee. The Omnibus on</w:t>
      </w:r>
      <w:r>
        <w:t xml:space="preserve"> </w:t>
      </w:r>
      <w:r>
        <w:t xml:space="preserve">Taxation will, by amending existing EU Directives, have an impact on cross-border business</w:t>
      </w:r>
      <w:r>
        <w:t xml:space="preserve"> </w:t>
      </w:r>
      <w:r>
        <w:t xml:space="preserve">activities with a view to enhance the functioning of the internal market by making the common</w:t>
      </w:r>
      <w:r>
        <w:t xml:space="preserve"> </w:t>
      </w:r>
      <w:r>
        <w:t xml:space="preserve">rules on direct taxation clearer, simpler and up to date.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EU competence in the area of direct taxation is shared with the Member States on the basis of</w:t>
      </w:r>
      <w:r>
        <w:t xml:space="preserve"> </w:t>
      </w:r>
      <w:r>
        <w:t xml:space="preserve">Article 115 TFEU. In accordance with the subsidiarity principle laid down in Article 5(3) TFEU,</w:t>
      </w:r>
      <w:r>
        <w:t xml:space="preserve"> </w:t>
      </w:r>
      <w:r>
        <w:t xml:space="preserve">action at EU level should be taken only when the envisaged objectives cannot be achieved</w:t>
      </w:r>
      <w:r>
        <w:t xml:space="preserve"> </w:t>
      </w:r>
      <w:r>
        <w:t xml:space="preserve">sufficiently by Member States acting alone and in addition, by reason of the scale or effects of the</w:t>
      </w:r>
      <w:r>
        <w:t xml:space="preserve"> </w:t>
      </w:r>
      <w:r>
        <w:t xml:space="preserve">proposed action, can be better achieved by the EU.</w:t>
      </w:r>
      <w:r>
        <w:t xml:space="preserve"> </w:t>
      </w:r>
      <w:r>
        <w:t xml:space="preserve">On this basis, all Member States have their own domestic tax systems which are determined by</w:t>
      </w:r>
      <w:r>
        <w:t xml:space="preserve"> </w:t>
      </w:r>
      <w:r>
        <w:t xml:space="preserve">different economic approaches, financial needs and policy choices. However, in some cases, it has</w:t>
      </w:r>
      <w:r>
        <w:t xml:space="preserve"> </w:t>
      </w:r>
      <w:r>
        <w:t xml:space="preserve">become apparent that EU action is necessary to ensure the functioning of the internal market and</w:t>
      </w:r>
      <w:r>
        <w:t xml:space="preserve"> </w:t>
      </w:r>
      <w:r>
        <w:t xml:space="preserve">the effectiveness of the fundamental freedoms. This is, for example, the case with the IRD and PSD</w:t>
      </w:r>
      <w:r>
        <w:t xml:space="preserve"> </w:t>
      </w:r>
      <w:r>
        <w:t xml:space="preserve">which were adopted to ensure equal tax treatment of dividends, royalties and interests when these</w:t>
      </w:r>
      <w:r>
        <w:t xml:space="preserve"> </w:t>
      </w:r>
      <w:r>
        <w:t xml:space="preserve">payments are carried out between taxpayers in different Member States. In the same vein, the</w:t>
      </w:r>
      <w:r>
        <w:t xml:space="preserve"> </w:t>
      </w:r>
      <w:r>
        <w:t xml:space="preserve">TMD, ensures that tax rules applicable to business operations, like mergers, divisions, transfers of</w:t>
      </w:r>
      <w:r>
        <w:t xml:space="preserve"> </w:t>
      </w:r>
      <w:r>
        <w:t xml:space="preserve">assets, and exchange of shares, concerning taxpayers of different Member States are neutral and</w:t>
      </w:r>
      <w:r>
        <w:t xml:space="preserve"> </w:t>
      </w:r>
      <w:r>
        <w:t xml:space="preserve">non-decisive for business decisions in the internal market. ATAD introduced a set of common anti-</w:t>
      </w:r>
      <w:r>
        <w:t xml:space="preserve"> </w:t>
      </w:r>
      <w:r>
        <w:t xml:space="preserve">tax avoidance rules to address base erosion and profit shifting, often caused or aggravated by</w:t>
      </w:r>
      <w:r>
        <w:t xml:space="preserve"> </w:t>
      </w:r>
      <w:r>
        <w:t xml:space="preserve">mismatches or fragmentation between the tax systems of the Member States. The DRM establishes</w:t>
      </w:r>
      <w:r>
        <w:t xml:space="preserve"> </w:t>
      </w:r>
      <w:r>
        <w:t xml:space="preserve">rules for resolving disputes that arise from the interpretation and application of double tax treaties</w:t>
      </w:r>
      <w:r>
        <w:t xml:space="preserve"> </w:t>
      </w:r>
      <w:r>
        <w:t xml:space="preserve">among EU Member States.</w:t>
      </w:r>
    </w:p>
    <w:p>
      <w:pPr>
        <w:pStyle w:val="BodyText"/>
      </w:pPr>
      <w:r>
        <w:t xml:space="preserve">Although the application of these Directives remains crucial for the good functioning of the internal</w:t>
      </w:r>
      <w:r>
        <w:t xml:space="preserve"> </w:t>
      </w:r>
      <w:r>
        <w:t xml:space="preserve">market, the EU faces new challenges. Enhanced globalisation, economic developments, and an</w:t>
      </w:r>
      <w:r>
        <w:t xml:space="preserve"> </w:t>
      </w:r>
      <w:r>
        <w:t xml:space="preserve">increasingly complex international tax architecture have made it necessary to revisit the functioning</w:t>
      </w:r>
      <w:r>
        <w:t xml:space="preserve"> </w:t>
      </w:r>
      <w:r>
        <w:t xml:space="preserve">of established rules. This issue is not specific to the EU, but burdensome regulation and</w:t>
      </w:r>
      <w:r>
        <w:t xml:space="preserve"> </w:t>
      </w:r>
      <w:r>
        <w:t xml:space="preserve">administration are a clog on EU growth and EU competitiveness vis-à-vis third countries. While it</w:t>
      </w:r>
      <w:r>
        <w:t xml:space="preserve"> </w:t>
      </w:r>
      <w:r>
        <w:t xml:space="preserve">would be for the Member States to simplify domestic tax rules, only an EU action can amend the</w:t>
      </w:r>
      <w:r>
        <w:t xml:space="preserve"> </w:t>
      </w:r>
      <w:r>
        <w:t xml:space="preserve">existing EU direct tax acquis in accordance with the Treaties, to simplify and clarify the common</w:t>
      </w:r>
      <w:r>
        <w:t xml:space="preserve"> </w:t>
      </w:r>
      <w:r>
        <w:t xml:space="preserve">rules, address identified challenges, and thus enhance the competitiveness of EU businesses. As a</w:t>
      </w:r>
      <w:r>
        <w:t xml:space="preserve"> </w:t>
      </w:r>
      <w:r>
        <w:t xml:space="preserve">result, the objectives of the Omnibus on Taxation cannot be achieved sufficiently by the Member</w:t>
      </w:r>
      <w:r>
        <w:t xml:space="preserve"> </w:t>
      </w:r>
      <w:r>
        <w:t xml:space="preserve">States acting alone.</w:t>
      </w:r>
      <w:r>
        <w:t xml:space="preserve"> </w:t>
      </w:r>
      <w:r>
        <w:t xml:space="preserve">Finally, in accordance with the principle of proportionality, the Omnibus on Taxation will focus on</w:t>
      </w:r>
      <w:r>
        <w:t xml:space="preserve"> </w:t>
      </w:r>
      <w:r>
        <w:t xml:space="preserve">the simplification of existing EU rules that are linked to identified problems (Section 2.1) which</w:t>
      </w:r>
      <w:r>
        <w:t xml:space="preserve"> </w:t>
      </w:r>
      <w:r>
        <w:t xml:space="preserve">could only be addressed by legislative action. Other problems that have been identified in the</w:t>
      </w:r>
      <w:r>
        <w:t xml:space="preserve"> </w:t>
      </w:r>
      <w:r>
        <w:t xml:space="preserve">stakeholder consultations or in the ATAD evaluation, e.g., related to Exit Taxation Rules or the</w:t>
      </w:r>
      <w:r>
        <w:t xml:space="preserve"> </w:t>
      </w:r>
      <w:r>
        <w:t xml:space="preserve">General-Anti Abuse Rule (GAAR) in ATAD,51 which could be addressed by soft law initiatives,</w:t>
      </w:r>
      <w:r>
        <w:t xml:space="preserve"> </w:t>
      </w:r>
      <w:r>
        <w:t xml:space="preserve">such as administrative guidance, will not be considered further in this respect. EU action will thus</w:t>
      </w:r>
      <w:r>
        <w:t xml:space="preserve"> </w:t>
      </w:r>
      <w:r>
        <w:t xml:space="preserve">be limited to what is necessary to ensure the functioning of the internal market.</w:t>
      </w:r>
      <w:r>
        <w:t xml:space="preserve"> </w:t>
      </w:r>
      <w:r>
        <w:t xml:space="preserve">3.3. Subsidiarity: Added value of EU action</w:t>
      </w:r>
      <w:r>
        <w:t xml:space="preserve"> </w:t>
      </w:r>
      <w:r>
        <w:t xml:space="preserve">Action at the EU level would bring significant benefits to both businesses and tax administrations.</w:t>
      </w:r>
      <w:r>
        <w:t xml:space="preserve"> </w:t>
      </w:r>
      <w:r>
        <w:t xml:space="preserve">The Omnibus on Taxation will be designed to tackle problems with the existing direct taxation</w:t>
      </w:r>
      <w:r>
        <w:t xml:space="preserve"> </w:t>
      </w:r>
      <w:r>
        <w:t xml:space="preserve">Directives which were identified in extensive consultations with Member States and private</w:t>
      </w:r>
      <w:r>
        <w:t xml:space="preserve"> </w:t>
      </w:r>
      <w:r>
        <w:t xml:space="preserve">stakeholders, and it will build on the results of ATAD evaluation52. The intention is to remove</w:t>
      </w:r>
      <w:r>
        <w:t xml:space="preserve"> </w:t>
      </w:r>
      <w:r>
        <w:t xml:space="preserve">overlapping or potentially now superfluous rules, streamline procedures, further prevent and</w:t>
      </w:r>
      <w:r>
        <w:t xml:space="preserve"> </w:t>
      </w:r>
      <w:r>
        <w:t xml:space="preserve">address instances of double taxation and distortions, clarify concepts, eliminate outdated</w:t>
      </w:r>
      <w:r>
        <w:t xml:space="preserve"> </w:t>
      </w:r>
      <w:r>
        <w:t xml:space="preserve">provisions, and address the inconsistent or divergent application of certain tax rules across the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On the basis of the Omnibus on Taxation proposal, EU tax rules and procedures should become</w:t>
      </w:r>
      <w:r>
        <w:t xml:space="preserve"> </w:t>
      </w:r>
      <w:r>
        <w:t xml:space="preserve">clearer and simpler making it easier and, thereby, less costly for businesses to operate or expand</w:t>
      </w:r>
      <w:r>
        <w:t xml:space="preserve"> </w:t>
      </w:r>
      <w:r>
        <w:t xml:space="preserve">cross-border. This would allow for a better utilisation of the potential of the internal market and</w:t>
      </w:r>
      <w:r>
        <w:t xml:space="preserve"> </w:t>
      </w:r>
      <w:r>
        <w:t xml:space="preserve">should also make it more attractive to establish businesses and invest in businesses in the internal</w:t>
      </w:r>
      <w:r>
        <w:t xml:space="preserve"> </w:t>
      </w:r>
      <w:r>
        <w:t xml:space="preserve">market. For tax administrations, simpler rules and streamlined procedures should ease their work</w:t>
      </w:r>
      <w:r>
        <w:t xml:space="preserve"> </w:t>
      </w:r>
      <w:r>
        <w:t xml:space="preserve">related to tax controls and audits and, ultimately, lead to fewer disputes and a reduction in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The Omnibus on Taxation proposal should also be seen in conjunction with the DAC Recast, which</w:t>
      </w:r>
      <w:r>
        <w:t xml:space="preserve"> </w:t>
      </w:r>
      <w:r>
        <w:t xml:space="preserve">entails simplification of certain reporting obligations and procedures. Altogether, the initiatives</w:t>
      </w:r>
      <w:r>
        <w:t xml:space="preserve"> </w:t>
      </w:r>
      <w:r>
        <w:t xml:space="preserve">would entail coordinated and comprehensive actions ensuring that both material tax rules and the</w:t>
      </w:r>
      <w:r>
        <w:t xml:space="preserve"> </w:t>
      </w:r>
      <w:r>
        <w:t xml:space="preserve">exchange of information framework are up-to-date and fit for purpose.</w:t>
      </w:r>
    </w:p>
    <w:p>
      <w:pPr>
        <w:pStyle w:val="BodyText"/>
      </w:pPr>
      <w:r>
        <w:t xml:space="preserve">51 Simplifying EU rules on direct taxation – omnibus; Annex 2: Stakeholder consultation synopsis report and</w:t>
      </w:r>
      <w:r>
        <w:t xml:space="preserve"> </w:t>
      </w:r>
      <w:r>
        <w:t xml:space="preserve">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19-43.</w:t>
      </w:r>
      <w:r>
        <w:t xml:space="preserve"> </w:t>
      </w:r>
      <w:r>
        <w:t xml:space="preserve">52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market.</w:t>
      </w:r>
    </w:p>
    <w:p>
      <w:pPr>
        <w:pStyle w:val="Compact"/>
        <w:numPr>
          <w:ilvl w:val="0"/>
          <w:numId w:val="1002"/>
        </w:numPr>
      </w:pPr>
      <w:r>
        <w:t xml:space="preserve">OBJECTIVES: WHAT IS TO BE ACHIEVED?</w:t>
      </w:r>
      <w:r>
        <w:t xml:space="preserve"> </w:t>
      </w:r>
      <w:r>
        <w:t xml:space="preserve">This section outlines the general objectives, which are the treaty and policy-based objectives that</w:t>
      </w:r>
      <w:r>
        <w:t xml:space="preserve"> </w:t>
      </w:r>
      <w:r>
        <w:t xml:space="preserve">the Omnibus on Taxation aims to contribute to, and the specific objectives, which set out concretely</w:t>
      </w:r>
      <w:r>
        <w:t xml:space="preserve"> </w:t>
      </w:r>
      <w:r>
        <w:t xml:space="preserve">what the initiative is meant to achieve. The ‘Intervention Logic’ in Figure 2 presents these</w:t>
      </w:r>
      <w:r>
        <w:t xml:space="preserve"> </w:t>
      </w:r>
      <w:r>
        <w:t xml:space="preserve">objectives jointly with the drivers and the problems that the Omnibus on Taxation aims to address.</w:t>
      </w:r>
      <w:r>
        <w:t xml:space="preserve"> </w:t>
      </w:r>
      <w:r>
        <w:t xml:space="preserve">Figure 2: Intervention Logic</w:t>
      </w:r>
    </w:p>
    <w:p>
      <w:pPr>
        <w:pStyle w:val="FirstParagraph"/>
      </w:pPr>
      <w:r>
        <w:t xml:space="preserve">4.1. General objectives</w:t>
      </w:r>
      <w:r>
        <w:t xml:space="preserve"> </w:t>
      </w:r>
      <w:r>
        <w:t xml:space="preserve">The general objectives of the Omnibus on Taxation must be seen in the light of the simplification</w:t>
      </w:r>
      <w:r>
        <w:t xml:space="preserve"> </w:t>
      </w:r>
      <w:r>
        <w:t xml:space="preserve">agenda set by the Commission which is generally linked to improving the functioning of the</w:t>
      </w:r>
      <w:r>
        <w:t xml:space="preserve"> </w:t>
      </w:r>
      <w:r>
        <w:t xml:space="preserve">internal market.</w:t>
      </w:r>
      <w:r>
        <w:br/>
      </w:r>
      <w:r>
        <w:t xml:space="preserve">Firstly, the Omnibus on Taxation will seek to simplify existing EU direct tax rules with a view to</w:t>
      </w:r>
      <w:r>
        <w:t xml:space="preserve"> </w:t>
      </w:r>
      <w:r>
        <w:t xml:space="preserve">boost EU competitiveness and, thereby, making the environment for doing business in the EU</w:t>
      </w:r>
      <w:r>
        <w:t xml:space="preserve"> </w:t>
      </w:r>
      <w:r>
        <w:t xml:space="preserve">more attractive. The Draghi Report on EU Competitiveness53 pointed out that internal barriers and</w:t>
      </w:r>
      <w:r>
        <w:t xml:space="preserve"> </w:t>
      </w:r>
      <w:r>
        <w:t xml:space="preserve">lack of coordination between different rules and policies constitute an obstacle to EU</w:t>
      </w:r>
      <w:r>
        <w:t xml:space="preserve"> </w:t>
      </w:r>
      <w:r>
        <w:t xml:space="preserve">competitiveness. Consequently, complexity, uncertainty, fragmentation, and trade barriers impede</w:t>
      </w:r>
      <w:r>
        <w:t xml:space="preserve"> </w:t>
      </w:r>
      <w:r>
        <w:t xml:space="preserve">the proper functioning of the internal market and hamper the prospect for achieving its full</w:t>
      </w:r>
      <w:r>
        <w:t xml:space="preserve"> </w:t>
      </w:r>
      <w:r>
        <w:t xml:space="preserve">potential. In this regard, the Omnibus on Taxation should contribute to the Commission’s overall</w:t>
      </w:r>
      <w:r>
        <w:t xml:space="preserve"> </w:t>
      </w:r>
      <w:r>
        <w:t xml:space="preserve">target of reducing administrative burdens by at least 25% for all businesses, and by at least 35% for</w:t>
      </w:r>
      <w:r>
        <w:t xml:space="preserve"> </w:t>
      </w:r>
      <w:r>
        <w:t xml:space="preserve">SMEs.</w:t>
      </w:r>
    </w:p>
    <w:p>
      <w:pPr>
        <w:pStyle w:val="BodyText"/>
      </w:pPr>
      <w:r>
        <w:t xml:space="preserve">53 The Draghi report on EU competitiveness</w:t>
      </w:r>
    </w:p>
    <w:p>
      <w:pPr>
        <w:pStyle w:val="BodyText"/>
      </w:pPr>
      <w:r>
        <w:t xml:space="preserve">Secondly, the Omnibus on Taxation will ensure that high tax standards in the EU are</w:t>
      </w:r>
      <w:r>
        <w:t xml:space="preserve"> </w:t>
      </w:r>
      <w:r>
        <w:t xml:space="preserve">maintained. The original objectives of the existing Directives, such as removing double taxation,</w:t>
      </w:r>
      <w:r>
        <w:t xml:space="preserve"> </w:t>
      </w:r>
      <w:r>
        <w:t xml:space="preserve">ensuring tax neutrality, establishing a common framework for dispute resolution, and tackling tax</w:t>
      </w:r>
      <w:r>
        <w:t xml:space="preserve"> </w:t>
      </w:r>
      <w:r>
        <w:t xml:space="preserve">avoidance and evasion in the internal market, remain valid today and should not be substantially</w:t>
      </w:r>
      <w:r>
        <w:t xml:space="preserve"> </w:t>
      </w:r>
      <w:r>
        <w:t xml:space="preserve">affected by the Omnibus on Taxation. Therefore, the Omnibus on Taxation should seek to improve</w:t>
      </w:r>
      <w:r>
        <w:t xml:space="preserve"> </w:t>
      </w:r>
      <w:r>
        <w:t xml:space="preserve">the effectiveness and efficiency of the existing Directives without deregulating or recreating</w:t>
      </w:r>
      <w:r>
        <w:t xml:space="preserve"> </w:t>
      </w:r>
      <w:r>
        <w:t xml:space="preserve">loopholes, which can be used for tax avoidance and evasion, or in any other way undermine the</w:t>
      </w:r>
      <w:r>
        <w:t xml:space="preserve"> </w:t>
      </w:r>
      <w:r>
        <w:t xml:space="preserve">achievements at EU and international level in the area of taxation. Such actions would deteriorate</w:t>
      </w:r>
      <w:r>
        <w:t xml:space="preserve"> </w:t>
      </w:r>
      <w:r>
        <w:t xml:space="preserve">the functioning of the internal market rather than improve it and, thereby, be contrary to the EU</w:t>
      </w:r>
      <w:r>
        <w:t xml:space="preserve"> </w:t>
      </w:r>
      <w:r>
        <w:t xml:space="preserve">simplification policy.</w:t>
      </w:r>
      <w:r>
        <w:br/>
      </w:r>
      <w:r>
        <w:t xml:space="preserve">4.2. Specific objectives</w:t>
      </w:r>
      <w:r>
        <w:t xml:space="preserve"> </w:t>
      </w:r>
      <w:r>
        <w:t xml:space="preserve">The specific objectives of the initiative contribute to achieving the general objectives.</w:t>
      </w:r>
      <w:r>
        <w:br/>
      </w:r>
      <w:r>
        <w:t xml:space="preserve">Firstly, in line with the Commission’s target to reduce red tape, the Omnibus on Taxation</w:t>
      </w:r>
      <w:r>
        <w:t xml:space="preserve"> </w:t>
      </w:r>
      <w:r>
        <w:t xml:space="preserve">purposefully aims to eliminate disproportionate EU tax compliance burdens. The current</w:t>
      </w:r>
      <w:r>
        <w:t xml:space="preserve"> </w:t>
      </w:r>
      <w:r>
        <w:t xml:space="preserve">cumulative effect of application of EU tax rules imposes disproportionate compliance costs for EU</w:t>
      </w:r>
      <w:r>
        <w:t xml:space="preserve"> </w:t>
      </w:r>
      <w:r>
        <w:t xml:space="preserve">businesses to the detriment of their competitiveness.</w:t>
      </w:r>
      <w:r>
        <w:br/>
      </w:r>
      <w:r>
        <w:t xml:space="preserve">Secondly, the Omnibus on Taxation aims to introduce clear and predictable EU tax rules and</w:t>
      </w:r>
      <w:r>
        <w:t xml:space="preserve"> </w:t>
      </w:r>
      <w:r>
        <w:t xml:space="preserve">terms where needed. Ambiguities in legal drafting lead to divergent national interpretations,</w:t>
      </w:r>
      <w:r>
        <w:t xml:space="preserve"> </w:t>
      </w:r>
      <w:r>
        <w:t xml:space="preserve">complex heterogeneous administrative practice, double taxation, increased litigation risks, and</w:t>
      </w:r>
      <w:r>
        <w:t xml:space="preserve"> </w:t>
      </w:r>
      <w:r>
        <w:t xml:space="preserve">precautionary over-documentation, causing legal uncertainty which adversely affect tax standards</w:t>
      </w:r>
      <w:r>
        <w:t xml:space="preserve"> </w:t>
      </w:r>
      <w:r>
        <w:t xml:space="preserve">and business decisions in the internal market.</w:t>
      </w:r>
      <w:r>
        <w:t xml:space="preserve"> </w:t>
      </w:r>
      <w:r>
        <w:t xml:space="preserve">Thirdly, the initiative also aims to improve consistency in the application of the existing tax</w:t>
      </w:r>
      <w:r>
        <w:t xml:space="preserve"> </w:t>
      </w:r>
      <w:r>
        <w:t xml:space="preserve">Directives. Discretionary implementation has resulted in significant fragmentation in the</w:t>
      </w:r>
      <w:r>
        <w:t xml:space="preserve"> </w:t>
      </w:r>
      <w:r>
        <w:t xml:space="preserve">application of the EU tax rules, undermining the original objectives for having the existing</w:t>
      </w:r>
      <w:r>
        <w:t xml:space="preserve"> </w:t>
      </w:r>
      <w:r>
        <w:t xml:space="preserve">Directives, such as equal tax treatment across the EU. Substantial and procedural inconsistencies in</w:t>
      </w:r>
      <w:r>
        <w:t xml:space="preserve"> </w:t>
      </w:r>
      <w:r>
        <w:t xml:space="preserve">the application of different Directives also hinder their effective application.</w:t>
      </w:r>
      <w:r>
        <w:br/>
      </w:r>
      <w:r>
        <w:t xml:space="preserve">Finally, the initiative should reduce remaining tax obstacles to cross-border investment and</w:t>
      </w:r>
      <w:r>
        <w:t xml:space="preserve"> </w:t>
      </w:r>
      <w:r>
        <w:t xml:space="preserve">commercial activity. Limitations in the current level of harmonisation of the EU tax rules are</w:t>
      </w:r>
      <w:r>
        <w:t xml:space="preserve"> </w:t>
      </w:r>
      <w:r>
        <w:t xml:space="preserve">counterproductive for making business in the EU easier. Lack of coordination in the Member States</w:t>
      </w:r>
      <w:r>
        <w:t xml:space="preserve"> </w:t>
      </w:r>
      <w:r>
        <w:t xml:space="preserve">puts EU businesses in a worse competitive position than other businesses operating in big,</w:t>
      </w:r>
      <w:r>
        <w:t xml:space="preserve"> </w:t>
      </w:r>
      <w:r>
        <w:t xml:space="preserve">comparable market jurisdictions and weakens the growth prospects of the internal market, which</w:t>
      </w:r>
      <w:r>
        <w:t xml:space="preserve"> </w:t>
      </w:r>
      <w:r>
        <w:t xml:space="preserve">makes it less attractive to investment in the EU.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This section outlines the EU acquis in the area of direct taxation focusing on a number of existing</w:t>
      </w:r>
      <w:r>
        <w:t xml:space="preserve"> </w:t>
      </w:r>
      <w:r>
        <w:t xml:space="preserve">rules that can be linked to the problem drivers, i.e., inconsistent application and outdated or</w:t>
      </w:r>
      <w:r>
        <w:t xml:space="preserve"> </w:t>
      </w:r>
      <w:r>
        <w:t xml:space="preserve">overlapping rules, which the Omnibus on Taxation seeks to address. The rules in question have</w:t>
      </w:r>
      <w:r>
        <w:t xml:space="preserve"> </w:t>
      </w:r>
      <w:r>
        <w:t xml:space="preserve">been selected on the basis of thorough analysis, positions shared by Member States, a dedicated</w:t>
      </w:r>
      <w:r>
        <w:t xml:space="preserve"> </w:t>
      </w:r>
      <w:r>
        <w:t xml:space="preserve">evaluation, and feedback gathered through different stakeholder consultations, including the main</w:t>
      </w:r>
      <w:r>
        <w:t xml:space="preserve"> </w:t>
      </w:r>
      <w:r>
        <w:t xml:space="preserve">business associations. Consequently, this section will focus on the current rules that are linked to</w:t>
      </w:r>
      <w:r>
        <w:t xml:space="preserve"> </w:t>
      </w:r>
      <w:r>
        <w:t xml:space="preserve">identified problems which could only be addressed by legislative action. Other problems that have</w:t>
      </w:r>
      <w:r>
        <w:t xml:space="preserve"> </w:t>
      </w:r>
      <w:r>
        <w:t xml:space="preserve">been identified e.g., in the stakeholder consultations or in the ATAD evaluation, that could be</w:t>
      </w:r>
      <w:r>
        <w:t xml:space="preserve"> </w:t>
      </w:r>
      <w:r>
        <w:t xml:space="preserve">addressed by soft law initiatives, such as administrative guidance, will not feature in the report.</w:t>
      </w:r>
      <w:r>
        <w:t xml:space="preserve"> </w:t>
      </w:r>
      <w:r>
        <w:t xml:space="preserve">After the presentation of the current rules linked to the identified problems (the baseline), different</w:t>
      </w:r>
      <w:r>
        <w:t xml:space="preserve"> </w:t>
      </w:r>
      <w:r>
        <w:t xml:space="preserve">options for simplification of the rules will be presented.</w:t>
      </w:r>
    </w:p>
    <w:p>
      <w:pPr>
        <w:pStyle w:val="BodyText"/>
      </w:pPr>
      <w:r>
        <w:t xml:space="preserve">5.1. What is the baseline from which options are assessed?</w:t>
      </w:r>
      <w:r>
        <w:t xml:space="preserve"> </w:t>
      </w:r>
      <w:r>
        <w:t xml:space="preserve">5.1.1. Withholding tax exemption for payments of interests, royalties and dividends</w:t>
      </w:r>
      <w:r>
        <w:t xml:space="preserve"> </w:t>
      </w:r>
      <w:r>
        <w:t xml:space="preserve">According to the IRD, interest and royalty payments arising in one Member State are exempt from</w:t>
      </w:r>
      <w:r>
        <w:t xml:space="preserve"> </w:t>
      </w:r>
      <w:r>
        <w:t xml:space="preserve">taxes imposed in that State provided that the beneficial owner is an associated company from</w:t>
      </w:r>
      <w:r>
        <w:t xml:space="preserve"> </w:t>
      </w:r>
      <w:r>
        <w:t xml:space="preserve">another Member State or a permanent establishment situated in another Member State.</w:t>
      </w:r>
      <w:r>
        <w:br/>
      </w:r>
      <w:r>
        <w:t xml:space="preserve">The PSD also exempts dividends and other profit distributions paid by subsidiaries to parent</w:t>
      </w:r>
      <w:r>
        <w:t xml:space="preserve"> </w:t>
      </w:r>
      <w:r>
        <w:t xml:space="preserve">companies in different Member States from withholding taxes at source and eliminates double</w:t>
      </w:r>
      <w:r>
        <w:t xml:space="preserve"> </w:t>
      </w:r>
      <w:r>
        <w:t xml:space="preserve">taxation of such income at the level of the parent company (participation exemption or relief by</w:t>
      </w:r>
      <w:r>
        <w:t xml:space="preserve"> </w:t>
      </w:r>
      <w:r>
        <w:t xml:space="preserve">credit).</w:t>
      </w:r>
      <w:r>
        <w:br/>
      </w:r>
      <w:r>
        <w:t xml:space="preserve">5.1.1.1. Eligible companies</w:t>
      </w:r>
      <w:r>
        <w:t xml:space="preserve"> </w:t>
      </w:r>
      <w:r>
        <w:t xml:space="preserve">The IRD and PSD only apply to companies of a Member State. To be considered a ‘company of a</w:t>
      </w:r>
      <w:r>
        <w:t xml:space="preserve"> </w:t>
      </w:r>
      <w:r>
        <w:t xml:space="preserve">Member State’, three cumulative conditions have to be fulfilled: (i) the company must take one of</w:t>
      </w:r>
      <w:r>
        <w:t xml:space="preserve"> </w:t>
      </w:r>
      <w:r>
        <w:t xml:space="preserve">the legal forms which are listed in the Annex to each Directive, (ii) the company must be tax</w:t>
      </w:r>
      <w:r>
        <w:t xml:space="preserve"> </w:t>
      </w:r>
      <w:r>
        <w:t xml:space="preserve">resident in a Member State, and (iii) the company must be subject to corporate tax in a Member</w:t>
      </w:r>
      <w:r>
        <w:t xml:space="preserve"> </w:t>
      </w:r>
      <w:r>
        <w:t xml:space="preserve">State.</w:t>
      </w:r>
      <w:r>
        <w:br/>
      </w:r>
      <w:r>
        <w:t xml:space="preserve">Regarding the eligible forms of companies listed in the Annexes of the PSD, the European Court of</w:t>
      </w:r>
      <w:r>
        <w:t xml:space="preserve"> </w:t>
      </w:r>
      <w:r>
        <w:t xml:space="preserve">Justice (CJEU) has ruled that the Annex to the PSD provides for an exhaustive list of companies.54</w:t>
      </w:r>
      <w:r>
        <w:t xml:space="preserve"> </w:t>
      </w:r>
      <w:r>
        <w:t xml:space="preserve">Considering the similarity of requirements, this interpretation has been extended to the IRD.</w:t>
      </w:r>
      <w:r>
        <w:t xml:space="preserve"> </w:t>
      </w:r>
      <w:r>
        <w:t xml:space="preserve">Consequently, payments of interests, royalties, and dividends, which are made to a company that</w:t>
      </w:r>
      <w:r>
        <w:t xml:space="preserve"> </w:t>
      </w:r>
      <w:r>
        <w:t xml:space="preserve">takes a form which is not explicitly covered by each Annex respectively, are not entitled to benefit</w:t>
      </w:r>
      <w:r>
        <w:t xml:space="preserve"> </w:t>
      </w:r>
      <w:r>
        <w:t xml:space="preserve">from the tax exemptions provided by the IRD and PSD. This limits the scope of the IRD and the</w:t>
      </w:r>
      <w:r>
        <w:t xml:space="preserve"> </w:t>
      </w:r>
      <w:r>
        <w:t xml:space="preserve">PSD and makes the application non-flexible and outdated as there is currently opportunity to</w:t>
      </w:r>
      <w:r>
        <w:t xml:space="preserve"> </w:t>
      </w:r>
      <w:r>
        <w:t xml:space="preserve">include new legal forms of companies constituted under the laws of the Member States.</w:t>
      </w:r>
      <w:r>
        <w:t xml:space="preserve"> </w:t>
      </w:r>
      <w:r>
        <w:t xml:space="preserve">Although these requirements seem alike in the IRD and the PSD, they differ in substance as the</w:t>
      </w:r>
      <w:r>
        <w:t xml:space="preserve"> </w:t>
      </w:r>
      <w:r>
        <w:t xml:space="preserve">company forms listed in the Annex to each Directive are not aligned. Inconsistencies can, for</w:t>
      </w:r>
      <w:r>
        <w:t xml:space="preserve"> </w:t>
      </w:r>
      <w:r>
        <w:t xml:space="preserve">example, be found concerning the European Company (EC) and the European Cooperative Society</w:t>
      </w:r>
      <w:r>
        <w:t xml:space="preserve"> </w:t>
      </w:r>
      <w:r>
        <w:t xml:space="preserve">(ECS)55, as well as for some company forms in certain Member States, which makes the application</w:t>
      </w:r>
      <w:r>
        <w:t xml:space="preserve"> </w:t>
      </w:r>
      <w:r>
        <w:t xml:space="preserve">of the Directives complex. These differences in eligibility requirements would continue to create</w:t>
      </w:r>
      <w:r>
        <w:t xml:space="preserve"> </w:t>
      </w:r>
      <w:r>
        <w:t xml:space="preserve">problems, as they entail inconsistent access for businesses to the benefits provided for in the</w:t>
      </w:r>
      <w:r>
        <w:t xml:space="preserve"> </w:t>
      </w:r>
      <w:r>
        <w:t xml:space="preserve">Directives. It should also be mentioned that the TMD also includes a definition of ‘eligible</w:t>
      </w:r>
      <w:r>
        <w:t xml:space="preserve"> </w:t>
      </w:r>
      <w:r>
        <w:t xml:space="preserve">companies’ which differs in substance from the IRD and PSD and creates further complexity.</w:t>
      </w:r>
      <w:r>
        <w:t xml:space="preserve"> </w:t>
      </w:r>
      <w:r>
        <w:t xml:space="preserve">Without action, the inconsistency in the application of the Directives may increase as the list of</w:t>
      </w:r>
      <w:r>
        <w:t xml:space="preserve"> </w:t>
      </w:r>
      <w:r>
        <w:t xml:space="preserve">eligible companies are not drafted in a dynamic way. While company legal forms may continue to</w:t>
      </w:r>
      <w:r>
        <w:t xml:space="preserve"> </w:t>
      </w:r>
      <w:r>
        <w:t xml:space="preserve">develop, in most cases, the scope of the Directives remain the same.</w:t>
      </w:r>
      <w:r>
        <w:t xml:space="preserve"> </w:t>
      </w:r>
      <w:r>
        <w:t xml:space="preserve">5.1.1.2. Material scope</w:t>
      </w:r>
      <w:r>
        <w:t xml:space="preserve"> </w:t>
      </w:r>
      <w:r>
        <w:t xml:space="preserve">The IRD and PSD only apply to associated companies, i.e., businesses linked through significant</w:t>
      </w:r>
      <w:r>
        <w:t xml:space="preserve"> </w:t>
      </w:r>
      <w:r>
        <w:t xml:space="preserve">ownership or common corporate control. The IRD is only applicable to interest and royalty</w:t>
      </w:r>
    </w:p>
    <w:p>
      <w:pPr>
        <w:pStyle w:val="BodyText"/>
      </w:pPr>
      <w:r>
        <w:t xml:space="preserve">54 Judgment of the Court (First Chamber) of 1 October 2009, Gaz de France - Berliner Investissement SA v</w:t>
      </w:r>
      <w:r>
        <w:t xml:space="preserve"> </w:t>
      </w:r>
      <w:r>
        <w:t xml:space="preserve">Bundeszentralamt für Steuern, Case C-247/08, ECLI:EU:C:2009:600.</w:t>
      </w:r>
      <w:r>
        <w:t xml:space="preserve"> </w:t>
      </w:r>
      <w:r>
        <w:t xml:space="preserve">55 Council Regulation (EC) N 2157/2001 of 8 October 2001 on the Statute for a European company and Council</w:t>
      </w:r>
      <w:r>
        <w:t xml:space="preserve"> </w:t>
      </w:r>
      <w:r>
        <w:t xml:space="preserve">Regulation (EC) N 1435/2003 of 22 July 2003 on the Statute for a European Cooperative Society.</w:t>
      </w:r>
    </w:p>
    <w:p>
      <w:pPr>
        <w:pStyle w:val="BodyText"/>
      </w:pPr>
      <w:r>
        <w:t xml:space="preserve">payments made between associated companies of different Member States. The concept of an</w:t>
      </w:r>
      <w:r>
        <w:t xml:space="preserve"> </w:t>
      </w:r>
      <w:r>
        <w:t xml:space="preserve">‘associated company’ requires a direct minimum holding of 25% of the capital, or a minimum</w:t>
      </w:r>
      <w:r>
        <w:t xml:space="preserve"> </w:t>
      </w:r>
      <w:r>
        <w:t xml:space="preserve">holding of 25% of the voting rights. The PSD is applicable to profit distributions paid by subsidiary</w:t>
      </w:r>
      <w:r>
        <w:t xml:space="preserve"> </w:t>
      </w:r>
      <w:r>
        <w:t xml:space="preserve">companies to their parent company. The concept of ‘parent company’ requires a minimum holding,</w:t>
      </w:r>
      <w:r>
        <w:t xml:space="preserve"> </w:t>
      </w:r>
      <w:r>
        <w:t xml:space="preserve">either direct or indirect, of 10% in capital, with the option to replace it, by means of bilateral</w:t>
      </w:r>
      <w:r>
        <w:t xml:space="preserve"> </w:t>
      </w:r>
      <w:r>
        <w:t xml:space="preserve">agreements, with that of a minimum holding of voting rights.</w:t>
      </w:r>
      <w:r>
        <w:br/>
      </w:r>
      <w:r>
        <w:t xml:space="preserve">Accordingly, the material scope of the IRD and the PSD differ. While the benefits of the IRD apply</w:t>
      </w:r>
      <w:r>
        <w:t xml:space="preserve"> </w:t>
      </w:r>
      <w:r>
        <w:t xml:space="preserve">only to direct holdings of 25% in capital or voting rights, the benefits of the PSD apply to holdings,</w:t>
      </w:r>
      <w:r>
        <w:t xml:space="preserve"> </w:t>
      </w:r>
      <w:r>
        <w:t xml:space="preserve">either direct or indirect, of 10% in capital or voting rights. Therefore, not only the percentage of</w:t>
      </w:r>
      <w:r>
        <w:t xml:space="preserve"> </w:t>
      </w:r>
      <w:r>
        <w:t xml:space="preserve">holding differs, but also the nature of the holding (direct vs. indirect).</w:t>
      </w:r>
      <w:r>
        <w:br/>
      </w:r>
      <w:r>
        <w:t xml:space="preserve">In 2011, the Commission presented a report on the functioning of the IRD which inter alia</w:t>
      </w:r>
      <w:r>
        <w:t xml:space="preserve"> </w:t>
      </w:r>
      <w:r>
        <w:t xml:space="preserve">concluded that the holding requirement had been implemented in different ways in the Member</w:t>
      </w:r>
      <w:r>
        <w:t xml:space="preserve"> </w:t>
      </w:r>
      <w:r>
        <w:t xml:space="preserve">States.56 Some allowed for indirect holdings to be taken into account in determining eligibility,</w:t>
      </w:r>
      <w:r>
        <w:t xml:space="preserve"> </w:t>
      </w:r>
      <w:r>
        <w:t xml:space="preserve">while others limited the application to direct holdings. This leaves companies uncertain about</w:t>
      </w:r>
      <w:r>
        <w:t xml:space="preserve"> </w:t>
      </w:r>
      <w:r>
        <w:t xml:space="preserve">whether they will be able to avail themselves of the tax exemption in one country or another and</w:t>
      </w:r>
      <w:r>
        <w:t xml:space="preserve"> </w:t>
      </w:r>
      <w:r>
        <w:t xml:space="preserve">can constitute a tax obstacle to cross-border activities. Missing alignment between the IRD and</w:t>
      </w:r>
      <w:r>
        <w:t xml:space="preserve"> </w:t>
      </w:r>
      <w:r>
        <w:t xml:space="preserve">PSD regarding holding requirements will also continue to result in higher than necessary</w:t>
      </w:r>
      <w:r>
        <w:t xml:space="preserve"> </w:t>
      </w:r>
      <w:r>
        <w:t xml:space="preserve">compliance costs for companies involved in cross-border operations. This will continue to produce</w:t>
      </w:r>
      <w:r>
        <w:t xml:space="preserve"> </w:t>
      </w:r>
      <w:r>
        <w:t xml:space="preserve">incongruous results.</w:t>
      </w:r>
      <w:r>
        <w:br/>
      </w:r>
      <w:r>
        <w:t xml:space="preserve">5.1.1.3. Procedural aspects</w:t>
      </w:r>
      <w:r>
        <w:br/>
      </w:r>
      <w:r>
        <w:t xml:space="preserve">Under the IRD, the procedures to obtain the tax exemption in the Member States can either be</w:t>
      </w:r>
      <w:r>
        <w:t xml:space="preserve"> </w:t>
      </w:r>
      <w:r>
        <w:t xml:space="preserve">designed on the basis of the attestation procedure, which is laid down directly in the IRD, or as a</w:t>
      </w:r>
      <w:r>
        <w:t xml:space="preserve"> </w:t>
      </w:r>
      <w:r>
        <w:t xml:space="preserve">fully national procedure. Irrespective of the procedure, the source Member State must repay any</w:t>
      </w:r>
      <w:r>
        <w:t xml:space="preserve"> </w:t>
      </w:r>
      <w:r>
        <w:t xml:space="preserve">excess tax withheld within one year. The PSD does not include any procedural rules for entitlement</w:t>
      </w:r>
      <w:r>
        <w:t xml:space="preserve"> </w:t>
      </w:r>
      <w:r>
        <w:t xml:space="preserve">to the benefits. Each Member State may establish its own procedure to ensure that eligible</w:t>
      </w:r>
      <w:r>
        <w:t xml:space="preserve"> </w:t>
      </w:r>
      <w:r>
        <w:t xml:space="preserve">companies can benefit from the rules.</w:t>
      </w:r>
      <w:r>
        <w:br/>
      </w:r>
      <w:r>
        <w:t xml:space="preserve">In practice, the majority of Member States have not implemented any upfront requirement or</w:t>
      </w:r>
      <w:r>
        <w:t xml:space="preserve"> </w:t>
      </w:r>
      <w:r>
        <w:t xml:space="preserve">procedure for companies to benefit from the tax exemptions under the IRD and the PSD, although</w:t>
      </w:r>
      <w:r>
        <w:t xml:space="preserve"> </w:t>
      </w:r>
      <w:r>
        <w:t xml:space="preserve">some Member States have chosen to apply a variation of the attestation procedure.</w:t>
      </w:r>
      <w:r>
        <w:br/>
      </w:r>
      <w:r>
        <w:t xml:space="preserve">During targeted consultations, many private stakeholders voiced concerns about the excessive</w:t>
      </w:r>
      <w:r>
        <w:t xml:space="preserve"> </w:t>
      </w:r>
      <w:r>
        <w:t xml:space="preserve">procedural complexity in certain Member States in order to gain entitlement to the withholding tax</w:t>
      </w:r>
      <w:r>
        <w:t xml:space="preserve"> </w:t>
      </w:r>
      <w:r>
        <w:t xml:space="preserve">exemption of dividends, interests and royalties under the IRD and the PSD. In this regard, it was</w:t>
      </w:r>
      <w:r>
        <w:t xml:space="preserve"> </w:t>
      </w:r>
      <w:r>
        <w:t xml:space="preserve">pointed out that the length of the administrative procedures, sometimes up to 24 months, and</w:t>
      </w:r>
      <w:r>
        <w:t xml:space="preserve"> </w:t>
      </w:r>
      <w:r>
        <w:t xml:space="preserve">complex procedural requirements for obtaining the benefit usually cause delays. In certain cases,</w:t>
      </w:r>
      <w:r>
        <w:t xml:space="preserve"> </w:t>
      </w:r>
      <w:r>
        <w:t xml:space="preserve">the procedures even have a deterrent effect as it may be more cost-efficient for the companies to</w:t>
      </w:r>
      <w:r>
        <w:t xml:space="preserve"> </w:t>
      </w:r>
      <w:r>
        <w:t xml:space="preserve">pay the withholding tax than claiming the exemption.</w:t>
      </w:r>
      <w:r>
        <w:br/>
      </w:r>
      <w:r>
        <w:t xml:space="preserve">More recently, to address such issues, the EU adopted the FASTER Directive, which, among other</w:t>
      </w:r>
      <w:r>
        <w:t xml:space="preserve"> </w:t>
      </w:r>
      <w:r>
        <w:t xml:space="preserve">measures, introduces standardised fast-track procedures. These procedures can take the form of</w:t>
      </w:r>
      <w:r>
        <w:t xml:space="preserve"> </w:t>
      </w:r>
      <w:r>
        <w:t xml:space="preserve">relief at source, quick refund, or a combination of both, as determined by each Member State. The</w:t>
      </w:r>
    </w:p>
    <w:p>
      <w:pPr>
        <w:pStyle w:val="BodyText"/>
      </w:pPr>
      <w:r>
        <w:t xml:space="preserve">56 Report from the Commission to the Council in accordance with Article 8 of Council Directive 2003/49/EC on a</w:t>
      </w:r>
      <w:r>
        <w:t xml:space="preserve"> </w:t>
      </w:r>
      <w:r>
        <w:t xml:space="preserve">common system of taxation applicable to interest and royalty payments made between associated companies of</w:t>
      </w:r>
      <w:r>
        <w:t xml:space="preserve"> </w:t>
      </w:r>
      <w:r>
        <w:t xml:space="preserve">different Member States, COM/2009/0179 final.</w:t>
      </w:r>
    </w:p>
    <w:p>
      <w:pPr>
        <w:pStyle w:val="BodyText"/>
      </w:pPr>
      <w:r>
        <w:t xml:space="preserve">scope of these fast-track procedures is limited to dividends on publicly traded shares, while relief</w:t>
      </w:r>
      <w:r>
        <w:t xml:space="preserve"> </w:t>
      </w:r>
      <w:r>
        <w:t xml:space="preserve">for interest on publicly traded bonds remains optional for Member States. Additionally, the</w:t>
      </w:r>
      <w:r>
        <w:t xml:space="preserve"> </w:t>
      </w:r>
      <w:r>
        <w:t xml:space="preserve">Directive allows Member States to deny, completely or partially, the application of these</w:t>
      </w:r>
      <w:r>
        <w:t xml:space="preserve"> </w:t>
      </w:r>
      <w:r>
        <w:t xml:space="preserve">standardised fast-track procedures where an exemption from withholding tax is claimed. As a</w:t>
      </w:r>
      <w:r>
        <w:t xml:space="preserve"> </w:t>
      </w:r>
      <w:r>
        <w:t xml:space="preserve">result, Member States may exclude payments exempted under the IRD and PSD from the benefit of</w:t>
      </w:r>
      <w:r>
        <w:t xml:space="preserve"> </w:t>
      </w:r>
      <w:r>
        <w:t xml:space="preserve">these fast-track procedures.</w:t>
      </w:r>
      <w:r>
        <w:br/>
      </w:r>
      <w:r>
        <w:t xml:space="preserve">5.1.2. Taxation of Controlled Foreign Companies</w:t>
      </w:r>
      <w:r>
        <w:t xml:space="preserve"> </w:t>
      </w:r>
      <w:r>
        <w:t xml:space="preserve">The ATAD provides for rules on the taxation of controlled foreign companies (CFCs) which aim to</w:t>
      </w:r>
      <w:r>
        <w:t xml:space="preserve"> </w:t>
      </w:r>
      <w:r>
        <w:t xml:space="preserve">tackle profit shifting towards lower tax jurisdictions within a multinational group. These tax</w:t>
      </w:r>
      <w:r>
        <w:t xml:space="preserve"> </w:t>
      </w:r>
      <w:r>
        <w:t xml:space="preserve">avoidance practices erode the tax base of the jurisdiction of origin of these flows, typically the one</w:t>
      </w:r>
      <w:r>
        <w:t xml:space="preserve"> </w:t>
      </w:r>
      <w:r>
        <w:t xml:space="preserve">of residence of the parent company, through the transfer of profit to a CFC, i.e. subsidiary or a</w:t>
      </w:r>
      <w:r>
        <w:t xml:space="preserve"> </w:t>
      </w:r>
      <w:r>
        <w:t xml:space="preserve">permanent establishment in another jurisdiction. The CFC rules generally attribute certain income</w:t>
      </w:r>
      <w:r>
        <w:t xml:space="preserve"> </w:t>
      </w:r>
      <w:r>
        <w:t xml:space="preserve">from a CFC to be included in the parent company’s taxable base when the tax imposed on the CFC</w:t>
      </w:r>
      <w:r>
        <w:t xml:space="preserve"> </w:t>
      </w:r>
      <w:r>
        <w:t xml:space="preserve">is significantly lower, i.e., the tax paid in the entity jurisdiction is less than 50% of what would be</w:t>
      </w:r>
      <w:r>
        <w:t xml:space="preserve"> </w:t>
      </w:r>
      <w:r>
        <w:t xml:space="preserve">paid in the parent jurisdictions.</w:t>
      </w:r>
      <w:r>
        <w:br/>
      </w:r>
      <w:r>
        <w:t xml:space="preserve">5.1.2.1. Implementation options</w:t>
      </w:r>
      <w:r>
        <w:t xml:space="preserve"> </w:t>
      </w:r>
      <w:r>
        <w:t xml:space="preserve">When transposing the CFC rules, Member States are offered different options to mitigate the</w:t>
      </w:r>
      <w:r>
        <w:t xml:space="preserve"> </w:t>
      </w:r>
      <w:r>
        <w:t xml:space="preserve">differing Member State views and legal traditions and is accommodated due to the Directive’s</w:t>
      </w:r>
      <w:r>
        <w:t xml:space="preserve"> </w:t>
      </w:r>
      <w:r>
        <w:t xml:space="preserve">design as a minimum standard. For example, Member States may choose between two different</w:t>
      </w:r>
      <w:r>
        <w:t xml:space="preserve"> </w:t>
      </w:r>
      <w:r>
        <w:t xml:space="preserve">approaches to define what income of a CFC is subject to tax:</w:t>
      </w:r>
      <w:r>
        <w:br/>
      </w:r>
      <w:r>
        <w:t xml:space="preserve">Model A targets non-distributed passive income of a CFC, such as interest, royalties and dividends,</w:t>
      </w:r>
      <w:r>
        <w:t xml:space="preserve"> </w:t>
      </w:r>
      <w:r>
        <w:t xml:space="preserve">if the CFC is in a low-tax jurisdiction. While relatively mechanical in its application, the CJEU has</w:t>
      </w:r>
      <w:r>
        <w:t xml:space="preserve"> </w:t>
      </w:r>
      <w:r>
        <w:t xml:space="preserve">ruled that Model A includes a substance clause limiting the scope of application of the CFC rule to</w:t>
      </w:r>
      <w:r>
        <w:t xml:space="preserve"> </w:t>
      </w:r>
      <w:r>
        <w:t xml:space="preserve">wholly artificial arrangements within the EU.57</w:t>
      </w:r>
      <w:r>
        <w:t xml:space="preserve"> </w:t>
      </w:r>
      <w:r>
        <w:t xml:space="preserve">Model B targets non-distributed income arising from non-genuine arrangements specifically</w:t>
      </w:r>
      <w:r>
        <w:t xml:space="preserve"> </w:t>
      </w:r>
      <w:r>
        <w:t xml:space="preserve">designed to obtain a tax advantage to be calculated in accordance with the arm’s length principle.</w:t>
      </w:r>
      <w:r>
        <w:t xml:space="preserve"> </w:t>
      </w:r>
      <w:r>
        <w:t xml:space="preserve">To reduce the compliance burden under Model B, Member States may adopt de minimis thresholds</w:t>
      </w:r>
      <w:r>
        <w:t xml:space="preserve"> </w:t>
      </w:r>
      <w:r>
        <w:t xml:space="preserve">to exclude lower-risk entities with limited accounting profits and non-trading income from the rule.</w:t>
      </w:r>
      <w:r>
        <w:br/>
      </w:r>
      <w:r>
        <w:t xml:space="preserve">According to the ATAD evaluation, 17 Member States opted to implement Model A, while 8 chose</w:t>
      </w:r>
      <w:r>
        <w:t xml:space="preserve"> </w:t>
      </w:r>
      <w:r>
        <w:t xml:space="preserve">Model B, including one or both de minimis thresholds. Additionally, 2 Member States decided to</w:t>
      </w:r>
      <w:r>
        <w:t xml:space="preserve"> </w:t>
      </w:r>
      <w:r>
        <w:t xml:space="preserve">adopt a variant of the rule that encompasses both models.58 Consequently, the implementation of</w:t>
      </w:r>
      <w:r>
        <w:t xml:space="preserve"> </w:t>
      </w:r>
      <w:r>
        <w:t xml:space="preserve">the ATAD varies widely across Member States. If not addressed, this will continue to result in</w:t>
      </w:r>
      <w:r>
        <w:t xml:space="preserve"> </w:t>
      </w:r>
      <w:r>
        <w:t xml:space="preserve">fragmentation and inconsistent compliance requirements. This would then continue to contribute to</w:t>
      </w:r>
      <w:r>
        <w:t xml:space="preserve"> </w:t>
      </w:r>
      <w:r>
        <w:t xml:space="preserve">legal uncertainty for businesses operating across borders. Retaining differences in key elements,</w:t>
      </w:r>
      <w:r>
        <w:t xml:space="preserve"> </w:t>
      </w:r>
      <w:r>
        <w:t xml:space="preserve">such as the criteria for CFC status, would uphold the additional administrative burdens and related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57 Judgment of the Court (Grand Chamber) of 12 September 2006, Cadbury Schweppes plc and Cadbury Schweppes</w:t>
      </w:r>
      <w:r>
        <w:t xml:space="preserve"> </w:t>
      </w:r>
      <w:r>
        <w:t xml:space="preserve">Overseas Ltd v Commissioners of Inland Revenue, Case C-196/04. ECLI:EU:C:2006:544.</w:t>
      </w:r>
      <w:r>
        <w:t xml:space="preserve"> </w:t>
      </w:r>
      <w:r>
        <w:t xml:space="preserve">58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14-15.</w:t>
      </w:r>
    </w:p>
    <w:p>
      <w:pPr>
        <w:pStyle w:val="BodyText"/>
      </w:pPr>
      <w:r>
        <w:t xml:space="preserve">This is consistent with findings of the Draghi report59 and it was confirmed by stakeholders who, in</w:t>
      </w:r>
      <w:r>
        <w:t xml:space="preserve"> </w:t>
      </w:r>
      <w:r>
        <w:t xml:space="preserve">the targeted consultations, expressed that the CFC rules generate a significant administrative burden</w:t>
      </w:r>
      <w:r>
        <w:t xml:space="preserve"> </w:t>
      </w:r>
      <w:r>
        <w:t xml:space="preserve">in compliance, while their impact on Member States’ tax bases is considered to be rather modest.</w:t>
      </w:r>
      <w:r>
        <w:br/>
      </w:r>
      <w:r>
        <w:t xml:space="preserve">5.1.2.2. Interaction with Pillar 2</w:t>
      </w:r>
      <w:r>
        <w:t xml:space="preserve"> </w:t>
      </w:r>
      <w:r>
        <w:t xml:space="preserve">Since the adoption of the ATAD, the legal environment at both the EU and international level has</w:t>
      </w:r>
      <w:r>
        <w:t xml:space="preserve"> </w:t>
      </w:r>
      <w:r>
        <w:t xml:space="preserve">evolved significantly, particularly as a result of the OECD global minimum tax for MNEs (Pillar 2)</w:t>
      </w:r>
      <w:r>
        <w:t xml:space="preserve"> </w:t>
      </w:r>
      <w:r>
        <w:t xml:space="preserve">which has been implemented in the EU through a Pillar 2 Directive.</w:t>
      </w:r>
      <w:r>
        <w:br/>
      </w:r>
      <w:r>
        <w:t xml:space="preserve">By using some of the same mechanisms as the CFC rules, i.e., attributing low-taxed income of a</w:t>
      </w:r>
      <w:r>
        <w:t xml:space="preserve"> </w:t>
      </w:r>
      <w:r>
        <w:t xml:space="preserve">subsidiary to the taxable base of a parent company, Pillar 2 ensures that large MNEs pay at least a</w:t>
      </w:r>
      <w:r>
        <w:t xml:space="preserve"> </w:t>
      </w:r>
      <w:r>
        <w:t xml:space="preserve">15% tax on profits in each jurisdiction they operate. Member States agreed at the OECD/G20</w:t>
      </w:r>
      <w:r>
        <w:t xml:space="preserve"> </w:t>
      </w:r>
      <w:r>
        <w:t xml:space="preserve">Inclusive Framework to the Pillar 2 rules, which accommodate CFC legislation by taking the</w:t>
      </w:r>
      <w:r>
        <w:t xml:space="preserve"> </w:t>
      </w:r>
      <w:r>
        <w:t xml:space="preserve">relevant tax charges into account in the design of the global minimum tax. Yet, this does not change</w:t>
      </w:r>
      <w:r>
        <w:t xml:space="preserve"> </w:t>
      </w:r>
      <w:r>
        <w:t xml:space="preserve">the fact that CFC rules share similar objectives to Pillar 2 and in practice, the interaction between</w:t>
      </w:r>
      <w:r>
        <w:t xml:space="preserve"> </w:t>
      </w:r>
      <w:r>
        <w:t xml:space="preserve">the two sets of rules leads to duplication. It is now clear that this approach may create a risk of</w:t>
      </w:r>
      <w:r>
        <w:t xml:space="preserve"> </w:t>
      </w:r>
      <w:r>
        <w:t xml:space="preserve">over-taxation.</w:t>
      </w:r>
      <w:r>
        <w:br/>
      </w:r>
      <w:r>
        <w:t xml:space="preserve">As Pillar 2 was recently transposed by the Member States, the actual effects of the interaction</w:t>
      </w:r>
      <w:r>
        <w:t xml:space="preserve"> </w:t>
      </w:r>
      <w:r>
        <w:t xml:space="preserve">between the two sets of rules are not yet possible to assess in a reliable manner. However, the</w:t>
      </w:r>
      <w:r>
        <w:t xml:space="preserve"> </w:t>
      </w:r>
      <w:r>
        <w:t xml:space="preserve">theoretical consequences of applying Pillar 2 and CFC rules in parallel, i.e., the application of a</w:t>
      </w:r>
      <w:r>
        <w:t xml:space="preserve"> </w:t>
      </w:r>
      <w:r>
        <w:t xml:space="preserve">Qualified Domestic Minimum Top-up Tax (QDMTT) at the level of a low-taxed CFC and the CFC</w:t>
      </w:r>
      <w:r>
        <w:t xml:space="preserve"> </w:t>
      </w:r>
      <w:r>
        <w:t xml:space="preserve">tax imposed at the level of its shareholders, would be likely to result in economic double taxation,</w:t>
      </w:r>
      <w:r>
        <w:t xml:space="preserve"> </w:t>
      </w:r>
      <w:r>
        <w:t xml:space="preserve">which is not in line with the intent of ATAD.</w:t>
      </w:r>
      <w:r>
        <w:br/>
      </w:r>
      <w:r>
        <w:t xml:space="preserve">On this basis, businesses generally regard the two sets of rules as overlapping, causing double</w:t>
      </w:r>
      <w:r>
        <w:t xml:space="preserve"> </w:t>
      </w:r>
      <w:r>
        <w:t xml:space="preserve">taxation and creating unnecessary administrative burden. During the targeted consultations,</w:t>
      </w:r>
      <w:r>
        <w:t xml:space="preserve"> </w:t>
      </w:r>
      <w:r>
        <w:t xml:space="preserve">businesses overwhelmingly argued that the CFC rules have become redundant for MNEs in scope</w:t>
      </w:r>
      <w:r>
        <w:t xml:space="preserve"> </w:t>
      </w:r>
      <w:r>
        <w:t xml:space="preserve">of Pillar 2. These views find support in the ATAD evaluation, which concludes that the</w:t>
      </w:r>
      <w:r>
        <w:t xml:space="preserve"> </w:t>
      </w:r>
      <w:r>
        <w:t xml:space="preserve">implementation of the Pillar 2 Directive addresses similar risks through a global minimum tax and</w:t>
      </w:r>
      <w:r>
        <w:t xml:space="preserve"> </w:t>
      </w:r>
      <w:r>
        <w:t xml:space="preserve">has weakened the rationale for maintaining the CFC rule for MNEs in scope of Pillar 2.60 As such,</w:t>
      </w:r>
      <w:r>
        <w:t xml:space="preserve"> </w:t>
      </w:r>
      <w:r>
        <w:t xml:space="preserve">upholding both sets of rules in parallel risks entailing future compliance costs above what is</w:t>
      </w:r>
      <w:r>
        <w:t xml:space="preserve"> </w:t>
      </w:r>
      <w:r>
        <w:t xml:space="preserve">needed.</w:t>
      </w:r>
      <w:r>
        <w:t xml:space="preserve"> </w:t>
      </w:r>
      <w:r>
        <w:t xml:space="preserve">5.1.2.3. Application to SMEs</w:t>
      </w:r>
      <w:r>
        <w:t xml:space="preserve"> </w:t>
      </w:r>
      <w:r>
        <w:t xml:space="preserve">The CFC rules apply to all taxpayers that are subject to corporate tax in one or more Member</w:t>
      </w:r>
      <w:r>
        <w:t xml:space="preserve"> </w:t>
      </w:r>
      <w:r>
        <w:t xml:space="preserve">State(s), including permanent establishments in one or more Member State(s) of entities resident</w:t>
      </w:r>
      <w:r>
        <w:t xml:space="preserve"> </w:t>
      </w:r>
      <w:r>
        <w:t xml:space="preserve">for tax purposes in a third country, irrespective of their size.</w:t>
      </w:r>
      <w:r>
        <w:t xml:space="preserve"> </w:t>
      </w:r>
      <w:r>
        <w:t xml:space="preserve">In the EU, 99.8% of businesses are SMEs. However, only (i) 10% of them have cross-border</w:t>
      </w:r>
      <w:r>
        <w:t xml:space="preserve"> </w:t>
      </w:r>
      <w:r>
        <w:t xml:space="preserve">activities, and (ii) 2% have subsidiaries outside of the EU. 42% of SMEs are standalone entities, i.e. 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Draghi</w:t>
      </w:r>
      <w:r>
        <w:t xml:space="preserve"> </w:t>
      </w:r>
      <w:r>
        <w:t xml:space="preserve">Report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Future</w:t>
      </w:r>
      <w:r>
        <w:t xml:space="preserve"> </w:t>
      </w:r>
      <w:r>
        <w:t xml:space="preserve">of</w:t>
      </w:r>
      <w:r>
        <w:t xml:space="preserve"> </w:t>
      </w:r>
      <w:r>
        <w:t xml:space="preserve">European</w:t>
      </w:r>
      <w:r>
        <w:t xml:space="preserve"> </w:t>
      </w:r>
      <w:r>
        <w:t xml:space="preserve">Competitiveness,</w:t>
      </w:r>
      <w:r>
        <w:t xml:space="preserve"> </w:t>
      </w:r>
      <w:r>
        <w:t xml:space="preserve">Part</w:t>
      </w:r>
      <w:r>
        <w:t xml:space="preserve"> </w:t>
      </w:r>
      <w:r>
        <w:t xml:space="preserve">B,</w:t>
      </w:r>
      <w:r>
        <w:t xml:space="preserve"> </w:t>
      </w:r>
      <w:r>
        <w:t xml:space="preserve">p. </w:t>
      </w:r>
      <w:r>
        <w:t xml:space="preserve"> </w:t>
      </w:r>
      <w:r>
        <w:t xml:space="preserve">320;</w:t>
      </w:r>
      <w:r>
        <w:t xml:space="preserve"> </w:t>
      </w:r>
      <w:r>
        <w:t xml:space="preserve">https://commission.europa.eu/document/download/ec1409c1-d4b4-4882-8bdd-</w:t>
      </w:r>
      <w:r>
        <w:t xml:space="preserve"> </w:t>
      </w:r>
      <w:r>
        <w:t xml:space="preserve">3519f86bbb92_en?filename=The%20future%20of%20European%20competitiveness_%20In-</w:t>
      </w:r>
      <w:r>
        <w:t xml:space="preserve"> </w:t>
      </w:r>
      <w:r>
        <w:t xml:space="preserve">depth%20analysis%20and%20recommendations_0.pdf#page=320</w:t>
      </w:r>
      <w:r>
        <w:t xml:space="preserve"> </w:t>
      </w:r>
      <w:r>
        <w:t xml:space="preserve">60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36-38 and 47.</w:t>
      </w:r>
    </w:p>
    <w:p>
      <w:pPr>
        <w:pStyle w:val="BodyText"/>
      </w:pPr>
      <w:r>
        <w:t xml:space="preserve">not part of a group and without associated enterprises.61 The ATAD evaluation finds that CFC rules</w:t>
      </w:r>
      <w:r>
        <w:t xml:space="preserve"> </w:t>
      </w:r>
      <w:r>
        <w:t xml:space="preserve">are costly.62 Certain businesses may need to conduct an analysis or tick a box for internal control</w:t>
      </w:r>
      <w:r>
        <w:t xml:space="preserve"> </w:t>
      </w:r>
      <w:r>
        <w:t xml:space="preserve">purposes even when they are effectively not affected by the rules. This may put a disproportionate</w:t>
      </w:r>
      <w:r>
        <w:t xml:space="preserve"> </w:t>
      </w:r>
      <w:r>
        <w:t xml:space="preserve">administrative burden on smaller corporate taxpayers, as they need to rely on external expertise,</w:t>
      </w:r>
      <w:r>
        <w:t xml:space="preserve"> </w:t>
      </w:r>
      <w:r>
        <w:t xml:space="preserve">even in the absence of risky arrangements. Consequently, while relatively few SMEs are in a</w:t>
      </w:r>
      <w:r>
        <w:t xml:space="preserve"> </w:t>
      </w:r>
      <w:r>
        <w:t xml:space="preserve">position to engage in cross-border aggressive tax planning, they nonetheless face an administrative</w:t>
      </w:r>
      <w:r>
        <w:t xml:space="preserve"> </w:t>
      </w:r>
      <w:r>
        <w:t xml:space="preserve">burden associated with applying CFC rules. If not addressed, this will continue to act as a barrier on</w:t>
      </w:r>
      <w:r>
        <w:t xml:space="preserve"> </w:t>
      </w:r>
      <w:r>
        <w:t xml:space="preserve">SME growth.</w:t>
      </w:r>
      <w:r>
        <w:br/>
      </w:r>
      <w:r>
        <w:t xml:space="preserve">5.1.3. Expensing of assets related to research and development (R&amp;D)</w:t>
      </w:r>
      <w:r>
        <w:t xml:space="preserve"> </w:t>
      </w:r>
      <w:r>
        <w:t xml:space="preserve">As set out in Section 2.1.4, not all tax barriers have been removed for EU businesses operating in</w:t>
      </w:r>
      <w:r>
        <w:t xml:space="preserve"> </w:t>
      </w:r>
      <w:r>
        <w:t xml:space="preserve">the internal market. One such issue, which has come into sharper focus in recent years as a result of</w:t>
      </w:r>
      <w:r>
        <w:t xml:space="preserve"> </w:t>
      </w:r>
      <w:r>
        <w:t xml:space="preserve">the EU and global implementation of Pillar 2, is the treatment of R&amp;D assets for tax depreciation</w:t>
      </w:r>
      <w:r>
        <w:t xml:space="preserve"> </w:t>
      </w:r>
      <w:r>
        <w:t xml:space="preserve">purposes.</w:t>
      </w:r>
      <w:r>
        <w:br/>
      </w:r>
      <w:r>
        <w:t xml:space="preserve">While the UK and the United States generally allow the full cost of R&amp;D assets to be deducted in</w:t>
      </w:r>
      <w:r>
        <w:t xml:space="preserve"> </w:t>
      </w:r>
      <w:r>
        <w:t xml:space="preserve">the year an investment is made – so-called immediate expensing – this is not the general rule in EU</w:t>
      </w:r>
      <w:r>
        <w:t xml:space="preserve"> </w:t>
      </w:r>
      <w:r>
        <w:t xml:space="preserve">Member States. This is regrettable, because, as the Commission already stated in its</w:t>
      </w:r>
      <w:r>
        <w:t xml:space="preserve"> </w:t>
      </w:r>
      <w:r>
        <w:t xml:space="preserve">Recommendation of 2 July 2025 on tax incentives to support the Clean Industrial Deal, immediate</w:t>
      </w:r>
      <w:r>
        <w:t xml:space="preserve"> </w:t>
      </w:r>
      <w:r>
        <w:t xml:space="preserve">expensing carries important benefits for investment decisions by allowing taxpayers to recognise</w:t>
      </w:r>
      <w:r>
        <w:t xml:space="preserve"> </w:t>
      </w:r>
      <w:r>
        <w:t xml:space="preserve">the full depreciable amount as a deduction in the tax year in which the investment is made.</w:t>
      </w:r>
      <w:r>
        <w:t xml:space="preserve"> </w:t>
      </w:r>
      <w:r>
        <w:t xml:space="preserve">The introduction of Pillar 2 has emphasised the need for a harmonised EU tax policy in this area.</w:t>
      </w:r>
      <w:r>
        <w:t xml:space="preserve"> </w:t>
      </w:r>
      <w:r>
        <w:t xml:space="preserve">While the global minimum tax will generally improve the level playing field for EU businesses</w:t>
      </w:r>
      <w:r>
        <w:t xml:space="preserve"> </w:t>
      </w:r>
      <w:r>
        <w:t xml:space="preserve">globally, it does not address differences of this kind, as Pillar 2 does not take into account</w:t>
      </w:r>
      <w:r>
        <w:t xml:space="preserve"> </w:t>
      </w:r>
      <w:r>
        <w:t xml:space="preserve">temporary book–tax timing differences that arise from immediate expensing. As a result,</w:t>
      </w:r>
      <w:r>
        <w:t xml:space="preserve"> </w:t>
      </w:r>
      <w:r>
        <w:t xml:space="preserve">divergences in the timing and design of R&amp;D tax incentives remain outside its scope. These</w:t>
      </w:r>
      <w:r>
        <w:t xml:space="preserve"> </w:t>
      </w:r>
      <w:r>
        <w:t xml:space="preserve">national distortions put EU businesses at a competitive disadvantage when performing an activity</w:t>
      </w:r>
      <w:r>
        <w:t xml:space="preserve"> </w:t>
      </w:r>
      <w:r>
        <w:t xml:space="preserve">that is inherently international in nature, and makes the internal market less attractive for</w:t>
      </w:r>
      <w:r>
        <w:t xml:space="preserve"> </w:t>
      </w:r>
      <w:r>
        <w:t xml:space="preserve">investments, as opposed to, for instance, research carried out in bigger markets with more growth</w:t>
      </w:r>
      <w:r>
        <w:t xml:space="preserve"> </w:t>
      </w:r>
      <w:r>
        <w:t xml:space="preserve">potential, such as the United States.</w:t>
      </w:r>
      <w:r>
        <w:br/>
      </w:r>
      <w:r>
        <w:t xml:space="preserve">5.1.4. Interest Limitation Rule</w:t>
      </w:r>
      <w:r>
        <w:br/>
      </w:r>
      <w:r>
        <w:t xml:space="preserve">As a general rule, expenses incurred by a company in the context of its economic activity are tax-</w:t>
      </w:r>
      <w:r>
        <w:t xml:space="preserve"> </w:t>
      </w:r>
      <w:r>
        <w:t xml:space="preserve">deductible. However, certain expenses may be disallowed or have a partial deduction, particularly</w:t>
      </w:r>
      <w:r>
        <w:t xml:space="preserve"> </w:t>
      </w:r>
      <w:r>
        <w:t xml:space="preserve">if they can be linked to risks of abuse. Article 4 of the ATAD introduces an Interest Limitation Rule</w:t>
      </w:r>
      <w:r>
        <w:t xml:space="preserve"> </w:t>
      </w:r>
      <w:r>
        <w:t xml:space="preserve">in the EU which restricts the deductibility of a company’s interest expenses. The purpose of the rule</w:t>
      </w:r>
      <w:r>
        <w:t xml:space="preserve"> </w:t>
      </w:r>
      <w:r>
        <w:t xml:space="preserve">is to limit the extent to which companies in high-tax jurisdictions with excessive debt can benefit</w:t>
      </w:r>
      <w:r>
        <w:t xml:space="preserve"> </w:t>
      </w:r>
      <w:r>
        <w:t xml:space="preserve">from tax deductions for interest payments which can significantly erode their tax base.</w:t>
      </w:r>
      <w:r>
        <w:t xml:space="preserve"> </w:t>
      </w:r>
      <w:r>
        <w:t xml:space="preserve">Under the Interest Limitation Rule, businesses are generally entitled to deduct net borrowing costs,</w:t>
      </w:r>
      <w:r>
        <w:t xml:space="preserve"> </w:t>
      </w:r>
      <w:r>
        <w:t xml:space="preserve">i.e., net interest expenses, up to 30% of their earnings before interest, tax, depreciation and</w:t>
      </w:r>
      <w:r>
        <w:t xml:space="preserve"> </w:t>
      </w:r>
      <w:r>
        <w:t xml:space="preserve">amortisation (‘EBITDA’). Nonetheless, Member States are permitted to adopt lower deductibility</w:t>
      </w:r>
      <w:r>
        <w:t xml:space="preserve"> </w:t>
      </w:r>
      <w:r>
        <w:t xml:space="preserve">limits when transposing the rule. The ATAD also allows Member States to choose from several</w:t>
      </w:r>
    </w:p>
    <w:p>
      <w:pPr>
        <w:pStyle w:val="BodyText"/>
      </w:pPr>
      <w:r>
        <w:t xml:space="preserve">61 VVA/KPMG, Tax compliance costs for SMEs: An update and a complement Final Report KPMG/VVA 2022.</w:t>
      </w:r>
      <w:r>
        <w:t xml:space="preserve"> </w:t>
      </w:r>
      <w:r>
        <w:t xml:space="preserve">62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47.</w:t>
      </w:r>
    </w:p>
    <w:p>
      <w:pPr>
        <w:pStyle w:val="BodyText"/>
      </w:pPr>
      <w:r>
        <w:t xml:space="preserve">options regarding safe harbours, carve-outs, and exceptions, thus allowing for significant flexibility</w:t>
      </w:r>
      <w:r>
        <w:t xml:space="preserve"> </w:t>
      </w:r>
      <w:r>
        <w:t xml:space="preserve">in the implementation.</w:t>
      </w:r>
      <w:r>
        <w:br/>
      </w:r>
      <w:r>
        <w:t xml:space="preserve">According to the ATAD evaluation, the Interest Limitation Rule is widely considered to be the</w:t>
      </w:r>
      <w:r>
        <w:t xml:space="preserve"> </w:t>
      </w:r>
      <w:r>
        <w:t xml:space="preserve">ATAD provision that has had the most impact. Not only is it affecting the largest number of</w:t>
      </w:r>
      <w:r>
        <w:t xml:space="preserve"> </w:t>
      </w:r>
      <w:r>
        <w:t xml:space="preserve">companies, but it also emerges as the rule generating the strongest effects on taxpayer behaviour</w:t>
      </w:r>
      <w:r>
        <w:t xml:space="preserve"> </w:t>
      </w:r>
      <w:r>
        <w:t xml:space="preserve">and on protecting Member States’ tax bases. At the same time, it is often viewed as insufficiently</w:t>
      </w:r>
      <w:r>
        <w:t xml:space="preserve"> </w:t>
      </w:r>
      <w:r>
        <w:t xml:space="preserve">targeted and the extensive flexibility afforded to Member States has created an excessive</w:t>
      </w:r>
      <w:r>
        <w:t xml:space="preserve"> </w:t>
      </w:r>
      <w:r>
        <w:t xml:space="preserve">fragmentation in the implementation of the rule. While the minimum standard in ATAD leaves</w:t>
      </w:r>
      <w:r>
        <w:t xml:space="preserve"> </w:t>
      </w:r>
      <w:r>
        <w:t xml:space="preserve">room for Member States to choose different options and apply supplementary rules to support</w:t>
      </w:r>
      <w:r>
        <w:t xml:space="preserve"> </w:t>
      </w:r>
      <w:r>
        <w:t xml:space="preserve">domestic policy goals, such practices cause additional and avoidable regulatory and compliance</w:t>
      </w:r>
      <w:r>
        <w:t xml:space="preserve"> </w:t>
      </w:r>
      <w:r>
        <w:t xml:space="preserve">cost.63 Moreover, in line with the findings of the evaluation, it appears that the Interest Limitation</w:t>
      </w:r>
      <w:r>
        <w:t xml:space="preserve"> </w:t>
      </w:r>
      <w:r>
        <w:t xml:space="preserve">Rule may continue to disadvantage capital-intensive sectors such as real estate, infrastructure, and</w:t>
      </w:r>
      <w:r>
        <w:t xml:space="preserve"> </w:t>
      </w:r>
      <w:r>
        <w:t xml:space="preserve">innovative start-ups that rely on long-term debt financing, as it fails to acknowledge changes in the</w:t>
      </w:r>
      <w:r>
        <w:t xml:space="preserve"> </w:t>
      </w:r>
      <w:r>
        <w:t xml:space="preserve">economic environment, particularly in a context of increasing interest rates.64</w:t>
      </w:r>
      <w:r>
        <w:br/>
      </w:r>
      <w:r>
        <w:t xml:space="preserve">5.1.5. Hybrid mismatches</w:t>
      </w:r>
      <w:r>
        <w:t xml:space="preserve"> </w:t>
      </w:r>
      <w:r>
        <w:t xml:space="preserve">The ATAD establishes rules to neutralise hybrid mismatches, i.e., situations where the</w:t>
      </w:r>
      <w:r>
        <w:br/>
      </w:r>
      <w:r>
        <w:t xml:space="preserve">qualification of a cross-border transaction between associated enterprises differs between the</w:t>
      </w:r>
      <w:r>
        <w:t xml:space="preserve"> </w:t>
      </w:r>
      <w:r>
        <w:t xml:space="preserve">relevant jurisdictions, resulting in a tax treatment that creates double non-taxation: (i) a double</w:t>
      </w:r>
      <w:r>
        <w:t xml:space="preserve"> </w:t>
      </w:r>
      <w:r>
        <w:t xml:space="preserve">deduction or (ii) a deduction without inclusion. In its current form, ATAD addresses different types</w:t>
      </w:r>
      <w:r>
        <w:t xml:space="preserve"> </w:t>
      </w:r>
      <w:r>
        <w:t xml:space="preserve">of mismatches, including both intra-EU arrangements and structures involving third countries.</w:t>
      </w:r>
      <w:r>
        <w:t xml:space="preserve"> </w:t>
      </w:r>
      <w:r>
        <w:t xml:space="preserve">According to the ATAD evaluation, rules on hybrid mismatches reinforce tax base protection,</w:t>
      </w:r>
      <w:r>
        <w:t xml:space="preserve"> </w:t>
      </w:r>
      <w:r>
        <w:t xml:space="preserve">although they remain complex and highly technical, posing challenges for both tax authorities and</w:t>
      </w:r>
      <w:r>
        <w:t xml:space="preserve"> </w:t>
      </w:r>
      <w:r>
        <w:t xml:space="preserve">smaller companies. The rules include intricate definitions, e.g., imported mismatches, structured</w:t>
      </w:r>
      <w:r>
        <w:t xml:space="preserve"> </w:t>
      </w:r>
      <w:r>
        <w:t xml:space="preserve">arrangements, and layered compliance requirements, e.g., tracing multi-tier supply chains, that</w:t>
      </w:r>
      <w:r>
        <w:t xml:space="preserve"> </w:t>
      </w:r>
      <w:r>
        <w:t xml:space="preserve">create excessive complexity and generate burdens for both taxpayers and tax authorities.65 This is</w:t>
      </w:r>
      <w:r>
        <w:t xml:space="preserve"> </w:t>
      </w:r>
      <w:r>
        <w:t xml:space="preserve">particularly the case of imported mismatches.</w:t>
      </w:r>
      <w:r>
        <w:br/>
      </w:r>
      <w:r>
        <w:t xml:space="preserve">Standard hybrid mismatches arise from a direct inconsistency in the legal treatment of a certain</w:t>
      </w:r>
      <w:r>
        <w:t xml:space="preserve"> </w:t>
      </w:r>
      <w:r>
        <w:t xml:space="preserve">transaction between two jurisdictions. An imported mismatch arises where an EU company makes</w:t>
      </w:r>
      <w:r>
        <w:t xml:space="preserve"> </w:t>
      </w:r>
      <w:r>
        <w:t xml:space="preserve">a regular non-hybrid payment to a group company, or under a structured arrangement, and that</w:t>
      </w:r>
      <w:r>
        <w:t xml:space="preserve"> </w:t>
      </w:r>
      <w:r>
        <w:t xml:space="preserve">payment funds a hybrid mismatch that occurs outside of the EU. In that case, double non-taxation is</w:t>
      </w:r>
      <w:r>
        <w:t xml:space="preserve"> </w:t>
      </w:r>
      <w:r>
        <w:t xml:space="preserve">the result of the lack of hybrid rules in third states and takes place outside of the EU. As a result,</w:t>
      </w:r>
      <w:r>
        <w:t xml:space="preserve"> </w:t>
      </w:r>
      <w:r>
        <w:t xml:space="preserve">the EU company is not directly implicated in the mismatch. Based on the evidence from the</w:t>
      </w:r>
      <w:r>
        <w:t xml:space="preserve"> </w:t>
      </w:r>
      <w:r>
        <w:t xml:space="preserve">extensive stakeholder consultations, it appears that these arrangements are causing severe</w:t>
      </w:r>
      <w:r>
        <w:t xml:space="preserve"> </w:t>
      </w:r>
      <w:r>
        <w:t xml:space="preserve">difficulties for tax authorities, given that their EU footprint is a subsidiary that is normally deprived</w:t>
      </w:r>
      <w:r>
        <w:t xml:space="preserve"> </w:t>
      </w:r>
      <w:r>
        <w:t xml:space="preserve">of the necessary information which would allow identification of the imported mismatch.66</w:t>
      </w:r>
      <w:r>
        <w:t xml:space="preserve"> </w:t>
      </w:r>
      <w:r>
        <w:t xml:space="preserve">Identifying imported hybrid mismatches thus requires information and evidence of aggressive tax</w:t>
      </w:r>
    </w:p>
    <w:p>
      <w:pPr>
        <w:pStyle w:val="BodyText"/>
      </w:pPr>
      <w:r>
        <w:t xml:space="preserve">63 Draghi Report – The Future of European Competitiveness, Part B, p. 320;</w:t>
      </w:r>
      <w:r>
        <w:t xml:space="preserve"> </w:t>
      </w:r>
      <w:r>
        <w:t xml:space="preserve">https://commission.europa.eu/document/download/ec1409c1-d4b4-4882-8bdd-</w:t>
      </w:r>
      <w:r>
        <w:t xml:space="preserve"> </w:t>
      </w:r>
      <w:r>
        <w:t xml:space="preserve">3519f86bbb92_en?filename=The%20future%20of%20European%20competitiveness_%20In-</w:t>
      </w:r>
      <w:r>
        <w:t xml:space="preserve"> </w:t>
      </w:r>
      <w:r>
        <w:t xml:space="preserve">depth%20analysis%20and%20recommendations_0.pdf#page=320</w:t>
      </w:r>
      <w:r>
        <w:t xml:space="preserve"> </w:t>
      </w:r>
      <w:r>
        <w:t xml:space="preserve">64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46-47.</w:t>
      </w:r>
      <w:r>
        <w:t xml:space="preserve"> </w:t>
      </w:r>
      <w:r>
        <w:t xml:space="preserve">65 Ibid., p. 48.</w:t>
      </w:r>
      <w:r>
        <w:t xml:space="preserve"> </w:t>
      </w:r>
      <w:r>
        <w:t xml:space="preserve">66 Simplifying EU rules on direct taxation – omnibus; Annex 2: Stakeholder consultation synopsis report.</w:t>
      </w:r>
    </w:p>
    <w:p>
      <w:pPr>
        <w:pStyle w:val="BodyText"/>
      </w:pPr>
      <w:r>
        <w:t xml:space="preserve">schemes enacted in jurisdictions outside the EU to which national tax administrations do not have</w:t>
      </w:r>
      <w:r>
        <w:t xml:space="preserve"> </w:t>
      </w:r>
      <w:r>
        <w:t xml:space="preserve">ready or easy access. This would continue to considerably limit effective enforcement in the future.</w:t>
      </w:r>
      <w:r>
        <w:t xml:space="preserve"> </w:t>
      </w:r>
      <w:r>
        <w:t xml:space="preserve">5.1.6. Tax mergers</w:t>
      </w:r>
      <w:r>
        <w:t xml:space="preserve"> </w:t>
      </w:r>
      <w:r>
        <w:t xml:space="preserve">Under the TMD, companies engaging in cross-border mergers or reorganisations within the EU can</w:t>
      </w:r>
      <w:r>
        <w:t xml:space="preserve"> </w:t>
      </w:r>
      <w:r>
        <w:t xml:space="preserve">defer taxation on capital gains resulting from restructuring transactions, until the actual disposal of</w:t>
      </w:r>
      <w:r>
        <w:t xml:space="preserve"> </w:t>
      </w:r>
      <w:r>
        <w:t xml:space="preserve">the underlying assets. The TMD applies to companies listed in the annex to the TMD and covers a</w:t>
      </w:r>
      <w:r>
        <w:t xml:space="preserve"> </w:t>
      </w:r>
      <w:r>
        <w:t xml:space="preserve">number of pre-defined restructuring transactions, such as mergers, divisions, partial divisions, and</w:t>
      </w:r>
      <w:r>
        <w:t xml:space="preserve"> </w:t>
      </w:r>
      <w:r>
        <w:t xml:space="preserve">transfers of assets.</w:t>
      </w:r>
      <w:r>
        <w:t xml:space="preserve"> </w:t>
      </w:r>
      <w:r>
        <w:t xml:space="preserve">In addition, the Company Law Merger Directive67 contains a section on cross-border mergers of</w:t>
      </w:r>
      <w:r>
        <w:t xml:space="preserve"> </w:t>
      </w:r>
      <w:r>
        <w:t xml:space="preserve">limited liability companies. The scope and definitions of this part are generally aligned (with</w:t>
      </w:r>
      <w:r>
        <w:t xml:space="preserve"> </w:t>
      </w:r>
      <w:r>
        <w:t xml:space="preserve">possible slight wording differences) with content of the TMD. However, since its update through</w:t>
      </w:r>
      <w:r>
        <w:t xml:space="preserve"> </w:t>
      </w:r>
      <w:r>
        <w:t xml:space="preserve">the so-called ‘Mobility Directive’ in 201968, the Company Law Merger Directive introduced</w:t>
      </w:r>
      <w:r>
        <w:t xml:space="preserve"> </w:t>
      </w:r>
      <w:r>
        <w:t xml:space="preserve">additional transactions which are not covered by, or differ from, the TMD, namely: (i) simplified</w:t>
      </w:r>
      <w:r>
        <w:t xml:space="preserve"> </w:t>
      </w:r>
      <w:r>
        <w:t xml:space="preserve">mergers, (ii) divisions by separation, and (iii) cross-border conversions. As simplified mergers and</w:t>
      </w:r>
      <w:r>
        <w:t xml:space="preserve"> </w:t>
      </w:r>
      <w:r>
        <w:t xml:space="preserve">divisions by separation are not mentioned in the TMD, the tax treatment of these restructuring</w:t>
      </w:r>
      <w:r>
        <w:t xml:space="preserve"> </w:t>
      </w:r>
      <w:r>
        <w:t xml:space="preserve">operations is not covered therein, leaving it to Member States to decide how they should be taxed.</w:t>
      </w:r>
      <w:r>
        <w:t xml:space="preserve"> </w:t>
      </w:r>
      <w:r>
        <w:t xml:space="preserve">With respect to the cross-border conversion, the TMD only covers transfers of registered offices of</w:t>
      </w:r>
      <w:r>
        <w:t xml:space="preserve"> </w:t>
      </w:r>
      <w:r>
        <w:t xml:space="preserve">a European Company (Societas Europaea) or European Cooperative Society (Societas Cooperativa</w:t>
      </w:r>
      <w:r>
        <w:t xml:space="preserve"> </w:t>
      </w:r>
      <w:r>
        <w:t xml:space="preserve">Europaea). Consequently, the transfer of registered office following a conversion is not covered by</w:t>
      </w:r>
      <w:r>
        <w:t xml:space="preserve"> </w:t>
      </w:r>
      <w:r>
        <w:t xml:space="preserve">the TMD, leaving it also to Member States to decide how they should be taxed.</w:t>
      </w:r>
      <w:r>
        <w:br/>
      </w:r>
      <w:r>
        <w:t xml:space="preserve">5.1.7. Dispute resolution mechanisms</w:t>
      </w:r>
      <w:r>
        <w:t xml:space="preserve"> </w:t>
      </w:r>
      <w:r>
        <w:t xml:space="preserve">Economic double taxation constitutes an important obstacle to the proper functioning of the EU</w:t>
      </w:r>
      <w:r>
        <w:t xml:space="preserve"> </w:t>
      </w:r>
      <w:r>
        <w:t xml:space="preserve">internal market, as it increases the tax burden on cross-border activities and creates uncertainty for</w:t>
      </w:r>
      <w:r>
        <w:t xml:space="preserve"> </w:t>
      </w:r>
      <w:r>
        <w:t xml:space="preserve">businesses operating in more than one Member State. Economic double taxation arises when the</w:t>
      </w:r>
      <w:r>
        <w:t xml:space="preserve"> </w:t>
      </w:r>
      <w:r>
        <w:t xml:space="preserve">same economic profit is taxed in two jurisdictions without a corresponding relief, for example</w:t>
      </w:r>
      <w:r>
        <w:t xml:space="preserve"> </w:t>
      </w:r>
      <w:r>
        <w:t xml:space="preserve">where a transfer pricing adjustment made by one tax administration is not matched by a</w:t>
      </w:r>
      <w:r>
        <w:t xml:space="preserve"> </w:t>
      </w:r>
      <w:r>
        <w:t xml:space="preserve">corresponding adjustment in the other jurisdiction.</w:t>
      </w:r>
      <w:r>
        <w:t xml:space="preserve"> </w:t>
      </w:r>
      <w:r>
        <w:t xml:space="preserve">To eliminate double taxation, taxpayers may rely on the Mutual Agreement Procedure (MAP), a</w:t>
      </w:r>
      <w:r>
        <w:t xml:space="preserve"> </w:t>
      </w:r>
      <w:r>
        <w:t xml:space="preserve">dispute resolution mechanism provided for in bilateral Double Tax Agreements (DTAs) on the</w:t>
      </w:r>
      <w:r>
        <w:t xml:space="preserve"> </w:t>
      </w:r>
      <w:r>
        <w:t xml:space="preserve">basis of Article 25 of the OECD Model Tax Convention69, under which the competent authorities</w:t>
      </w:r>
      <w:r>
        <w:t xml:space="preserve"> </w:t>
      </w:r>
      <w:r>
        <w:t xml:space="preserve">of the countries concerned seek to resolve the dispute by mutual agreement. Within the EU,</w:t>
      </w:r>
      <w:r>
        <w:t xml:space="preserve"> </w:t>
      </w:r>
      <w:r>
        <w:t xml:space="preserve">taxpayers also have access to two additional instruments: the EU Arbitration Convention and the</w:t>
      </w:r>
      <w:r>
        <w:t xml:space="preserve"> </w:t>
      </w:r>
      <w:r>
        <w:t xml:space="preserve">DRM.</w:t>
      </w:r>
      <w:r>
        <w:t xml:space="preserve"> </w:t>
      </w:r>
      <w:r>
        <w:t xml:space="preserve">The DRM was introduced to implement OECD BEPS action 14 and to address the limitations of</w:t>
      </w:r>
      <w:r>
        <w:t xml:space="preserve"> </w:t>
      </w:r>
      <w:r>
        <w:t xml:space="preserve">the Arbitration Convention by expanding the scope of covered disputes and strengthening the role</w:t>
      </w:r>
      <w:r>
        <w:t xml:space="preserve"> </w:t>
      </w:r>
      <w:r>
        <w:t xml:space="preserve">of taxpayers in the procedure. In particular, it allows taxpayers to trigger the arbitration phase</w:t>
      </w:r>
      <w:r>
        <w:t xml:space="preserve"> </w:t>
      </w:r>
      <w:r>
        <w:t xml:space="preserve">where tax administrations fail to reach an agreement within the prescribed timeframe, thereby</w:t>
      </w:r>
    </w:p>
    <w:p>
      <w:pPr>
        <w:pStyle w:val="BodyText"/>
      </w:pPr>
      <w:r>
        <w:t xml:space="preserve">67 Directive (EU) 2017/1132 of the European Parliament and of the Council of 14 June 2017 relating to certain aspects</w:t>
      </w:r>
      <w:r>
        <w:t xml:space="preserve"> </w:t>
      </w:r>
      <w:r>
        <w:t xml:space="preserve">of company law.</w:t>
      </w:r>
      <w:r>
        <w:t xml:space="preserve"> </w:t>
      </w:r>
      <w:r>
        <w:t xml:space="preserve">68 Directive (EU) 2019/2121 of the European Parliament and of the Council of 27 November 2019 amending Directive</w:t>
      </w:r>
      <w:r>
        <w:t xml:space="preserve"> </w:t>
      </w:r>
      <w:r>
        <w:t xml:space="preserve">(EU) 2017/1132 as regards cross-border conversions, mergers and divisions.</w:t>
      </w:r>
      <w:r>
        <w:t xml:space="preserve"> </w:t>
      </w:r>
      <w:r>
        <w:t xml:space="preserve">69 OECD (2025), The 2025 Update to the OECD Model Tax Convention, OECD Publishing, Paris,</w:t>
      </w:r>
      <w:r>
        <w:t xml:space="preserve"> </w:t>
      </w:r>
      <w:r>
        <w:t xml:space="preserve">https://doi.org/10.1787/5798080f-en.</w:t>
      </w:r>
    </w:p>
    <w:p>
      <w:pPr>
        <w:pStyle w:val="BodyText"/>
      </w:pPr>
      <w:r>
        <w:t xml:space="preserve">helping to prevent cases of double taxation from remaining unresolved due to administrative</w:t>
      </w:r>
      <w:r>
        <w:t xml:space="preserve"> </w:t>
      </w:r>
      <w:r>
        <w:t xml:space="preserve">inertia.</w:t>
      </w:r>
      <w:r>
        <w:br/>
      </w:r>
      <w:r>
        <w:t xml:space="preserve">Experience with the DRM remains relatively limited. This is partly because the DRM only applies</w:t>
      </w:r>
      <w:r>
        <w:t xml:space="preserve"> </w:t>
      </w:r>
      <w:r>
        <w:t xml:space="preserve">to complaints submitted from 1 July 2019 onwards and concerns disputes relating to income or</w:t>
      </w:r>
      <w:r>
        <w:t xml:space="preserve"> </w:t>
      </w:r>
      <w:r>
        <w:t xml:space="preserve">capital earned in tax years starting on 1 January 2018. In addition, tax disputes typically arise</w:t>
      </w:r>
      <w:r>
        <w:t xml:space="preserve"> </w:t>
      </w:r>
      <w:r>
        <w:t xml:space="preserve">several years after the relevant tax year, following audits and the completion of domestic</w:t>
      </w:r>
      <w:r>
        <w:t xml:space="preserve"> </w:t>
      </w:r>
      <w:r>
        <w:t xml:space="preserve">administrative procedures. Nonetheless, available figures suggest that the uptake of the DRM has</w:t>
      </w:r>
      <w:r>
        <w:t xml:space="preserve"> </w:t>
      </w:r>
      <w:r>
        <w:t xml:space="preserve">been slower than initially expected. In 2024, for example, 761 new complaints were filed under the</w:t>
      </w:r>
      <w:r>
        <w:t xml:space="preserve"> </w:t>
      </w:r>
      <w:r>
        <w:t xml:space="preserve">EU Arbitration Convention compared to 192 under the DRM, indicating that taxpayers still tend to</w:t>
      </w:r>
      <w:r>
        <w:t xml:space="preserve"> </w:t>
      </w:r>
      <w:r>
        <w:t xml:space="preserve">rely more frequently on the Arbitration Convention than the DRM.</w:t>
      </w:r>
      <w:r>
        <w:t xml:space="preserve"> </w:t>
      </w:r>
      <w:r>
        <w:t xml:space="preserve">A targeted public consultation conducted in 2024, together with extensive consultations with</w:t>
      </w:r>
      <w:r>
        <w:t xml:space="preserve"> </w:t>
      </w:r>
      <w:r>
        <w:t xml:space="preserve">Member States and private stakeholders, suggests that interpretative divergences may be</w:t>
      </w:r>
      <w:r>
        <w:t xml:space="preserve"> </w:t>
      </w:r>
      <w:r>
        <w:t xml:space="preserve">contributing to the limited use of the mechanism. For example, the DRM requires taxpayers to</w:t>
      </w:r>
      <w:r>
        <w:t xml:space="preserve"> </w:t>
      </w:r>
      <w:r>
        <w:t xml:space="preserve">submit the complaint simultaneously to all relevant competent authorities, but the text does not</w:t>
      </w:r>
      <w:r>
        <w:t xml:space="preserve"> </w:t>
      </w:r>
      <w:r>
        <w:t xml:space="preserve">define what ‘simultaneously’ means. As a result, some tax administrations interpret this</w:t>
      </w:r>
      <w:r>
        <w:t xml:space="preserve"> </w:t>
      </w:r>
      <w:r>
        <w:t xml:space="preserve">requirement strictly, i.e., requiring submission on the same day, while others accept complaints</w:t>
      </w:r>
      <w:r>
        <w:t xml:space="preserve"> </w:t>
      </w:r>
      <w:r>
        <w:t xml:space="preserve">submitted within a shorter time span, such as within the same week or month. This divergence</w:t>
      </w:r>
      <w:r>
        <w:t xml:space="preserve"> </w:t>
      </w:r>
      <w:r>
        <w:t xml:space="preserve">creates uncertainty for taxpayers that may discourage the use of the mechanism.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As the Omnibus on Taxation has a singular overarching objective – i.e., simplification – the options</w:t>
      </w:r>
      <w:r>
        <w:t xml:space="preserve"> </w:t>
      </w:r>
      <w:r>
        <w:t xml:space="preserve">analysed below represent different means or ways of achieving the goal. Some of the policy options</w:t>
      </w:r>
      <w:r>
        <w:t xml:space="preserve"> </w:t>
      </w:r>
      <w:r>
        <w:t xml:space="preserve">thus feature alternative measures, i.e., where a choice can be made between two options. In other</w:t>
      </w:r>
      <w:r>
        <w:t xml:space="preserve"> </w:t>
      </w:r>
      <w:r>
        <w:t xml:space="preserve">cases, there is only one option which serves to achieve simplification. In this case, the alternative</w:t>
      </w:r>
      <w:r>
        <w:t xml:space="preserve"> </w:t>
      </w:r>
      <w:r>
        <w:t xml:space="preserve">would be to uphold the status quo as described in the baseline.</w:t>
      </w:r>
      <w:r>
        <w:t xml:space="preserve"> </w:t>
      </w:r>
      <w:r>
        <w:t xml:space="preserve">5.2.1. Withholding tax exemption for payments of interests, royalties and dividends</w:t>
      </w:r>
      <w:r>
        <w:t xml:space="preserve"> </w:t>
      </w:r>
      <w:r>
        <w:t xml:space="preserve">To address the issues related to the application of the IRD and the PSD, particularly as regards</w:t>
      </w:r>
      <w:r>
        <w:t xml:space="preserve"> </w:t>
      </w:r>
      <w:r>
        <w:t xml:space="preserve">eligible companies, the material scope, and the procedural aspects as outlined in Section 5.1, two</w:t>
      </w:r>
      <w:r>
        <w:t xml:space="preserve"> </w:t>
      </w:r>
      <w:r>
        <w:t xml:space="preserve">alternative options should be considered. Option 1A regarding procedural aspects would not only</w:t>
      </w:r>
      <w:r>
        <w:t xml:space="preserve"> </w:t>
      </w:r>
      <w:r>
        <w:t xml:space="preserve">require amendments to the IRD and PSD, but also to the FASTER Directive, in order to facilitate</w:t>
      </w:r>
      <w:r>
        <w:t xml:space="preserve"> </w:t>
      </w:r>
      <w:r>
        <w:t xml:space="preserve">the functioning of the IRD and PSD.</w:t>
      </w:r>
      <w:r>
        <w:br/>
      </w:r>
      <w:r>
        <w:t xml:space="preserve">Figure 3: Simplification options for IRD and PSD</w:t>
      </w:r>
    </w:p>
    <w:p>
      <w:pPr>
        <w:pStyle w:val="BodyText"/>
      </w:pPr>
      <w:r>
        <w:t xml:space="preserve">5.2.1.1. Option 1A: Full tax exemption accompanied by procedural adjustments</w:t>
      </w:r>
      <w:r>
        <w:t xml:space="preserve"> </w:t>
      </w:r>
      <w:r>
        <w:t xml:space="preserve">This Option aims to extend the material scope of the IRD and PSD by providing an exemption from</w:t>
      </w:r>
      <w:r>
        <w:t xml:space="preserve"> </w:t>
      </w:r>
      <w:r>
        <w:t xml:space="preserve">withholding tax for payments of interest, royalties and dividends, regardless of holding percentage,</w:t>
      </w:r>
      <w:r>
        <w:t xml:space="preserve"> </w:t>
      </w:r>
      <w:r>
        <w:t xml:space="preserve">between companies within the EU.70</w:t>
      </w:r>
      <w:r>
        <w:t xml:space="preserve"> </w:t>
      </w:r>
      <w:r>
        <w:t xml:space="preserve">In parallel, the Annexes to each Directive listing eligible companies would be updated and aligned.</w:t>
      </w:r>
      <w:r>
        <w:t xml:space="preserve"> </w:t>
      </w:r>
      <w:r>
        <w:t xml:space="preserve">Ideally, the wording should accommodate future forms and make it easier for businesses to</w:t>
      </w:r>
      <w:r>
        <w:t xml:space="preserve"> </w:t>
      </w:r>
      <w:r>
        <w:t xml:space="preserve">determine whether they fall in or out of the scope of the Directives. This would be a direct response</w:t>
      </w:r>
      <w:r>
        <w:t xml:space="preserve"> </w:t>
      </w:r>
      <w:r>
        <w:t xml:space="preserve">to many private stakeholders who emphasised the need for consistency on entitlement and</w:t>
      </w:r>
      <w:r>
        <w:t xml:space="preserve"> </w:t>
      </w:r>
      <w:r>
        <w:t xml:space="preserve">explicitly referred to certain business forms which are currently not covered by all Directives.</w:t>
      </w:r>
      <w:r>
        <w:t xml:space="preserve"> </w:t>
      </w:r>
      <w:r>
        <w:t xml:space="preserve">Several Member States also agreed that additional forms should be included in the Annexes.</w:t>
      </w:r>
      <w:r>
        <w:t xml:space="preserve"> </w:t>
      </w:r>
      <w:r>
        <w:t xml:space="preserve">In this way, cross-border payments of interest, royalties and dividends within the EU would be</w:t>
      </w:r>
      <w:r>
        <w:t xml:space="preserve"> </w:t>
      </w:r>
      <w:r>
        <w:t xml:space="preserve">more attractive and the compliance burden for businesses would be reduced by eliminating some of</w:t>
      </w:r>
      <w:r>
        <w:t xml:space="preserve"> </w:t>
      </w:r>
      <w:r>
        <w:t xml:space="preserve">the existing requirements, notably the holding percentage71.</w:t>
      </w:r>
      <w:r>
        <w:br/>
      </w:r>
      <w:r>
        <w:t xml:space="preserve">Option 1A would be paired with a protective measure aimed to prevent instances of double non-</w:t>
      </w:r>
      <w:r>
        <w:t xml:space="preserve"> </w:t>
      </w:r>
      <w:r>
        <w:t xml:space="preserve">taxation on interest and royalty payments made outside of the Union, i.e., from an EU Member</w:t>
      </w:r>
      <w:r>
        <w:t xml:space="preserve"> </w:t>
      </w:r>
      <w:r>
        <w:t xml:space="preserve">State to a third country. As a matter of principle, Member States would continue to apply their</w:t>
      </w:r>
      <w:r>
        <w:t xml:space="preserve"> </w:t>
      </w:r>
      <w:r>
        <w:t xml:space="preserve">national rules, including those resulting from applicable tax treaties, to interest and royalty</w:t>
      </w:r>
      <w:r>
        <w:t xml:space="preserve"> </w:t>
      </w:r>
      <w:r>
        <w:t xml:space="preserve">payments made to third countries. However, the protective measure would be triggered where the</w:t>
      </w:r>
      <w:r>
        <w:t xml:space="preserve"> </w:t>
      </w:r>
      <w:r>
        <w:t xml:space="preserve">third country in which the recipient is established does not levy corporate income tax or applies a</w:t>
      </w:r>
      <w:r>
        <w:t xml:space="preserve"> </w:t>
      </w:r>
      <w:r>
        <w:t xml:space="preserve">zero corporate income tax rate (‘zero-tax jurisdiction’) and in addition, no withholding tax is levied</w:t>
      </w:r>
      <w:r>
        <w:t xml:space="preserve"> </w:t>
      </w:r>
      <w:r>
        <w:t xml:space="preserve">in the EU Member State.</w:t>
      </w:r>
      <w:r>
        <w:br/>
      </w:r>
      <w:r>
        <w:t xml:space="preserve">The objective of this measure would be to ensure that interest and royalties are subject to taxation at</w:t>
      </w:r>
      <w:r>
        <w:t xml:space="preserve"> </w:t>
      </w:r>
      <w:r>
        <w:t xml:space="preserve">least once. The measure would take the form of either a mandatory withholding tax on such</w:t>
      </w:r>
      <w:r>
        <w:t xml:space="preserve"> </w:t>
      </w:r>
      <w:r>
        <w:t xml:space="preserve">payments at a rate chosen by each Member State individually or the denial of deductibility for tax</w:t>
      </w:r>
      <w:r>
        <w:t xml:space="preserve"> </w:t>
      </w:r>
      <w:r>
        <w:t xml:space="preserve">purposes at source. No similar measure would be necessary to address risks of double non-taxation</w:t>
      </w:r>
      <w:r>
        <w:t xml:space="preserve"> </w:t>
      </w:r>
      <w:r>
        <w:t xml:space="preserve">as regards profit distributions (dividends), as these are already taxed within the EU. A more</w:t>
      </w:r>
      <w:r>
        <w:t xml:space="preserve"> </w:t>
      </w:r>
      <w:r>
        <w:t xml:space="preserve">consistent system of withholding taxes on royalties and interest payments towards low-tax</w:t>
      </w:r>
      <w:r>
        <w:t xml:space="preserve"> </w:t>
      </w:r>
      <w:r>
        <w:t xml:space="preserve">jurisdictions will lower the likelihood of profit shifting by MNEs.</w:t>
      </w:r>
      <w:r>
        <w:br/>
      </w:r>
      <w:r>
        <w:t xml:space="preserve">Compliance rules would also be put in place to ensure that the exemption does not require any</w:t>
      </w:r>
      <w:r>
        <w:t xml:space="preserve"> </w:t>
      </w:r>
      <w:r>
        <w:t xml:space="preserve">unnecessary compliance. Currently, Member States often impose burdensome upfront procedures</w:t>
      </w:r>
      <w:r>
        <w:t xml:space="preserve"> </w:t>
      </w:r>
      <w:r>
        <w:t xml:space="preserve">as a condition for accessing the benefits of the IRD and PSD. The extension of the scope of the IRD</w:t>
      </w:r>
      <w:r>
        <w:t xml:space="preserve"> </w:t>
      </w:r>
      <w:r>
        <w:t xml:space="preserve">and the PSD should therefore be accompanied by a prohibition for Member States to impose any</w:t>
      </w:r>
      <w:r>
        <w:t xml:space="preserve"> </w:t>
      </w:r>
      <w:r>
        <w:t xml:space="preserve">upfront procedures. The paying company would have to assess whether the conditions to benefit</w:t>
      </w:r>
      <w:r>
        <w:t xml:space="preserve"> </w:t>
      </w:r>
      <w:r>
        <w:t xml:space="preserve">from the exemption are fulfilled by the beneficiary, and tax authorities would control a posteriori</w:t>
      </w:r>
      <w:r>
        <w:t xml:space="preserve"> </w:t>
      </w:r>
      <w:r>
        <w:t xml:space="preserve">whether such conditions are actually met. However, for publicly traded securities, portfolio</w:t>
      </w:r>
      <w:r>
        <w:t xml:space="preserve"> </w:t>
      </w:r>
      <w:r>
        <w:t xml:space="preserve">investors whose ownership of the paying company is below 5% are usually unknown to the paying</w:t>
      </w:r>
      <w:r>
        <w:t xml:space="preserve"> </w:t>
      </w:r>
      <w:r>
        <w:t xml:space="preserve">company because shares are commonly held in nominee-registered accounts (investors are only</w:t>
      </w:r>
      <w:r>
        <w:t xml:space="preserve"> </w:t>
      </w:r>
      <w:r>
        <w:t xml:space="preserve">required to disclose ownership above 5%). As a result, the paying company would not be able to</w:t>
      </w:r>
      <w:r>
        <w:t xml:space="preserve"> </w:t>
      </w:r>
      <w:r>
        <w:t xml:space="preserve">assess whether the conditions of the PSD and IRD are met by the investor, and the exemption</w:t>
      </w:r>
    </w:p>
    <w:p>
      <w:pPr>
        <w:pStyle w:val="BodyText"/>
      </w:pPr>
      <w:r>
        <w:t xml:space="preserve">70 For these purposes, the concept of company should be interpreted in accordance with the definitions and scope set</w:t>
      </w:r>
      <w:r>
        <w:t xml:space="preserve"> </w:t>
      </w:r>
      <w:r>
        <w:t xml:space="preserve">out in the Interest and Royalties Directive and the Parent and Subsidiary Directive.</w:t>
      </w:r>
      <w:r>
        <w:t xml:space="preserve"> </w:t>
      </w:r>
      <w:r>
        <w:t xml:space="preserve">71 Today, 14 Member States already give exemption from withholding tax on the basis of bilateral DTAs or national</w:t>
      </w:r>
      <w:r>
        <w:t xml:space="preserve"> </w:t>
      </w:r>
      <w:r>
        <w:t xml:space="preserve">legislation for intra-EU interest payments, 8 for royalties, and 9 for dividends.</w:t>
      </w:r>
    </w:p>
    <w:p>
      <w:pPr>
        <w:pStyle w:val="BodyText"/>
      </w:pPr>
      <w:r>
        <w:t xml:space="preserve">cannot be applied upfront. In such cases, the FASTER Directive could bring simplification through</w:t>
      </w:r>
      <w:r>
        <w:t xml:space="preserve"> </w:t>
      </w:r>
      <w:r>
        <w:t xml:space="preserve">its standardised fast-track procedures. (i.e., ‘relief at source’ procedure or ‘quick refund’</w:t>
      </w:r>
      <w:r>
        <w:t xml:space="preserve"> </w:t>
      </w:r>
      <w:r>
        <w:t xml:space="preserve">procedure). Yet, in its current wording, the FASTER Directive allows Member States to deny,</w:t>
      </w:r>
      <w:r>
        <w:t xml:space="preserve"> </w:t>
      </w:r>
      <w:r>
        <w:t xml:space="preserve">completely or partially, the application of the standardised fast-track procedures where an</w:t>
      </w:r>
      <w:r>
        <w:t xml:space="preserve"> </w:t>
      </w:r>
      <w:r>
        <w:t xml:space="preserve">exemption from withholding tax is claimed. This wording would, de facto, prevent the benefit of</w:t>
      </w:r>
      <w:r>
        <w:t xml:space="preserve"> </w:t>
      </w:r>
      <w:r>
        <w:t xml:space="preserve">these fast-track procedures to eligible payments exempted under the IRD and PSD. Therefore, the</w:t>
      </w:r>
      <w:r>
        <w:t xml:space="preserve"> </w:t>
      </w:r>
      <w:r>
        <w:t xml:space="preserve">changes to the IRD and PSD would also be accompanied by an extension of the scope of the</w:t>
      </w:r>
      <w:r>
        <w:t xml:space="preserve"> </w:t>
      </w:r>
      <w:r>
        <w:t xml:space="preserve">FASTER Directive to the latter. Otherwise, registered investors will not always be able to rely on</w:t>
      </w:r>
      <w:r>
        <w:t xml:space="preserve"> </w:t>
      </w:r>
      <w:r>
        <w:t xml:space="preserve">the procedures provided under the FASTER Directive. The existing option in the PSD which allows</w:t>
      </w:r>
      <w:r>
        <w:t xml:space="preserve"> </w:t>
      </w:r>
      <w:r>
        <w:t xml:space="preserve">Member States to limit the participation exemption to 95% would be limited to holdings exceeding</w:t>
      </w:r>
      <w:r>
        <w:t xml:space="preserve"> </w:t>
      </w:r>
      <w:r>
        <w:t xml:space="preserve">10% of the capital. The reason for this 10% holding condition is that management costs related to</w:t>
      </w:r>
      <w:r>
        <w:t xml:space="preserve"> </w:t>
      </w:r>
      <w:r>
        <w:t xml:space="preserve">the holding of shares would mostly be incurred in cases where the participation is substantive, not</w:t>
      </w:r>
      <w:r>
        <w:t xml:space="preserve"> </w:t>
      </w:r>
      <w:r>
        <w:t xml:space="preserve">for portfolio investments. It follows that the participation exemption would be full (100%) for</w:t>
      </w:r>
      <w:r>
        <w:t xml:space="preserve"> </w:t>
      </w:r>
      <w:r>
        <w:t xml:space="preserve">holdings below 10%.</w:t>
      </w:r>
      <w:r>
        <w:t xml:space="preserve"> </w:t>
      </w:r>
      <w:r>
        <w:t xml:space="preserve">All in all, this option would provide for a more facile treatment of interest, royalties and dividends</w:t>
      </w:r>
      <w:r>
        <w:t xml:space="preserve"> </w:t>
      </w:r>
      <w:r>
        <w:t xml:space="preserve">in the internal market, supporting investment and helping advance key objectives of the Savings</w:t>
      </w:r>
      <w:r>
        <w:t xml:space="preserve"> </w:t>
      </w:r>
      <w:r>
        <w:t xml:space="preserve">and Investment Union.72</w:t>
      </w:r>
      <w:r>
        <w:br/>
      </w:r>
      <w:r>
        <w:t xml:space="preserve">5.2.1.2. Option 1B: Alignment of scope and procedures</w:t>
      </w:r>
      <w:r>
        <w:t xml:space="preserve"> </w:t>
      </w:r>
      <w:r>
        <w:t xml:space="preserve">Under Option 1B, the corporate tax directives would maintain minimum holding requirements for</w:t>
      </w:r>
      <w:r>
        <w:t xml:space="preserve"> </w:t>
      </w:r>
      <w:r>
        <w:t xml:space="preserve">the benefit of withholding tax exemptions. However, to improve consistency, the holding</w:t>
      </w:r>
      <w:r>
        <w:t xml:space="preserve"> </w:t>
      </w:r>
      <w:r>
        <w:t xml:space="preserve">requirement of the IRD would be aligned with that of the PSD, i.e., the holding percentages would</w:t>
      </w:r>
      <w:r>
        <w:t xml:space="preserve"> </w:t>
      </w:r>
      <w:r>
        <w:t xml:space="preserve">be adjusted to 10% and the IRD would be extended to include indirect holdings. In addition, and</w:t>
      </w:r>
      <w:r>
        <w:t xml:space="preserve"> </w:t>
      </w:r>
      <w:r>
        <w:t xml:space="preserve">similar to Option 1A, the Annexes of both directives listing eligible companies would be updated</w:t>
      </w:r>
      <w:r>
        <w:t xml:space="preserve"> </w:t>
      </w:r>
      <w:r>
        <w:t xml:space="preserve">and aligned. In this way, corporate tax directives would have a common and consistent approach to</w:t>
      </w:r>
      <w:r>
        <w:t xml:space="preserve"> </w:t>
      </w:r>
      <w:r>
        <w:t xml:space="preserve">companies that can benefit from the withholding tax exemption.</w:t>
      </w:r>
      <w:r>
        <w:br/>
      </w:r>
      <w:r>
        <w:t xml:space="preserve">Similarly to Option 1A, the procedural rules for obtaining the tax exemption under the IRD and</w:t>
      </w:r>
      <w:r>
        <w:t xml:space="preserve"> </w:t>
      </w:r>
      <w:r>
        <w:t xml:space="preserve">PSD would be adjusted to ensure that Member States do not impose any upfront procedures as a</w:t>
      </w:r>
      <w:r>
        <w:t xml:space="preserve"> </w:t>
      </w:r>
      <w:r>
        <w:t xml:space="preserve">condition for accessing the exemption from withholding taxes. Here again, the taxpayers would</w:t>
      </w:r>
      <w:r>
        <w:t xml:space="preserve"> </w:t>
      </w:r>
      <w:r>
        <w:t xml:space="preserve">self-assess that it is within the scope and meets the conditions of the PSD and IRD and would apply</w:t>
      </w:r>
      <w:r>
        <w:t xml:space="preserve"> </w:t>
      </w:r>
      <w:r>
        <w:t xml:space="preserve">the exemption directly, as the case may be. Under this option, however, the FASTER Directive</w:t>
      </w:r>
      <w:r>
        <w:t xml:space="preserve"> </w:t>
      </w:r>
      <w:r>
        <w:t xml:space="preserve">would not be amended, since the withholding tax exemptions set out in the IRD and PSD would not</w:t>
      </w:r>
      <w:r>
        <w:t xml:space="preserve"> </w:t>
      </w:r>
      <w:r>
        <w:t xml:space="preserve">extend to investors holding less than 5% of publicly traded securities.</w:t>
      </w:r>
      <w:r>
        <w:br/>
      </w:r>
      <w:r>
        <w:t xml:space="preserve">5.2.2. Taxation of Controlled Foreign Companies (CFCs)</w:t>
      </w:r>
      <w:r>
        <w:t xml:space="preserve"> </w:t>
      </w:r>
      <w:r>
        <w:t xml:space="preserve">To address the issues related to the application of the CFC rules in the ATAD, which are outlined in</w:t>
      </w:r>
      <w:r>
        <w:t xml:space="preserve"> </w:t>
      </w:r>
      <w:r>
        <w:t xml:space="preserve">Section 5.1, several options could be considered.</w:t>
      </w:r>
    </w:p>
    <w:p>
      <w:pPr>
        <w:pStyle w:val="BodyText"/>
      </w:pPr>
      <w:r>
        <w:t xml:space="preserve">72 Among those objectives is the breaking down of barriers to integrated financial markets and supporting productive</w:t>
      </w:r>
      <w:r>
        <w:t xml:space="preserve"> </w:t>
      </w:r>
      <w:r>
        <w:t xml:space="preserve">investments, as explained here: https://finance.ec.europa.eu/regulation-and-supervision/savings-and-investments-</w:t>
      </w:r>
      <w:r>
        <w:t xml:space="preserve"> </w:t>
      </w:r>
      <w:r>
        <w:t xml:space="preserve">union_en#what</w:t>
      </w:r>
    </w:p>
    <w:p>
      <w:pPr>
        <w:pStyle w:val="BodyText"/>
      </w:pPr>
      <w:r>
        <w:t xml:space="preserve">Figure 4: Simplification options for CFC rules in ATAD</w:t>
      </w:r>
    </w:p>
    <w:p>
      <w:pPr>
        <w:pStyle w:val="BodyText"/>
      </w:pPr>
      <w:r>
        <w:t xml:space="preserve">5.2.2.1. Option 1: Reduce implementation options</w:t>
      </w:r>
      <w:r>
        <w:t xml:space="preserve"> </w:t>
      </w:r>
      <w:r>
        <w:t xml:space="preserve">In the transposition of the CFC rules in the ATAD, Member States can choose between Models A</w:t>
      </w:r>
      <w:r>
        <w:t xml:space="preserve"> </w:t>
      </w:r>
      <w:r>
        <w:t xml:space="preserve">or B, or a combination of Models A and B, to determine what type of low-taxed CFC income</w:t>
      </w:r>
      <w:r>
        <w:t xml:space="preserve"> </w:t>
      </w:r>
      <w:r>
        <w:t xml:space="preserve">should be attributed to the parent company.</w:t>
      </w:r>
      <w:r>
        <w:br/>
      </w:r>
      <w:r>
        <w:t xml:space="preserve">Overall, Model A is generally more stringent and seen as providing greater legal certainty, while</w:t>
      </w:r>
      <w:r>
        <w:t xml:space="preserve"> </w:t>
      </w:r>
      <w:r>
        <w:t xml:space="preserve">Model B is criticised by civil society organisations for being easier to circumvent, less legally</w:t>
      </w:r>
      <w:r>
        <w:t xml:space="preserve"> </w:t>
      </w:r>
      <w:r>
        <w:t xml:space="preserve">certain and more complex. In addition, Model B, by and large, basically applies transfer pricing</w:t>
      </w:r>
      <w:r>
        <w:t xml:space="preserve"> </w:t>
      </w:r>
      <w:r>
        <w:t xml:space="preserve">adjustments. It therefore has little added value, considering that Member States already apply</w:t>
      </w:r>
      <w:r>
        <w:t xml:space="preserve"> </w:t>
      </w:r>
      <w:r>
        <w:t xml:space="preserve">transfer pricing, and its effectiveness is highly dependent on the features of the (diverging) national</w:t>
      </w:r>
      <w:r>
        <w:t xml:space="preserve"> </w:t>
      </w:r>
      <w:r>
        <w:t xml:space="preserve">transfer pricing norms and practices of application. This was observed in Belgium which had</w:t>
      </w:r>
      <w:r>
        <w:t xml:space="preserve"> </w:t>
      </w:r>
      <w:r>
        <w:t xml:space="preserve">implemented Model B in 2017 but found it inefficient as it did not add much to the transfer pricing</w:t>
      </w:r>
      <w:r>
        <w:t xml:space="preserve"> </w:t>
      </w:r>
      <w:r>
        <w:t xml:space="preserve">rules. Belgium then switched over to Model A in 2019.73</w:t>
      </w:r>
      <w:r>
        <w:t xml:space="preserve"> </w:t>
      </w:r>
      <w:r>
        <w:t xml:space="preserve">On this basis, Option 1 entails making CFC rules based on Model A mandatory, meaning Member</w:t>
      </w:r>
      <w:r>
        <w:t xml:space="preserve"> </w:t>
      </w:r>
      <w:r>
        <w:t xml:space="preserve">States will no longer be able to apply Model B for CFC purposes. This option would provide</w:t>
      </w:r>
      <w:r>
        <w:t xml:space="preserve"> </w:t>
      </w:r>
      <w:r>
        <w:t xml:space="preserve">simplification in the application of CFC rules within the EU while still ensuring to maintain the</w:t>
      </w:r>
      <w:r>
        <w:t xml:space="preserve"> </w:t>
      </w:r>
      <w:r>
        <w:t xml:space="preserve">highest level of protection for EU Member States.</w:t>
      </w:r>
      <w:r>
        <w:br/>
      </w:r>
      <w:r>
        <w:t xml:space="preserve">5.2.2.2. Option 2: Address overlap with Pillar 2 rules</w:t>
      </w:r>
      <w:r>
        <w:t xml:space="preserve"> </w:t>
      </w:r>
      <w:r>
        <w:t xml:space="preserve">As described in Box 2 and Section 5.1.2.2, CFC rules and Pillar 2 use similar mechanisms to</w:t>
      </w:r>
      <w:r>
        <w:t xml:space="preserve"> </w:t>
      </w:r>
      <w:r>
        <w:t xml:space="preserve">capture and tax low-taxed profits within company group structures. Although their design differs in</w:t>
      </w:r>
      <w:r>
        <w:t xml:space="preserve"> </w:t>
      </w:r>
      <w:r>
        <w:t xml:space="preserve">several ways, the parallel application of the two sets of rules results in economic double taxation</w:t>
      </w:r>
      <w:r>
        <w:t xml:space="preserve"> </w:t>
      </w:r>
      <w:r>
        <w:t xml:space="preserve">and duplicative administrative burdens. To address this, two options could be considered:</w:t>
      </w:r>
      <w:r>
        <w:t xml:space="preserve"> </w:t>
      </w:r>
      <w:r>
        <w:t xml:space="preserve">2A. Carve-out of Pillar 2 companies</w:t>
      </w:r>
      <w:r>
        <w:t xml:space="preserve"> </w:t>
      </w:r>
      <w:r>
        <w:t xml:space="preserve">Option 2A introduces a carve-out from CFC legislation only for MNEs whose (low-taxed) CFCs</w:t>
      </w:r>
      <w:r>
        <w:t xml:space="preserve"> </w:t>
      </w:r>
      <w:r>
        <w:t xml:space="preserve">are fully subject to Pillar 2. If a group is headquartered in a Side-by-Side (SbS) jurisdiction</w:t>
      </w:r>
      <w:r>
        <w:t xml:space="preserve"> </w:t>
      </w:r>
      <w:r>
        <w:t xml:space="preserve">(currently, only the United States), the Income Inclusion Rule (IIR) and Under-Taxed Profit Rule</w:t>
      </w:r>
      <w:r>
        <w:t xml:space="preserve"> </w:t>
      </w:r>
      <w:r>
        <w:t xml:space="preserve">(UTPR) which are used to reallocate taxable income from a low-taxed entity to another entity in the</w:t>
      </w:r>
      <w:r>
        <w:t xml:space="preserve"> </w:t>
      </w:r>
      <w:r>
        <w:t xml:space="preserve">group, will not apply to any of its subsidiaries. As such, the policy rationale would not apply to</w:t>
      </w:r>
      <w:r>
        <w:t xml:space="preserve"> </w:t>
      </w:r>
      <w:r>
        <w:t xml:space="preserve">these structures in the same way, as it does for other entities in scope of the Pillar 2 Directive. To</w:t>
      </w:r>
      <w:r>
        <w:t xml:space="preserve"> </w:t>
      </w:r>
      <w:r>
        <w:t xml:space="preserve">avoid jeopardising the level of protection imposed under ATAD, the CFC carveout would therefore</w:t>
      </w:r>
    </w:p>
    <w:p>
      <w:pPr>
        <w:pStyle w:val="BodyText"/>
      </w:pPr>
      <w:r>
        <w:t xml:space="preserve">73 Deloitte (2023), Belgium parliament adopts law introducing model A CFC rules.</w:t>
      </w:r>
    </w:p>
    <w:p>
      <w:pPr>
        <w:pStyle w:val="BodyText"/>
      </w:pPr>
      <w:r>
        <w:t xml:space="preserve">only be extended to entities that are part of SbS groups where the relevant low-taxed subsidiary is</w:t>
      </w:r>
      <w:r>
        <w:t xml:space="preserve"> </w:t>
      </w:r>
      <w:r>
        <w:t xml:space="preserve">subject to QDMTT.</w:t>
      </w:r>
      <w:r>
        <w:br/>
      </w:r>
      <w:r>
        <w:t xml:space="preserve">2B. Inclusion of QDMTT in CFC calculation</w:t>
      </w:r>
      <w:r>
        <w:t xml:space="preserve"> </w:t>
      </w:r>
      <w:r>
        <w:t xml:space="preserve">Under Option 2B, Member States would take into account the QDMTT liability, in conjunction</w:t>
      </w:r>
      <w:r>
        <w:t xml:space="preserve"> </w:t>
      </w:r>
      <w:r>
        <w:t xml:space="preserve">with corporate income tax, to determine whether an entity is a low-taxed CFC and, consequently,</w:t>
      </w:r>
      <w:r>
        <w:t xml:space="preserve"> </w:t>
      </w:r>
      <w:r>
        <w:t xml:space="preserve">whether the application of the CFC rules is triggered.</w:t>
      </w:r>
      <w:r>
        <w:br/>
      </w:r>
      <w:r>
        <w:t xml:space="preserve">Adding the QDMTT to the corporate tax liability would reduce the number of cases in which CFC</w:t>
      </w:r>
      <w:r>
        <w:t xml:space="preserve"> </w:t>
      </w:r>
      <w:r>
        <w:t xml:space="preserve">rules are triggered. CFC rules would continue to apply where Member States operate a higher CFC</w:t>
      </w:r>
      <w:r>
        <w:t xml:space="preserve"> </w:t>
      </w:r>
      <w:r>
        <w:t xml:space="preserve">effective tax rate. In those cases, credit would be granted for the QDMTT tax due, thereby ensuring</w:t>
      </w:r>
      <w:r>
        <w:t xml:space="preserve"> </w:t>
      </w:r>
      <w:r>
        <w:t xml:space="preserve">that the simultaneous application of QDMTT and CFC legislation does not result in double</w:t>
      </w:r>
      <w:r>
        <w:t xml:space="preserve"> </w:t>
      </w:r>
      <w:r>
        <w:t xml:space="preserve">taxation. Such approach is also consistent with the OECD Guidance on this topic, which does not</w:t>
      </w:r>
      <w:r>
        <w:t xml:space="preserve"> </w:t>
      </w:r>
      <w:r>
        <w:t xml:space="preserve">allow a pushdown of the CFC tax when computing the effective tax rate for the purpose of applying</w:t>
      </w:r>
      <w:r>
        <w:t xml:space="preserve"> </w:t>
      </w:r>
      <w:r>
        <w:t xml:space="preserve">QDMTT.</w:t>
      </w:r>
      <w:r>
        <w:br/>
      </w:r>
      <w:r>
        <w:t xml:space="preserve">5.2.2.3. Option 3: Carve-out of SMEs</w:t>
      </w:r>
      <w:r>
        <w:t xml:space="preserve"> </w:t>
      </w:r>
      <w:r>
        <w:t xml:space="preserve">CFC taxation is justified only insofar as it targets arrangements lacking genuine economic</w:t>
      </w:r>
      <w:r>
        <w:t xml:space="preserve"> </w:t>
      </w:r>
      <w:r>
        <w:t xml:space="preserve">substance. Subjecting small businesses to complex foreign-income imputations, despite low</w:t>
      </w:r>
      <w:r>
        <w:t xml:space="preserve"> </w:t>
      </w:r>
      <w:r>
        <w:t xml:space="preserve">structural aggressive tax planning, risks overshooting that anti-abuse purpose. Compliance costs are</w:t>
      </w:r>
      <w:r>
        <w:t xml:space="preserve"> </w:t>
      </w:r>
      <w:r>
        <w:t xml:space="preserve">especially heavy on SMEs. Therefore, in line with similar exemptions in this initiative and in other</w:t>
      </w:r>
      <w:r>
        <w:t xml:space="preserve"> </w:t>
      </w:r>
      <w:r>
        <w:t xml:space="preserve">areas of taxation and EU law, this Option proposes to also carve out SMEs from the scope of CFC</w:t>
      </w:r>
      <w:r>
        <w:t xml:space="preserve"> </w:t>
      </w:r>
      <w:r>
        <w:t xml:space="preserve">rules in the EU.</w:t>
      </w:r>
      <w:r>
        <w:br/>
      </w:r>
      <w:r>
        <w:t xml:space="preserve">5.2.3. Expensing of assets related to research and development (R&amp;D)</w:t>
      </w:r>
      <w:r>
        <w:t xml:space="preserve"> </w:t>
      </w:r>
      <w:r>
        <w:t xml:space="preserve">To address issues related to expensing of assets related to R&amp;D as set out in Section 5.1.3, two</w:t>
      </w:r>
      <w:r>
        <w:t xml:space="preserve"> </w:t>
      </w:r>
      <w:r>
        <w:t xml:space="preserve">options could be considered:</w:t>
      </w:r>
      <w:r>
        <w:t xml:space="preserve"> </w:t>
      </w:r>
      <w:r>
        <w:t xml:space="preserve">Figure 5: Simplification options for expensing of R&amp;D assets</w:t>
      </w:r>
    </w:p>
    <w:p>
      <w:pPr>
        <w:pStyle w:val="BodyText"/>
      </w:pPr>
      <w:r>
        <w:t xml:space="preserve">5.2.3.1. Option 1A: Immediate expensing in the EU</w:t>
      </w:r>
    </w:p>
    <w:p>
      <w:pPr>
        <w:pStyle w:val="BodyText"/>
      </w:pPr>
      <w:r>
        <w:t xml:space="preserve">The diverging national tax depreciation treatments for assets related to R&amp;D create an obstacle to</w:t>
      </w:r>
      <w:r>
        <w:t xml:space="preserve"> </w:t>
      </w:r>
      <w:r>
        <w:t xml:space="preserve">cross-border activity in the internal market and bring unwelcome compliance costs for EU</w:t>
      </w:r>
      <w:r>
        <w:t xml:space="preserve"> </w:t>
      </w:r>
      <w:r>
        <w:t xml:space="preserve">businesses. Taken together with the harmonised treatment of such measures under Pillar 2 and the</w:t>
      </w:r>
      <w:r>
        <w:t xml:space="preserve"> </w:t>
      </w:r>
      <w:r>
        <w:t xml:space="preserve">more beneficial outcomes in key partner economies, such as the UK and the United States, this</w:t>
      </w:r>
      <w:r>
        <w:t xml:space="preserve"> </w:t>
      </w:r>
      <w:r>
        <w:t xml:space="preserve">fragmentation also undermines the EU’s broader competitiveness objectives. Yet, despite the</w:t>
      </w:r>
    </w:p>
    <w:p>
      <w:pPr>
        <w:pStyle w:val="BodyText"/>
      </w:pPr>
      <w:r>
        <w:t xml:space="preserve">clearly cross-border and international dimension of R&amp;D activity, no common EU framework</w:t>
      </w:r>
      <w:r>
        <w:t xml:space="preserve"> </w:t>
      </w:r>
      <w:r>
        <w:t xml:space="preserve">currently exists to address it.</w:t>
      </w:r>
      <w:r>
        <w:br/>
      </w:r>
      <w:r>
        <w:t xml:space="preserve">Against this background, and in line with the objectives of simplification and competitiveness, the</w:t>
      </w:r>
      <w:r>
        <w:t xml:space="preserve"> </w:t>
      </w:r>
      <w:r>
        <w:t xml:space="preserve">Option would establish a common minimum framework at EU level for the tax treatment of capital</w:t>
      </w:r>
      <w:r>
        <w:t xml:space="preserve"> </w:t>
      </w:r>
      <w:r>
        <w:t xml:space="preserve">expenditure on tangible assets used for R&amp;D. It would, allow EU businesses to fully deduct the cost</w:t>
      </w:r>
      <w:r>
        <w:t xml:space="preserve"> </w:t>
      </w:r>
      <w:r>
        <w:t xml:space="preserve">of qualifying R&amp;D-related tangible assets in the year the expenditure is incurred, rather than</w:t>
      </w:r>
      <w:r>
        <w:t xml:space="preserve"> </w:t>
      </w:r>
      <w:r>
        <w:t xml:space="preserve">depreciating the costs over time.</w:t>
      </w:r>
      <w:r>
        <w:br/>
      </w:r>
      <w:r>
        <w:t xml:space="preserve">In particular, while immediate expensing of R&amp;D expenditure strengthens innovation incentives by</w:t>
      </w:r>
      <w:r>
        <w:t xml:space="preserve"> </w:t>
      </w:r>
      <w:r>
        <w:t xml:space="preserve">allowing firms to deduct the full cost of research investments in the year they are incurred, standard</w:t>
      </w:r>
      <w:r>
        <w:t xml:space="preserve"> </w:t>
      </w:r>
      <w:r>
        <w:t xml:space="preserve">depreciation rules that spread deductions over multiple years erode the present value of those</w:t>
      </w:r>
      <w:r>
        <w:t xml:space="preserve"> </w:t>
      </w:r>
      <w:r>
        <w:t xml:space="preserve">deductions once adjusted for inflation and the opportunity cost of capital. The Option directly</w:t>
      </w:r>
      <w:r>
        <w:t xml:space="preserve"> </w:t>
      </w:r>
      <w:r>
        <w:t xml:space="preserve">addresses this limitation.</w:t>
      </w:r>
      <w:r>
        <w:t xml:space="preserve"> </w:t>
      </w:r>
      <w:r>
        <w:t xml:space="preserve">Furthermore, immediate expensing of R&amp;D expenditure improves cash flow at precisely the stage</w:t>
      </w:r>
      <w:r>
        <w:t xml:space="preserve"> </w:t>
      </w:r>
      <w:r>
        <w:t xml:space="preserve">when firms are often most financially constrained, thereby easing financing conditions for high-</w:t>
      </w:r>
      <w:r>
        <w:t xml:space="preserve"> </w:t>
      </w:r>
      <w:r>
        <w:t xml:space="preserve">risk, long-gestation research projects. This effect is particularly consequential for early-stage and</w:t>
      </w:r>
      <w:r>
        <w:t xml:space="preserve"> </w:t>
      </w:r>
      <w:r>
        <w:t xml:space="preserve">pre-revenue companies, whose ability to sustain investment in innovation frequently depends on</w:t>
      </w:r>
      <w:r>
        <w:t xml:space="preserve"> </w:t>
      </w:r>
      <w:r>
        <w:t xml:space="preserve">maintaining adequate liquidity throughout extended development periods prior to the generation of</w:t>
      </w:r>
      <w:r>
        <w:t xml:space="preserve"> </w:t>
      </w:r>
      <w:r>
        <w:t xml:space="preserve">taxable income.</w:t>
      </w:r>
      <w:r>
        <w:t xml:space="preserve"> </w:t>
      </w:r>
      <w:r>
        <w:t xml:space="preserve">The Option would define the scope of qualifying expenditure and set out harmonised rules on the</w:t>
      </w:r>
      <w:r>
        <w:t xml:space="preserve"> </w:t>
      </w:r>
      <w:r>
        <w:t xml:space="preserve">timing of the deduction, including the possibility to claim it in the year that the expenditure is</w:t>
      </w:r>
      <w:r>
        <w:t xml:space="preserve"> </w:t>
      </w:r>
      <w:r>
        <w:t xml:space="preserve">incurred or to carry it forward over a defined period. It would also introduce safeguards to prevent</w:t>
      </w:r>
      <w:r>
        <w:t xml:space="preserve"> </w:t>
      </w:r>
      <w:r>
        <w:t xml:space="preserve">misuse of the allowance, including minimum use requirements for R&amp;D purposes and a clawback</w:t>
      </w:r>
      <w:r>
        <w:t xml:space="preserve"> </w:t>
      </w:r>
      <w:r>
        <w:t xml:space="preserve">mechanism where assets are disposed of.</w:t>
      </w:r>
    </w:p>
    <w:p>
      <w:pPr>
        <w:pStyle w:val="BodyText"/>
      </w:pPr>
      <w:r>
        <w:t xml:space="preserve">The Option would contribute to simplification by removing a tax obstacle in the internal market,</w:t>
      </w:r>
      <w:r>
        <w:t xml:space="preserve"> </w:t>
      </w:r>
      <w:r>
        <w:t xml:space="preserve">thereby lowering compliance burdens, increasing predictability for investors, and facilitating the</w:t>
      </w:r>
      <w:r>
        <w:t xml:space="preserve"> </w:t>
      </w:r>
      <w:r>
        <w:t xml:space="preserve">scaling-up of R&amp;D activities within the internal market. At the same time, the measure would</w:t>
      </w:r>
      <w:r>
        <w:t xml:space="preserve"> </w:t>
      </w:r>
      <w:r>
        <w:t xml:space="preserve">strengthen the EU’s competitiveness, including vis-à-vis major international partners such as the</w:t>
      </w:r>
      <w:r>
        <w:t xml:space="preserve"> </w:t>
      </w:r>
      <w:r>
        <w:t xml:space="preserve">United States and the UK, by ensuring that all businesses benefit from a baseline tax environment</w:t>
      </w:r>
      <w:r>
        <w:t xml:space="preserve"> </w:t>
      </w:r>
      <w:r>
        <w:t xml:space="preserve">supportive of innovation, while still allowing Member States to maintain or introduce more</w:t>
      </w:r>
      <w:r>
        <w:t xml:space="preserve"> </w:t>
      </w:r>
      <w:r>
        <w:t xml:space="preserve">favourable regimes to attract and retain high-value R&amp;D investment in an increasingly competitive</w:t>
      </w:r>
      <w:r>
        <w:t xml:space="preserve"> </w:t>
      </w:r>
      <w:r>
        <w:t xml:space="preserve">international environment.</w:t>
      </w:r>
    </w:p>
    <w:p>
      <w:pPr>
        <w:pStyle w:val="BodyText"/>
      </w:pPr>
      <w:r>
        <w:t xml:space="preserve">The question of whether to cover both tangible and intangible assets was examined. But extending</w:t>
      </w:r>
      <w:r>
        <w:t xml:space="preserve"> </w:t>
      </w:r>
      <w:r>
        <w:t xml:space="preserve">the measure to intangibles would require a significantly more far-reaching intervention in the</w:t>
      </w:r>
      <w:r>
        <w:t xml:space="preserve"> </w:t>
      </w:r>
      <w:r>
        <w:t xml:space="preserve">current tax landscape, given the wide variety of instruments Member States currently apply in that</w:t>
      </w:r>
      <w:r>
        <w:t xml:space="preserve"> </w:t>
      </w:r>
      <w:r>
        <w:t xml:space="preserve">area (in addition to the full deductibility of researchers’ salaries, there are measures such as lower</w:t>
      </w:r>
      <w:r>
        <w:t xml:space="preserve"> </w:t>
      </w:r>
      <w:r>
        <w:t xml:space="preserve">tax rates, super-deductions, or tax credits). A broader measure covering both tangible and</w:t>
      </w:r>
      <w:r>
        <w:t xml:space="preserve"> </w:t>
      </w:r>
      <w:r>
        <w:t xml:space="preserve">intangible assets would also entail substantially higher revenue implications for Member States.</w:t>
      </w:r>
      <w:r>
        <w:t xml:space="preserve"> </w:t>
      </w:r>
      <w:r>
        <w:t xml:space="preserve">The targeted approach, limited to tangible assets, is therefore both proportionate and more</w:t>
      </w:r>
    </w:p>
    <w:p>
      <w:pPr>
        <w:pStyle w:val="BodyText"/>
      </w:pPr>
      <w:r>
        <w:t xml:space="preserve">politically feasible, while still delivering a meaningful simplification and improvement in the</w:t>
      </w:r>
      <w:r>
        <w:t xml:space="preserve"> </w:t>
      </w:r>
      <w:r>
        <w:t xml:space="preserve">operating environment for EU businesses.</w:t>
      </w:r>
    </w:p>
    <w:p>
      <w:pPr>
        <w:pStyle w:val="BodyText"/>
      </w:pPr>
      <w:r>
        <w:t xml:space="preserve">Besides, accelerated depreciation and immediate expensing schemes for tangible assets are</w:t>
      </w:r>
      <w:r>
        <w:t xml:space="preserve"> </w:t>
      </w:r>
      <w:r>
        <w:t xml:space="preserve">unaffected by Pillar Two. Against this background, these tax incentives could then help sustain</w:t>
      </w:r>
      <w:r>
        <w:t xml:space="preserve"> </w:t>
      </w:r>
      <w:r>
        <w:t xml:space="preserve">investment after Pillar Two is implemented.74</w:t>
      </w:r>
    </w:p>
    <w:p>
      <w:pPr>
        <w:pStyle w:val="BodyText"/>
      </w:pPr>
      <w:r>
        <w:t xml:space="preserve">Overall, this approach would ensure a coherent common baseline for the tax treatment of capital</w:t>
      </w:r>
      <w:r>
        <w:t xml:space="preserve"> </w:t>
      </w:r>
      <w:r>
        <w:t xml:space="preserve">expenditure on tangible R&amp;D assets in the internal market, reducing compliance complexity for</w:t>
      </w:r>
      <w:r>
        <w:t xml:space="preserve"> </w:t>
      </w:r>
      <w:r>
        <w:t xml:space="preserve">businesses operating cross-border, strengthening the EU’s competitiveness vis-à-vis its international</w:t>
      </w:r>
      <w:r>
        <w:t xml:space="preserve"> </w:t>
      </w:r>
      <w:r>
        <w:t xml:space="preserve">partners. It would also allow Member States to maintain or further develop broader innovation</w:t>
      </w:r>
      <w:r>
        <w:t xml:space="preserve"> </w:t>
      </w:r>
      <w:r>
        <w:t xml:space="preserve">incentives within a coordinated framework, thereby respecting key messages, such as strengthening</w:t>
      </w:r>
      <w:r>
        <w:t xml:space="preserve"> </w:t>
      </w:r>
      <w:r>
        <w:t xml:space="preserve">competitiveness while keeping flexibility and simplicity, expounded by the Member States in the</w:t>
      </w:r>
      <w:r>
        <w:t xml:space="preserve"> </w:t>
      </w:r>
      <w:r>
        <w:t xml:space="preserve">Council Conclusions on tax incentives to support the Clean Industrial Deal.75</w:t>
      </w:r>
    </w:p>
    <w:p>
      <w:pPr>
        <w:pStyle w:val="BodyText"/>
      </w:pPr>
      <w:r>
        <w:t xml:space="preserve">5.2.3.2. Option 1B: Keep R&amp;D expensing defined strictly at national level</w:t>
      </w:r>
      <w:r>
        <w:t xml:space="preserve"> </w:t>
      </w:r>
      <w:r>
        <w:t xml:space="preserve">The alternative option would be to maintain the status quo – i.e., continue to allow Member States</w:t>
      </w:r>
      <w:r>
        <w:t xml:space="preserve"> </w:t>
      </w:r>
      <w:r>
        <w:t xml:space="preserve">to operate their own national frameworks for the tax treatment of capital expenditure on tangible</w:t>
      </w:r>
      <w:r>
        <w:t xml:space="preserve"> </w:t>
      </w:r>
      <w:r>
        <w:t xml:space="preserve">R&amp;D assets. This would, however, retain an entirely fragmented approach across the EU and</w:t>
      </w:r>
      <w:r>
        <w:t xml:space="preserve"> </w:t>
      </w:r>
      <w:r>
        <w:t xml:space="preserve">sustain the possible disadvantage that currently exists when compared to other global economies</w:t>
      </w:r>
      <w:r>
        <w:t xml:space="preserve"> </w:t>
      </w:r>
      <w:r>
        <w:t xml:space="preserve">who enact a more unified jurisdictional approach to R&amp;D incentives. As a result, such option would</w:t>
      </w:r>
      <w:r>
        <w:t xml:space="preserve"> </w:t>
      </w:r>
      <w:r>
        <w:t xml:space="preserve">fall short of the objectives of simplification and competitiveness, as administrative complexity for</w:t>
      </w:r>
      <w:r>
        <w:t xml:space="preserve"> </w:t>
      </w:r>
      <w:r>
        <w:t xml:space="preserve">cross-border activities would remain unchanged and divergences in the tax treatment of R&amp;D</w:t>
      </w:r>
      <w:r>
        <w:t xml:space="preserve"> </w:t>
      </w:r>
      <w:r>
        <w:t xml:space="preserve">investment within the internal market would be maintained.</w:t>
      </w:r>
    </w:p>
    <w:p>
      <w:pPr>
        <w:pStyle w:val="BodyText"/>
      </w:pPr>
      <w:r>
        <w:t xml:space="preserve">5.2.4. Interest Limitation Rule</w:t>
      </w:r>
      <w:r>
        <w:br/>
      </w:r>
      <w:r>
        <w:t xml:space="preserve">To address the issues related to the application of the Interest Limitation Rule in the ATAD, which</w:t>
      </w:r>
      <w:r>
        <w:t xml:space="preserve"> </w:t>
      </w:r>
      <w:r>
        <w:t xml:space="preserve">are outlined in Section 5.1, several options could be considered.</w:t>
      </w:r>
    </w:p>
    <w:p>
      <w:pPr>
        <w:pStyle w:val="BodyText"/>
      </w:pPr>
      <w:r>
        <w:t xml:space="preserve">74 Heckemeyer, J. H., Nicolay, K., Spengel, C., Steinbrenner, D., and Wickel, S., 2025, Tax</w:t>
      </w:r>
      <w:r>
        <w:t xml:space="preserve"> </w:t>
      </w:r>
      <w:r>
        <w:t xml:space="preserve">Incentives and Investments in the EU: Best Practices and Ways to Stimulate Private Investments</w:t>
      </w:r>
      <w:r>
        <w:t xml:space="preserve"> </w:t>
      </w:r>
      <w:r>
        <w:t xml:space="preserve">and Prevent Harmful Tax Practices, Publication for the Subcommittee on Tax Matters, Policy</w:t>
      </w:r>
      <w:r>
        <w:t xml:space="preserve"> </w:t>
      </w:r>
      <w:r>
        <w:t xml:space="preserve">Department of the Directorate for Economy and Growth) , Directorate-General for Economy,</w:t>
      </w:r>
      <w:r>
        <w:t xml:space="preserve"> </w:t>
      </w:r>
      <w:r>
        <w:t xml:space="preserve">Transformation and Industry, European Parliament, Luxembourg.</w:t>
      </w:r>
      <w:r>
        <w:t xml:space="preserve"> </w:t>
      </w:r>
      <w:r>
        <w:t xml:space="preserve">75</w:t>
      </w:r>
      <w:r>
        <w:t xml:space="preserve"> </w:t>
      </w:r>
      <w:r>
        <w:t xml:space="preserve">Council</w:t>
      </w:r>
      <w:r>
        <w:t xml:space="preserve"> </w:t>
      </w:r>
      <w:r>
        <w:t xml:space="preserve">conclusions</w:t>
      </w:r>
      <w:r>
        <w:t xml:space="preserve"> </w:t>
      </w:r>
      <w:r>
        <w:t xml:space="preserve">on</w:t>
      </w:r>
      <w:r>
        <w:t xml:space="preserve"> </w:t>
      </w:r>
      <w:r>
        <w:t xml:space="preserve">tax</w:t>
      </w:r>
      <w:r>
        <w:t xml:space="preserve"> </w:t>
      </w:r>
      <w:r>
        <w:t xml:space="preserve">incentives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Clean</w:t>
      </w:r>
      <w:r>
        <w:t xml:space="preserve"> </w:t>
      </w:r>
      <w:r>
        <w:t xml:space="preserve">Industrial</w:t>
      </w:r>
      <w:r>
        <w:t xml:space="preserve"> </w:t>
      </w:r>
      <w:r>
        <w:t xml:space="preserve">Deal,</w:t>
      </w:r>
      <w:r>
        <w:t xml:space="preserve"> </w:t>
      </w:r>
      <w:r>
        <w:t xml:space="preserve">ST</w:t>
      </w:r>
      <w:r>
        <w:t xml:space="preserve"> </w:t>
      </w:r>
      <w:r>
        <w:t xml:space="preserve">13501/25;</w:t>
      </w:r>
      <w:r>
        <w:t xml:space="preserve"> </w:t>
      </w:r>
      <w:r>
        <w:t xml:space="preserve">https://data.consilium.europa.eu/doc/document/ST-13501-2025-INIT/en/pdf</w:t>
      </w:r>
    </w:p>
    <w:p>
      <w:pPr>
        <w:pStyle w:val="BodyText"/>
      </w:pPr>
      <w:r>
        <w:t xml:space="preserve">Figure 6: Simplification options for the Interest Limitation Rule in ATAD</w:t>
      </w:r>
    </w:p>
    <w:p>
      <w:pPr>
        <w:pStyle w:val="BodyText"/>
      </w:pPr>
      <w:r>
        <w:t xml:space="preserve">5.2.4.1. Option 1: Carve-out of SMEs</w:t>
      </w:r>
      <w:r>
        <w:t xml:space="preserve"> </w:t>
      </w:r>
      <w:r>
        <w:t xml:space="preserve">As most SMEs would tend to have borrowing costs below the EUR 3 million threshold annually,</w:t>
      </w:r>
      <w:r>
        <w:t xml:space="preserve"> </w:t>
      </w:r>
      <w:r>
        <w:t xml:space="preserve">Option 1 could propose to make the de minimis safe harbour mandatory and, thereby, de facto</w:t>
      </w:r>
      <w:r>
        <w:t xml:space="preserve"> </w:t>
      </w:r>
      <w:r>
        <w:t xml:space="preserve">carve out most SMEs from the application of the Interest Limitation Rule. This would differ from</w:t>
      </w:r>
      <w:r>
        <w:t xml:space="preserve"> </w:t>
      </w:r>
      <w:r>
        <w:t xml:space="preserve">the status quo, which allows Member States a more stringent application of this rule, and would</w:t>
      </w:r>
      <w:r>
        <w:t xml:space="preserve"> </w:t>
      </w:r>
      <w:r>
        <w:t xml:space="preserve">thus allow most SMEs to fully deduct their exceeding borrowing costs, while also ensuring a</w:t>
      </w:r>
      <w:r>
        <w:t xml:space="preserve"> </w:t>
      </w:r>
      <w:r>
        <w:t xml:space="preserve">consistent approach across the Single Market.</w:t>
      </w:r>
      <w:r>
        <w:t xml:space="preserve"> </w:t>
      </w:r>
      <w:r>
        <w:t xml:space="preserve">In order to balance the simplification objective with the need to maintain the high level of</w:t>
      </w:r>
      <w:r>
        <w:t xml:space="preserve"> </w:t>
      </w:r>
      <w:r>
        <w:t xml:space="preserve">protection created by the ATAD rules, the carve-out would only be applicable to SMEs as they</w:t>
      </w:r>
      <w:r>
        <w:t xml:space="preserve"> </w:t>
      </w:r>
      <w:r>
        <w:t xml:space="preserve">have few incentives and/or resources to engage in tax planning using interest payments. According</w:t>
      </w:r>
      <w:r>
        <w:t xml:space="preserve"> </w:t>
      </w:r>
      <w:r>
        <w:t xml:space="preserve">to the ATAD evaluation, larger businesses, especially MNEs, are more likely to engage in</w:t>
      </w:r>
      <w:r>
        <w:t xml:space="preserve"> </w:t>
      </w:r>
      <w:r>
        <w:t xml:space="preserve">aggressive tax planning due to their scale and global operations, which provide more opportunities</w:t>
      </w:r>
      <w:r>
        <w:t xml:space="preserve"> </w:t>
      </w:r>
      <w:r>
        <w:t xml:space="preserve">to exploit tax arbitrage opportunities. The data gathered for the ATAD evaluation shows that the</w:t>
      </w:r>
      <w:r>
        <w:t xml:space="preserve"> </w:t>
      </w:r>
      <w:r>
        <w:t xml:space="preserve">largest MNEs are responsible for the majority of shifted profit. In particular, 60% of the total profit</w:t>
      </w:r>
      <w:r>
        <w:t xml:space="preserve"> </w:t>
      </w:r>
      <w:r>
        <w:t xml:space="preserve">identified as shifted (EUR 159 billion out of EUR 270 billion) relates to the largest 10% of MNEs</w:t>
      </w:r>
      <w:r>
        <w:t xml:space="preserve"> </w:t>
      </w:r>
      <w:r>
        <w:t xml:space="preserve">covered by this dataset.76</w:t>
      </w:r>
      <w:r>
        <w:t xml:space="preserve"> </w:t>
      </w:r>
      <w:r>
        <w:t xml:space="preserve">Considering that inflation may increase future borrowing costs, the de minimis safe harbour could</w:t>
      </w:r>
      <w:r>
        <w:t xml:space="preserve"> </w:t>
      </w:r>
      <w:r>
        <w:t xml:space="preserve">also include a mechanism to regularly update the threshold based on economic indexes, and a pre-</w:t>
      </w:r>
      <w:r>
        <w:t xml:space="preserve"> </w:t>
      </w:r>
      <w:r>
        <w:t xml:space="preserve">agreed formula, as is foreseen by the OECD BEPS Action 4. In such way, the de minimis safe</w:t>
      </w:r>
      <w:r>
        <w:t xml:space="preserve"> </w:t>
      </w:r>
      <w:r>
        <w:t xml:space="preserve">harbour would be made dynamic and automatically adjusted.</w:t>
      </w:r>
      <w:r>
        <w:br/>
      </w:r>
      <w:r>
        <w:t xml:space="preserve">5.2.4.2. Option 2: Mandatory application of 30% EBITDA cap</w:t>
      </w:r>
      <w:r>
        <w:t xml:space="preserve"> </w:t>
      </w:r>
      <w:r>
        <w:t xml:space="preserve">Under this option, the 30% EBITDA cap would be the only possible fixed ratio for deductibility of</w:t>
      </w:r>
      <w:r>
        <w:t xml:space="preserve"> </w:t>
      </w:r>
      <w:r>
        <w:t xml:space="preserve">interest expenses. As it currently stands, business may deduct up to 30% of their EBITDA. By</w:t>
      </w:r>
      <w:r>
        <w:t xml:space="preserve"> </w:t>
      </w:r>
      <w:r>
        <w:t xml:space="preserve">setting a fixed ratio for the maximum deductible interest expense, clarity and equal treatment would</w:t>
      </w:r>
      <w:r>
        <w:t xml:space="preserve"> </w:t>
      </w:r>
      <w:r>
        <w:t xml:space="preserve">be improved with a common standard rather than different variations across the EU.</w:t>
      </w:r>
      <w:r>
        <w:t xml:space="preserve"> </w:t>
      </w:r>
      <w:r>
        <w:t xml:space="preserve">The current interest limitation set at 30% of a company’s EBITDA is designed in a way which</w:t>
      </w:r>
      <w:r>
        <w:t xml:space="preserve"> </w:t>
      </w:r>
      <w:r>
        <w:t xml:space="preserve">ensures that most companies are able to fully deduct their third-party interest expenses. The fixed</w:t>
      </w:r>
    </w:p>
    <w:p>
      <w:pPr>
        <w:pStyle w:val="BodyText"/>
      </w:pPr>
      <w:r>
        <w:t xml:space="preserve">76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market, p. 39.</w:t>
      </w:r>
    </w:p>
    <w:p>
      <w:pPr>
        <w:pStyle w:val="BodyText"/>
      </w:pPr>
      <w:r>
        <w:t xml:space="preserve">ratio rule stems from the OECD’s BEPS Action 4, where it is recommended to set a coordinated</w:t>
      </w:r>
      <w:r>
        <w:t xml:space="preserve"> </w:t>
      </w:r>
      <w:r>
        <w:t xml:space="preserve">fixed ratio benchmark to reduce the risk that countries will be driven to apply a ratio which is too</w:t>
      </w:r>
      <w:r>
        <w:t xml:space="preserve"> </w:t>
      </w:r>
      <w:r>
        <w:t xml:space="preserve">high to address base erosion and profit shifting risks. On this basis, in 2016, the OECD</w:t>
      </w:r>
      <w:r>
        <w:t xml:space="preserve"> </w:t>
      </w:r>
      <w:r>
        <w:t xml:space="preserve">recommended applying a net interest/EBITDA ratio set at fixed ratio within a corridor of 10% to</w:t>
      </w:r>
      <w:r>
        <w:t xml:space="preserve"> </w:t>
      </w:r>
      <w:r>
        <w:t xml:space="preserve">30%. Once a benchmark fixed ratio exceeds 30%, the rate at which more groups are able to deduct</w:t>
      </w:r>
      <w:r>
        <w:t xml:space="preserve"> </w:t>
      </w:r>
      <w:r>
        <w:t xml:space="preserve">all of their net third party interest expense increases more slowly.77</w:t>
      </w:r>
      <w:r>
        <w:t xml:space="preserve"> </w:t>
      </w:r>
      <w:r>
        <w:t xml:space="preserve">More recent data shows that a 30% threshold would allow most groups to fully deduct their third-</w:t>
      </w:r>
      <w:r>
        <w:t xml:space="preserve"> </w:t>
      </w:r>
      <w:r>
        <w:t xml:space="preserve">party interest expenses. As a result, the is no need to adjust the 30% threshold to retain its objective.</w:t>
      </w:r>
      <w:r>
        <w:br/>
      </w:r>
      <w:r>
        <w:t xml:space="preserve">5.2.4.3. Option 3: Reduce implementation options</w:t>
      </w:r>
      <w:r>
        <w:t xml:space="preserve"> </w:t>
      </w:r>
      <w:r>
        <w:t xml:space="preserve">This option would seek to limit the implementation variations of the Interest Limitation Rule by</w:t>
      </w:r>
      <w:r>
        <w:t xml:space="preserve"> </w:t>
      </w:r>
      <w:r>
        <w:t xml:space="preserve">making two or three of the current options mandatory.</w:t>
      </w:r>
      <w:r>
        <w:br/>
      </w:r>
      <w:r>
        <w:t xml:space="preserve">Firstly, the group escape rule would be mandatory. As it currently stands, Article 4(5) of the</w:t>
      </w:r>
      <w:r>
        <w:t xml:space="preserve"> </w:t>
      </w:r>
      <w:r>
        <w:t xml:space="preserve">ATAD provides Member States with the option to introduce a group escape rule for taxpayers that</w:t>
      </w:r>
      <w:r>
        <w:t xml:space="preserve"> </w:t>
      </w:r>
      <w:r>
        <w:t xml:space="preserve">are members of a consolidated group for financial accounting purposes. This exclusion can take</w:t>
      </w:r>
      <w:r>
        <w:t xml:space="preserve"> </w:t>
      </w:r>
      <w:r>
        <w:t xml:space="preserve">either of the two following forms: (i) the equity escape rule, under which the Interest Limitation</w:t>
      </w:r>
      <w:r>
        <w:t xml:space="preserve"> </w:t>
      </w:r>
      <w:r>
        <w:t xml:space="preserve">Rule does not apply if the company can demonstrate that its equity over total assets ratio is broadly</w:t>
      </w:r>
      <w:r>
        <w:t xml:space="preserve"> </w:t>
      </w:r>
      <w:r>
        <w:t xml:space="preserve">equal to, or higher than, the equivalent group ratio, or (ii) the group ratio rule, under which a</w:t>
      </w:r>
      <w:r>
        <w:t xml:space="preserve"> </w:t>
      </w:r>
      <w:r>
        <w:t xml:space="preserve">taxpayer can deduct higher amounts of exceeding borrowing costs, taking into account the</w:t>
      </w:r>
      <w:r>
        <w:t xml:space="preserve"> </w:t>
      </w:r>
      <w:r>
        <w:t xml:space="preserve">indebtedness of the overall group at worldwide level.</w:t>
      </w:r>
      <w:r>
        <w:br/>
      </w:r>
      <w:r>
        <w:t xml:space="preserve">Secondly, the carry-forward mechanism would be mandatory to ensure that the rule</w:t>
      </w:r>
      <w:r>
        <w:t xml:space="preserve"> </w:t>
      </w:r>
      <w:r>
        <w:t xml:space="preserve">accommodates fluctuations in taxpayer’s profitability and offers support to startups.</w:t>
      </w:r>
      <w:r>
        <w:br/>
      </w:r>
      <w:r>
        <w:t xml:space="preserve">Thirdly, the exclusion for long-term public infrastructure projects could be reconsidered. It</w:t>
      </w:r>
      <w:r>
        <w:t xml:space="preserve"> </w:t>
      </w:r>
      <w:r>
        <w:t xml:space="preserve">could, for instance, also be possible to exclude social housing activities. Some Member States have</w:t>
      </w:r>
      <w:r>
        <w:t xml:space="preserve"> </w:t>
      </w:r>
      <w:r>
        <w:t xml:space="preserve">already introduced a similar exclusion. Providing legal clarity on this possibility would contribute</w:t>
      </w:r>
      <w:r>
        <w:t xml:space="preserve"> </w:t>
      </w:r>
      <w:r>
        <w:t xml:space="preserve">to the Commission’s policy on addressing the housing crisis and ensure coherence of the approach</w:t>
      </w:r>
      <w:r>
        <w:t xml:space="preserve"> </w:t>
      </w:r>
      <w:r>
        <w:t xml:space="preserve">across Member States, which would significantly facilitate operations on a cross-border basis for</w:t>
      </w:r>
      <w:r>
        <w:t xml:space="preserve"> </w:t>
      </w:r>
      <w:r>
        <w:t xml:space="preserve">companies supporting this critical policy area. In addition, there could be a separate, mandatory</w:t>
      </w:r>
      <w:r>
        <w:t xml:space="preserve"> </w:t>
      </w:r>
      <w:r>
        <w:t xml:space="preserve">exclusion to cover the defence sector, which would also be in line with the Commission’s policies</w:t>
      </w:r>
      <w:r>
        <w:t xml:space="preserve"> </w:t>
      </w:r>
      <w:r>
        <w:t xml:space="preserve">on addressing security and defence challenges, and be consistent with the European Council’s call</w:t>
      </w:r>
      <w:r>
        <w:t xml:space="preserve"> </w:t>
      </w:r>
      <w:r>
        <w:t xml:space="preserve">to accelerate the work on all strands to decisively ramp up Europe’s defence readiness within the</w:t>
      </w:r>
      <w:r>
        <w:t xml:space="preserve"> </w:t>
      </w:r>
      <w:r>
        <w:t xml:space="preserve">next five years78. In light of that very call, this particular exclusion would, however, be applied on a</w:t>
      </w:r>
      <w:r>
        <w:t xml:space="preserve"> </w:t>
      </w:r>
      <w:r>
        <w:t xml:space="preserve">temporary basis, allowing for the EU to review whether targeted support of this policy remains of</w:t>
      </w:r>
      <w:r>
        <w:t xml:space="preserve"> </w:t>
      </w:r>
      <w:r>
        <w:t xml:space="preserve">equal priority over the long-term.</w:t>
      </w:r>
      <w:r>
        <w:br/>
      </w:r>
      <w:r>
        <w:t xml:space="preserve">By making such rules mandatory, this option would make the application of the Interest Limitation</w:t>
      </w:r>
      <w:r>
        <w:t xml:space="preserve"> </w:t>
      </w:r>
      <w:r>
        <w:t xml:space="preserve">Rule clearer and more streamlined across the EU, thus addressing some of the issues linked to the</w:t>
      </w:r>
      <w:r>
        <w:t xml:space="preserve"> </w:t>
      </w:r>
      <w:r>
        <w:t xml:space="preserve">current flexibility of the overall rule which were identified in the ATAD evaluation while</w:t>
      </w:r>
      <w:r>
        <w:t xml:space="preserve"> </w:t>
      </w:r>
      <w:r>
        <w:t xml:space="preserve">preserving the anti-BEPS effect and well-functioning of the rule.</w:t>
      </w:r>
    </w:p>
    <w:p>
      <w:pPr>
        <w:pStyle w:val="BodyText"/>
      </w:pPr>
      <w:r>
        <w:t xml:space="preserve">77 OECD (2016), Limiting Base Erosion Involving Interest Deductions and Other Financial Payments, Action 4 - 2016</w:t>
      </w:r>
      <w:r>
        <w:t xml:space="preserve"> </w:t>
      </w:r>
      <w:r>
        <w:t xml:space="preserve">Update: Inclusive Framework on BEPS, OECD/G20 Base Erosion and Profit Shifting Project, OECD Publishing, Paris,</w:t>
      </w:r>
      <w:r>
        <w:t xml:space="preserve"> </w:t>
      </w:r>
      <w:r>
        <w:t xml:space="preserve">https://doi.org/10.1787/9789264268333-en.</w:t>
      </w:r>
      <w:r>
        <w:br/>
      </w:r>
      <w:r>
        <w:t xml:space="preserve">78 Council Conclusions of 20 March 2025 (document EUCO 1/25)</w:t>
      </w:r>
    </w:p>
    <w:p>
      <w:pPr>
        <w:pStyle w:val="BodyText"/>
      </w:pPr>
      <w:r>
        <w:t xml:space="preserve">5.2.4.4. Option 4: Carve-out of low-risk third-party loans</w:t>
      </w:r>
      <w:r>
        <w:br/>
      </w:r>
      <w:r>
        <w:t xml:space="preserve">The current interest limitation set at 30% of a company’s EBITDA is determined in a way that</w:t>
      </w:r>
      <w:r>
        <w:t xml:space="preserve"> </w:t>
      </w:r>
      <w:r>
        <w:t xml:space="preserve">should ensure that most third-party debt is deductible as loans between independent parties</w:t>
      </w:r>
      <w:r>
        <w:t xml:space="preserve"> </w:t>
      </w:r>
      <w:r>
        <w:t xml:space="preserve">generally cause little to no risk of tax speculation. Under this option, the deductibility of third-party</w:t>
      </w:r>
      <w:r>
        <w:t xml:space="preserve"> </w:t>
      </w:r>
      <w:r>
        <w:t xml:space="preserve">debt could be extended by a carve-out from the scope of the Interest Limitation Rule.</w:t>
      </w:r>
      <w:r>
        <w:br/>
      </w:r>
      <w:r>
        <w:t xml:space="preserve">To preserve the objective of the Interest Limitation Rule, i.e., to limit the extent to which groups</w:t>
      </w:r>
      <w:r>
        <w:t xml:space="preserve"> </w:t>
      </w:r>
      <w:r>
        <w:t xml:space="preserve">can use intragroup interest expense to claim total net interest deductions in excess of their net third</w:t>
      </w:r>
      <w:r>
        <w:t xml:space="preserve"> </w:t>
      </w:r>
      <w:r>
        <w:t xml:space="preserve">party interest expense, a restrictive definition of third-party loans would be introduced. Under this</w:t>
      </w:r>
      <w:r>
        <w:t xml:space="preserve"> </w:t>
      </w:r>
      <w:r>
        <w:t xml:space="preserve">definition, the creditor should not be an associated enterprise or an entity of the same consolidated</w:t>
      </w:r>
      <w:r>
        <w:t xml:space="preserve"> </w:t>
      </w:r>
      <w:r>
        <w:t xml:space="preserve">group for financial accounting purposes of the debtor, and the debtor should use the debt to finance</w:t>
      </w:r>
      <w:r>
        <w:t xml:space="preserve"> </w:t>
      </w:r>
      <w:r>
        <w:t xml:space="preserve">its own activities, with no possibility of on-lending within the group.</w:t>
      </w:r>
      <w:r>
        <w:t xml:space="preserve"> </w:t>
      </w:r>
      <w:r>
        <w:t xml:space="preserve">Finally, an exclusion of third-party loans would also have automatic implications on the treatment</w:t>
      </w:r>
      <w:r>
        <w:t xml:space="preserve"> </w:t>
      </w:r>
      <w:r>
        <w:t xml:space="preserve">of standalone entities, since these entities, by definition, exclusively borrow from third parties.</w:t>
      </w:r>
      <w:r>
        <w:t xml:space="preserve"> </w:t>
      </w:r>
      <w:r>
        <w:t xml:space="preserve">Standalone entities would thus be de facto out of scope of the ATAD, which would make it</w:t>
      </w:r>
      <w:r>
        <w:t xml:space="preserve"> </w:t>
      </w:r>
      <w:r>
        <w:t xml:space="preserve">redundant to maintain the optionality of the current exclusion.</w:t>
      </w:r>
      <w:r>
        <w:br/>
      </w:r>
      <w:r>
        <w:t xml:space="preserve">5.2.4.5. Option 5: Exemption in case of profitability shock</w:t>
      </w:r>
      <w:r>
        <w:br/>
      </w:r>
      <w:r>
        <w:t xml:space="preserve">To ensure that the Interest Limitation Rule does not impact taxpayers beyond its objective, notably</w:t>
      </w:r>
      <w:r>
        <w:t xml:space="preserve"> </w:t>
      </w:r>
      <w:r>
        <w:t xml:space="preserve">by placing additional pressure on industries in situations of economic distress, a safety net could be</w:t>
      </w:r>
      <w:r>
        <w:t xml:space="preserve"> </w:t>
      </w:r>
      <w:r>
        <w:t xml:space="preserve">introduced: if a taxpayer’s EBITDA is reduced by a certain percentage (e.g. 50%) in a year, no</w:t>
      </w:r>
      <w:r>
        <w:t xml:space="preserve"> </w:t>
      </w:r>
      <w:r>
        <w:t xml:space="preserve">Interest Limitation Rule applies to this taxpayer in that year. The EBITDA reduction would be</w:t>
      </w:r>
      <w:r>
        <w:t xml:space="preserve"> </w:t>
      </w:r>
      <w:r>
        <w:t xml:space="preserve">assessed at entity level.</w:t>
      </w:r>
      <w:r>
        <w:br/>
      </w:r>
      <w:r>
        <w:t xml:space="preserve">5.2.5. Hybrid mismatches</w:t>
      </w:r>
      <w:r>
        <w:t xml:space="preserve"> </w:t>
      </w:r>
      <w:r>
        <w:t xml:space="preserve">To address the issues related to the excessive complexity and burden arising from hybrid</w:t>
      </w:r>
      <w:r>
        <w:t xml:space="preserve"> </w:t>
      </w:r>
      <w:r>
        <w:t xml:space="preserve">mismatches, which are described in Section 5.1.5, two options could be considered.</w:t>
      </w:r>
      <w:r>
        <w:t xml:space="preserve"> </w:t>
      </w:r>
      <w:r>
        <w:t xml:space="preserve">Figure 7: Simplification options for rules on hybrid mismatches</w:t>
      </w:r>
    </w:p>
    <w:p>
      <w:pPr>
        <w:pStyle w:val="BodyText"/>
      </w:pPr>
      <w:r>
        <w:t xml:space="preserve">5.2.5.1. Option 1A: Remove imported mismatches</w:t>
      </w:r>
      <w:r>
        <w:t xml:space="preserve"> </w:t>
      </w:r>
      <w:r>
        <w:t xml:space="preserve">The ATAD rules on imported mismatches are rarely applied due to the difficulties that tax</w:t>
      </w:r>
      <w:r>
        <w:t xml:space="preserve"> </w:t>
      </w:r>
      <w:r>
        <w:t xml:space="preserve">authorities encounter in obtaining the necessary information to identify the actual mismatch. This is</w:t>
      </w:r>
      <w:r>
        <w:t xml:space="preserve"> </w:t>
      </w:r>
      <w:r>
        <w:t xml:space="preserve">because the EU footprint of these arrangements is limited, as most of the steps take place in</w:t>
      </w:r>
      <w:r>
        <w:t xml:space="preserve"> </w:t>
      </w:r>
      <w:r>
        <w:t xml:space="preserve">jurisdictions outside the EU. There is therefore minimal access to information to sustain findings.</w:t>
      </w:r>
      <w:r>
        <w:t xml:space="preserve"> </w:t>
      </w:r>
      <w:r>
        <w:t xml:space="preserve">On this basis, keeping the rule on imported mismatches would maintain an administrative</w:t>
      </w:r>
    </w:p>
    <w:p>
      <w:pPr>
        <w:pStyle w:val="BodyText"/>
      </w:pPr>
      <w:r>
        <w:t xml:space="preserve">obligation in force for taxpayers without, in practice, contributing to sustaining the current level of</w:t>
      </w:r>
      <w:r>
        <w:t xml:space="preserve"> </w:t>
      </w:r>
      <w:r>
        <w:t xml:space="preserve">protection against tax planning practices in the EU.</w:t>
      </w:r>
      <w:r>
        <w:t xml:space="preserve"> </w:t>
      </w:r>
      <w:r>
        <w:t xml:space="preserve">5.2.5.2. Option 1B: Keep imported mismatches</w:t>
      </w:r>
      <w:r>
        <w:t xml:space="preserve"> </w:t>
      </w:r>
      <w:r>
        <w:t xml:space="preserve">The alternative option would be to maintain the status quo – i.e., continue to apply the rules on</w:t>
      </w:r>
      <w:r>
        <w:t xml:space="preserve"> </w:t>
      </w:r>
      <w:r>
        <w:t xml:space="preserve">imported mismatches. This would, however, imply a compliance burden on businesses and tax</w:t>
      </w:r>
      <w:r>
        <w:t xml:space="preserve"> </w:t>
      </w:r>
      <w:r>
        <w:t xml:space="preserve">administrations to sustain a rule that is rarely applied, given the challenges already explained</w:t>
      </w:r>
      <w:r>
        <w:t xml:space="preserve"> </w:t>
      </w:r>
      <w:r>
        <w:t xml:space="preserve">above, and which is therefore ineffective in practice.</w:t>
      </w:r>
    </w:p>
    <w:p>
      <w:pPr>
        <w:pStyle w:val="BodyText"/>
      </w:pPr>
      <w:r>
        <w:t xml:space="preserve">5.2.6. Tax mergers</w:t>
      </w:r>
      <w:r>
        <w:t xml:space="preserve"> </w:t>
      </w:r>
      <w:r>
        <w:t xml:space="preserve">To facilitate the functioning of the tax neutrality for mergers etc. within the EU, two alternative</w:t>
      </w:r>
      <w:r>
        <w:t xml:space="preserve"> </w:t>
      </w:r>
      <w:r>
        <w:t xml:space="preserve">options could be proposed:</w:t>
      </w:r>
      <w:r>
        <w:t xml:space="preserve"> </w:t>
      </w:r>
      <w:r>
        <w:t xml:space="preserve">Figure 8: Simplification options for TMD</w:t>
      </w:r>
    </w:p>
    <w:p>
      <w:pPr>
        <w:pStyle w:val="BodyText"/>
      </w:pPr>
      <w:r>
        <w:t xml:space="preserve">5.2.6.1. Option 1A: Dynamic Reference to the Mobility Directive</w:t>
      </w:r>
      <w:r>
        <w:br/>
      </w:r>
      <w:r>
        <w:t xml:space="preserve">Option 1A would introduce a dynamic link with the Company Law Merger Directive as amended</w:t>
      </w:r>
      <w:r>
        <w:t xml:space="preserve"> </w:t>
      </w:r>
      <w:r>
        <w:t xml:space="preserve">by the Mobility Directive would allow for a full alignment of the Directives and prevent any</w:t>
      </w:r>
      <w:r>
        <w:t xml:space="preserve"> </w:t>
      </w:r>
      <w:r>
        <w:t xml:space="preserve">mismatches should the Company Law Merger Directive be further amended in the future.</w:t>
      </w:r>
      <w:r>
        <w:t xml:space="preserve"> </w:t>
      </w:r>
      <w:r>
        <w:t xml:space="preserve">Concretely, the TMD would include a direct cross-reference the Company Law Merger Directive.</w:t>
      </w:r>
      <w:r>
        <w:br/>
      </w:r>
      <w:r>
        <w:t xml:space="preserve">On the one hand, the option would ensure that there is no immediate taxation when the new</w:t>
      </w:r>
      <w:r>
        <w:t xml:space="preserve"> </w:t>
      </w:r>
      <w:r>
        <w:t xml:space="preserve">restricting transactions, i.e., simplified mergers, divisions by separation, and cross-border</w:t>
      </w:r>
      <w:r>
        <w:t xml:space="preserve"> </w:t>
      </w:r>
      <w:r>
        <w:t xml:space="preserve">conversions, are carried out in the internal market. This would provide for a uniform tax treatment</w:t>
      </w:r>
      <w:r>
        <w:t xml:space="preserve"> </w:t>
      </w:r>
      <w:r>
        <w:t xml:space="preserve">of all restructuring transactions that are allowed under the Company Law Merger Directive as</w:t>
      </w:r>
      <w:r>
        <w:t xml:space="preserve"> </w:t>
      </w:r>
      <w:r>
        <w:t xml:space="preserve">amended by the Mobility Directive. On the other hand, this option could lead to uncertainty in the</w:t>
      </w:r>
      <w:r>
        <w:t xml:space="preserve"> </w:t>
      </w:r>
      <w:r>
        <w:t xml:space="preserve">future, leaving the TMD too open to any future changes to the Company Law Merger Directive,</w:t>
      </w:r>
      <w:r>
        <w:t xml:space="preserve"> </w:t>
      </w:r>
      <w:r>
        <w:t xml:space="preserve">including changes which may not always be adequate or necessary from a tax point of view.</w:t>
      </w:r>
      <w:r>
        <w:t xml:space="preserve"> </w:t>
      </w:r>
      <w:r>
        <w:t xml:space="preserve">5.2.6.2. Option 1B: Addition of new restructuring transactions to the TMD</w:t>
      </w:r>
      <w:r>
        <w:br/>
      </w:r>
      <w:r>
        <w:t xml:space="preserve">Option 1B would extend the scope of the TMD by including the new restructuring transactions, i.e.,</w:t>
      </w:r>
      <w:r>
        <w:t xml:space="preserve"> </w:t>
      </w:r>
      <w:r>
        <w:t xml:space="preserve">simplified mergers, divisions by separation and cross-border conversions, which can be found in</w:t>
      </w:r>
      <w:r>
        <w:t xml:space="preserve"> </w:t>
      </w:r>
      <w:r>
        <w:t xml:space="preserve">the Company Law Merger Directive as amended by the Mobility Directive.</w:t>
      </w:r>
      <w:r>
        <w:br/>
      </w:r>
      <w:r>
        <w:t xml:space="preserve">The introduction of cross-border conversions would effectively broaden the scope of the existing</w:t>
      </w:r>
      <w:r>
        <w:t xml:space="preserve"> </w:t>
      </w:r>
      <w:r>
        <w:t xml:space="preserve">rules on transfers of office, ensuring that all transfers are governed by a uniform framework. This</w:t>
      </w:r>
      <w:r>
        <w:t xml:space="preserve"> </w:t>
      </w:r>
      <w:r>
        <w:t xml:space="preserve">would apply regardless of the company’s legal form (where covered in the annex) and irrespective</w:t>
      </w:r>
      <w:r>
        <w:t xml:space="preserve"> </w:t>
      </w:r>
      <w:r>
        <w:t xml:space="preserve">of whether a prior legal form conversion is required beforehand.</w:t>
      </w:r>
    </w:p>
    <w:p>
      <w:pPr>
        <w:pStyle w:val="BodyText"/>
      </w:pPr>
      <w:r>
        <w:t xml:space="preserve">Similar to Option 1A, Option 1B would provide for a uniform tax treatment of all restructuring</w:t>
      </w:r>
      <w:r>
        <w:t xml:space="preserve"> </w:t>
      </w:r>
      <w:r>
        <w:t xml:space="preserve">transactions that are allowed under the Company Law Merger Directive as amended by the</w:t>
      </w:r>
      <w:r>
        <w:t xml:space="preserve"> </w:t>
      </w:r>
      <w:r>
        <w:t xml:space="preserve">Mobility Directive. In addition, this option would cater for specific tax needs, while providing legal</w:t>
      </w:r>
      <w:r>
        <w:t xml:space="preserve"> </w:t>
      </w:r>
      <w:r>
        <w:t xml:space="preserve">certainty to operators across the internal market.</w:t>
      </w:r>
      <w:r>
        <w:t xml:space="preserve"> </w:t>
      </w:r>
      <w:r>
        <w:t xml:space="preserve">5.2.7. Dispute resolution mechanisms</w:t>
      </w:r>
      <w:r>
        <w:t xml:space="preserve"> </w:t>
      </w:r>
      <w:r>
        <w:t xml:space="preserve">As outlined in Section 5.1.7, the use of the DRM is affected by a number of divergent interpretative</w:t>
      </w:r>
      <w:r>
        <w:t xml:space="preserve"> </w:t>
      </w:r>
      <w:r>
        <w:t xml:space="preserve">issues that create tax uncertainty. Two simplification options could therefore be considered:</w:t>
      </w:r>
      <w:r>
        <w:t xml:space="preserve"> </w:t>
      </w:r>
      <w:r>
        <w:t xml:space="preserve">Figure 9: Simplification options for DRM</w:t>
      </w:r>
    </w:p>
    <w:p>
      <w:pPr>
        <w:pStyle w:val="BodyText"/>
      </w:pPr>
      <w:r>
        <w:t xml:space="preserve">5.2.7.1. Option 1: Targeted legislative amendments to clarify procedural rules</w:t>
      </w:r>
      <w:r>
        <w:br/>
      </w:r>
      <w:r>
        <w:t xml:space="preserve">This option would propose targeted legislative amendments to address the identified interpretative</w:t>
      </w:r>
      <w:r>
        <w:t xml:space="preserve"> </w:t>
      </w:r>
      <w:r>
        <w:t xml:space="preserve">issues where amendments to the text of the DRM are needed to better clarify concepts and increase</w:t>
      </w:r>
      <w:r>
        <w:t xml:space="preserve"> </w:t>
      </w:r>
      <w:r>
        <w:t xml:space="preserve">the tax certainty of the procedure. The targeted amendments would mainly focus on clarifying key</w:t>
      </w:r>
      <w:r>
        <w:t xml:space="preserve"> </w:t>
      </w:r>
      <w:r>
        <w:t xml:space="preserve">procedural aspects of the complaint phase, including the meaning of the requirement to submit</w:t>
      </w:r>
      <w:r>
        <w:t xml:space="preserve"> </w:t>
      </w:r>
      <w:r>
        <w:t xml:space="preserve">complaints “simultaneously” (Art. 3(1)), the consequences of failing to do so (Art. 3(1)), the</w:t>
      </w:r>
      <w:r>
        <w:t xml:space="preserve"> </w:t>
      </w:r>
      <w:r>
        <w:t xml:space="preserve">possibility for taxpayers to remedy or resubmit incomplete complaints (Art. 3(4)), and the</w:t>
      </w:r>
      <w:r>
        <w:t xml:space="preserve"> </w:t>
      </w:r>
      <w:r>
        <w:t xml:space="preserve">identification of the “affected person” required to lodge a complaint in multi-entity situations (Art.</w:t>
      </w:r>
      <w:r>
        <w:t xml:space="preserve"> </w:t>
      </w:r>
      <w:r>
        <w:t xml:space="preserve">3(1)). Further amendments would address the interaction between the DRM procedure and other</w:t>
      </w:r>
      <w:r>
        <w:t xml:space="preserve"> </w:t>
      </w:r>
      <w:r>
        <w:t xml:space="preserve">ongoing dispute resolution procedures (Art. 16(5)), and procedural aspects of the dispute resolution</w:t>
      </w:r>
      <w:r>
        <w:t xml:space="preserve"> </w:t>
      </w:r>
      <w:r>
        <w:t xml:space="preserve">stage, such as objections to the appointment of a person of standing (Art. 8(4–5)). Overall, these</w:t>
      </w:r>
      <w:r>
        <w:t xml:space="preserve"> </w:t>
      </w:r>
      <w:r>
        <w:t xml:space="preserve">amendments would aim to remove ambiguities in the DRM and ensure a clearer and more</w:t>
      </w:r>
      <w:r>
        <w:t xml:space="preserve"> </w:t>
      </w:r>
      <w:r>
        <w:t xml:space="preserve">predictable application of the procedure across Member States.</w:t>
      </w:r>
      <w:r>
        <w:br/>
      </w:r>
      <w:r>
        <w:t xml:space="preserve">5.2.7.2. Option 2: Use of Council implementing acts</w:t>
      </w:r>
      <w:r>
        <w:br/>
      </w:r>
      <w:r>
        <w:t xml:space="preserve">For issues that are inherently more complex and where uniform application cannot be achieved</w:t>
      </w:r>
      <w:r>
        <w:t xml:space="preserve"> </w:t>
      </w:r>
      <w:r>
        <w:t xml:space="preserve">without binding rules, Council implementing acts could be used as a more appropriate tool. This</w:t>
      </w:r>
      <w:r>
        <w:t xml:space="preserve"> </w:t>
      </w:r>
      <w:r>
        <w:t xml:space="preserve">would concern cases in which interpretative difficulties cannot be resolved through targeted</w:t>
      </w:r>
      <w:r>
        <w:t xml:space="preserve"> </w:t>
      </w:r>
      <w:r>
        <w:t xml:space="preserve">legislative amendments alone but require more detailed binding provisions to ensure consistent</w:t>
      </w:r>
      <w:r>
        <w:t xml:space="preserve"> </w:t>
      </w:r>
      <w:r>
        <w:t xml:space="preserve">implementation across Member States.</w:t>
      </w:r>
      <w:r>
        <w:br/>
      </w:r>
      <w:r>
        <w:t xml:space="preserve">As a result, this option would include a provision empowering the Council to adopt Council</w:t>
      </w:r>
      <w:r>
        <w:t xml:space="preserve"> </w:t>
      </w:r>
      <w:r>
        <w:t xml:space="preserve">implementing acts to ensure a more uniform implementation of the DRM and to clarify certain</w:t>
      </w:r>
      <w:r>
        <w:t xml:space="preserve"> </w:t>
      </w:r>
      <w:r>
        <w:t xml:space="preserve">operational aspects of the procedure laid down in the DRM , including: (1) the communication flow</w:t>
      </w:r>
      <w:r>
        <w:t xml:space="preserve"> </w:t>
      </w:r>
      <w:r>
        <w:t xml:space="preserve">between competent authorities; (2) the application of the simplified procedure for SMEs; and (3)</w:t>
      </w:r>
      <w:r>
        <w:t xml:space="preserve"> </w:t>
      </w:r>
      <w:r>
        <w:t xml:space="preserve">the interaction between procedures under the DRM and proceedings before national courts.</w:t>
      </w:r>
    </w:p>
    <w:p>
      <w:pPr>
        <w:pStyle w:val="BodyText"/>
      </w:pPr>
      <w:r>
        <w:t xml:space="preserve">5.3. Options discarded at an early stage</w:t>
      </w:r>
      <w:r>
        <w:t xml:space="preserve"> </w:t>
      </w:r>
      <w:r>
        <w:t xml:space="preserve">5.3.1. Abolish CFC rules</w:t>
      </w:r>
      <w:r>
        <w:t xml:space="preserve"> </w:t>
      </w:r>
      <w:r>
        <w:t xml:space="preserve">According to the ATAD evaluation, the rationale for retaining the CFC rules in a post-Pillar 2</w:t>
      </w:r>
      <w:r>
        <w:t xml:space="preserve"> </w:t>
      </w:r>
      <w:r>
        <w:t xml:space="preserve">environment is weakened. For groups within the scope of Pillar 2, the introduction of the Pillar 2</w:t>
      </w:r>
      <w:r>
        <w:t xml:space="preserve"> </w:t>
      </w:r>
      <w:r>
        <w:t xml:space="preserve">global minimum tax makes CFC rules partially redundant, despite differences in scope and</w:t>
      </w:r>
      <w:r>
        <w:t xml:space="preserve"> </w:t>
      </w:r>
      <w:r>
        <w:t xml:space="preserve">functioning mechanisms. For smaller groups, outside the scope of Pillar 2, i.e., with a global</w:t>
      </w:r>
      <w:r>
        <w:t xml:space="preserve"> </w:t>
      </w:r>
      <w:r>
        <w:t xml:space="preserve">turnover below EUR 750,000,000, academic literature suggests that tax avoidance is primarily</w:t>
      </w:r>
      <w:r>
        <w:t xml:space="preserve"> </w:t>
      </w:r>
      <w:r>
        <w:t xml:space="preserve">concentrated among the largest and more complex structures, thereby calling into question the</w:t>
      </w:r>
      <w:r>
        <w:t xml:space="preserve"> </w:t>
      </w:r>
      <w:r>
        <w:t xml:space="preserve">proportionality and effectiveness of maintaining the CFC rules in ATAD. Therefore, the possibility</w:t>
      </w:r>
      <w:r>
        <w:t xml:space="preserve"> </w:t>
      </w:r>
      <w:r>
        <w:t xml:space="preserve">of discontinuing the CFC rules in ATAD could be considered79.</w:t>
      </w:r>
      <w:r>
        <w:br/>
      </w:r>
      <w:r>
        <w:t xml:space="preserve">However, this option has been discarded. While the introduction of Pillar 2 global minimum tax</w:t>
      </w:r>
      <w:r>
        <w:t xml:space="preserve"> </w:t>
      </w:r>
      <w:r>
        <w:t xml:space="preserve">rules and the concentration of tax avoidance among larger and more complex MNE groups call into</w:t>
      </w:r>
      <w:r>
        <w:t xml:space="preserve"> </w:t>
      </w:r>
      <w:r>
        <w:t xml:space="preserve">question the current scope of CFC rules in ATAD, a complete abolition of such rules would create</w:t>
      </w:r>
      <w:r>
        <w:t xml:space="preserve"> </w:t>
      </w:r>
      <w:r>
        <w:t xml:space="preserve">a significant gap in the EU anti-avoidance framework. While tax avoidance risk may be limited for</w:t>
      </w:r>
      <w:r>
        <w:t xml:space="preserve"> </w:t>
      </w:r>
      <w:r>
        <w:t xml:space="preserve">SMEs, full abolition of CFC rules would remove a key safeguard for MNE groups not effectively</w:t>
      </w:r>
      <w:r>
        <w:t xml:space="preserve"> </w:t>
      </w:r>
      <w:r>
        <w:t xml:space="preserve">covered by the scope of Pillar 2 either due to their relatively smaller size, i.e., with a global</w:t>
      </w:r>
      <w:r>
        <w:t xml:space="preserve"> </w:t>
      </w:r>
      <w:r>
        <w:t xml:space="preserve">turnover close to but still below EUR 750,000,000, or specific structure. This option would,</w:t>
      </w:r>
      <w:r>
        <w:t xml:space="preserve"> </w:t>
      </w:r>
      <w:r>
        <w:t xml:space="preserve">therefore, not be fully in line with the general objective of maintaining high tax standards in the</w:t>
      </w:r>
      <w:r>
        <w:t xml:space="preserve"> </w:t>
      </w:r>
      <w:r>
        <w:t xml:space="preserve">EU.</w:t>
      </w:r>
      <w:r>
        <w:t xml:space="preserve"> </w:t>
      </w:r>
      <w:r>
        <w:t xml:space="preserve">5.3.2. Abolish hybrid mismatches for Pillar 2 companies</w:t>
      </w:r>
      <w:r>
        <w:t xml:space="preserve"> </w:t>
      </w:r>
      <w:r>
        <w:t xml:space="preserve">During the stakeholder consultations, some businesses argued that the rules on hybrid mismatches</w:t>
      </w:r>
      <w:r>
        <w:t xml:space="preserve"> </w:t>
      </w:r>
      <w:r>
        <w:t xml:space="preserve">in the ATAD should be abolished for companies within the scope of Pillar 2, as consistent</w:t>
      </w:r>
      <w:r>
        <w:t xml:space="preserve"> </w:t>
      </w:r>
      <w:r>
        <w:t xml:space="preserve">treatment in accounting should ensure sufficient taxation at 15%. On this basis, the abolishment of</w:t>
      </w:r>
      <w:r>
        <w:t xml:space="preserve"> </w:t>
      </w:r>
      <w:r>
        <w:t xml:space="preserve">the rules on hybrid mismatches for Pillar 2 companies could be considered.</w:t>
      </w:r>
      <w:r>
        <w:t xml:space="preserve"> </w:t>
      </w:r>
      <w:r>
        <w:t xml:space="preserve">However, this option has been discarded. Pillar 2 may ensure that the companies in scope pay a</w:t>
      </w:r>
      <w:r>
        <w:t xml:space="preserve"> </w:t>
      </w:r>
      <w:r>
        <w:t xml:space="preserve">minimum level of tax but does not rectify the underlying differences in how financial instruments,</w:t>
      </w:r>
      <w:r>
        <w:t xml:space="preserve"> </w:t>
      </w:r>
      <w:r>
        <w:t xml:space="preserve">entities, or transfers are treated under national tax rules. As a result, without the rules on hybrid</w:t>
      </w:r>
      <w:r>
        <w:t xml:space="preserve"> </w:t>
      </w:r>
      <w:r>
        <w:t xml:space="preserve">mismatches, some groups of companies in scope of Pillar 2 may still have an incentive to exploit</w:t>
      </w:r>
      <w:r>
        <w:t xml:space="preserve"> </w:t>
      </w:r>
      <w:r>
        <w:t xml:space="preserve">these differences, in order to erode their tax base in Member States where they pay an effective tax</w:t>
      </w:r>
      <w:r>
        <w:t xml:space="preserve"> </w:t>
      </w:r>
      <w:r>
        <w:t xml:space="preserve">at a level which is above the minimum or to reduce the income included in the computation of the</w:t>
      </w:r>
      <w:r>
        <w:t xml:space="preserve"> </w:t>
      </w:r>
      <w:r>
        <w:t xml:space="preserve">top-up tax amount, where applicable. This option would, therefore, lower the current level of</w:t>
      </w:r>
      <w:r>
        <w:t xml:space="preserve"> </w:t>
      </w:r>
      <w:r>
        <w:t xml:space="preserve">protection against tax planning practices in the EU, which goes against the general objective of</w:t>
      </w:r>
      <w:r>
        <w:t xml:space="preserve"> </w:t>
      </w:r>
      <w:r>
        <w:t xml:space="preserve">maintaining high tax standards in the EU.</w:t>
      </w:r>
      <w:r>
        <w:t xml:space="preserve"> </w:t>
      </w:r>
      <w:r>
        <w:t xml:space="preserve">5.3.3. Abolish the Interest Limitation Rule for Pillar 2 companies</w:t>
      </w:r>
      <w:r>
        <w:t xml:space="preserve"> </w:t>
      </w:r>
      <w:r>
        <w:t xml:space="preserve">During the stakeholder consultations, some businesses argued that since Pillar 2 already neutralises</w:t>
      </w:r>
      <w:r>
        <w:t xml:space="preserve"> </w:t>
      </w:r>
      <w:r>
        <w:t xml:space="preserve">incentives for profit shifting through intra-group financing by ensuring a minimum 15% effective</w:t>
      </w:r>
      <w:r>
        <w:t xml:space="preserve"> </w:t>
      </w:r>
      <w:r>
        <w:t xml:space="preserve">tax rate, the Interest Limitation Rule in the ATAD could be abolished for Pillar 2 companies.</w:t>
      </w:r>
      <w:r>
        <w:t xml:space="preserve"> </w:t>
      </w:r>
      <w:r>
        <w:t xml:space="preserve">According to businesses, this would deliver important simplification and competitive gains without</w:t>
      </w:r>
      <w:r>
        <w:t xml:space="preserve"> </w:t>
      </w:r>
      <w:r>
        <w:t xml:space="preserve">undermining anti-avoidance objectives.</w:t>
      </w:r>
    </w:p>
    <w:p>
      <w:pPr>
        <w:pStyle w:val="BodyText"/>
      </w:pPr>
      <w:r>
        <w:t xml:space="preserve">79 Commission Staff Working Document: Evaluation of Council Directive 2016/1164 laying down rules against tax</w:t>
      </w:r>
      <w:r>
        <w:t xml:space="preserve"> </w:t>
      </w:r>
      <w:r>
        <w:t xml:space="preserve">avoidance practices that directly affect the functioning of the internal market.</w:t>
      </w:r>
    </w:p>
    <w:p>
      <w:pPr>
        <w:pStyle w:val="BodyText"/>
      </w:pPr>
      <w:r>
        <w:t xml:space="preserve">Nonetheless, this option has been discarded. The Interest Limitation Rule protects the tax base.</w:t>
      </w:r>
      <w:r>
        <w:t xml:space="preserve"> </w:t>
      </w:r>
      <w:r>
        <w:t xml:space="preserve">While Pillar 2 sets a minimum global tax rate, the Interest Limitation Rule ensures that the base to</w:t>
      </w:r>
      <w:r>
        <w:t xml:space="preserve"> </w:t>
      </w:r>
      <w:r>
        <w:t xml:space="preserve">which the minimum effective tax rate applies is not eroded through excessive interest expenses.</w:t>
      </w:r>
      <w:r>
        <w:t xml:space="preserve"> </w:t>
      </w:r>
      <w:r>
        <w:t xml:space="preserve">Consequently, the Interest Limitation Rule and Pillar 2 are not alternatives, and such option would</w:t>
      </w:r>
      <w:r>
        <w:t xml:space="preserve"> </w:t>
      </w:r>
      <w:r>
        <w:t xml:space="preserve">lower the current level of protection against tax planning practices in the EU, which goes against</w:t>
      </w:r>
      <w:r>
        <w:t xml:space="preserve"> </w:t>
      </w:r>
      <w:r>
        <w:t xml:space="preserve">the general objective of maintaining high tax standards in the EU. Moreover, removing the Interest</w:t>
      </w:r>
      <w:r>
        <w:t xml:space="preserve"> </w:t>
      </w:r>
      <w:r>
        <w:t xml:space="preserve">Limitation Rule only for large companies would thus also provide those entities with an advantage</w:t>
      </w:r>
      <w:r>
        <w:t xml:space="preserve"> </w:t>
      </w:r>
      <w:r>
        <w:t xml:space="preserve">over smaller competitors, who are generally already in less competitive financial positions and</w:t>
      </w:r>
      <w:r>
        <w:t xml:space="preserve"> </w:t>
      </w:r>
      <w:r>
        <w:t xml:space="preserve">would then additionally suffer more stringent borrowing conditions than larger competitors.</w:t>
      </w:r>
      <w:r>
        <w:t xml:space="preserve"> </w:t>
      </w:r>
      <w:r>
        <w:t xml:space="preserve">Accordingly, this would negatively impact the level playing field in the EU.</w:t>
      </w:r>
      <w:r>
        <w:br/>
      </w:r>
      <w:r>
        <w:t xml:space="preserve">5.3.4. Carve Pillar 2 companies out of the ATAD</w:t>
      </w:r>
      <w:r>
        <w:t xml:space="preserve"> </w:t>
      </w:r>
      <w:r>
        <w:t xml:space="preserve">During the stakeholder consultations, businesses argued that the introduction of Pillar 2 ensures that</w:t>
      </w:r>
      <w:r>
        <w:t xml:space="preserve"> </w:t>
      </w:r>
      <w:r>
        <w:t xml:space="preserve">companies worldwide are subject to a baseline level of taxation. According to them, this</w:t>
      </w:r>
      <w:r>
        <w:t xml:space="preserve"> </w:t>
      </w:r>
      <w:r>
        <w:t xml:space="preserve">development creates redundancies in anti-abuse regulations, leads to unnecessary duplication,</w:t>
      </w:r>
      <w:r>
        <w:t xml:space="preserve"> </w:t>
      </w:r>
      <w:r>
        <w:t xml:space="preserve">heavier compliance burdens and competitive disadvantages for EU-based groups.</w:t>
      </w:r>
      <w:r>
        <w:br/>
      </w:r>
      <w:r>
        <w:t xml:space="preserve">However, this option has been discarded. Although Pillar 2 and the ATAD share common</w:t>
      </w:r>
      <w:r>
        <w:t xml:space="preserve"> </w:t>
      </w:r>
      <w:r>
        <w:t xml:space="preserve">objectives, they differ in scope and do not necessarily address the same issues. As illustrated above,</w:t>
      </w:r>
      <w:r>
        <w:t xml:space="preserve"> </w:t>
      </w:r>
      <w:r>
        <w:t xml:space="preserve">even with the implementation of Pillar 2, certain ATAD measures remain necessary to ensure that</w:t>
      </w:r>
      <w:r>
        <w:t xml:space="preserve"> </w:t>
      </w:r>
      <w:r>
        <w:t xml:space="preserve">BEPS risks are minimised. A full exemption for Pillar 2 companies from the whole of the ATAD</w:t>
      </w:r>
      <w:r>
        <w:t xml:space="preserve"> </w:t>
      </w:r>
      <w:r>
        <w:t xml:space="preserve">would substantially lower the current level of protection against tax planning practices in the EU,</w:t>
      </w:r>
      <w:r>
        <w:t xml:space="preserve"> </w:t>
      </w:r>
      <w:r>
        <w:t xml:space="preserve">which goes against the general objective of maintaining high tax standards in the EU.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6.1. The initiative to be assessed</w:t>
      </w:r>
      <w:r>
        <w:t xml:space="preserve"> </w:t>
      </w:r>
      <w:r>
        <w:t xml:space="preserve">As set out in the above chapters, the Omnibus on Taxation will cover all EU corporate tax</w:t>
      </w:r>
      <w:r>
        <w:t xml:space="preserve"> </w:t>
      </w:r>
      <w:r>
        <w:t xml:space="preserve">Directives80 and aims to potentially eliminate, amend or harmonise a wide array of tax rules. It will</w:t>
      </w:r>
      <w:r>
        <w:t xml:space="preserve"> </w:t>
      </w:r>
      <w:r>
        <w:t xml:space="preserve">bring simplification for EU taxpayers with the objective of significantly lowering compliance and</w:t>
      </w:r>
      <w:r>
        <w:t xml:space="preserve"> </w:t>
      </w:r>
      <w:r>
        <w:t xml:space="preserve">administrative costs, boosting EU competitiveness, and facilitating investment, while ensuring that</w:t>
      </w:r>
      <w:r>
        <w:t xml:space="preserve"> </w:t>
      </w:r>
      <w:r>
        <w:t xml:space="preserve">the EU’s high tax standards are maintained.</w:t>
      </w:r>
      <w:r>
        <w:br/>
      </w:r>
      <w:r>
        <w:t xml:space="preserve">This Chapter explores the impact of the envisaged measures, which constitute responses to the</w:t>
      </w:r>
      <w:r>
        <w:t xml:space="preserve"> </w:t>
      </w:r>
      <w:r>
        <w:t xml:space="preserve">baseline and have been individually outlined in Chapter 5. It first assesses the economic impact of</w:t>
      </w:r>
      <w:r>
        <w:t xml:space="preserve"> </w:t>
      </w:r>
      <w:r>
        <w:t xml:space="preserve">the different policy options on the taxation of cross-border interest, royalty and dividend payments</w:t>
      </w:r>
      <w:r>
        <w:t xml:space="preserve"> </w:t>
      </w:r>
      <w:r>
        <w:t xml:space="preserve">(Section 6.2.1 below), and the taxation of controlled foreign companies (CFC) belonging to groups</w:t>
      </w:r>
      <w:r>
        <w:t xml:space="preserve"> </w:t>
      </w:r>
      <w:r>
        <w:t xml:space="preserve">subject to Pillar 2 (Section 6.2.2 below). The assessment is conducted both in terms of direct cost</w:t>
      </w:r>
      <w:r>
        <w:t xml:space="preserve"> </w:t>
      </w:r>
      <w:r>
        <w:t xml:space="preserve">savings and broader, long-term economic impact. In addition, the analysis covers the aggregate</w:t>
      </w:r>
      <w:r>
        <w:t xml:space="preserve"> </w:t>
      </w:r>
      <w:r>
        <w:t xml:space="preserve">impact in terms of compliance costs of the remaining options (Section 06.2.5 below) and the</w:t>
      </w:r>
      <w:r>
        <w:t xml:space="preserve"> </w:t>
      </w:r>
      <w:r>
        <w:t xml:space="preserve">economic impact of the envisaged immediate expensing of R&amp;D-related assets (Section 6.2.3 0</w:t>
      </w:r>
      <w:r>
        <w:t xml:space="preserve"> </w:t>
      </w:r>
      <w:r>
        <w:t xml:space="preserve">below) as well as certain changes to the Interest Limitation Rule (Section 0 below). This analysis is</w:t>
      </w:r>
      <w:r>
        <w:t xml:space="preserve"> </w:t>
      </w:r>
      <w:r>
        <w:t xml:space="preserve">supported by the methodological and analytical approaches explained in Annex 4 to this report.</w:t>
      </w:r>
      <w:r>
        <w:t xml:space="preserve"> </w:t>
      </w:r>
      <w:r>
        <w:t xml:space="preserve">Finally, this Chapter provides general remarks on the limits assessing the impact of the Omnibus on</w:t>
      </w:r>
    </w:p>
    <w:p>
      <w:pPr>
        <w:pStyle w:val="BodyText"/>
      </w:pPr>
      <w:r>
        <w:t xml:space="preserve">80 To recall, the Omnibus aims to amend the IRD, PSD, FASTER, ATAD (both directives), TMD, and DRM. The Pillar</w:t>
      </w:r>
      <w:r>
        <w:t xml:space="preserve"> </w:t>
      </w:r>
      <w:r>
        <w:t xml:space="preserve">2 Directive plays a key role, and interacts in some instances with these rules, but will not be amended.</w:t>
      </w:r>
    </w:p>
    <w:p>
      <w:pPr>
        <w:pStyle w:val="BodyText"/>
      </w:pPr>
      <w:r>
        <w:t xml:space="preserve">tax administrations, and briefly explores potential environmental, social and fundamental rights</w:t>
      </w:r>
      <w:r>
        <w:t xml:space="preserve"> </w:t>
      </w:r>
      <w:r>
        <w:t xml:space="preserve">impacts.</w:t>
      </w:r>
      <w:r>
        <w:br/>
      </w:r>
      <w:r>
        <w:t xml:space="preserve">In this way, the outcome of the analysis in this chapter can be used to compare the options, as</w:t>
      </w:r>
      <w:r>
        <w:t xml:space="preserve"> </w:t>
      </w:r>
      <w:r>
        <w:t xml:space="preserve">designed in three versions (Chapter 7), in order to subsequently determine the preferred way</w:t>
      </w:r>
      <w:r>
        <w:t xml:space="preserve"> </w:t>
      </w:r>
      <w:r>
        <w:t xml:space="preserve">forward for this initiative (Chapter 8).</w:t>
      </w:r>
      <w:r>
        <w:br/>
      </w:r>
      <w:r>
        <w:t xml:space="preserve">6.2. Economic impacts of policy options</w:t>
      </w:r>
      <w:r>
        <w:t xml:space="preserve"> </w:t>
      </w:r>
      <w:r>
        <w:t xml:space="preserve">The impacts of the policy options are assessed based on the material (monetary) and administrative</w:t>
      </w:r>
      <w:r>
        <w:t xml:space="preserve"> </w:t>
      </w:r>
      <w:r>
        <w:t xml:space="preserve">impact for businesses, the EU and its Member States, in addition to, where possible, macro-</w:t>
      </w:r>
      <w:r>
        <w:t xml:space="preserve"> </w:t>
      </w:r>
      <w:r>
        <w:t xml:space="preserve">economic impacts. Several methods were used to analyse the impact of the different policy options,</w:t>
      </w:r>
      <w:r>
        <w:t xml:space="preserve"> </w:t>
      </w:r>
      <w:r>
        <w:t xml:space="preserve">namely desk research, stakeholder feedback through a call for evidence and extensive</w:t>
      </w:r>
      <w:r>
        <w:t xml:space="preserve"> </w:t>
      </w:r>
      <w:r>
        <w:t xml:space="preserve">individual/multilateral meetings, discussions with Member States, and own calculations. The</w:t>
      </w:r>
      <w:r>
        <w:t xml:space="preserve"> </w:t>
      </w:r>
      <w:r>
        <w:t xml:space="preserve">specific methodology and analysis used will either be explained directly in this Chapter or detailed</w:t>
      </w:r>
      <w:r>
        <w:t xml:space="preserve"> </w:t>
      </w:r>
      <w:r>
        <w:t xml:space="preserve">in Annex 4. Among others, the analysis also uses CORTAX computable general equilibrium (CGE)</w:t>
      </w:r>
      <w:r>
        <w:t xml:space="preserve"> </w:t>
      </w:r>
      <w:r>
        <w:t xml:space="preserve">modelling, provided by the JRC, to assess macro-economic impacts.</w:t>
      </w:r>
      <w:r>
        <w:br/>
      </w:r>
      <w:r>
        <w:t xml:space="preserve">In brief, there are two types of data available, on the basis of which assessments of the policy</w:t>
      </w:r>
      <w:r>
        <w:t xml:space="preserve"> </w:t>
      </w:r>
      <w:r>
        <w:t xml:space="preserve">options and related considerations are conducted: macro data derived from official statistics and a</w:t>
      </w:r>
      <w:r>
        <w:t xml:space="preserve"> </w:t>
      </w:r>
      <w:r>
        <w:t xml:space="preserve">large database on individual companies (micro data).</w:t>
      </w:r>
      <w:r>
        <w:br/>
      </w:r>
      <w:r>
        <w:t xml:space="preserve">However, the general scarcity of available data is a central problem that affects the ability to</w:t>
      </w:r>
      <w:r>
        <w:t xml:space="preserve"> </w:t>
      </w:r>
      <w:r>
        <w:t xml:space="preserve">accurately assess the impacts and revenues related to certain current policy options at a sufficiently</w:t>
      </w:r>
      <w:r>
        <w:t xml:space="preserve"> </w:t>
      </w:r>
      <w:r>
        <w:t xml:space="preserve">granular level. This is demonstrated in the difficulties to identify companies’ specific financial and</w:t>
      </w:r>
      <w:r>
        <w:t xml:space="preserve"> </w:t>
      </w:r>
      <w:r>
        <w:t xml:space="preserve">portfolio activities in a sufficiently segmented way – a way that would allow to assess the various</w:t>
      </w:r>
      <w:r>
        <w:t xml:space="preserve"> </w:t>
      </w:r>
      <w:r>
        <w:t xml:space="preserve">options under the Interest Limitation Rule in more detail, or to know the exact number of taxpayers</w:t>
      </w:r>
      <w:r>
        <w:t xml:space="preserve"> </w:t>
      </w:r>
      <w:r>
        <w:t xml:space="preserve">subject to CFC rules, and how often the CFC rules are therefore applied. In absence of such</w:t>
      </w:r>
      <w:r>
        <w:t xml:space="preserve"> </w:t>
      </w:r>
      <w:r>
        <w:t xml:space="preserve">granular data, the impact of the exemption from CFC rules for certain companies cannot be</w:t>
      </w:r>
      <w:r>
        <w:t xml:space="preserve"> </w:t>
      </w:r>
      <w:r>
        <w:t xml:space="preserve">estimated with greater precision.</w:t>
      </w:r>
      <w:r>
        <w:br/>
      </w:r>
      <w:r>
        <w:t xml:space="preserve">More generally, a higher level of granularity would be needed to accurately quantify each problem</w:t>
      </w:r>
      <w:r>
        <w:t xml:space="preserve"> </w:t>
      </w:r>
      <w:r>
        <w:t xml:space="preserve">and its related impacts. Such data is, however, available only at the taxpayer level or, to a certain</w:t>
      </w:r>
      <w:r>
        <w:t xml:space="preserve"> </w:t>
      </w:r>
      <w:r>
        <w:t xml:space="preserve">extent, in the hands of national tax administrations; given the proprietary and confidential nature of</w:t>
      </w:r>
      <w:r>
        <w:t xml:space="preserve"> </w:t>
      </w:r>
      <w:r>
        <w:t xml:space="preserve">such data (e.g., to whom (how many companies), at what rate (in which jurisdiction), and how</w:t>
      </w:r>
      <w:r>
        <w:t xml:space="preserve"> </w:t>
      </w:r>
      <w:r>
        <w:t xml:space="preserve">many times CFC is applied, or the interest on loans that companies actually face and size of these</w:t>
      </w:r>
      <w:r>
        <w:t xml:space="preserve"> </w:t>
      </w:r>
      <w:r>
        <w:t xml:space="preserve">loans for the Interest Limitation Rule related analysis), it is not available to the Commission. The</w:t>
      </w:r>
      <w:r>
        <w:t xml:space="preserve"> </w:t>
      </w:r>
      <w:r>
        <w:t xml:space="preserve">Commission has thus sought data input from certain companies in order to conduct a reality-check</w:t>
      </w:r>
      <w:r>
        <w:t xml:space="preserve"> </w:t>
      </w:r>
      <w:r>
        <w:t xml:space="preserve">on certain assumptions, and in order to extrapolate this information to a broader taxpayer base</w:t>
      </w:r>
      <w:r>
        <w:t xml:space="preserve"> </w:t>
      </w:r>
      <w:r>
        <w:t xml:space="preserve">where possible. But this approach has its limitations. All estimates provided in this chapter must,</w:t>
      </w:r>
      <w:r>
        <w:t xml:space="preserve"> </w:t>
      </w:r>
      <w:r>
        <w:t xml:space="preserve">therefore, be interpreted with due care. As stated, details on the methodology used in various</w:t>
      </w:r>
      <w:r>
        <w:t xml:space="preserve"> </w:t>
      </w:r>
      <w:r>
        <w:t xml:space="preserve">calculations are further elaborated in Annex 4. Section 6.3 also addresses the limits of quantifying</w:t>
      </w:r>
      <w:r>
        <w:t xml:space="preserve"> </w:t>
      </w:r>
      <w:r>
        <w:t xml:space="preserve">the impact of the measures on tax authorities.</w:t>
      </w:r>
      <w:r>
        <w:t xml:space="preserve"> </w:t>
      </w:r>
      <w:r>
        <w:t xml:space="preserve">6.2.1. Withholding tax exemption for payments of interest, royalties and dividends</w:t>
      </w:r>
      <w:r>
        <w:br/>
      </w:r>
      <w:r>
        <w:t xml:space="preserve">More detailed information on the methodology used and analysis for the measures proposed in</w:t>
      </w:r>
      <w:r>
        <w:t xml:space="preserve"> </w:t>
      </w:r>
      <w:r>
        <w:t xml:space="preserve">relation to withholding taxes can be found in Annex 4, Section 2 and Section 5.1.</w:t>
      </w:r>
    </w:p>
    <w:p>
      <w:pPr>
        <w:pStyle w:val="BodyText"/>
      </w:pPr>
      <w:r>
        <w:t xml:space="preserve">6.2.1.1.Option 1A: Full exemption from withholding tax accompanied by</w:t>
      </w:r>
      <w:r>
        <w:t xml:space="preserve"> </w:t>
      </w:r>
      <w:r>
        <w:t xml:space="preserve">procedural adjustments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In a first instance, the impact of the measure has been assessed from a micro-economic point of</w:t>
      </w:r>
      <w:r>
        <w:t xml:space="preserve"> </w:t>
      </w:r>
      <w:r>
        <w:t xml:space="preserve">view, taking into account both the direct compliance and administrative cost for corporate</w:t>
      </w:r>
      <w:r>
        <w:t xml:space="preserve"> </w:t>
      </w:r>
      <w:r>
        <w:t xml:space="preserve">taxpayers themselves, as well as the indirect impact in terms of opportunity costs and effects of</w:t>
      </w:r>
      <w:r>
        <w:t xml:space="preserve"> </w:t>
      </w:r>
      <w:r>
        <w:t xml:space="preserve">foregone tax payments. Section 2 of Annex 4 provides an overview in different steps of the</w:t>
      </w:r>
      <w:r>
        <w:t xml:space="preserve"> </w:t>
      </w:r>
      <w:r>
        <w:t xml:space="preserve">methodology used to calculate this81.</w:t>
      </w:r>
      <w:r>
        <w:t xml:space="preserve"> </w:t>
      </w:r>
      <w:r>
        <w:t xml:space="preserve">In brief, one of the specific objectives of the Omnibus on Taxation is to eliminate unnecessary EU</w:t>
      </w:r>
      <w:r>
        <w:t xml:space="preserve"> </w:t>
      </w:r>
      <w:r>
        <w:t xml:space="preserve">tax compliance burdens. To estimate the potential impact of this in relation to interest, royalties and</w:t>
      </w:r>
      <w:r>
        <w:t xml:space="preserve"> </w:t>
      </w:r>
      <w:r>
        <w:t xml:space="preserve">dividend flows in the EU, Annex 4 first describes the cost characteristics, before estimating the</w:t>
      </w:r>
      <w:r>
        <w:t xml:space="preserve"> </w:t>
      </w:r>
      <w:r>
        <w:t xml:space="preserve">importance of the respective flows. Next, the tax relief at stake and potential cost reduction from</w:t>
      </w:r>
      <w:r>
        <w:t xml:space="preserve"> </w:t>
      </w:r>
      <w:r>
        <w:t xml:space="preserve">the measure is calculated: in doing so, the analysis estimates that the direct cost relief from a full</w:t>
      </w:r>
      <w:r>
        <w:t xml:space="preserve"> </w:t>
      </w:r>
      <w:r>
        <w:t xml:space="preserve">exemption on interest, royalties and dividends would amount to annual savings of approximately</w:t>
      </w:r>
      <w:r>
        <w:t xml:space="preserve"> </w:t>
      </w:r>
      <w:r>
        <w:t xml:space="preserve">EUR 0.7 billion. This stems from the direct compliance cost savings as businesses would no longer</w:t>
      </w:r>
      <w:r>
        <w:t xml:space="preserve"> </w:t>
      </w:r>
      <w:r>
        <w:t xml:space="preserve">engage in complex refund procedures. Moreover, under the current WHT system, investors incur</w:t>
      </w:r>
      <w:r>
        <w:t xml:space="preserve"> </w:t>
      </w:r>
      <w:r>
        <w:t xml:space="preserve">opportunity costs because long procedures delay the refund of withholding taxes – money that</w:t>
      </w:r>
      <w:r>
        <w:t xml:space="preserve"> </w:t>
      </w:r>
      <w:r>
        <w:t xml:space="preserve">could have otherwise been invested in the interim. Introducing a full exemption from WHT would</w:t>
      </w:r>
      <w:r>
        <w:t xml:space="preserve"> </w:t>
      </w:r>
      <w:r>
        <w:t xml:space="preserve">correspond to important opportunity cost relief, leading to an estimated additional savings of</w:t>
      </w:r>
      <w:r>
        <w:t xml:space="preserve"> </w:t>
      </w:r>
      <w:r>
        <w:t xml:space="preserve">approximately EUR 0.7 billion per year for taxpayers.</w:t>
      </w:r>
      <w:r>
        <w:br/>
      </w:r>
      <w:r>
        <w:t xml:space="preserve">Lastly, stakeholder feedback has confirmed that the complexity associated with seeking refunds for</w:t>
      </w:r>
      <w:r>
        <w:t xml:space="preserve"> </w:t>
      </w:r>
      <w:r>
        <w:t xml:space="preserve">withholding tax means that taxpayers often do not engage in these procedures, even in instances in</w:t>
      </w:r>
      <w:r>
        <w:t xml:space="preserve"> </w:t>
      </w:r>
      <w:r>
        <w:t xml:space="preserve">which they are entitled; this is referred to as foregone tax relief that would also no longer be</w:t>
      </w:r>
      <w:r>
        <w:t xml:space="preserve"> </w:t>
      </w:r>
      <w:r>
        <w:t xml:space="preserve">incurred. Introducing the exemption would correspond to additional estimated savings of about</w:t>
      </w:r>
      <w:r>
        <w:t xml:space="preserve"> </w:t>
      </w:r>
      <w:r>
        <w:t xml:space="preserve">EUR 3.8 billion, funds that would consequently remain with taxpayers. The calculations for these</w:t>
      </w:r>
      <w:r>
        <w:t xml:space="preserve"> </w:t>
      </w:r>
      <w:r>
        <w:t xml:space="preserve">respective estimates can be found in Section 2 of Annex 4, for interests/dividends and royalties</w:t>
      </w:r>
      <w:r>
        <w:t xml:space="preserve"> </w:t>
      </w:r>
      <w:r>
        <w:t xml:space="preserve">separately.</w:t>
      </w:r>
      <w:r>
        <w:t xml:space="preserve"> </w:t>
      </w:r>
      <w:r>
        <w:t xml:space="preserve">Overall, total cost reduction from the corporate taxpayer’s perspective (directly incurred costs,</w:t>
      </w:r>
      <w:r>
        <w:t xml:space="preserve"> </w:t>
      </w:r>
      <w:r>
        <w:t xml:space="preserve">opportunity costs, and savings on foregone tax relief) from the introduction of this option would</w:t>
      </w:r>
      <w:r>
        <w:t xml:space="preserve"> </w:t>
      </w:r>
      <w:r>
        <w:t xml:space="preserve">amount to an estimated EUR 5.34 billion per year for cross-border interest, dividend and royalty</w:t>
      </w:r>
      <w:r>
        <w:t xml:space="preserve"> </w:t>
      </w:r>
      <w:r>
        <w:t xml:space="preserve">payments within the EU, subject to the caveats as provided at the end of Section 2 of Annex 4.</w:t>
      </w:r>
      <w:r>
        <w:br/>
      </w:r>
      <w:r>
        <w:t xml:space="preserve">Impact on tax administrations</w:t>
      </w:r>
      <w:r>
        <w:t xml:space="preserve"> </w:t>
      </w:r>
      <w:r>
        <w:t xml:space="preserve">Reducing, to zero, withholding taxes on intra-EU payments would also alleviate the administrative</w:t>
      </w:r>
      <w:r>
        <w:t xml:space="preserve"> </w:t>
      </w:r>
      <w:r>
        <w:t xml:space="preserve">burden for tax administrations. First and foremost, tax administrations would no longer need to</w:t>
      </w:r>
      <w:r>
        <w:t xml:space="preserve"> </w:t>
      </w:r>
      <w:r>
        <w:t xml:space="preserve">apply and manage multiple tax refund procedures tailored to different sets of international rules.</w:t>
      </w:r>
      <w:r>
        <w:t xml:space="preserve"> </w:t>
      </w:r>
      <w:r>
        <w:t xml:space="preserve">Today, refund procedures are cumbersome not only for companies to implement, but also for tax</w:t>
      </w:r>
      <w:r>
        <w:t xml:space="preserve"> </w:t>
      </w:r>
      <w:r>
        <w:t xml:space="preserve">administrations to enforce as they include receiving applications (often paper-based), verifying the</w:t>
      </w:r>
      <w:r>
        <w:t xml:space="preserve"> </w:t>
      </w:r>
      <w:r>
        <w:t xml:space="preserve">investor’s tax residence and his/her eligibility for refund, checking anti-abuse rules, coordinating</w:t>
      </w:r>
      <w:r>
        <w:t xml:space="preserve"> </w:t>
      </w:r>
      <w:r>
        <w:t xml:space="preserve">with other EU countries’ tax authorities, performing (re)payments and, possibly, handling</w:t>
      </w:r>
      <w:r>
        <w:t xml:space="preserve"> </w:t>
      </w:r>
      <w:r>
        <w:t xml:space="preserve">appeals/disputes. The introduction of this measure would thus significantly reduce the workload for</w:t>
      </w:r>
      <w:r>
        <w:t xml:space="preserve"> </w:t>
      </w:r>
      <w:r>
        <w:t xml:space="preserve">tax authorities, and substantially decrease their administrative costs and resource burden/efforts.</w:t>
      </w:r>
      <w:r>
        <w:t xml:space="preserve"> </w:t>
      </w:r>
      <w:r>
        <w:t xml:space="preserve">However, no quantitative projection is possible, given that costs related to certain administrative</w:t>
      </w:r>
    </w:p>
    <w:p>
      <w:pPr>
        <w:pStyle w:val="BodyText"/>
      </w:pPr>
      <w:r>
        <w:t xml:space="preserve">81 See section “Cost estimates for companies: Full exemption of interest, dividend and royalty payments (Option 1A)”.</w:t>
      </w:r>
    </w:p>
    <w:p>
      <w:pPr>
        <w:pStyle w:val="BodyText"/>
      </w:pPr>
      <w:r>
        <w:t xml:space="preserve">tasks/resource mobilisation inside the tax administrations are not publicly available, nor would they</w:t>
      </w:r>
      <w:r>
        <w:t xml:space="preserve"> </w:t>
      </w:r>
      <w:r>
        <w:t xml:space="preserve">be delineated by enforcement per specific legislative measure. Further details can be found under</w:t>
      </w:r>
      <w:r>
        <w:t xml:space="preserve"> </w:t>
      </w:r>
      <w:r>
        <w:t xml:space="preserve">Section 6.3 of this Chapter.</w:t>
      </w:r>
      <w:r>
        <w:br/>
      </w:r>
      <w:r>
        <w:t xml:space="preserve">Impact on the economy</w:t>
      </w:r>
      <w:r>
        <w:br/>
      </w:r>
      <w:r>
        <w:t xml:space="preserve">In addition to the above, the measure would have a long-term economic impact, which is simulated</w:t>
      </w:r>
      <w:r>
        <w:t xml:space="preserve"> </w:t>
      </w:r>
      <w:r>
        <w:t xml:space="preserve">using the macroeconomic model CORTAX. The model captures the long-run responses of</w:t>
      </w:r>
      <w:r>
        <w:t xml:space="preserve"> </w:t>
      </w:r>
      <w:r>
        <w:t xml:space="preserve">economic actors to changes in the tax environment and, therefore, allows the broader</w:t>
      </w:r>
      <w:r>
        <w:t xml:space="preserve"> </w:t>
      </w:r>
      <w:r>
        <w:t xml:space="preserve">macroeconomic effects of the reform to be taken into account. See Box 6 for a short description of</w:t>
      </w:r>
      <w:r>
        <w:t xml:space="preserve"> </w:t>
      </w:r>
      <w:r>
        <w:t xml:space="preserve">how the model works. In addition, Section 5.1 of Annex 4 also provides further information on the</w:t>
      </w:r>
      <w:r>
        <w:t xml:space="preserve"> </w:t>
      </w:r>
      <w:r>
        <w:t xml:space="preserve">use of CORTAX for modelling the tax exemption for interest, royalty and dividend payments and</w:t>
      </w:r>
      <w:r>
        <w:t xml:space="preserve"> </w:t>
      </w:r>
      <w:r>
        <w:t xml:space="preserve">lowering of compliance costs.</w:t>
      </w:r>
      <w:r>
        <w:t xml:space="preserve"> </w:t>
      </w:r>
      <w:r>
        <w:t xml:space="preserve">Box 66: Description of the CORTAX model</w:t>
      </w:r>
      <w:r>
        <w:t xml:space="preserve"> </w:t>
      </w:r>
      <w:r>
        <w:t xml:space="preserve">CORTAX is used for the macroeconomic impact analysis of various measures presented. It is a</w:t>
      </w:r>
      <w:r>
        <w:t xml:space="preserve"> </w:t>
      </w:r>
      <w:r>
        <w:t xml:space="preserve">computable general equilibrium model specifically designed to evaluate long-term economic</w:t>
      </w:r>
      <w:r>
        <w:t xml:space="preserve"> </w:t>
      </w:r>
      <w:r>
        <w:t xml:space="preserve">effects of corporate tax reforms in an international setting.82 Its main purpose is to simulate how</w:t>
      </w:r>
      <w:r>
        <w:t xml:space="preserve"> </w:t>
      </w:r>
      <w:r>
        <w:t xml:space="preserve">changes (policy shocks) in corporate taxation influence macroeconomic outcomes such as GDP,</w:t>
      </w:r>
      <w:r>
        <w:t xml:space="preserve"> </w:t>
      </w:r>
      <w:r>
        <w:t xml:space="preserve">investment, consumption, employment, as well as tax revenues. The model shows long-term</w:t>
      </w:r>
      <w:r>
        <w:t xml:space="preserve"> </w:t>
      </w:r>
      <w:r>
        <w:t xml:space="preserve">effects. This means that an initial equilibrium is ‘shocked’ by a policy measure, and the effects then</w:t>
      </w:r>
      <w:r>
        <w:t xml:space="preserve"> </w:t>
      </w:r>
      <w:r>
        <w:t xml:space="preserve">measured against the expectation that, in the long-term, the economy would converge towards a</w:t>
      </w:r>
      <w:r>
        <w:t xml:space="preserve"> </w:t>
      </w:r>
      <w:r>
        <w:t xml:space="preserve">new equilibrium. The macroeconomic outcome variables in the final steady state equilibrium are</w:t>
      </w:r>
      <w:r>
        <w:t xml:space="preserve"> </w:t>
      </w:r>
      <w:r>
        <w:t xml:space="preserve">then compared to the values in the initial equilibrium, i.e., before the policy measure was</w:t>
      </w:r>
      <w:r>
        <w:t xml:space="preserve"> </w:t>
      </w:r>
      <w:r>
        <w:t xml:space="preserve">introduced.</w:t>
      </w:r>
      <w:r>
        <w:br/>
      </w:r>
      <w:r>
        <w:t xml:space="preserve">The model focuses particularly on the role of multinational enterprises and cross-border tax</w:t>
      </w:r>
      <w:r>
        <w:t xml:space="preserve"> </w:t>
      </w:r>
      <w:r>
        <w:t xml:space="preserve">planning, allowing researchers and policymakers to assess both national and international corporate</w:t>
      </w:r>
      <w:r>
        <w:t xml:space="preserve"> </w:t>
      </w:r>
      <w:r>
        <w:t xml:space="preserve">tax policy reforms. As such, CORTAX provides a comprehensive framework for analysing how</w:t>
      </w:r>
      <w:r>
        <w:t xml:space="preserve"> </w:t>
      </w:r>
      <w:r>
        <w:t xml:space="preserve">corporate tax policies, and changes to them, affect economic activity in an internationally integrated</w:t>
      </w:r>
      <w:r>
        <w:t xml:space="preserve"> </w:t>
      </w:r>
      <w:r>
        <w:t xml:space="preserve">economy. Its strength lies in its detailed modelling of multinational enterprises, profit shifting</w:t>
      </w:r>
      <w:r>
        <w:t xml:space="preserve"> </w:t>
      </w:r>
      <w:r>
        <w:t xml:space="preserve">behaviour and cross-border capital flows, which captures interactions between businesses,</w:t>
      </w:r>
      <w:r>
        <w:t xml:space="preserve"> </w:t>
      </w:r>
      <w:r>
        <w:t xml:space="preserve">households, and governments across multiple countries. The model is calibrated for thirty countries,</w:t>
      </w:r>
      <w:r>
        <w:t xml:space="preserve"> </w:t>
      </w:r>
      <w:r>
        <w:t xml:space="preserve">including the twenty-seven member states of the European Union, the United Kingdom, the United</w:t>
      </w:r>
      <w:r>
        <w:t xml:space="preserve"> </w:t>
      </w:r>
      <w:r>
        <w:t xml:space="preserve">States and Japan. In addition to these countries, the model includes a stylized tax haven that serves</w:t>
      </w:r>
      <w:r>
        <w:t xml:space="preserve"> </w:t>
      </w:r>
      <w:r>
        <w:t xml:space="preserve">as a destination for profit shifting.</w:t>
      </w:r>
      <w:r>
        <w:t xml:space="preserve"> </w:t>
      </w:r>
      <w:r>
        <w:t xml:space="preserve">CORTAX has been widely used in policy analysis, including by the European Commission, to</w:t>
      </w:r>
      <w:r>
        <w:t xml:space="preserve"> </w:t>
      </w:r>
      <w:r>
        <w:t xml:space="preserve">assess various economic, financial, and corporate tax initiatives.</w:t>
      </w:r>
      <w:r>
        <w:br/>
      </w:r>
      <w:r>
        <w:t xml:space="preserve">Information on the use of CORTAX can also be found under Section 5.1 of Annex 4 to this report.</w:t>
      </w:r>
    </w:p>
    <w:p>
      <w:pPr>
        <w:pStyle w:val="BodyText"/>
      </w:pPr>
      <w:r>
        <w:t xml:space="preserve">The simulation projects the abolition of the withholding taxes on the one hand, and the lowering of</w:t>
      </w:r>
      <w:r>
        <w:t xml:space="preserve"> </w:t>
      </w:r>
      <w:r>
        <w:t xml:space="preserve">compliance costs for companies, on the other. The lowering of withholding taxes could reduce CIT</w:t>
      </w:r>
      <w:r>
        <w:t xml:space="preserve"> </w:t>
      </w:r>
      <w:r>
        <w:t xml:space="preserve">revenue by an equivalent of -0.02% of GDP. However, the impact on overall tax revenue is a lot</w:t>
      </w:r>
    </w:p>
    <w:p>
      <w:pPr>
        <w:pStyle w:val="BodyText"/>
      </w:pPr>
      <w:r>
        <w:t xml:space="preserve">82 For an overview see: CORTAX - Joint Research Centre - European Commission.</w:t>
      </w:r>
    </w:p>
    <w:p>
      <w:pPr>
        <w:pStyle w:val="BodyText"/>
      </w:pPr>
      <w:r>
        <w:t xml:space="preserve">milder (-0.01% of GDP) due to the positive macroeconomic feedback effects of the measure. In</w:t>
      </w:r>
      <w:r>
        <w:t xml:space="preserve"> </w:t>
      </w:r>
      <w:r>
        <w:t xml:space="preserve">detail, this means that:</w:t>
      </w:r>
      <w:r>
        <w:t xml:space="preserve"> </w:t>
      </w:r>
      <w:r>
        <w:t xml:space="preserve">The proposed measure will stimulate overall economic activity, leading to an increase in the capital</w:t>
      </w:r>
      <w:r>
        <w:t xml:space="preserve"> </w:t>
      </w:r>
      <w:r>
        <w:t xml:space="preserve">stock (about +0.07%) and GDP (about +0.04%). Importantly, there will also be positive spillovers</w:t>
      </w:r>
      <w:r>
        <w:t xml:space="preserve"> </w:t>
      </w:r>
      <w:r>
        <w:t xml:space="preserve">for employment (about +0.02%). As economic activity expands, additional tax revenues are</w:t>
      </w:r>
      <w:r>
        <w:t xml:space="preserve"> </w:t>
      </w:r>
      <w:r>
        <w:t xml:space="preserve">generated from other sources, such as corporate income taxes and capital gains. This means that</w:t>
      </w:r>
      <w:r>
        <w:t xml:space="preserve"> </w:t>
      </w:r>
      <w:r>
        <w:t xml:space="preserve">any immediate revenue decline would be more than compensated by capital gains, investment,</w:t>
      </w:r>
      <w:r>
        <w:t xml:space="preserve"> </w:t>
      </w:r>
      <w:r>
        <w:t xml:space="preserve">growth, and increased revenue streams over time. The ensuing lower tax burden will improve the</w:t>
      </w:r>
      <w:r>
        <w:t xml:space="preserve"> </w:t>
      </w:r>
      <w:r>
        <w:t xml:space="preserve">EU’s competitiveness as investment is expected to increase, which will trigger higher growth and</w:t>
      </w:r>
      <w:r>
        <w:t xml:space="preserve"> </w:t>
      </w:r>
      <w:r>
        <w:t xml:space="preserve">create more jobs. Figure 10 details the findings of the simulation for this measure in the first row</w:t>
      </w:r>
      <w:r>
        <w:t xml:space="preserve"> </w:t>
      </w:r>
      <w:r>
        <w:t xml:space="preserve">(Option 1A).</w:t>
      </w:r>
      <w:r>
        <w:t xml:space="preserve"> </w:t>
      </w:r>
      <w:r>
        <w:t xml:space="preserve">Figure 10: Long-term impact of the WHT exemption, simulation with CORTAX, % change relative to initial situation (EU-27)</w:t>
      </w:r>
    </w:p>
    <w:p>
      <w:pPr>
        <w:pStyle w:val="BodyText"/>
      </w:pPr>
      <w:r>
        <w:t xml:space="preserve">Source: European Commission, Joint Research Centre</w:t>
      </w:r>
      <w:r>
        <w:t xml:space="preserve"> </w:t>
      </w:r>
      <w:r>
        <w:t xml:space="preserve">These effects could be interpreted as lower-bound estimates. The positive feedback could be</w:t>
      </w:r>
      <w:r>
        <w:t xml:space="preserve"> </w:t>
      </w:r>
      <w:r>
        <w:t xml:space="preserve">stronger as new tax revenue could also be expected from the new ‘protective’ measure, namely the</w:t>
      </w:r>
      <w:r>
        <w:t xml:space="preserve"> </w:t>
      </w:r>
      <w:r>
        <w:t xml:space="preserve">withholding tax levied upon outbound royalty and interest payments towards zero-tax third country</w:t>
      </w:r>
      <w:r>
        <w:t xml:space="preserve"> </w:t>
      </w:r>
      <w:r>
        <w:t xml:space="preserve">jurisdictions as explained under Section 5.2.1.1 above. This effect is, however, not included in the</w:t>
      </w:r>
      <w:r>
        <w:t xml:space="preserve"> </w:t>
      </w:r>
      <w:r>
        <w:t xml:space="preserve">simulation. Today, outbound payments to Offshore Financial Centres (OFC) 83 are significant</w:t>
      </w:r>
      <w:r>
        <w:t xml:space="preserve"> </w:t>
      </w:r>
      <w:r>
        <w:t xml:space="preserve">according to Eurostat’s balance of payments statistics.84 Much of it is likely used as vehicles for</w:t>
      </w:r>
      <w:r>
        <w:t xml:space="preserve"> </w:t>
      </w:r>
      <w:r>
        <w:t xml:space="preserve">profit shifting to OFCs. This has direct implications for growth that go beyond the direct effect of</w:t>
      </w:r>
      <w:r>
        <w:t xml:space="preserve"> </w:t>
      </w:r>
      <w:r>
        <w:t xml:space="preserve">resources shifted offshore. A more comprehensive system for the application of withholding taxes</w:t>
      </w:r>
      <w:r>
        <w:t xml:space="preserve"> </w:t>
      </w:r>
      <w:r>
        <w:t xml:space="preserve">on outbound payments could therefore lead to more productive allocation of intangible assets, more</w:t>
      </w:r>
      <w:r>
        <w:t xml:space="preserve"> </w:t>
      </w:r>
      <w:r>
        <w:t xml:space="preserve">innovation in the EU, and ultimately higher growth.</w:t>
      </w:r>
      <w:r>
        <w:t xml:space="preserve"> </w:t>
      </w:r>
      <w:r>
        <w:t xml:space="preserve">6.2.1.2.Option 1B: Alignment of scope (holding requirement) and procedures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This Option would seek to align the material scope of the IRD and the PSD, lowering the holding</w:t>
      </w:r>
      <w:r>
        <w:t xml:space="preserve"> </w:t>
      </w:r>
      <w:r>
        <w:t xml:space="preserve">requirement of the IRD to 10%. It would also align the procedures for obtaining the withholding tax</w:t>
      </w:r>
      <w:r>
        <w:t xml:space="preserve"> </w:t>
      </w:r>
      <w:r>
        <w:t xml:space="preserve">exemptions under the Directives. The effect of lowering of the holding requirements in the IRD to</w:t>
      </w:r>
      <w:r>
        <w:t xml:space="preserve"> </w:t>
      </w:r>
      <w:r>
        <w:t xml:space="preserve">10% is simulated such that it would correspond to the 10% requirement stipulated in the PSD. As</w:t>
      </w:r>
      <w:r>
        <w:t xml:space="preserve"> </w:t>
      </w:r>
      <w:r>
        <w:t xml:space="preserve">laid out in detail in Annex 4, Section 2 85, this option could affect about 7% of interest and royalty</w:t>
      </w:r>
      <w:r>
        <w:t xml:space="preserve"> </w:t>
      </w:r>
      <w:r>
        <w:t xml:space="preserve">payments, as those are the estimated shares of companies with holdings between 10% and 25%.</w:t>
      </w:r>
      <w:r>
        <w:t xml:space="preserve"> </w:t>
      </w:r>
      <w:r>
        <w:t xml:space="preserve">The scope of Option 1B is therefore significantly smaller than Option 1A because it applies to</w:t>
      </w:r>
      <w:r>
        <w:t xml:space="preserve"> </w:t>
      </w:r>
      <w:r>
        <w:t xml:space="preserve">fewer companies, therefore covering significantly fewer payments (see Figure 11).</w:t>
      </w:r>
    </w:p>
    <w:p>
      <w:pPr>
        <w:pStyle w:val="BodyText"/>
      </w:pPr>
      <w:r>
        <w:t xml:space="preserve">83 A list of about 40 countries that provide financial services at disproportionate scale, relative to the size of their</w:t>
      </w:r>
      <w:r>
        <w:t xml:space="preserve"> </w:t>
      </w:r>
      <w:r>
        <w:t xml:space="preserve">economy. They are often characterised by very low or zero taxes on corporate profit.</w:t>
      </w:r>
      <w:r>
        <w:br/>
      </w:r>
      <w:r>
        <w:t xml:space="preserve">84 This data has substantive quality issues and missing data points, especially when it comes to outflows to zero-tax</w:t>
      </w:r>
      <w:r>
        <w:t xml:space="preserve"> </w:t>
      </w:r>
      <w:r>
        <w:t xml:space="preserve">jurisdictions. This renders an accurate quantification of the magnitude of the problem not possible.</w:t>
      </w:r>
      <w:r>
        <w:t xml:space="preserve"> </w:t>
      </w:r>
      <w:r>
        <w:t xml:space="preserve">85 See Section “Cost estimates for companies: Alignment of scope and procedures (Option 1B)”</w:t>
      </w:r>
      <w:r>
        <w:t xml:space="preserve"> </w:t>
      </w:r>
      <w:r>
        <w:t xml:space="preserve">Option</w:t>
      </w:r>
      <w:r>
        <w:t xml:space="preserve"> </w:t>
      </w:r>
      <w:r>
        <w:t xml:space="preserve">GDP</w:t>
      </w:r>
      <w:r>
        <w:t xml:space="preserve"> </w:t>
      </w:r>
      <w:r>
        <w:t xml:space="preserve">Capital</w:t>
      </w:r>
      <w:r>
        <w:t xml:space="preserve"> </w:t>
      </w:r>
      <w:r>
        <w:t xml:space="preserve">Employ-</w:t>
      </w:r>
      <w:r>
        <w:t xml:space="preserve"> </w:t>
      </w:r>
      <w:r>
        <w:t xml:space="preserve">ment</w:t>
      </w:r>
      <w:r>
        <w:t xml:space="preserve"> </w:t>
      </w:r>
      <w:r>
        <w:t xml:space="preserve">Wages</w:t>
      </w:r>
      <w:r>
        <w:t xml:space="preserve"> </w:t>
      </w:r>
      <w:r>
        <w:t xml:space="preserve">CIT</w:t>
      </w:r>
      <w:r>
        <w:t xml:space="preserve"> </w:t>
      </w:r>
      <w:r>
        <w:t xml:space="preserve">revenue</w:t>
      </w:r>
      <w:r>
        <w:t xml:space="preserve"> </w:t>
      </w:r>
      <w:r>
        <w:t xml:space="preserve">Overall</w:t>
      </w:r>
      <w:r>
        <w:t xml:space="preserve"> </w:t>
      </w:r>
      <w:r>
        <w:t xml:space="preserve">tax</w:t>
      </w:r>
      <w:r>
        <w:t xml:space="preserve"> </w:t>
      </w:r>
      <w:r>
        <w:t xml:space="preserve">revenue</w:t>
      </w:r>
      <w:r>
        <w:t xml:space="preserve"> </w:t>
      </w:r>
      <w:r>
        <w:t xml:space="preserve">1A</w:t>
      </w:r>
      <w:r>
        <w:t xml:space="preserve"> </w:t>
      </w:r>
      <w:r>
        <w:t xml:space="preserve">Full exemption of WHT</w:t>
      </w:r>
      <w:r>
        <w:t xml:space="preserve"> </w:t>
      </w:r>
      <w:r>
        <w:t xml:space="preserve">0.043</w:t>
      </w:r>
      <w:r>
        <w:t xml:space="preserve"> </w:t>
      </w:r>
      <w:r>
        <w:t xml:space="preserve">0.070</w:t>
      </w:r>
      <w:r>
        <w:t xml:space="preserve"> </w:t>
      </w:r>
      <w:r>
        <w:t xml:space="preserve">0.024</w:t>
      </w:r>
      <w:r>
        <w:t xml:space="preserve"> </w:t>
      </w:r>
      <w:r>
        <w:t xml:space="preserve">0.016</w:t>
      </w:r>
      <w:r>
        <w:t xml:space="preserve"> </w:t>
      </w:r>
      <w:r>
        <w:t xml:space="preserve">-0.750</w:t>
      </w:r>
      <w:r>
        <w:t xml:space="preserve"> </w:t>
      </w:r>
      <w:r>
        <w:t xml:space="preserve">-0.027</w:t>
      </w:r>
      <w:r>
        <w:t xml:space="preserve"> </w:t>
      </w:r>
      <w:r>
        <w:t xml:space="preserve">1B</w:t>
      </w:r>
      <w:r>
        <w:t xml:space="preserve"> </w:t>
      </w:r>
      <w:r>
        <w:t xml:space="preserve">Alignment of holding requirements</w:t>
      </w:r>
      <w:r>
        <w:t xml:space="preserve"> </w:t>
      </w:r>
      <w:r>
        <w:t xml:space="preserve">0.011</w:t>
      </w:r>
      <w:r>
        <w:t xml:space="preserve"> </w:t>
      </w:r>
      <w:r>
        <w:t xml:space="preserve">0.020</w:t>
      </w:r>
      <w:r>
        <w:t xml:space="preserve"> </w:t>
      </w:r>
      <w:r>
        <w:t xml:space="preserve">0.005</w:t>
      </w:r>
      <w:r>
        <w:t xml:space="preserve"> </w:t>
      </w:r>
      <w:r>
        <w:t xml:space="preserve">0.005</w:t>
      </w:r>
      <w:r>
        <w:t xml:space="preserve"> </w:t>
      </w:r>
      <w:r>
        <w:t xml:space="preserve">-0.191</w:t>
      </w:r>
      <w:r>
        <w:t xml:space="preserve"> </w:t>
      </w:r>
      <w:r>
        <w:t xml:space="preserve">-0.006</w:t>
      </w:r>
    </w:p>
    <w:p>
      <w:pPr>
        <w:pStyle w:val="BodyText"/>
      </w:pPr>
      <w:r>
        <w:t xml:space="preserve">Figure 11: EU located shareholders with EU subsidiaries (Orbis): different scope of Options 1A and 1B</w:t>
      </w:r>
    </w:p>
    <w:p>
      <w:pPr>
        <w:pStyle w:val="BodyText"/>
      </w:pPr>
      <w:r>
        <w:t xml:space="preserve">Taxud illustration</w:t>
      </w:r>
      <w:r>
        <w:t xml:space="preserve"> </w:t>
      </w:r>
      <w:r>
        <w:t xml:space="preserve">Estimates based on this approach indicate that lowering the holding percentage requirement for</w:t>
      </w:r>
      <w:r>
        <w:t xml:space="preserve"> </w:t>
      </w:r>
      <w:r>
        <w:t xml:space="preserve">entitlement to the IRD could result in cost savings of about EUR 1.5 billion per year for taxpayers</w:t>
      </w:r>
      <w:r>
        <w:t xml:space="preserve"> </w:t>
      </w:r>
      <w:r>
        <w:t xml:space="preserve">across the EU (Annex 4, Section 2). That is, given a more muted impact on taxpayers than under</w:t>
      </w:r>
      <w:r>
        <w:t xml:space="preserve"> </w:t>
      </w:r>
      <w:r>
        <w:t xml:space="preserve">full exemption, estimated cost savings are significantly smaller than estimated above for</w:t>
      </w:r>
      <w:r>
        <w:t xml:space="preserve"> </w:t>
      </w:r>
      <w:r>
        <w:t xml:space="preserve">Option 1A.</w:t>
      </w:r>
      <w:r>
        <w:br/>
      </w:r>
      <w:r>
        <w:t xml:space="preserve">Impact on tax administrations and the economy</w:t>
      </w:r>
      <w:r>
        <w:br/>
      </w:r>
      <w:r>
        <w:t xml:space="preserve">As this option does not remove the withholding tax, but simply aligns existent holding requirements</w:t>
      </w:r>
      <w:r>
        <w:t xml:space="preserve"> </w:t>
      </w:r>
      <w:r>
        <w:t xml:space="preserve">and procedures, cumbersome refund procedures would remain applicable across the EU – despite</w:t>
      </w:r>
      <w:r>
        <w:t xml:space="preserve"> </w:t>
      </w:r>
      <w:r>
        <w:t xml:space="preserve">the facilitated approach established as a result of the future introduction of the FASTER Directive.</w:t>
      </w:r>
      <w:r>
        <w:t xml:space="preserve"> </w:t>
      </w:r>
      <w:r>
        <w:t xml:space="preserve">This also means that tax administration will continue to have to administer refund procedures,</w:t>
      </w:r>
      <w:r>
        <w:t xml:space="preserve"> </w:t>
      </w:r>
      <w:r>
        <w:t xml:space="preserve">conduct audits, etc. as is currently the case. This likely means little impact on administrations other</w:t>
      </w:r>
      <w:r>
        <w:t xml:space="preserve"> </w:t>
      </w:r>
      <w:r>
        <w:t xml:space="preserve">than adjusting to the slightly altered rules.</w:t>
      </w:r>
      <w:r>
        <w:br/>
      </w:r>
      <w:r>
        <w:t xml:space="preserve">The results of the Cortax simulation are detailed in Figure 10 above for Option 1B (second row).</w:t>
      </w:r>
      <w:r>
        <w:t xml:space="preserve"> </w:t>
      </w:r>
      <w:r>
        <w:t xml:space="preserve">The effect is significantly lower than for Option 1A, given that Option 1B would not expand the</w:t>
      </w:r>
      <w:r>
        <w:t xml:space="preserve"> </w:t>
      </w:r>
      <w:r>
        <w:t xml:space="preserve">scope of IRD and PSD as widely as is the case for Option 1A (Figure 11). Consequently, the</w:t>
      </w:r>
      <w:r>
        <w:t xml:space="preserve"> </w:t>
      </w:r>
      <w:r>
        <w:t xml:space="preserve">positive macro-economic feedback would be much less pronounced. As above under option 1A,</w:t>
      </w:r>
      <w:r>
        <w:t xml:space="preserve"> </w:t>
      </w:r>
      <w:r>
        <w:t xml:space="preserve">Section 5.1 of Annex 4 provides further information.</w:t>
      </w:r>
      <w:r>
        <w:t xml:space="preserve"> </w:t>
      </w:r>
      <w:r>
        <w:t xml:space="preserve">6.2.1.3. Why simplifying taxation of intra-EU payments matters</w:t>
      </w:r>
      <w:r>
        <w:t xml:space="preserve"> </w:t>
      </w:r>
      <w:r>
        <w:t xml:space="preserve">Either policy option considered results in significant annual cost savings for taxpayers: of about</w:t>
      </w:r>
      <w:r>
        <w:t xml:space="preserve"> </w:t>
      </w:r>
      <w:r>
        <w:t xml:space="preserve">EUR 5.34 billion per year under Option 1A, or EUR 1.5 billion per year under Option 1B. The</w:t>
      </w:r>
      <w:r>
        <w:t xml:space="preserve"> </w:t>
      </w:r>
      <w:r>
        <w:t xml:space="preserve">capital that corporate taxpayers would consequently get to keep can then be engaged in new</w:t>
      </w:r>
      <w:r>
        <w:t xml:space="preserve"> </w:t>
      </w:r>
      <w:r>
        <w:t xml:space="preserve">investment, contributing to more economic growth and higher employment, and boosting</w:t>
      </w:r>
      <w:r>
        <w:t xml:space="preserve"> </w:t>
      </w:r>
      <w:r>
        <w:t xml:space="preserve">competitiveness at a company level and for the EU. Analysis demonstrates that removing</w:t>
      </w:r>
      <w:r>
        <w:t xml:space="preserve"> </w:t>
      </w:r>
      <w:r>
        <w:t xml:space="preserve">withholding taxes on all cross-border payments of interest, royalties and dividends within the EU</w:t>
      </w:r>
      <w:r>
        <w:t xml:space="preserve"> </w:t>
      </w:r>
      <w:r>
        <w:t xml:space="preserve">(Option 1A) leads to tax savings that have significant positive long-term macro-economic effects</w:t>
      </w:r>
      <w:r>
        <w:t xml:space="preserve"> </w:t>
      </w:r>
      <w:r>
        <w:t xml:space="preserve">on investment and growth.</w:t>
      </w:r>
      <w:r>
        <w:br/>
      </w:r>
      <w:r>
        <w:t xml:space="preserve">However, the overall economic impact of major simplifications that come with these measures go</w:t>
      </w:r>
      <w:r>
        <w:t xml:space="preserve"> </w:t>
      </w:r>
      <w:r>
        <w:t xml:space="preserve">beyond these measurable monetary cost savings. They include the long-term positive impact of</w:t>
      </w:r>
      <w:r>
        <w:t xml:space="preserve"> </w:t>
      </w:r>
      <w:r>
        <w:t xml:space="preserve">higher legal certainty for investors and companies that comes with a more uniform approach to</w:t>
      </w:r>
      <w:r>
        <w:t xml:space="preserve"> </w:t>
      </w:r>
      <w:r>
        <w:t xml:space="preserve">withholding taxes (notwithstanding the level of these uniform taxes). In Option 1A, cross-border</w:t>
      </w:r>
      <w:r>
        <w:t xml:space="preserve"> </w:t>
      </w:r>
      <w:r>
        <w:t xml:space="preserve">payments within the EU would no longer be subject to a complex system of withholding taxes and</w:t>
      </w:r>
      <w:r>
        <w:t xml:space="preserve"> </w:t>
      </w:r>
      <w:r>
        <w:t xml:space="preserve">refund applications that comes with it. While even domestic withholding taxes differ a lot across</w:t>
      </w:r>
      <w:r>
        <w:t xml:space="preserve"> </w:t>
      </w:r>
      <w:r>
        <w:t xml:space="preserve">EU Member States, bilateral treaties between countries make the system even more difficult to</w:t>
      </w:r>
      <w:r>
        <w:t xml:space="preserve"> </w:t>
      </w:r>
      <w:r>
        <w:t xml:space="preserve">access and engage with. With a uniform system in place, investors would no longer need to</w:t>
      </w:r>
      <w:r>
        <w:t xml:space="preserve"> </w:t>
      </w:r>
      <w:r>
        <w:t xml:space="preserve">navigate through numerous sets of rules in bilateral tax treaties – and no longer engage in complex</w:t>
      </w:r>
      <w:r>
        <w:t xml:space="preserve"> </w:t>
      </w:r>
      <w:r>
        <w:t xml:space="preserve">compliance and cost-heavy refund procedures. This leads to a more straightforward compliance</w:t>
      </w:r>
      <w:r>
        <w:t xml:space="preserve"> </w:t>
      </w:r>
      <w:r>
        <w:t xml:space="preserve">framework, fewer errors and, importantly, fewer legal concerns linked to investment decisions.</w:t>
      </w:r>
      <w:r>
        <w:br/>
      </w:r>
      <w:r>
        <w:t xml:space="preserve">.. Option 1A</w:t>
      </w:r>
      <w:r>
        <w:t xml:space="preserve"> </w:t>
      </w:r>
      <w:r>
        <w:t xml:space="preserve">.. Option 1B</w:t>
      </w:r>
      <w:r>
        <w:t xml:space="preserve"> </w:t>
      </w:r>
      <w:r>
        <w:t xml:space="preserve">.. Option 1A</w:t>
      </w:r>
      <w:r>
        <w:t xml:space="preserve"> </w:t>
      </w:r>
      <w:r>
        <w:t xml:space="preserve">.. Option 1B</w:t>
      </w:r>
      <w:r>
        <w:t xml:space="preserve"> </w:t>
      </w:r>
      <w:r>
        <w:t xml:space="preserve">… below 10%</w:t>
      </w:r>
      <w:r>
        <w:t xml:space="preserve"> </w:t>
      </w:r>
      <w:r>
        <w:t xml:space="preserve">x</w:t>
      </w:r>
      <w:r>
        <w:t xml:space="preserve"> </w:t>
      </w:r>
      <w:r>
        <w:t xml:space="preserve">… below 25%</w:t>
      </w:r>
      <w:r>
        <w:t xml:space="preserve"> </w:t>
      </w:r>
      <w:r>
        <w:t xml:space="preserve">x</w:t>
      </w:r>
      <w:r>
        <w:t xml:space="preserve"> </w:t>
      </w:r>
      <w:r>
        <w:t xml:space="preserve">… between 10% and 25%</w:t>
      </w:r>
      <w:r>
        <w:t xml:space="preserve"> </w:t>
      </w:r>
      <w:r>
        <w:t xml:space="preserve">x</w:t>
      </w:r>
      <w:r>
        <w:t xml:space="preserve"> </w:t>
      </w:r>
      <w:r>
        <w:t xml:space="preserve">Incresed coverage of IRD through…</w:t>
      </w:r>
      <w:r>
        <w:t xml:space="preserve"> </w:t>
      </w:r>
      <w:r>
        <w:t xml:space="preserve">Increased coverage of PSD</w:t>
      </w:r>
      <w:r>
        <w:t xml:space="preserve"> </w:t>
      </w:r>
      <w:r>
        <w:t xml:space="preserve">through..</w:t>
      </w:r>
      <w:r>
        <w:t xml:space="preserve"> </w:t>
      </w:r>
      <w:r>
        <w:t xml:space="preserve">Shareholders with a share …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  <w:r>
        <w:t xml:space="preserve"> </w:t>
      </w:r>
      <w:r>
        <w:t xml:space="preserve">7%</w:t>
      </w:r>
      <w:r>
        <w:t xml:space="preserve"> </w:t>
      </w:r>
      <w:r>
        <w:t xml:space="preserve">% of all shareholders (Orbis )</w:t>
      </w:r>
    </w:p>
    <w:p>
      <w:pPr>
        <w:pStyle w:val="BodyText"/>
      </w:pPr>
      <w:r>
        <w:t xml:space="preserve">Studies confirm that tax complexity has a negative impact on FDI and investment in general.86</w:t>
      </w:r>
      <w:r>
        <w:t xml:space="preserve"> </w:t>
      </w:r>
      <w:r>
        <w:t xml:space="preserve">Simplifying cross-border tax rules will, therefore, create more confidence in future investment,</w:t>
      </w:r>
      <w:r>
        <w:t xml:space="preserve"> </w:t>
      </w:r>
      <w:r>
        <w:t xml:space="preserve">inducing more potential investors to actually realise cross-border investment. Moreover, it has been</w:t>
      </w:r>
      <w:r>
        <w:t xml:space="preserve"> </w:t>
      </w:r>
      <w:r>
        <w:t xml:space="preserve">shown that tax complexity has the potential to distort investment decisions.87 If the consequences of</w:t>
      </w:r>
      <w:r>
        <w:t xml:space="preserve"> </w:t>
      </w:r>
      <w:r>
        <w:t xml:space="preserve">a given investment become less predictable, investors may not only decide against it. They may</w:t>
      </w:r>
      <w:r>
        <w:t xml:space="preserve"> </w:t>
      </w:r>
      <w:r>
        <w:t xml:space="preserve">also eventually invest in projects which, from the point of view of expected return and future</w:t>
      </w:r>
      <w:r>
        <w:t xml:space="preserve"> </w:t>
      </w:r>
      <w:r>
        <w:t xml:space="preserve">productivity gains, may not be a first choice or first best. They may, for example, shy away from</w:t>
      </w:r>
      <w:r>
        <w:t xml:space="preserve"> </w:t>
      </w:r>
      <w:r>
        <w:t xml:space="preserve">investing cross-border and instead limit themselves to the domestic context, not taking advantage of</w:t>
      </w:r>
      <w:r>
        <w:t xml:space="preserve"> </w:t>
      </w:r>
      <w:r>
        <w:t xml:space="preserve">the Internal Market. This would be at the expense of economic growth. Studies show that</w:t>
      </w:r>
      <w:r>
        <w:t xml:space="preserve"> </w:t>
      </w:r>
      <w:r>
        <w:t xml:space="preserve">investment within the EU Internal Market is usually more efficient than purely domestic investment</w:t>
      </w:r>
      <w:r>
        <w:t xml:space="preserve"> </w:t>
      </w:r>
      <w:r>
        <w:t xml:space="preserve">because market integration improves capital allocation, increases competition, enables economies</w:t>
      </w:r>
      <w:r>
        <w:t xml:space="preserve"> </w:t>
      </w:r>
      <w:r>
        <w:t xml:space="preserve">of scale, and facilitates knowledge spillovers, thereby raising productivity and returns on</w:t>
      </w:r>
      <w:r>
        <w:t xml:space="preserve"> </w:t>
      </w:r>
      <w:r>
        <w:t xml:space="preserve">investment.88 These circumstances lead to inefficient allocation of resources across investment</w:t>
      </w:r>
      <w:r>
        <w:t xml:space="preserve"> </w:t>
      </w:r>
      <w:r>
        <w:t xml:space="preserve">projects which, in the long run, will be to the detriment of EU competitiveness and jobs.</w:t>
      </w:r>
      <w:r>
        <w:br/>
      </w:r>
      <w:r>
        <w:t xml:space="preserve">Likewise, tax complexity reduces the effectiveness of tax policy measures designed to promote</w:t>
      </w:r>
      <w:r>
        <w:t xml:space="preserve"> </w:t>
      </w:r>
      <w:r>
        <w:t xml:space="preserve">investment. When it comes to investment, businesses react less sensitively to changes in corporate</w:t>
      </w:r>
      <w:r>
        <w:t xml:space="preserve"> </w:t>
      </w:r>
      <w:r>
        <w:t xml:space="preserve">tax rates if tax complexity is high. This will likely ‘undermine the ability of tax policy to affect</w:t>
      </w:r>
      <w:r>
        <w:t xml:space="preserve"> </w:t>
      </w:r>
      <w:r>
        <w:t xml:space="preserve">economic growth’.89 By introducing a significant simplification and harmonisation in the tax</w:t>
      </w:r>
      <w:r>
        <w:t xml:space="preserve"> </w:t>
      </w:r>
      <w:r>
        <w:t xml:space="preserve">framework applicable to cross-border operators, it could thus be expected that investment across</w:t>
      </w:r>
      <w:r>
        <w:t xml:space="preserve"> </w:t>
      </w:r>
      <w:r>
        <w:t xml:space="preserve">the internal market would be positively affected boosting competitiveness of EU businesses as well</w:t>
      </w:r>
      <w:r>
        <w:t xml:space="preserve"> </w:t>
      </w:r>
      <w:r>
        <w:t xml:space="preserve">as overall economic growth, and thus the EU as a whole. It is worth reiterating, however, that</w:t>
      </w:r>
      <w:r>
        <w:t xml:space="preserve"> </w:t>
      </w:r>
      <w:r>
        <w:t xml:space="preserve">equivalent positive effects would not ensue under Option 1B as under Option 1A, since the former</w:t>
      </w:r>
      <w:r>
        <w:t xml:space="preserve"> </w:t>
      </w:r>
      <w:r>
        <w:t xml:space="preserve">would retain the complexities associated with the application of withholding tax across the EU.</w:t>
      </w:r>
      <w:r>
        <w:t xml:space="preserve"> </w:t>
      </w:r>
      <w:r>
        <w:t xml:space="preserve">Impact on maintaining high tax standards</w:t>
      </w:r>
      <w:r>
        <w:t xml:space="preserve"> </w:t>
      </w:r>
      <w:r>
        <w:t xml:space="preserve">Not only are both options fully in line with the original objectives of the IRD and the PSD, but they</w:t>
      </w:r>
      <w:r>
        <w:t xml:space="preserve"> </w:t>
      </w:r>
      <w:r>
        <w:t xml:space="preserve">would also pursue to eliminate double taxation and facilitate cross-border investment and capital</w:t>
      </w:r>
      <w:r>
        <w:t xml:space="preserve"> </w:t>
      </w:r>
      <w:r>
        <w:t xml:space="preserve">flows in the EU to a greater extent than the current rules. Further, both options would preserve the</w:t>
      </w:r>
      <w:r>
        <w:t xml:space="preserve"> </w:t>
      </w:r>
      <w:r>
        <w:t xml:space="preserve">existing safeguards designed to mitigate and limit tax evasion and avoidance. A full withholding</w:t>
      </w:r>
      <w:r>
        <w:t xml:space="preserve"> </w:t>
      </w:r>
      <w:r>
        <w:t xml:space="preserve">tax exemption in the EU would be coupled with a protective measure to ensure that interest and</w:t>
      </w:r>
      <w:r>
        <w:t xml:space="preserve"> </w:t>
      </w:r>
      <w:r>
        <w:t xml:space="preserve">royalty payments are taxed when distributed from a Member State to a zero-tax jurisdiction. In</w:t>
      </w:r>
      <w:r>
        <w:t xml:space="preserve"> </w:t>
      </w:r>
      <w:r>
        <w:t xml:space="preserve">addition, a reduction or elimination of holding requirements, and the removal of any upfront</w:t>
      </w:r>
      <w:r>
        <w:t xml:space="preserve"> </w:t>
      </w:r>
      <w:r>
        <w:t xml:space="preserve">procedures for verifying whether the conditions for the exemptions are fulfilled at the time of</w:t>
      </w:r>
      <w:r>
        <w:t xml:space="preserve"> </w:t>
      </w:r>
      <w:r>
        <w:t xml:space="preserve">payment of the interest, royalties or distribution of profits (dividends), should not affect the powers</w:t>
      </w:r>
      <w:r>
        <w:t xml:space="preserve"> </w:t>
      </w:r>
      <w:r>
        <w:t xml:space="preserve">of Member States to carry out ex post controls and to apply national anti-abuse rules, including</w:t>
      </w:r>
    </w:p>
    <w:p>
      <w:pPr>
        <w:pStyle w:val="BodyText"/>
      </w:pPr>
      <w:r>
        <w:t xml:space="preserve">86 Esteller-Moré et al (2021), The role of tax system complexity on foreign direct investment: Applied Economics: Vol</w:t>
      </w:r>
      <w:r>
        <w:t xml:space="preserve"> </w:t>
      </w:r>
      <w:r>
        <w:t xml:space="preserve">53 , No 45, find that tax complexity in a country leads to FDI outflow, Euler et al (2024), Tax Complexity and Foreign</w:t>
      </w:r>
      <w:r>
        <w:t xml:space="preserve"> </w:t>
      </w:r>
      <w:r>
        <w:t xml:space="preserve">Direct Investment - WU Vienna University of Economics and Business, confirm that tax framework complexity is a</w:t>
      </w:r>
      <w:r>
        <w:t xml:space="preserve"> </w:t>
      </w:r>
      <w:r>
        <w:t xml:space="preserve">deterrent for investment. This affects, inter alia, complex administrative procedures. Braun et al (2025), Tax</w:t>
      </w:r>
      <w:r>
        <w:t xml:space="preserve"> </w:t>
      </w:r>
      <w:r>
        <w:t xml:space="preserve">Complexity and Firm Value - WU Vienna University of Economics and Business, find (for the US) that tax complexity</w:t>
      </w:r>
      <w:r>
        <w:t xml:space="preserve"> </w:t>
      </w:r>
      <w:r>
        <w:t xml:space="preserve">reduces Tobin’s Q, a core indicator signalling investment incentive.</w:t>
      </w:r>
      <w:r>
        <w:t xml:space="preserve"> </w:t>
      </w:r>
      <w:r>
        <w:t xml:space="preserve">87 For example: Euler et al (2024), Tax Complexity and Foreign Direct Investment - WU Vienna University of</w:t>
      </w:r>
      <w:r>
        <w:t xml:space="preserve"> </w:t>
      </w:r>
      <w:r>
        <w:t xml:space="preserve">Economics and Business; Heckemeyer (2022), Removal of taxation-based obstacles and distortions in the Single</w:t>
      </w:r>
      <w:r>
        <w:t xml:space="preserve"> </w:t>
      </w:r>
      <w:r>
        <w:t xml:space="preserve">Market in order to encourage cross border investment.</w:t>
      </w:r>
      <w:r>
        <w:t xml:space="preserve"> </w:t>
      </w:r>
      <w:r>
        <w:t xml:space="preserve">88 See the seminal Cecchini-Report (1988), Europe 1992, or more recently: IMF (2024), esp. on fragmented markets:</w:t>
      </w:r>
      <w:r>
        <w:t xml:space="preserve"> </w:t>
      </w:r>
      <w:r>
        <w:t xml:space="preserve">Scaling up the single market to boost productivity; ECB (2025) on the untapped potential of the EU Single Market.</w:t>
      </w:r>
      <w:r>
        <w:t xml:space="preserve"> </w:t>
      </w:r>
      <w:r>
        <w:t xml:space="preserve">89 Amberger et al (2026), Corporate Tax System Complexity and Investment Sensitivity to Tax Policy Changes -</w:t>
      </w:r>
      <w:r>
        <w:t xml:space="preserve"> </w:t>
      </w:r>
      <w:r>
        <w:t xml:space="preserve">University of Iowa.</w:t>
      </w:r>
    </w:p>
    <w:p>
      <w:pPr>
        <w:pStyle w:val="BodyText"/>
      </w:pPr>
      <w:r>
        <w:t xml:space="preserve">rules on beneficial ownership. Consequently, the anti-tax avoidance framework should remain</w:t>
      </w:r>
      <w:r>
        <w:t xml:space="preserve"> </w:t>
      </w:r>
      <w:r>
        <w:t xml:space="preserve">effective and robust.</w:t>
      </w:r>
      <w:r>
        <w:br/>
      </w:r>
      <w:r>
        <w:t xml:space="preserve">6.2.2. Simplification in the context of the CFC rules</w:t>
      </w:r>
      <w:r>
        <w:t xml:space="preserve"> </w:t>
      </w:r>
      <w:r>
        <w:t xml:space="preserve">More detailed information can be found in Annex 4, Section 3, in particular as regards the potential</w:t>
      </w:r>
      <w:r>
        <w:t xml:space="preserve"> </w:t>
      </w:r>
      <w:r>
        <w:t xml:space="preserve">economic double taxation resulting from the simultaneous application of the CFC rules and Pillar 2.</w:t>
      </w:r>
      <w:r>
        <w:t xml:space="preserve"> </w:t>
      </w:r>
      <w:r>
        <w:t xml:space="preserve">6.2.2.1. Option 1: Reduce implementation options: Make “Model A” mandatory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As explained in previous chapters, the ATAD allows for two CFC income definition models to be</w:t>
      </w:r>
      <w:r>
        <w:t xml:space="preserve"> </w:t>
      </w:r>
      <w:r>
        <w:t xml:space="preserve">implemented at national level, or a combination of both. Ten Member States have currently</w:t>
      </w:r>
      <w:r>
        <w:t xml:space="preserve"> </w:t>
      </w:r>
      <w:r>
        <w:t xml:space="preserve">implemented Model B or some hybrid version of the CFC income definition.90 If Model A were</w:t>
      </w:r>
      <w:r>
        <w:t xml:space="preserve"> </w:t>
      </w:r>
      <w:r>
        <w:t xml:space="preserve">mandatory, these Member States would also apply the same defined categories of passive income</w:t>
      </w:r>
      <w:r>
        <w:t xml:space="preserve"> </w:t>
      </w:r>
      <w:r>
        <w:t xml:space="preserve">of the controlled companies. Model A is simpler than Model B as it adds legal certainty to</w:t>
      </w:r>
      <w:r>
        <w:t xml:space="preserve"> </w:t>
      </w:r>
      <w:r>
        <w:t xml:space="preserve">taxpayers (Section 5.2.2.1). Moreover, with a uniform application of Model A, taxpayers would</w:t>
      </w:r>
      <w:r>
        <w:t xml:space="preserve"> </w:t>
      </w:r>
      <w:r>
        <w:t xml:space="preserve">face a consistent approach to CFC rules across all Member States. This harmonisation would lead</w:t>
      </w:r>
      <w:r>
        <w:t xml:space="preserve"> </w:t>
      </w:r>
      <w:r>
        <w:t xml:space="preserve">to simplified administrative processes, as tax reporting and compliance would be streamlined under</w:t>
      </w:r>
      <w:r>
        <w:t xml:space="preserve"> </w:t>
      </w:r>
      <w:r>
        <w:t xml:space="preserve">a single set of CFC rules. This could lead to lower administrative costs and a reduced need for</w:t>
      </w:r>
      <w:r>
        <w:t xml:space="preserve"> </w:t>
      </w:r>
      <w:r>
        <w:t xml:space="preserve">specialised tax advisory services.</w:t>
      </w:r>
      <w:r>
        <w:t xml:space="preserve"> </w:t>
      </w:r>
      <w:r>
        <w:t xml:space="preserve">As regards the number of companies affected, based on data available in Orbis, some 114,000</w:t>
      </w:r>
      <w:r>
        <w:t xml:space="preserve"> </w:t>
      </w:r>
      <w:r>
        <w:t xml:space="preserve">companies in the EU would be subject to the ATAD rules, from which about 40,000 companies are</w:t>
      </w:r>
      <w:r>
        <w:t xml:space="preserve"> </w:t>
      </w:r>
      <w:r>
        <w:t xml:space="preserve">located in the ten Member States that so far have not yet (fully) implemented Model A. These</w:t>
      </w:r>
      <w:r>
        <w:t xml:space="preserve"> </w:t>
      </w:r>
      <w:r>
        <w:t xml:space="preserve">companies can be the owners of entire groups, but most of them are owners of fewer entities.</w:t>
      </w:r>
      <w:r>
        <w:br/>
      </w:r>
      <w:r>
        <w:t xml:space="preserve">As regards the costs involved, it is assumed that, on average, ATAD-related costs for MNEs are</w:t>
      </w:r>
      <w:r>
        <w:t xml:space="preserve"> </w:t>
      </w:r>
      <w:r>
        <w:t xml:space="preserve">EUR 33,000 per year. This is because compliance checks related to the application of CFC rules</w:t>
      </w:r>
      <w:r>
        <w:t xml:space="preserve"> </w:t>
      </w:r>
      <w:r>
        <w:t xml:space="preserve">would constitute only a part of the total compliance costs related to the ATAD rules as a whole.</w:t>
      </w:r>
      <w:r>
        <w:t xml:space="preserve"> </w:t>
      </w:r>
      <w:r>
        <w:t xml:space="preserve">Next, as explained in detail in Section 1 of Annex 4 (given the lack of available empirical data to</w:t>
      </w:r>
      <w:r>
        <w:t xml:space="preserve"> </w:t>
      </w:r>
      <w:r>
        <w:t xml:space="preserve">confirm the exact proportion), the current analysis uses an assumption that the CFC rules account</w:t>
      </w:r>
      <w:r>
        <w:t xml:space="preserve"> </w:t>
      </w:r>
      <w:r>
        <w:t xml:space="preserve">for one third of these ATAD-related costs, specifically.</w:t>
      </w:r>
      <w:r>
        <w:br/>
      </w:r>
      <w:r>
        <w:t xml:space="preserve">As regards the compliance cost savings, there is no empirical data that would facilitate estimating</w:t>
      </w:r>
      <w:r>
        <w:t xml:space="preserve"> </w:t>
      </w:r>
      <w:r>
        <w:t xml:space="preserve">the actual savings per company. Assuming, therefore, that these companies would generate at least</w:t>
      </w:r>
      <w:r>
        <w:t xml:space="preserve"> </w:t>
      </w:r>
      <w:r>
        <w:t xml:space="preserve">10% compliance related savings as a result of the simplified and unified framework under which</w:t>
      </w:r>
      <w:r>
        <w:t xml:space="preserve"> </w:t>
      </w:r>
      <w:r>
        <w:t xml:space="preserve">they would then operate,91 it is estimated that relevant controlling companies could save an amount</w:t>
      </w:r>
      <w:r>
        <w:t xml:space="preserve"> </w:t>
      </w:r>
      <w:r>
        <w:t xml:space="preserve">of about EUR 45 million per year (≈33,000 EUR * 1/3 * 10% * 40,000 companies).</w:t>
      </w:r>
      <w:r>
        <w:br/>
      </w:r>
      <w:r>
        <w:t xml:space="preserve">Impact on tax administrations</w:t>
      </w:r>
      <w:r>
        <w:br/>
      </w:r>
      <w:r>
        <w:t xml:space="preserve">A single framework for CFC rules across the EU provides consistent criteria for enforcement,</w:t>
      </w:r>
      <w:r>
        <w:t xml:space="preserve"> </w:t>
      </w:r>
      <w:r>
        <w:t xml:space="preserve">eliminating the need to apply different models in different jurisdictions. Those jurisdictions not</w:t>
      </w:r>
      <w:r>
        <w:t xml:space="preserve"> </w:t>
      </w:r>
      <w:r>
        <w:t xml:space="preserve">currently applying Model A, and thus their administrations, will incur initial implementation costs</w:t>
      </w:r>
      <w:r>
        <w:t xml:space="preserve"> </w:t>
      </w:r>
      <w:r>
        <w:t xml:space="preserve">as they shift from the use of one or a hybrid approach to implementation of only Model A.</w:t>
      </w:r>
    </w:p>
    <w:p>
      <w:pPr>
        <w:pStyle w:val="BodyText"/>
      </w:pPr>
      <w:r>
        <w:t xml:space="preserve">90 Eight Member States (Cyprus, Estonia, Hungary, Ireland, Latvia, Luxembourg, Malta, Slovakia) have adopted Model</w:t>
      </w:r>
      <w:r>
        <w:t xml:space="preserve"> </w:t>
      </w:r>
      <w:r>
        <w:t xml:space="preserve">B and two Member States (the Netherlands, Spain) adopted a combination of the two models. Source: ATAD</w:t>
      </w:r>
      <w:r>
        <w:t xml:space="preserve"> </w:t>
      </w:r>
      <w:r>
        <w:t xml:space="preserve">Evaluation.</w:t>
      </w:r>
      <w:r>
        <w:t xml:space="preserve"> </w:t>
      </w:r>
      <w:r>
        <w:t xml:space="preserve">91 The 10% possible savings is a hypothesis made on the basis of conservative assumptions following stakeholder</w:t>
      </w:r>
      <w:r>
        <w:t xml:space="preserve"> </w:t>
      </w:r>
      <w:r>
        <w:t xml:space="preserve">consultations that indicate this is one of the primary impediments when operating on a cross-border basis.</w:t>
      </w:r>
    </w:p>
    <w:p>
      <w:pPr>
        <w:pStyle w:val="BodyText"/>
      </w:pPr>
      <w:r>
        <w:t xml:space="preserve">However, as further explained in Section 6.2.5 of this Chapter, these costs to administrations cannot</w:t>
      </w:r>
      <w:r>
        <w:t xml:space="preserve"> </w:t>
      </w:r>
      <w:r>
        <w:t xml:space="preserve">be quantified as there is no empirical data to assess the potential cost implications – whether strictly</w:t>
      </w:r>
      <w:r>
        <w:t xml:space="preserve"> </w:t>
      </w:r>
      <w:r>
        <w:t xml:space="preserve">from an IT or human resource (adaptation, personnel) point of view. On the other hand, with one</w:t>
      </w:r>
      <w:r>
        <w:t xml:space="preserve"> </w:t>
      </w:r>
      <w:r>
        <w:t xml:space="preserve">unified system of CFC rules, tax administrations across the EU can develop streamlined processes</w:t>
      </w:r>
      <w:r>
        <w:t xml:space="preserve"> </w:t>
      </w:r>
      <w:r>
        <w:t xml:space="preserve">and procedures, enhancing operational efficiency. This reduces the time and effort required to adapt</w:t>
      </w:r>
      <w:r>
        <w:t xml:space="preserve"> </w:t>
      </w:r>
      <w:r>
        <w:t xml:space="preserve">to varied frameworks and cuts down on administrative overhead. The efficiency gained from</w:t>
      </w:r>
      <w:r>
        <w:t xml:space="preserve"> </w:t>
      </w:r>
      <w:r>
        <w:t xml:space="preserve">enabling companies operating on a cross-border basis to use only one system could also result in</w:t>
      </w:r>
      <w:r>
        <w:t xml:space="preserve"> </w:t>
      </w:r>
      <w:r>
        <w:t xml:space="preserve">fewer mistakes and thus fewer instances of oversight and audit. Finally, an EU-wide standardised</w:t>
      </w:r>
      <w:r>
        <w:t xml:space="preserve"> </w:t>
      </w:r>
      <w:r>
        <w:t xml:space="preserve">system of training and guidance can be developed more easily.</w:t>
      </w:r>
      <w:r>
        <w:br/>
      </w:r>
      <w:r>
        <w:t xml:space="preserve">Impact on the economy</w:t>
      </w:r>
      <w:r>
        <w:t xml:space="preserve"> </w:t>
      </w:r>
      <w:r>
        <w:t xml:space="preserve">Please refer to section 6.2.2.5.</w:t>
      </w:r>
      <w:r>
        <w:t xml:space="preserve"> </w:t>
      </w:r>
      <w:r>
        <w:t xml:space="preserve">6.2.2.2. Option 2A: Carving out Pillar 2 companies from CFC rules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Section 3 of Annex 4 explains how this option would operate structurally and how this would</w:t>
      </w:r>
      <w:r>
        <w:t xml:space="preserve"> </w:t>
      </w:r>
      <w:r>
        <w:t xml:space="preserve">impact Pillar 2 companies from a tax obligation point of view.</w:t>
      </w:r>
      <w:r>
        <w:t xml:space="preserve"> </w:t>
      </w:r>
      <w:r>
        <w:t xml:space="preserve">As regards compliance cost savings, the following can then be deduced from this. According to the</w:t>
      </w:r>
      <w:r>
        <w:t xml:space="preserve"> </w:t>
      </w:r>
      <w:r>
        <w:t xml:space="preserve">company-level database Orbis, the number of MNEs present in the EU and in scope of Pillar 2 (i.e.,</w:t>
      </w:r>
      <w:r>
        <w:t xml:space="preserve"> </w:t>
      </w:r>
      <w:r>
        <w:t xml:space="preserve">those with a consolidated turnover of at least EUR 750 million) is estimated at approximately 4,700</w:t>
      </w:r>
      <w:r>
        <w:t xml:space="preserve"> </w:t>
      </w:r>
      <w:r>
        <w:t xml:space="preserve">companies. For those, the total cost related to ATAD is assumed to be EUR 100,000 based on what</w:t>
      </w:r>
      <w:r>
        <w:t xml:space="preserve"> </w:t>
      </w:r>
      <w:r>
        <w:t xml:space="preserve">the ATAD study 92 finds for large, complex MNEs. As for Option 1 above, it is assumed that a third</w:t>
      </w:r>
      <w:r>
        <w:t xml:space="preserve"> </w:t>
      </w:r>
      <w:r>
        <w:t xml:space="preserve">of these overall ATAD compliance costs are related to compliance with CFC-rules and related</w:t>
      </w:r>
      <w:r>
        <w:t xml:space="preserve"> </w:t>
      </w:r>
      <w:r>
        <w:t xml:space="preserve">activities (and likewise, the explanation for this assumption can be found in Section 1 of Annex to</w:t>
      </w:r>
      <w:r>
        <w:t xml:space="preserve"> </w:t>
      </w:r>
      <w:r>
        <w:t xml:space="preserve">this report). Doing away with CFC rules for these MNEs could save compliance costs of about</w:t>
      </w:r>
      <w:r>
        <w:t xml:space="preserve"> </w:t>
      </w:r>
      <w:r>
        <w:t xml:space="preserve">EUR 160 million (≈100,000 compliance cost per company * 1/3 * 4,700 companies). This could be</w:t>
      </w:r>
      <w:r>
        <w:t xml:space="preserve"> </w:t>
      </w:r>
      <w:r>
        <w:t xml:space="preserve">an upper-bound estimate because:</w:t>
      </w:r>
      <w:r>
        <w:br/>
      </w:r>
      <w:r>
        <w:t xml:space="preserve">• Not all MNEs have subsidiaries in the EU of which they are shareholders, and not all MNEs</w:t>
      </w:r>
      <w:r>
        <w:t xml:space="preserve"> </w:t>
      </w:r>
      <w:r>
        <w:t xml:space="preserve">would benefit or fully benefit from the carveout as explained in Annex 4.</w:t>
      </w:r>
      <w:r>
        <w:t xml:space="preserve"> </w:t>
      </w:r>
      <w:r>
        <w:t xml:space="preserve">• Overlaps in the administrative actions linked to CFC and Pillar 2 compliance would imply</w:t>
      </w:r>
      <w:r>
        <w:t xml:space="preserve"> </w:t>
      </w:r>
      <w:r>
        <w:t xml:space="preserve">that savings would not amount to the full cost of CFC-related paperwork.</w:t>
      </w:r>
      <w:r>
        <w:t xml:space="preserve"> </w:t>
      </w:r>
      <w:r>
        <w:t xml:space="preserve">Impact on tax administrations</w:t>
      </w:r>
      <w:r>
        <w:t xml:space="preserve"> </w:t>
      </w:r>
      <w:r>
        <w:t xml:space="preserve">Excluding Pillar 2 companies from CFC rules would simplify the workload for tax administrations,</w:t>
      </w:r>
      <w:r>
        <w:t xml:space="preserve"> </w:t>
      </w:r>
      <w:r>
        <w:t xml:space="preserve">resulting in likely important resource savings; however, it is impossible to provide a quantification</w:t>
      </w:r>
      <w:r>
        <w:t xml:space="preserve"> </w:t>
      </w:r>
      <w:r>
        <w:t xml:space="preserve">of said savings in light of the lack of empirical evidence related to the internal costs of</w:t>
      </w:r>
      <w:r>
        <w:t xml:space="preserve"> </w:t>
      </w:r>
      <w:r>
        <w:t xml:space="preserve">applying/enforcing specific rules. By eliminating the overlap between CFC rules and Pillar 2</w:t>
      </w:r>
      <w:r>
        <w:t xml:space="preserve"> </w:t>
      </w:r>
      <w:r>
        <w:t xml:space="preserve">regulations, tax administrations will face a less complex regulatory environment for enforcement</w:t>
      </w:r>
      <w:r>
        <w:t xml:space="preserve"> </w:t>
      </w:r>
      <w:r>
        <w:t xml:space="preserve">purposes. The reduction in complexity could lead to more efficient processing of tax filings and</w:t>
      </w:r>
      <w:r>
        <w:t xml:space="preserve"> </w:t>
      </w:r>
      <w:r>
        <w:t xml:space="preserve">enquiries, and fewer audits, allowing administrators to carry out a narrower scope of compliance</w:t>
      </w:r>
      <w:r>
        <w:t xml:space="preserve"> </w:t>
      </w:r>
      <w:r>
        <w:t xml:space="preserve">checks. Overall, this should allow easing the burden on resources, personnel and technological</w:t>
      </w:r>
      <w:r>
        <w:t xml:space="preserve"> </w:t>
      </w:r>
      <w:r>
        <w:t xml:space="preserve">resources at the level of tax administration. These arguments also hold for Option 2B, below</w:t>
      </w:r>
    </w:p>
    <w:p>
      <w:pPr>
        <w:pStyle w:val="BodyText"/>
      </w:pPr>
      <w:r>
        <w:t xml:space="preserve">92 Study prepared for the European Commission to support an evaluation of the Anti-tax Avoidance Directive (ATAD)</w:t>
      </w:r>
      <w:r>
        <w:t xml:space="preserve"> </w:t>
      </w:r>
      <w:r>
        <w:t xml:space="preserve">- Final Report (2025). Here: Volume 2, p. 38.</w:t>
      </w:r>
    </w:p>
    <w:p>
      <w:pPr>
        <w:pStyle w:val="BodyText"/>
      </w:pPr>
      <w:r>
        <w:t xml:space="preserve">(accounting for QDMTT for CFC), albeit to a lesser extent as fewer companies would be relieved</w:t>
      </w:r>
      <w:r>
        <w:t xml:space="preserve"> </w:t>
      </w:r>
      <w:r>
        <w:t xml:space="preserve">from CFC.</w:t>
      </w:r>
      <w:r>
        <w:t xml:space="preserve"> </w:t>
      </w:r>
      <w:r>
        <w:t xml:space="preserve">Impact on the economy</w:t>
      </w:r>
      <w:r>
        <w:t xml:space="preserve"> </w:t>
      </w:r>
      <w:r>
        <w:t xml:space="preserve">Please refer to section 6.2.2.5.</w:t>
      </w:r>
      <w:r>
        <w:br/>
      </w:r>
      <w:r>
        <w:t xml:space="preserve">6.2.2.3. Option 2B: Inclusion of QDMTT in CFC calculation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As for Option 2A, Section 3 of Annex 4 provides an analysis of how this option would affect Pillar</w:t>
      </w:r>
      <w:r>
        <w:t xml:space="preserve"> </w:t>
      </w:r>
      <w:r>
        <w:t xml:space="preserve">2 companies from a tax point of view, which will be more targeted and technical. As a result, it is</w:t>
      </w:r>
      <w:r>
        <w:t xml:space="preserve"> </w:t>
      </w:r>
      <w:r>
        <w:t xml:space="preserve">likely that compliance cost savings would not be as significant as in Option 2A because CFC rules</w:t>
      </w:r>
      <w:r>
        <w:t xml:space="preserve"> </w:t>
      </w:r>
      <w:r>
        <w:t xml:space="preserve">would continue to apply where Member States operate a higher CFC effective tax rate. CFC rules</w:t>
      </w:r>
      <w:r>
        <w:t xml:space="preserve"> </w:t>
      </w:r>
      <w:r>
        <w:t xml:space="preserve">would still apply if the effective tax rate of an MNE subgroup (the entities of a group in a certain</w:t>
      </w:r>
      <w:r>
        <w:t xml:space="preserve"> </w:t>
      </w:r>
      <w:r>
        <w:t xml:space="preserve">country) was at least 15%. In all other cases, QDMTT would be triggered – and CFC would not be</w:t>
      </w:r>
      <w:r>
        <w:t xml:space="preserve"> </w:t>
      </w:r>
      <w:r>
        <w:t xml:space="preserve">triggered in order to prevent double taxation.</w:t>
      </w:r>
      <w:r>
        <w:br/>
      </w:r>
      <w:r>
        <w:t xml:space="preserve">We analysed the option using an Orbis sample of about 88,000 subsidiaries of EU shareholders, all</w:t>
      </w:r>
      <w:r>
        <w:t xml:space="preserve"> </w:t>
      </w:r>
      <w:r>
        <w:t xml:space="preserve">part of groups whose consolidated turnover is EUR 750 million or above. QDMTT may be</w:t>
      </w:r>
      <w:r>
        <w:t xml:space="preserve"> </w:t>
      </w:r>
      <w:r>
        <w:t xml:space="preserve">triggered for about 46,000 of these entities as they show an effective tax rate below 15%. These</w:t>
      </w:r>
      <w:r>
        <w:t xml:space="preserve"> </w:t>
      </w:r>
      <w:r>
        <w:t xml:space="preserve">represent 53% of all in-scope entities. Under Option 2B, CFC rules would therefore not be</w:t>
      </w:r>
      <w:r>
        <w:t xml:space="preserve"> </w:t>
      </w:r>
      <w:r>
        <w:t xml:space="preserve">triggered for these entities.</w:t>
      </w:r>
      <w:r>
        <w:br/>
      </w:r>
      <w:r>
        <w:t xml:space="preserve">It is thus assumed that the compliance cost savings under this option would amount to only about</w:t>
      </w:r>
      <w:r>
        <w:t xml:space="preserve"> </w:t>
      </w:r>
      <w:r>
        <w:t xml:space="preserve">one half (53%) of those estimated for Option 2A. Consequently, estimates for Option 2B indicate a</w:t>
      </w:r>
      <w:r>
        <w:t xml:space="preserve"> </w:t>
      </w:r>
      <w:r>
        <w:t xml:space="preserve">potential cost savings of about EUR 84 million (≈ EUR 160 million * 53%).</w:t>
      </w:r>
      <w:r>
        <w:br/>
      </w:r>
      <w:r>
        <w:t xml:space="preserve">Impact on tax administrations</w:t>
      </w:r>
      <w:r>
        <w:t xml:space="preserve"> </w:t>
      </w:r>
      <w:r>
        <w:t xml:space="preserve">Please refer to similarities under section 6.2.2.2 above.</w:t>
      </w:r>
      <w:r>
        <w:t xml:space="preserve"> </w:t>
      </w:r>
      <w:r>
        <w:t xml:space="preserve">Impact on the economy</w:t>
      </w:r>
      <w:r>
        <w:t xml:space="preserve"> </w:t>
      </w:r>
      <w:r>
        <w:t xml:space="preserve">Please refer to section 6.2.2.5.</w:t>
      </w:r>
      <w:r>
        <w:t xml:space="preserve"> </w:t>
      </w:r>
      <w:r>
        <w:t xml:space="preserve">6.2.2.4. Option 3: Carve-out of SMEs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As a starting basis, this option would carve out SMEs, which would be identified based on the</w:t>
      </w:r>
      <w:r>
        <w:t xml:space="preserve"> </w:t>
      </w:r>
      <w:r>
        <w:t xml:space="preserve">Eurostat definition, widely used across EU legislation, taking into account only those companies</w:t>
      </w:r>
      <w:r>
        <w:t xml:space="preserve"> </w:t>
      </w:r>
      <w:r>
        <w:t xml:space="preserve">with a turnover of EUR 50 million or less. A micro-analysis conducted based on the Orbis</w:t>
      </w:r>
      <w:r>
        <w:t xml:space="preserve"> </w:t>
      </w:r>
      <w:r>
        <w:t xml:space="preserve">company database estimates that the number of shareholders with foreign subsidiaries and a</w:t>
      </w:r>
      <w:r>
        <w:t xml:space="preserve"> </w:t>
      </w:r>
      <w:r>
        <w:t xml:space="preserve">turnover below EUR 50 million is estimated at 55,000. On the basis of a recent study, estimates</w:t>
      </w:r>
      <w:r>
        <w:t xml:space="preserve"> </w:t>
      </w:r>
      <w:r>
        <w:t xml:space="preserve">indicate that the CIT-related compliance costs of ‘medium’-sized enterprises could amount to</w:t>
      </w:r>
      <w:r>
        <w:t xml:space="preserve"> </w:t>
      </w:r>
      <w:r>
        <w:t xml:space="preserve">around EUR 4,700 per entity.93 Here too, one can assume that only a fraction of these compliance</w:t>
      </w:r>
      <w:r>
        <w:t xml:space="preserve"> </w:t>
      </w:r>
      <w:r>
        <w:t xml:space="preserve">costs is devoted to CFC-compliance or related activities, considering that for an SME, the control</w:t>
      </w:r>
      <w:r>
        <w:t xml:space="preserve"> </w:t>
      </w:r>
      <w:r>
        <w:t xml:space="preserve">of other entities is a burdensome task. However, given the lack of precise empirical evidence, the</w:t>
      </w:r>
      <w:r>
        <w:t xml:space="preserve"> </w:t>
      </w:r>
      <w:r>
        <w:t xml:space="preserve">analysis uses the same assumption as under options 1 and 2 above, i.e., that CFC compliance costs</w:t>
      </w:r>
      <w:r>
        <w:t xml:space="preserve"> </w:t>
      </w:r>
      <w:r>
        <w:t xml:space="preserve">would amount to approximately one third. The analysis estimates that this option would amount to</w:t>
      </w:r>
    </w:p>
    <w:p>
      <w:pPr>
        <w:pStyle w:val="BodyText"/>
      </w:pPr>
      <w:r>
        <w:t xml:space="preserve">93 VVA/KPMG, Tax compliance costs for SMEs: An update and a complement Final Report KPMG/VVA 2022.</w:t>
      </w:r>
    </w:p>
    <w:p>
      <w:pPr>
        <w:pStyle w:val="BodyText"/>
      </w:pPr>
      <w:r>
        <w:t xml:space="preserve">about EUR 90 million (≈ 55,000 companies * 4,700 compliance cost per entity * 1/3) in CFC-</w:t>
      </w:r>
      <w:r>
        <w:t xml:space="preserve"> </w:t>
      </w:r>
      <w:r>
        <w:t xml:space="preserve">related cost savings as a result of carving out SMEs.</w:t>
      </w:r>
      <w:r>
        <w:t xml:space="preserve"> </w:t>
      </w:r>
      <w:r>
        <w:t xml:space="preserve">Impact on tax administrations</w:t>
      </w:r>
      <w:r>
        <w:t xml:space="preserve"> </w:t>
      </w:r>
      <w:r>
        <w:t xml:space="preserve">SMEs account for over 99% of businesses in the EU.94 However, only around 10% have cross-</w:t>
      </w:r>
      <w:r>
        <w:t xml:space="preserve"> </w:t>
      </w:r>
      <w:r>
        <w:t xml:space="preserve">border activities,95 and only about 5% of SMEs are part of a group.96 It therefore follows that CFC</w:t>
      </w:r>
      <w:r>
        <w:t xml:space="preserve"> </w:t>
      </w:r>
      <w:r>
        <w:t xml:space="preserve">legislation is relevant to an extremely small population out of the overall number of SMEs. Firstly,</w:t>
      </w:r>
      <w:r>
        <w:t xml:space="preserve"> </w:t>
      </w:r>
      <w:r>
        <w:t xml:space="preserve">the vast majority of these SME groups do not operate on a cross-border basis and therefore do not</w:t>
      </w:r>
      <w:r>
        <w:t xml:space="preserve"> </w:t>
      </w:r>
      <w:r>
        <w:t xml:space="preserve">have operating structures that would avail themselves of controlled foreign companies; or possess</w:t>
      </w:r>
      <w:r>
        <w:t xml:space="preserve"> </w:t>
      </w:r>
      <w:r>
        <w:t xml:space="preserve">limited resources for engaging in cross-border aggressive tax planning. On this basis, it appears</w:t>
      </w:r>
      <w:r>
        <w:t xml:space="preserve"> </w:t>
      </w:r>
      <w:r>
        <w:t xml:space="preserve">inefficient for tax administrations to bear the responsibility for, and dedicate resources to, enforcing</w:t>
      </w:r>
      <w:r>
        <w:t xml:space="preserve"> </w:t>
      </w:r>
      <w:r>
        <w:t xml:space="preserve">the CFC rules in this limited context, especially considering that anecdotal evidence from several</w:t>
      </w:r>
      <w:r>
        <w:t xml:space="preserve"> </w:t>
      </w:r>
      <w:r>
        <w:t xml:space="preserve">EU Member States indicates that CFC rules are rarely in effect applied to SMEs.</w:t>
      </w:r>
      <w:r>
        <w:br/>
      </w:r>
      <w:r>
        <w:t xml:space="preserve">Impact on the economy</w:t>
      </w:r>
      <w:r>
        <w:t xml:space="preserve"> </w:t>
      </w:r>
      <w:r>
        <w:t xml:space="preserve">Please refer to Section 6.2.2.5.</w:t>
      </w:r>
    </w:p>
    <w:p>
      <w:pPr>
        <w:pStyle w:val="BodyText"/>
      </w:pPr>
      <w:r>
        <w:t xml:space="preserve">6.2.2.5. Why simpler CFC rules matter</w:t>
      </w:r>
      <w:r>
        <w:t xml:space="preserve"> </w:t>
      </w:r>
      <w:r>
        <w:t xml:space="preserve">Reduced costs for companies</w:t>
      </w:r>
      <w:r>
        <w:t xml:space="preserve"> </w:t>
      </w:r>
      <w:r>
        <w:t xml:space="preserve">The above analyses demonstrate that under all circumstances, simplifying the application of CFC</w:t>
      </w:r>
      <w:r>
        <w:t xml:space="preserve"> </w:t>
      </w:r>
      <w:r>
        <w:t xml:space="preserve">rules for the EU results in important cost savings, irrespective of the policy option or combination</w:t>
      </w:r>
      <w:r>
        <w:t xml:space="preserve"> </w:t>
      </w:r>
      <w:r>
        <w:t xml:space="preserve">chosen. This is because any more unified and potentially simpler approach for implementing CFC</w:t>
      </w:r>
      <w:r>
        <w:t xml:space="preserve"> </w:t>
      </w:r>
      <w:r>
        <w:t xml:space="preserve">rules across the EU would result in an easier operating environment, with savings redirected</w:t>
      </w:r>
      <w:r>
        <w:t xml:space="preserve"> </w:t>
      </w:r>
      <w:r>
        <w:t xml:space="preserve">towards investment in new projects, expansion, and innovation. To that end, Option 1 would, by</w:t>
      </w:r>
      <w:r>
        <w:t xml:space="preserve"> </w:t>
      </w:r>
      <w:r>
        <w:t xml:space="preserve">making Model A mandatory, provide clearer EU-wide rules-based taxation of CFCs, as opposed to</w:t>
      </w:r>
      <w:r>
        <w:t xml:space="preserve"> </w:t>
      </w:r>
      <w:r>
        <w:t xml:space="preserve">having to impose and enact an always case-by-case assessment. Under the second set of options,</w:t>
      </w:r>
      <w:r>
        <w:t xml:space="preserve"> </w:t>
      </w:r>
      <w:r>
        <w:t xml:space="preserve">sub-Option 2A (carveout of Pillar 2 companies from CFC) would significantly reduce the</w:t>
      </w:r>
      <w:r>
        <w:t xml:space="preserve"> </w:t>
      </w:r>
      <w:r>
        <w:t xml:space="preserve">administrative burden for shareholding entities of the 4,700 MNEs in scope of Pillar 2 present in</w:t>
      </w:r>
      <w:r>
        <w:t xml:space="preserve"> </w:t>
      </w:r>
      <w:r>
        <w:t xml:space="preserve">the EU as it would eliminate their compliance obligations in the context of CFCs. Whereas for</w:t>
      </w:r>
      <w:r>
        <w:t xml:space="preserve"> </w:t>
      </w:r>
      <w:r>
        <w:t xml:space="preserve">Option 2B, the reduction would be lower, as fewer companies would be relieved form CFC rules.</w:t>
      </w:r>
      <w:r>
        <w:t xml:space="preserve"> </w:t>
      </w:r>
      <w:r>
        <w:t xml:space="preserve">Both options would thus reduce the regulatory fragmentation of CFC-rules, enabling companies to</w:t>
      </w:r>
      <w:r>
        <w:t xml:space="preserve"> </w:t>
      </w:r>
      <w:r>
        <w:t xml:space="preserve">reduce operational costs in significant ways. The associated cost savings of, for example,</w:t>
      </w:r>
      <w:r>
        <w:t xml:space="preserve"> </w:t>
      </w:r>
      <w:r>
        <w:t xml:space="preserve">combining option 1 with 2A could amount to approximately EUR 205 million (EUR 45 million and</w:t>
      </w:r>
      <w:r>
        <w:t xml:space="preserve"> </w:t>
      </w:r>
      <w:r>
        <w:t xml:space="preserve">EUR 160 million, respectively). Whereas combining Option 1 with 2B would achieve fewer</w:t>
      </w:r>
      <w:r>
        <w:t xml:space="preserve"> </w:t>
      </w:r>
      <w:r>
        <w:t xml:space="preserve">savings of about EUR 129 million (EUR 45 million and EUR 84 million, respectively).</w:t>
      </w:r>
      <w:r>
        <w:t xml:space="preserve"> </w:t>
      </w:r>
      <w:r>
        <w:t xml:space="preserve">Reduced costs for tax administrations</w:t>
      </w:r>
      <w:r>
        <w:t xml:space="preserve"> </w:t>
      </w:r>
      <w:r>
        <w:t xml:space="preserve">Option 1 (harmonise implementation of Model A across the EU) could entail some potential costs</w:t>
      </w:r>
      <w:r>
        <w:t xml:space="preserve"> </w:t>
      </w:r>
      <w:r>
        <w:t xml:space="preserve">as a result of the change in the administrative approach. However, overall cost savings for tax</w:t>
      </w:r>
      <w:r>
        <w:t xml:space="preserve"> </w:t>
      </w:r>
      <w:r>
        <w:t xml:space="preserve">administrations from the proposed changes in the application of CFC rules would likely be</w:t>
      </w:r>
    </w:p>
    <w:p>
      <w:pPr>
        <w:pStyle w:val="BodyText"/>
      </w:pPr>
      <w:r>
        <w:t xml:space="preserve">94 Small and medium-sized enterprises | Fact Sheets on the European Union | European Parliament</w:t>
      </w:r>
      <w:r>
        <w:t xml:space="preserve"> </w:t>
      </w:r>
      <w:r>
        <w:t xml:space="preserve">95 European Commission (2023), Proposal for a Council Directive on Business in Europe: Framework for Income</w:t>
      </w:r>
      <w:r>
        <w:t xml:space="preserve"> </w:t>
      </w:r>
      <w:r>
        <w:t xml:space="preserve">Taxation (BEFIT) and Proposal for a Council Directive on Transfer Pricing SWD(2023) 308 final (p. 41). This</w:t>
      </w:r>
      <w:r>
        <w:t xml:space="preserve"> </w:t>
      </w:r>
      <w:r>
        <w:t xml:space="preserve">information is based on data from: VVA/KPMG (2022), Tax compliance costs for SMEs: An update and a complement</w:t>
      </w:r>
      <w:r>
        <w:t xml:space="preserve"> </w:t>
      </w:r>
      <w:r>
        <w:t xml:space="preserve">Final Report KPMG/VVA 2022.</w:t>
      </w:r>
      <w:r>
        <w:t xml:space="preserve"> </w:t>
      </w:r>
      <w:r>
        <w:t xml:space="preserve">96 Eurostat Statistics Explained: SMEs - independent and in enterprise groups - Eurostat</w:t>
      </w:r>
    </w:p>
    <w:p>
      <w:pPr>
        <w:pStyle w:val="BodyText"/>
      </w:pPr>
      <w:r>
        <w:t xml:space="preserve">important and stem from enacting simpler and less burdensome enforcement obligations as fewer</w:t>
      </w:r>
      <w:r>
        <w:t xml:space="preserve"> </w:t>
      </w:r>
      <w:r>
        <w:t xml:space="preserve">companies would have to be checked (see each option for details above).</w:t>
      </w:r>
      <w:r>
        <w:t xml:space="preserve"> </w:t>
      </w:r>
      <w:r>
        <w:t xml:space="preserve">Positive impact on the economy</w:t>
      </w:r>
      <w:r>
        <w:br/>
      </w:r>
      <w:r>
        <w:t xml:space="preserve">The long-term macroeconomic effects will, on the other hand, go far beyond the primary savings of</w:t>
      </w:r>
      <w:r>
        <w:t xml:space="preserve"> </w:t>
      </w:r>
      <w:r>
        <w:t xml:space="preserve">administrative costs from both a corporate taxpayer and tax administration point of view. This</w:t>
      </w:r>
      <w:r>
        <w:t xml:space="preserve"> </w:t>
      </w:r>
      <w:r>
        <w:t xml:space="preserve">conclusion is in line with the economic rationale outlined in the context of tax exemptions for</w:t>
      </w:r>
      <w:r>
        <w:t xml:space="preserve"> </w:t>
      </w:r>
      <w:r>
        <w:t xml:space="preserve">outbound payments (see Section 6.2.1.3): when businesses have clarity and predictability regarding</w:t>
      </w:r>
      <w:r>
        <w:t xml:space="preserve"> </w:t>
      </w:r>
      <w:r>
        <w:t xml:space="preserve">tax obligations stemming from income of CFCs, they are more likely to invest abroad. Large MNEs</w:t>
      </w:r>
      <w:r>
        <w:t xml:space="preserve"> </w:t>
      </w:r>
      <w:r>
        <w:t xml:space="preserve">would feel more encouraged to invest in the EU, as this investment would not trigger additional</w:t>
      </w:r>
      <w:r>
        <w:t xml:space="preserve"> </w:t>
      </w:r>
      <w:r>
        <w:t xml:space="preserve">CFC-related compliance obligations (Option A). Moreover, unified EU-wide CFC rules that apply</w:t>
      </w:r>
      <w:r>
        <w:t xml:space="preserve"> </w:t>
      </w:r>
      <w:r>
        <w:t xml:space="preserve">in all Member States provide businesses with the certainty they need to make informed, long-term</w:t>
      </w:r>
      <w:r>
        <w:t xml:space="preserve"> </w:t>
      </w:r>
      <w:r>
        <w:t xml:space="preserve">financial decisions and level the playing field for potential investment in an EU country (Option B).</w:t>
      </w:r>
      <w:r>
        <w:t xml:space="preserve"> </w:t>
      </w:r>
      <w:r>
        <w:t xml:space="preserve">As a result, the EU would become a more attractive place to invest.</w:t>
      </w:r>
      <w:r>
        <w:t xml:space="preserve"> </w:t>
      </w:r>
      <w:r>
        <w:t xml:space="preserve">Impact in terms of maintaining high tax standards</w:t>
      </w:r>
      <w:r>
        <w:t xml:space="preserve"> </w:t>
      </w:r>
      <w:r>
        <w:t xml:space="preserve">At the same time, it is important to note that removing the CFC rules for either Pillar 2 companies</w:t>
      </w:r>
      <w:r>
        <w:t xml:space="preserve"> </w:t>
      </w:r>
      <w:r>
        <w:t xml:space="preserve">or SMEs (options 2A and 3 above) would not compromise the standard in the fight against tax</w:t>
      </w:r>
      <w:r>
        <w:t xml:space="preserve"> </w:t>
      </w:r>
      <w:r>
        <w:t xml:space="preserve">avoidance and evasion, as objectively sought under the ATAD. As previously noted, information as</w:t>
      </w:r>
      <w:r>
        <w:t xml:space="preserve"> </w:t>
      </w:r>
      <w:r>
        <w:t xml:space="preserve">to the number of times CFC rules are applied, across which EU jurisdictions and to which specific</w:t>
      </w:r>
      <w:r>
        <w:t xml:space="preserve"> </w:t>
      </w:r>
      <w:r>
        <w:t xml:space="preserve">companies is not available. However, when it comes to option 2A, the Pillar 2 Directive enacts</w:t>
      </w:r>
      <w:r>
        <w:t xml:space="preserve"> </w:t>
      </w:r>
      <w:r>
        <w:t xml:space="preserve">rules that ultimately ensure that companies pay a real effective tax rate as well as introduces</w:t>
      </w:r>
      <w:r>
        <w:t xml:space="preserve"> </w:t>
      </w:r>
      <w:r>
        <w:t xml:space="preserve">safeguards that limit risks associated to how that effective rate is achieved. When it comes to option</w:t>
      </w:r>
      <w:r>
        <w:t xml:space="preserve"> </w:t>
      </w:r>
      <w:r>
        <w:t xml:space="preserve">3, exclusion of SMEs, anecdotal evidence from several Member States indicates that</w:t>
      </w:r>
      <w:r>
        <w:t xml:space="preserve"> </w:t>
      </w:r>
      <w:r>
        <w:t xml:space="preserve">administrations have had almost no CFC cases related to SMEs in the nearly ten years since ATAD</w:t>
      </w:r>
      <w:r>
        <w:t xml:space="preserve"> </w:t>
      </w:r>
      <w:r>
        <w:t xml:space="preserve">started to apply. This indicates that these rules are rarely triggered for SMEs, possibly because</w:t>
      </w:r>
      <w:r>
        <w:t xml:space="preserve"> </w:t>
      </w:r>
      <w:r>
        <w:t xml:space="preserve">these companies’ operating structures are less apt to expand abroad and to engage in aggressive tax</w:t>
      </w:r>
      <w:r>
        <w:t xml:space="preserve"> </w:t>
      </w:r>
      <w:r>
        <w:t xml:space="preserve">planning. CFCs and have no or little cross-border activity. Their exclusion would thus not hinder</w:t>
      </w:r>
      <w:r>
        <w:t xml:space="preserve"> </w:t>
      </w:r>
      <w:r>
        <w:t xml:space="preserve">anti-avoidance and evasion or aggressive tax planning efforts. Rather, it would bring significant</w:t>
      </w:r>
      <w:r>
        <w:t xml:space="preserve"> </w:t>
      </w:r>
      <w:r>
        <w:t xml:space="preserve">cost and resource savings, and thus benefits, to both companies and tax administrations</w:t>
      </w:r>
      <w:r>
        <w:t xml:space="preserve"> </w:t>
      </w:r>
      <w:r>
        <w:t xml:space="preserve">6.2.3. Immediate expensing of assets related to research and development (R&amp;D)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As a first consideration, the possibility to immediately expense R&amp;D related tangible assets</w:t>
      </w:r>
      <w:r>
        <w:t xml:space="preserve"> </w:t>
      </w:r>
      <w:r>
        <w:t xml:space="preserve">simplifies the accounting and tax compliance process. Traditionally, R&amp;D costs may need to be</w:t>
      </w:r>
      <w:r>
        <w:t xml:space="preserve"> </w:t>
      </w:r>
      <w:r>
        <w:t xml:space="preserve">capitalised and depreciated over a number of years, which involves calculations and ongoing</w:t>
      </w:r>
      <w:r>
        <w:t xml:space="preserve"> </w:t>
      </w:r>
      <w:r>
        <w:t xml:space="preserve">record-keeping. Immediate expensing allows taxpayers to deduct these costs one-off, in the year</w:t>
      </w:r>
      <w:r>
        <w:t xml:space="preserve"> </w:t>
      </w:r>
      <w:r>
        <w:t xml:space="preserve">that these are incurred, streamlining the accounting process. This relief from recurrent compliance</w:t>
      </w:r>
      <w:r>
        <w:t xml:space="preserve"> </w:t>
      </w:r>
      <w:r>
        <w:t xml:space="preserve">actions can result in lower administrative and compliance costs, enabling taxpayers to allocate</w:t>
      </w:r>
      <w:r>
        <w:t xml:space="preserve"> </w:t>
      </w:r>
      <w:r>
        <w:t xml:space="preserve">resources more efficiently. In particular, immediate expensing aligns the tax treatment of</w:t>
      </w:r>
      <w:r>
        <w:t xml:space="preserve"> </w:t>
      </w:r>
      <w:r>
        <w:t xml:space="preserve">companies’ actual expenditure to the point in time where companies actually take the risk to invest.</w:t>
      </w:r>
      <w:r>
        <w:t xml:space="preserve"> </w:t>
      </w:r>
      <w:r>
        <w:t xml:space="preserve">Immediate expensing thus allows more efficient sharing of risks with the government.97 In other</w:t>
      </w:r>
      <w:r>
        <w:t xml:space="preserve"> </w:t>
      </w:r>
      <w:r>
        <w:t xml:space="preserve">words, taxation will become less distortive with respect to companies’ decision to accept risks</w:t>
      </w:r>
      <w:r>
        <w:t xml:space="preserve"> </w:t>
      </w:r>
      <w:r>
        <w:t xml:space="preserve">when investing.</w:t>
      </w:r>
    </w:p>
    <w:p>
      <w:pPr>
        <w:pStyle w:val="BodyText"/>
      </w:pPr>
      <w:r>
        <w:t xml:space="preserve">97 This argument was put forward by Musgrave and Domar in their seminal work on taxing risky investment as early as</w:t>
      </w:r>
      <w:r>
        <w:t xml:space="preserve"> </w:t>
      </w:r>
      <w:r>
        <w:t xml:space="preserve">1944. See Domar, E. D., and R. A. Musgrave. “Proportional Income Taxation and Risk-Taking.” The Quarterly Journal</w:t>
      </w:r>
      <w:r>
        <w:t xml:space="preserve"> </w:t>
      </w:r>
      <w:r>
        <w:t xml:space="preserve">of Economics 58, no. 3 (1944): 388–422.</w:t>
      </w:r>
    </w:p>
    <w:p>
      <w:pPr>
        <w:pStyle w:val="BodyText"/>
      </w:pPr>
      <w:r>
        <w:t xml:space="preserve">The measure would benefit all companies in the EU, also SMEs. Commission analysis revealed that</w:t>
      </w:r>
      <w:r>
        <w:t xml:space="preserve"> </w:t>
      </w:r>
      <w:r>
        <w:t xml:space="preserve">CIT-related compliance costs in the EU could amount to about EUR 53 billion, of which EUR 48</w:t>
      </w:r>
      <w:r>
        <w:t xml:space="preserve"> </w:t>
      </w:r>
      <w:r>
        <w:t xml:space="preserve">billion could fall on SMEs.98 Total compliance costs are usually linked to different activities, and</w:t>
      </w:r>
      <w:r>
        <w:t xml:space="preserve"> </w:t>
      </w:r>
      <w:r>
        <w:t xml:space="preserve">there is no empirical information as to what share of total compliance costs could fall on</w:t>
      </w:r>
      <w:r>
        <w:t xml:space="preserve"> </w:t>
      </w:r>
      <w:r>
        <w:t xml:space="preserve">calculations related to tax depreciation, especially not depreciation in the context of R&amp;D. In the</w:t>
      </w:r>
      <w:r>
        <w:t xml:space="preserve"> </w:t>
      </w:r>
      <w:r>
        <w:t xml:space="preserve">absence of statistical information, a conservative informed assumption is taken (given the likely</w:t>
      </w:r>
      <w:r>
        <w:t xml:space="preserve"> </w:t>
      </w:r>
      <w:r>
        <w:t xml:space="preserve">relative ease of a change in procedures) which is based on the relative importance of R&amp;D-related</w:t>
      </w:r>
      <w:r>
        <w:t xml:space="preserve"> </w:t>
      </w:r>
      <w:r>
        <w:t xml:space="preserve">in total costs as observed in the firm-database Orbis.99 It is assumed that 0.5% of total CIT</w:t>
      </w:r>
      <w:r>
        <w:t xml:space="preserve"> </w:t>
      </w:r>
      <w:r>
        <w:t xml:space="preserve">compliance costs could be saved. If so, savings would amount to around EUR 265 million (≈</w:t>
      </w:r>
      <w:r>
        <w:t xml:space="preserve"> </w:t>
      </w:r>
      <w:r>
        <w:t xml:space="preserve">EUR 53 billion * 0.5%).</w:t>
      </w:r>
      <w:r>
        <w:t xml:space="preserve"> </w:t>
      </w:r>
      <w:r>
        <w:t xml:space="preserve">Impact on the economy and public finances</w:t>
      </w:r>
      <w:r>
        <w:br/>
      </w:r>
      <w:r>
        <w:t xml:space="preserve">Allowing businesses to fully deduct the cost of qualifying R&amp;D-related tangible assets in the year</w:t>
      </w:r>
      <w:r>
        <w:t xml:space="preserve"> </w:t>
      </w:r>
      <w:r>
        <w:t xml:space="preserve">that the investment is made, rather than depreciating the costs over time, is a matter of fairness as it</w:t>
      </w:r>
      <w:r>
        <w:t xml:space="preserve"> </w:t>
      </w:r>
      <w:r>
        <w:t xml:space="preserve">allows deducting expenses when they actually happen. The measure will have significant positive</w:t>
      </w:r>
      <w:r>
        <w:t xml:space="preserve"> </w:t>
      </w:r>
      <w:r>
        <w:t xml:space="preserve">impact on the capital costs of businesses.</w:t>
      </w:r>
      <w:r>
        <w:br/>
      </w:r>
      <w:r>
        <w:t xml:space="preserve">This implies a reduction in corporate income tax (CIT) revenues by about 1.9%.100 However, the</w:t>
      </w:r>
      <w:r>
        <w:t xml:space="preserve"> </w:t>
      </w:r>
      <w:r>
        <w:t xml:space="preserve">impact on overall rax revenue is almost neutral due to significant positive macroeconomic feedback</w:t>
      </w:r>
      <w:r>
        <w:t xml:space="preserve"> </w:t>
      </w:r>
      <w:r>
        <w:t xml:space="preserve">effects that trigger tax expenditure other than CIT. What this means in sum, can be detailed as</w:t>
      </w:r>
      <w:r>
        <w:t xml:space="preserve"> </w:t>
      </w:r>
      <w:r>
        <w:t xml:space="preserve">follows:</w:t>
      </w:r>
      <w:r>
        <w:t xml:space="preserve"> </w:t>
      </w:r>
      <w:r>
        <w:t xml:space="preserve">Although the compliance cost reduction may be relatively limited (analysed above), the positive</w:t>
      </w:r>
      <w:r>
        <w:t xml:space="preserve"> </w:t>
      </w:r>
      <w:r>
        <w:t xml:space="preserve">impact of faster R&amp;D depreciation on capital formation will be significant. This is because the</w:t>
      </w:r>
      <w:r>
        <w:t xml:space="preserve"> </w:t>
      </w:r>
      <w:r>
        <w:t xml:space="preserve">policy change lowers the after-tax financing constraints and reduces the cost of capital. It is well</w:t>
      </w:r>
      <w:r>
        <w:t xml:space="preserve"> </w:t>
      </w:r>
      <w:r>
        <w:t xml:space="preserve">documented that accelerated depreciation promotes innovation.101</w:t>
      </w:r>
      <w:r>
        <w:br/>
      </w:r>
      <w:r>
        <w:t xml:space="preserve">By allowing companies to immediately deduct expenditures on equipment, machinery and</w:t>
      </w:r>
      <w:r>
        <w:t xml:space="preserve"> </w:t>
      </w:r>
      <w:r>
        <w:t xml:space="preserve">buildings used for R&amp;D, the reform lowers the after-tax cost of investment and therefore</w:t>
      </w:r>
      <w:r>
        <w:t xml:space="preserve"> </w:t>
      </w:r>
      <w:r>
        <w:t xml:space="preserve">strengthens incentives to invest. To best capture that main impact, a general equilibrium model</w:t>
      </w:r>
      <w:r>
        <w:t xml:space="preserve"> </w:t>
      </w:r>
      <w:r>
        <w:t xml:space="preserve">simulation was performed (using CORTAX) that focuses on the long-term impact of lowering the</w:t>
      </w:r>
      <w:r>
        <w:t xml:space="preserve"> </w:t>
      </w:r>
      <w:r>
        <w:t xml:space="preserve">cost of capital, taking account of allowances that may already be in place in Member States. The</w:t>
      </w:r>
      <w:r>
        <w:t xml:space="preserve"> </w:t>
      </w:r>
      <w:r>
        <w:t xml:space="preserve">results are detailed in Figure 12, row 1.</w:t>
      </w:r>
    </w:p>
    <w:p>
      <w:pPr>
        <w:pStyle w:val="BodyText"/>
      </w:pPr>
      <w:r>
        <w:t xml:space="preserve">98 European Commission (2023), Proposal for a Council Directive on Business in Europe: Framework for Income</w:t>
      </w:r>
      <w:r>
        <w:t xml:space="preserve"> </w:t>
      </w:r>
      <w:r>
        <w:t xml:space="preserve">Taxation (BEFIT) and Proposal for a Council Directive on Transfer Pricing SWD(2023) 308 final (p. 41). This data is</w:t>
      </w:r>
      <w:r>
        <w:t xml:space="preserve"> </w:t>
      </w:r>
      <w:r>
        <w:t xml:space="preserve">based on a study for the European Commission: VVA/KPMG (2022), Tax compliance costs for SMEs: An update and a</w:t>
      </w:r>
      <w:r>
        <w:t xml:space="preserve"> </w:t>
      </w:r>
      <w:r>
        <w:t xml:space="preserve">complement Final Report KPMG/VVA 2022.</w:t>
      </w:r>
      <w:r>
        <w:t xml:space="preserve"> </w:t>
      </w:r>
      <w:r>
        <w:t xml:space="preserve">99 The assumption is compatible with the cost-structure of EU companies. In Orbis, for companies with information</w:t>
      </w:r>
      <w:r>
        <w:t xml:space="preserve"> </w:t>
      </w:r>
      <w:r>
        <w:t xml:space="preserve">about R&amp;D costs, their share in total costs is about 2.5%. Extrapolating this value to all companies (assuming zero</w:t>
      </w:r>
      <w:r>
        <w:t xml:space="preserve"> </w:t>
      </w:r>
      <w:r>
        <w:t xml:space="preserve">R&amp;D costs for companies with no information) would result in average R&amp;D costs accounting for 0.5% of total costs</w:t>
      </w:r>
      <w:r>
        <w:t xml:space="preserve"> </w:t>
      </w:r>
      <w:r>
        <w:t xml:space="preserve">on average for all companies in the EU.</w:t>
      </w:r>
      <w:r>
        <w:br/>
      </w:r>
      <w:r>
        <w:t xml:space="preserve">100 Comparable magnitudes of CIT revenue effects have been observed in other contexts. For example, the introduction</w:t>
      </w:r>
      <w:r>
        <w:t xml:space="preserve"> </w:t>
      </w:r>
      <w:r>
        <w:t xml:space="preserve">of full expensing in the UK has been estimated by the Institute for Fiscal Studies (IFS) to reduce long-run CIT revenues</w:t>
      </w:r>
      <w:r>
        <w:t xml:space="preserve"> </w:t>
      </w:r>
      <w:r>
        <w:t xml:space="preserve">by up to around 3.7%, illustrating that relatively pronounced impacts on CIT revenues are not uncommon in the context</w:t>
      </w:r>
      <w:r>
        <w:t xml:space="preserve"> </w:t>
      </w:r>
      <w:r>
        <w:t xml:space="preserve">of investment tax incentives. Source: Institute for Fiscal Studies, Full expensing and the corporate tax base, IFS Green</w:t>
      </w:r>
      <w:r>
        <w:t xml:space="preserve"> </w:t>
      </w:r>
      <w:r>
        <w:t xml:space="preserve">Budget, October 2023.</w:t>
      </w:r>
      <w:r>
        <w:t xml:space="preserve"> </w:t>
      </w:r>
      <w:r>
        <w:t xml:space="preserve">101 For example: Huang and Liu (2024): Structural tax reduction, financing constraint relief and enterprise innovation</w:t>
      </w:r>
      <w:r>
        <w:t xml:space="preserve"> </w:t>
      </w:r>
      <w:r>
        <w:t xml:space="preserve">efficiency - ScienceDirect.</w:t>
      </w:r>
    </w:p>
    <w:p>
      <w:pPr>
        <w:pStyle w:val="BodyText"/>
      </w:pPr>
      <w:r>
        <w:t xml:space="preserve">Figure 12: Immediate expensing of R&amp;D assets, simulation with CORTAX, % change relative to initial situation (EU-27)</w:t>
      </w:r>
    </w:p>
    <w:p>
      <w:pPr>
        <w:pStyle w:val="BodyText"/>
      </w:pPr>
      <w:r>
        <w:t xml:space="preserve">Source: European Commission, Joint Research Centre</w:t>
      </w:r>
      <w:r>
        <w:t xml:space="preserve"> </w:t>
      </w:r>
      <w:r>
        <w:t xml:space="preserve">In the simulation, this more generous tax treatment leads businesses to increase investment now and</w:t>
      </w:r>
      <w:r>
        <w:t xml:space="preserve"> </w:t>
      </w:r>
      <w:r>
        <w:t xml:space="preserve">in the future, as they anticipate the lowering of capital cost also for future investment. This will</w:t>
      </w:r>
      <w:r>
        <w:t xml:space="preserve"> </w:t>
      </w:r>
      <w:r>
        <w:t xml:space="preserve">raise the overall capital stock in the economy by about 0.4%. A larger capital stock increases</w:t>
      </w:r>
      <w:r>
        <w:t xml:space="preserve"> </w:t>
      </w:r>
      <w:r>
        <w:t xml:space="preserve">workers’ productivity, which translates into higher wages (around +0.1%) and higher employment</w:t>
      </w:r>
      <w:r>
        <w:t xml:space="preserve"> </w:t>
      </w:r>
      <w:r>
        <w:t xml:space="preserve">(about +0.04%). Through these channels, the reform also stimulates economic activity more</w:t>
      </w:r>
      <w:r>
        <w:t xml:space="preserve"> </w:t>
      </w:r>
      <w:r>
        <w:t xml:space="preserve">broadly, resulting in an increase in EU27 GDP of roughly 0.17% per annum in the long run. This</w:t>
      </w:r>
      <w:r>
        <w:t xml:space="preserve"> </w:t>
      </w:r>
      <w:r>
        <w:t xml:space="preserve">would imply that, after implementing immediate R&amp;D expensing, GDP would be higher by an</w:t>
      </w:r>
      <w:r>
        <w:t xml:space="preserve"> </w:t>
      </w:r>
      <w:r>
        <w:t xml:space="preserve">equivalent, in 2025 values, of EUR 32 billion per annum than if the EU continues without the</w:t>
      </w:r>
      <w:r>
        <w:t xml:space="preserve"> </w:t>
      </w:r>
      <w:r>
        <w:t xml:space="preserve">measure.</w:t>
      </w:r>
      <w:r>
        <w:t xml:space="preserve"> </w:t>
      </w:r>
      <w:r>
        <w:t xml:space="preserve">Therefore, the expansion of economic activity largely compensates for the short-term CIT loss.</w:t>
      </w:r>
      <w:r>
        <w:t xml:space="preserve"> </w:t>
      </w:r>
      <w:r>
        <w:t xml:space="preserve">Higher wages and employment increase revenues from labour income taxes, while higher</w:t>
      </w:r>
      <w:r>
        <w:t xml:space="preserve"> </w:t>
      </w:r>
      <w:r>
        <w:t xml:space="preserve">consumption raises indirect tax revenues. As a result of these feedback effects, the overall impact</w:t>
      </w:r>
      <w:r>
        <w:t xml:space="preserve"> </w:t>
      </w:r>
      <w:r>
        <w:t xml:space="preserve">on total tax revenues in the longer run is effectively neutral, with total revenues declining by only</w:t>
      </w:r>
      <w:r>
        <w:t xml:space="preserve"> </w:t>
      </w:r>
      <w:r>
        <w:t xml:space="preserve">about 0.02%.</w:t>
      </w:r>
      <w:r>
        <w:t xml:space="preserve"> </w:t>
      </w:r>
      <w:r>
        <w:t xml:space="preserve">The simulation was also run for an option that would expand the R&amp;D immediate expensing to</w:t>
      </w:r>
      <w:r>
        <w:t xml:space="preserve"> </w:t>
      </w:r>
      <w:r>
        <w:t xml:space="preserve">include all fixed assets – i.e., also intangibles (results detailed in Figure 2, row 2). As CORTAX,</w:t>
      </w:r>
      <w:r>
        <w:t xml:space="preserve"> </w:t>
      </w:r>
      <w:r>
        <w:t xml:space="preserve">however, does not distinguish tangible from intangible assets, the measure was scaled by</w:t>
      </w:r>
      <w:r>
        <w:t xml:space="preserve"> </w:t>
      </w:r>
      <w:r>
        <w:t xml:space="preserve">introducing the share of tangibles in all R&amp;D expenditure into the model (about 50%.). The</w:t>
      </w:r>
      <w:r>
        <w:t xml:space="preserve"> </w:t>
      </w:r>
      <w:r>
        <w:t xml:space="preserve">analysis shows that in such case, all macroeconomic effects could be expected to double in size.</w:t>
      </w:r>
      <w:r>
        <w:t xml:space="preserve"> </w:t>
      </w:r>
      <w:r>
        <w:t xml:space="preserve">What this demonstrates is that an expansion of the scope of the measure to include also intangible</w:t>
      </w:r>
      <w:r>
        <w:t xml:space="preserve"> </w:t>
      </w:r>
      <w:r>
        <w:t xml:space="preserve">assets would significantly increase the revenue impact, rendering the measure further away from</w:t>
      </w:r>
      <w:r>
        <w:t xml:space="preserve"> </w:t>
      </w:r>
      <w:r>
        <w:t xml:space="preserve">budget neutrality. More technical details about the simulation can be found in Annex 4, Section 5.2.</w:t>
      </w:r>
      <w:r>
        <w:t xml:space="preserve"> </w:t>
      </w:r>
      <w:r>
        <w:t xml:space="preserve">Impact on maintaining high tax standards</w:t>
      </w:r>
      <w:r>
        <w:t xml:space="preserve"> </w:t>
      </w:r>
      <w:r>
        <w:t xml:space="preserve">The measure would be designed in accordance with international tax standards, as the option</w:t>
      </w:r>
      <w:r>
        <w:t xml:space="preserve"> </w:t>
      </w:r>
      <w:r>
        <w:t xml:space="preserve">includes a definition of qualifying R&amp;D expenses, and the application would take inspiration from</w:t>
      </w:r>
      <w:r>
        <w:t xml:space="preserve"> </w:t>
      </w:r>
      <w:r>
        <w:t xml:space="preserve">similar legislation adopted by other like-minded international partners.</w:t>
      </w:r>
      <w:r>
        <w:t xml:space="preserve"> </w:t>
      </w:r>
      <w:r>
        <w:t xml:space="preserve">6.2.4. Simplification in the context of the Interest Limitation Rule</w:t>
      </w:r>
      <w:r>
        <w:t xml:space="preserve"> </w:t>
      </w:r>
      <w:r>
        <w:t xml:space="preserve">The following subsections assess the individual impacts of certain options under the Interest</w:t>
      </w:r>
      <w:r>
        <w:t xml:space="preserve"> </w:t>
      </w:r>
      <w:r>
        <w:t xml:space="preserve">Limitation Rule as outlined in Chapter 5. However, given the interlinked and inter-dependent</w:t>
      </w:r>
      <w:r>
        <w:t xml:space="preserve"> </w:t>
      </w:r>
      <w:r>
        <w:t xml:space="preserve">nature of some of the design options, several are assessed in aggregate (under ‘Options quantified</w:t>
      </w:r>
      <w:r>
        <w:t xml:space="preserve"> </w:t>
      </w:r>
      <w:r>
        <w:t xml:space="preserve">in aggregate’ of Section 6.2.4.6). This section is based on a detailed analysis, the methodology and</w:t>
      </w:r>
      <w:r>
        <w:t xml:space="preserve"> </w:t>
      </w:r>
      <w:r>
        <w:t xml:space="preserve">approach behind which is presented in Annex 4, Section 4.</w:t>
      </w:r>
      <w:r>
        <w:t xml:space="preserve"> </w:t>
      </w:r>
      <w:r>
        <w:t xml:space="preserve">6.2.4.1. Option 1: Carve-out of SMEs (making the de mimimis of EUR 3</w:t>
      </w:r>
      <w:r>
        <w:t xml:space="preserve"> </w:t>
      </w:r>
      <w:r>
        <w:t xml:space="preserve">million mandatory)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Immediate expensing of…</w:t>
      </w:r>
      <w:r>
        <w:t xml:space="preserve"> </w:t>
      </w:r>
      <w:r>
        <w:t xml:space="preserve">GDP</w:t>
      </w:r>
      <w:r>
        <w:t xml:space="preserve"> </w:t>
      </w:r>
      <w:r>
        <w:t xml:space="preserve">Capital</w:t>
      </w:r>
      <w:r>
        <w:t xml:space="preserve"> </w:t>
      </w:r>
      <w:r>
        <w:t xml:space="preserve">Employ-</w:t>
      </w:r>
      <w:r>
        <w:t xml:space="preserve"> </w:t>
      </w:r>
      <w:r>
        <w:t xml:space="preserve">ment</w:t>
      </w:r>
      <w:r>
        <w:t xml:space="preserve"> </w:t>
      </w:r>
      <w:r>
        <w:t xml:space="preserve">Wages</w:t>
      </w:r>
      <w:r>
        <w:t xml:space="preserve"> </w:t>
      </w:r>
      <w:r>
        <w:t xml:space="preserve">CIT</w:t>
      </w:r>
      <w:r>
        <w:t xml:space="preserve"> </w:t>
      </w:r>
      <w:r>
        <w:t xml:space="preserve">revenue</w:t>
      </w:r>
      <w:r>
        <w:t xml:space="preserve"> </w:t>
      </w:r>
      <w:r>
        <w:t xml:space="preserve">Overall</w:t>
      </w:r>
      <w:r>
        <w:t xml:space="preserve"> </w:t>
      </w:r>
      <w:r>
        <w:t xml:space="preserve">tax</w:t>
      </w:r>
      <w:r>
        <w:t xml:space="preserve"> </w:t>
      </w:r>
      <w:r>
        <w:t xml:space="preserve">revenue</w:t>
      </w:r>
      <w:r>
        <w:t xml:space="preserve"> </w:t>
      </w:r>
      <w:r>
        <w:t xml:space="preserve">1 Tangible fixed assets</w:t>
      </w:r>
      <w:r>
        <w:t xml:space="preserve"> </w:t>
      </w:r>
      <w:r>
        <w:t xml:space="preserve">0.17</w:t>
      </w:r>
      <w:r>
        <w:t xml:space="preserve"> </w:t>
      </w:r>
      <w:r>
        <w:t xml:space="preserve">0.43</w:t>
      </w:r>
      <w:r>
        <w:t xml:space="preserve"> </w:t>
      </w:r>
      <w:r>
        <w:t xml:space="preserve">0.04</w:t>
      </w:r>
      <w:r>
        <w:t xml:space="preserve"> </w:t>
      </w:r>
      <w:r>
        <w:t xml:space="preserve">0.10</w:t>
      </w:r>
      <w:r>
        <w:t xml:space="preserve"> </w:t>
      </w:r>
      <w:r>
        <w:t xml:space="preserve">-1.94</w:t>
      </w:r>
      <w:r>
        <w:t xml:space="preserve"> </w:t>
      </w:r>
      <w:r>
        <w:t xml:space="preserve">-0.02</w:t>
      </w:r>
      <w:r>
        <w:t xml:space="preserve"> </w:t>
      </w:r>
      <w:r>
        <w:t xml:space="preserve">2 All fixed assets (incl. intangibles)</w:t>
      </w:r>
      <w:r>
        <w:t xml:space="preserve"> </w:t>
      </w:r>
      <w:r>
        <w:t xml:space="preserve">0.31</w:t>
      </w:r>
      <w:r>
        <w:t xml:space="preserve"> </w:t>
      </w:r>
      <w:r>
        <w:t xml:space="preserve">0.79</w:t>
      </w:r>
      <w:r>
        <w:t xml:space="preserve"> </w:t>
      </w:r>
      <w:r>
        <w:t xml:space="preserve">0.07</w:t>
      </w:r>
      <w:r>
        <w:t xml:space="preserve"> </w:t>
      </w:r>
      <w:r>
        <w:t xml:space="preserve">0.20</w:t>
      </w:r>
      <w:r>
        <w:t xml:space="preserve"> </w:t>
      </w:r>
      <w:r>
        <w:t xml:space="preserve">-3.77</w:t>
      </w:r>
      <w:r>
        <w:t xml:space="preserve"> </w:t>
      </w:r>
      <w:r>
        <w:t xml:space="preserve">-0.04</w:t>
      </w:r>
    </w:p>
    <w:p>
      <w:pPr>
        <w:pStyle w:val="BodyText"/>
      </w:pPr>
      <w:r>
        <w:t xml:space="preserve">The analysis presented in detail in Annex 4, Section 4.1, shows why the ATAD de minimis rule</w:t>
      </w:r>
      <w:r>
        <w:t xml:space="preserve"> </w:t>
      </w:r>
      <w:r>
        <w:t xml:space="preserve">agreed in 2016 ensures that small entities today rarely see any restriction on their ability to deduct</w:t>
      </w:r>
      <w:r>
        <w:t xml:space="preserve"> </w:t>
      </w:r>
      <w:r>
        <w:t xml:space="preserve">their interest expenses. This is specifically intended, and the measure was designed with this</w:t>
      </w:r>
      <w:r>
        <w:t xml:space="preserve"> </w:t>
      </w:r>
      <w:r>
        <w:t xml:space="preserve">objective in mind, given that third-party loans is the most important source of funding investment</w:t>
      </w:r>
      <w:r>
        <w:t xml:space="preserve"> </w:t>
      </w:r>
      <w:r>
        <w:t xml:space="preserve">for SMEs. The analysis in Annex 4, Section 4.1, is based on a large sample of unconsolidated</w:t>
      </w:r>
      <w:r>
        <w:t xml:space="preserve"> </w:t>
      </w:r>
      <w:r>
        <w:t xml:space="preserve">accounts from the firm database Orbis. The vast majority from that sample stems from SMEs. It is</w:t>
      </w:r>
      <w:r>
        <w:t xml:space="preserve"> </w:t>
      </w:r>
      <w:r>
        <w:t xml:space="preserve">estimated that about 96% of these companies in the EU are already de facto carved out by the de</w:t>
      </w:r>
      <w:r>
        <w:t xml:space="preserve"> </w:t>
      </w:r>
      <w:r>
        <w:t xml:space="preserve">minimis rules currently being implemented. In reality, this percentage is likely higher as small</w:t>
      </w:r>
      <w:r>
        <w:t xml:space="preserve"> </w:t>
      </w:r>
      <w:r>
        <w:t xml:space="preserve">entities are underrepresented in the sample. Notwithstanding these uncertainties, the estimate for</w:t>
      </w:r>
      <w:r>
        <w:t xml:space="preserve"> </w:t>
      </w:r>
      <w:r>
        <w:t xml:space="preserve">the sample will increase to over 99% if the de minimis of EUR 3 million becomes mandatory in all</w:t>
      </w:r>
      <w:r>
        <w:t xml:space="preserve"> </w:t>
      </w:r>
      <w:r>
        <w:t xml:space="preserve">EU Member States. This means that nearly all SMEs will be carved out with the revised de minimis</w:t>
      </w:r>
      <w:r>
        <w:t xml:space="preserve"> </w:t>
      </w:r>
      <w:r>
        <w:t xml:space="preserve">threshold, allowing the sample to save about EUR 900 million per year on corporate tax</w:t>
      </w:r>
      <w:r>
        <w:t xml:space="preserve"> </w:t>
      </w:r>
      <w:r>
        <w:t xml:space="preserve">expenditure.</w:t>
      </w:r>
      <w:r>
        <w:br/>
      </w:r>
      <w:r>
        <w:t xml:space="preserve">Due to the underrepresentation of especially small entities in Orbis, the number of SMEs so far</w:t>
      </w:r>
      <w:r>
        <w:t xml:space="preserve"> </w:t>
      </w:r>
      <w:r>
        <w:t xml:space="preserve">limited in their interest deduction that would be carved out with the mandatory de minimis cannot</w:t>
      </w:r>
      <w:r>
        <w:t xml:space="preserve"> </w:t>
      </w:r>
      <w:r>
        <w:t xml:space="preserve">be estimated with exact precision. In the Orbis sample, this would affect an estimated 63,000 firms</w:t>
      </w:r>
      <w:r>
        <w:t xml:space="preserve"> </w:t>
      </w:r>
      <w:r>
        <w:t xml:space="preserve">(3.4% of the sample), see Annex 4, Section 4.1. These companies would no longer have to bear</w:t>
      </w:r>
      <w:r>
        <w:t xml:space="preserve"> </w:t>
      </w:r>
      <w:r>
        <w:t xml:space="preserve">compliance costs related to the Interest Limitation Rule. In light of Orbis’ coverage issues, the</w:t>
      </w:r>
      <w:r>
        <w:t xml:space="preserve"> </w:t>
      </w:r>
      <w:r>
        <w:t xml:space="preserve">number must also be seen as a lower-bound estimate.</w:t>
      </w:r>
      <w:r>
        <w:br/>
      </w:r>
      <w:r>
        <w:t xml:space="preserve">A study specifically on the tax compliance costs of SMEs in the EU has found that CIT-related</w:t>
      </w:r>
      <w:r>
        <w:t xml:space="preserve"> </w:t>
      </w:r>
      <w:r>
        <w:t xml:space="preserve">costs could amount to EUR 3,300 per year on average.102 One third of these compliance costs could</w:t>
      </w:r>
      <w:r>
        <w:t xml:space="preserve"> </w:t>
      </w:r>
      <w:r>
        <w:t xml:space="preserve">be related to the Interest Limitation Rule.103 With these assumptions, compliance cost savings for</w:t>
      </w:r>
      <w:r>
        <w:t xml:space="preserve"> </w:t>
      </w:r>
      <w:r>
        <w:t xml:space="preserve">SMEs could amount to at least EUR 69 million (≈ 63,000 firms * 3,300 EUR * 1/3).</w:t>
      </w:r>
      <w:r>
        <w:t xml:space="preserve"> </w:t>
      </w:r>
      <w:r>
        <w:t xml:space="preserve">Impact on tax administrations</w:t>
      </w:r>
      <w:r>
        <w:t xml:space="preserve"> </w:t>
      </w:r>
      <w:r>
        <w:t xml:space="preserve">Please refer to section 6.2.4.8. and Annex 4, Section 4.3.</w:t>
      </w:r>
      <w:r>
        <w:t xml:space="preserve"> </w:t>
      </w:r>
      <w:r>
        <w:t xml:space="preserve">Impact on the economy</w:t>
      </w:r>
      <w:r>
        <w:t xml:space="preserve"> </w:t>
      </w:r>
      <w:r>
        <w:t xml:space="preserve">Please refer to section 6.2.4.7.</w:t>
      </w:r>
      <w:r>
        <w:t xml:space="preserve"> </w:t>
      </w:r>
      <w:r>
        <w:t xml:space="preserve">6.2.4.2. Option 2: Mandatory 30% EBITDA threshold</w:t>
      </w:r>
      <w:r>
        <w:br/>
      </w:r>
      <w:r>
        <w:t xml:space="preserve">Impact on companies</w:t>
      </w:r>
      <w:r>
        <w:t xml:space="preserve"> </w:t>
      </w:r>
      <w:r>
        <w:t xml:space="preserve">Implementing a unique EBITDA threshold would affect Member States that currently apply a</w:t>
      </w:r>
      <w:r>
        <w:t xml:space="preserve"> </w:t>
      </w:r>
      <w:r>
        <w:t xml:space="preserve">threshold lower than 30%, namely: the Netherlands (24.5%) and Finland (25%). These countries</w:t>
      </w:r>
      <w:r>
        <w:t xml:space="preserve"> </w:t>
      </w:r>
      <w:r>
        <w:t xml:space="preserve">would have to increase their respective EBITDA thresholds by 5.5 and 5 percentage points,</w:t>
      </w:r>
      <w:r>
        <w:t xml:space="preserve"> </w:t>
      </w:r>
      <w:r>
        <w:t xml:space="preserve">respectively. There is no individual cost estimate for this measure. Its compliance cost savings are</w:t>
      </w:r>
      <w:r>
        <w:t xml:space="preserve"> </w:t>
      </w:r>
      <w:r>
        <w:t xml:space="preserve">included under ‘Options quantified in aggregate’ below in Section 6.2.4.6.</w:t>
      </w:r>
      <w:r>
        <w:br/>
      </w:r>
      <w:r>
        <w:t xml:space="preserve">Impact on tax administrations</w:t>
      </w:r>
      <w:r>
        <w:t xml:space="preserve"> </w:t>
      </w:r>
      <w:r>
        <w:t xml:space="preserve">Setting the threshold to 30% in those two countries will result in no or very little impact on tax</w:t>
      </w:r>
      <w:r>
        <w:t xml:space="preserve"> </w:t>
      </w:r>
      <w:r>
        <w:t xml:space="preserve">administrations. This is because today, tax authorities are already responsible for the</w:t>
      </w:r>
    </w:p>
    <w:p>
      <w:pPr>
        <w:pStyle w:val="BodyText"/>
      </w:pPr>
      <w:r>
        <w:t xml:space="preserve">102 This information is based on the underlying data from: VVA/KPMG (2022), Tax compliance costs for SMEs: An</w:t>
      </w:r>
      <w:r>
        <w:t xml:space="preserve"> </w:t>
      </w:r>
      <w:r>
        <w:t xml:space="preserve">update and a complement, Final Report. It is the average for cross-border working SMEs in EU-27.</w:t>
      </w:r>
      <w:r>
        <w:t xml:space="preserve"> </w:t>
      </w:r>
      <w:r>
        <w:t xml:space="preserve">103 See Annex 4, Section 1 for this assumption.</w:t>
      </w:r>
    </w:p>
    <w:p>
      <w:pPr>
        <w:pStyle w:val="BodyText"/>
      </w:pPr>
      <w:r>
        <w:t xml:space="preserve">implementation and enforcement of these measures (e.g., in case of audits, etc.). Establishing a</w:t>
      </w:r>
      <w:r>
        <w:t xml:space="preserve"> </w:t>
      </w:r>
      <w:r>
        <w:t xml:space="preserve">harmonised threshold would require no change in how the measure is assessed or enforced in a</w:t>
      </w:r>
      <w:r>
        <w:t xml:space="preserve"> </w:t>
      </w:r>
      <w:r>
        <w:t xml:space="preserve">national context.</w:t>
      </w:r>
      <w:r>
        <w:br/>
      </w:r>
      <w:r>
        <w:t xml:space="preserve">Impact on the economy</w:t>
      </w:r>
      <w:r>
        <w:t xml:space="preserve"> </w:t>
      </w:r>
      <w:r>
        <w:t xml:space="preserve">Please refer to section 6.2.4.7.</w:t>
      </w:r>
      <w:r>
        <w:t xml:space="preserve"> </w:t>
      </w:r>
      <w:r>
        <w:t xml:space="preserve">6.2.4.3. Option 3: Reducing implementation options</w:t>
      </w:r>
      <w:r>
        <w:t xml:space="preserve"> </w:t>
      </w:r>
      <w:r>
        <w:t xml:space="preserve">The proposed reduction of implementation measures would (1) make the group-escape rule, (2)</w:t>
      </w:r>
      <w:r>
        <w:t xml:space="preserve"> </w:t>
      </w:r>
      <w:r>
        <w:t xml:space="preserve">carry-forward mechanisms and (3) the exclusion of defence related projects mandatory, further</w:t>
      </w:r>
      <w:r>
        <w:t xml:space="preserve"> </w:t>
      </w:r>
      <w:r>
        <w:t xml:space="preserve">unifying EU tax law. There is no individual cost estimate for this measure. Its compliance cost</w:t>
      </w:r>
      <w:r>
        <w:t xml:space="preserve"> </w:t>
      </w:r>
      <w:r>
        <w:t xml:space="preserve">savings are included under ‘Options quantified in aggregate’ below in Section 6.2.4.6. At the same</w:t>
      </w:r>
      <w:r>
        <w:t xml:space="preserve"> </w:t>
      </w:r>
      <w:r>
        <w:t xml:space="preserve">time, these changes are likely to result in no or very little impact on tax administrations. This is</w:t>
      </w:r>
      <w:r>
        <w:t xml:space="preserve"> </w:t>
      </w:r>
      <w:r>
        <w:t xml:space="preserve">because tax authorities are already responsible for the implementation and enforcement of these</w:t>
      </w:r>
      <w:r>
        <w:t xml:space="preserve"> </w:t>
      </w:r>
      <w:r>
        <w:t xml:space="preserve">measures (e.g., in case of audits, etc.). A change in the rules themselves would not entail a change</w:t>
      </w:r>
      <w:r>
        <w:t xml:space="preserve"> </w:t>
      </w:r>
      <w:r>
        <w:t xml:space="preserve">in resources to continue current practices; if anything, streamlining of the rules and limiting options</w:t>
      </w:r>
      <w:r>
        <w:t xml:space="preserve"> </w:t>
      </w:r>
      <w:r>
        <w:t xml:space="preserve">could facilitate implementation and ease the audit burden on authorities.</w:t>
      </w:r>
      <w:r>
        <w:t xml:space="preserve"> </w:t>
      </w:r>
      <w:r>
        <w:t xml:space="preserve">Impact on the economy</w:t>
      </w:r>
      <w:r>
        <w:t xml:space="preserve"> </w:t>
      </w:r>
      <w:r>
        <w:t xml:space="preserve">Please refer to section 6.2.4.7.</w:t>
      </w:r>
      <w:r>
        <w:t xml:space="preserve"> </w:t>
      </w:r>
      <w:r>
        <w:t xml:space="preserve">6.2.4.4. Option 4: Carve-out of low-risk third-party loans</w:t>
      </w:r>
      <w:r>
        <w:t xml:space="preserve"> </w:t>
      </w:r>
      <w:r>
        <w:t xml:space="preserve">Impact on companies</w:t>
      </w:r>
      <w:r>
        <w:br/>
      </w:r>
      <w:r>
        <w:t xml:space="preserve">This option is analysed on a sample of companies, the details of which are also presented in Annex</w:t>
      </w:r>
      <w:r>
        <w:t xml:space="preserve"> </w:t>
      </w:r>
      <w:r>
        <w:t xml:space="preserve">4, Section 4.2. The analysis shows that the share of groups that cannot (fully) deduct their low-risk</w:t>
      </w:r>
      <w:r>
        <w:t xml:space="preserve"> </w:t>
      </w:r>
      <w:r>
        <w:t xml:space="preserve">third-party interest expenses from their tax base due to the Interest Limitation Rule could be 8.5%</w:t>
      </w:r>
      <w:r>
        <w:t xml:space="preserve"> </w:t>
      </w:r>
      <w:r>
        <w:t xml:space="preserve">(of all groups). This non-deduction affect mainly large groups, which thus leads to an assumption</w:t>
      </w:r>
      <w:r>
        <w:t xml:space="preserve"> </w:t>
      </w:r>
      <w:r>
        <w:t xml:space="preserve">that ATAD-related compliance costs could amount to EUR 100,000 on average for these groups,</w:t>
      </w:r>
      <w:r>
        <w:t xml:space="preserve"> </w:t>
      </w:r>
      <w:r>
        <w:t xml:space="preserve">and that one third of these ATAD-costs are related to the Interest Limitation Rule.104 Note that an</w:t>
      </w:r>
      <w:r>
        <w:t xml:space="preserve"> </w:t>
      </w:r>
      <w:r>
        <w:t xml:space="preserve">estimated 151,000 groups currently operate in the EU (and EFTA).105 Under these assumptions, the</w:t>
      </w:r>
      <w:r>
        <w:t xml:space="preserve"> </w:t>
      </w:r>
      <w:r>
        <w:t xml:space="preserve">overall compliance cost savings could then be estimated to be around EUR 430 million per year</w:t>
      </w:r>
      <w:r>
        <w:t xml:space="preserve"> </w:t>
      </w:r>
      <w:r>
        <w:t xml:space="preserve">(≈100,000 EUR * 1/3 * 8.5% * 151,000 groups).</w:t>
      </w:r>
      <w:r>
        <w:br/>
      </w:r>
      <w:r>
        <w:t xml:space="preserve">Impact on tax administrations and public finances</w:t>
      </w:r>
      <w:r>
        <w:t xml:space="preserve"> </w:t>
      </w:r>
      <w:r>
        <w:t xml:space="preserve">Please refer to section 6.2.4.8. and Annex 4, Section 4.3.</w:t>
      </w:r>
      <w:r>
        <w:t xml:space="preserve"> </w:t>
      </w:r>
      <w:r>
        <w:t xml:space="preserve">Impact on the economy</w:t>
      </w:r>
      <w:r>
        <w:t xml:space="preserve"> </w:t>
      </w:r>
      <w:r>
        <w:t xml:space="preserve">Please refer to section 6.2.4.7.</w:t>
      </w:r>
      <w:r>
        <w:t xml:space="preserve"> </w:t>
      </w:r>
      <w:r>
        <w:t xml:space="preserve">6.2.4.5. Option 5: Exemption in case of a profitability shock</w:t>
      </w:r>
      <w:r>
        <w:t xml:space="preserve"> </w:t>
      </w:r>
      <w:r>
        <w:t xml:space="preserve">If a taxpayer’s EBITDA is reduced by a certain percentage (e.g. 50%) in a year, the measure would</w:t>
      </w:r>
      <w:r>
        <w:t xml:space="preserve"> </w:t>
      </w:r>
      <w:r>
        <w:t xml:space="preserve">foresee that no Interest Limitation Rule applies to this taxpayer in that year. There is no individual</w:t>
      </w:r>
    </w:p>
    <w:p>
      <w:pPr>
        <w:pStyle w:val="BodyText"/>
      </w:pPr>
      <w:r>
        <w:t xml:space="preserve">104 See Annex 4, Section 1 for these assumptions.</w:t>
      </w:r>
      <w:r>
        <w:t xml:space="preserve"> </w:t>
      </w:r>
      <w:r>
        <w:t xml:space="preserve">105 151 004 multinational enterprise groups in EU and EFTA - News articles - Eurostat.</w:t>
      </w:r>
    </w:p>
    <w:p>
      <w:pPr>
        <w:pStyle w:val="BodyText"/>
      </w:pPr>
      <w:r>
        <w:t xml:space="preserve">cost estimate for this measure. Its compliance cost savings are included under ‘Options quantified</w:t>
      </w:r>
      <w:r>
        <w:t xml:space="preserve"> </w:t>
      </w:r>
      <w:r>
        <w:t xml:space="preserve">in aggregate’ below.</w:t>
      </w:r>
      <w:r>
        <w:t xml:space="preserve"> </w:t>
      </w:r>
      <w:r>
        <w:t xml:space="preserve">6.2.4.6. Options quantified in aggregate</w:t>
      </w:r>
      <w:r>
        <w:t xml:space="preserve"> </w:t>
      </w:r>
      <w:r>
        <w:t xml:space="preserve">Impact on companies</w:t>
      </w:r>
      <w:r>
        <w:br/>
      </w:r>
      <w:r>
        <w:t xml:space="preserve">There are several other simplifications related to the Interest Limitation Rule that are considered,</w:t>
      </w:r>
      <w:r>
        <w:t xml:space="preserve"> </w:t>
      </w:r>
      <w:r>
        <w:t xml:space="preserve">single options identified in Chapter 5, but which are analysed in aggregate. For example, an Option</w:t>
      </w:r>
      <w:r>
        <w:t xml:space="preserve"> </w:t>
      </w:r>
      <w:r>
        <w:t xml:space="preserve">2: mandatory application of an EU-wide (30%) EBITDA threshold (Section 6.2.4.2); Option 3:</w:t>
      </w:r>
      <w:r>
        <w:t xml:space="preserve"> </w:t>
      </w:r>
      <w:r>
        <w:t xml:space="preserve">Reducing implementation options (Section 6.2.4.3); Option 5: Exemption in case of a profitability</w:t>
      </w:r>
      <w:r>
        <w:t xml:space="preserve"> </w:t>
      </w:r>
      <w:r>
        <w:t xml:space="preserve">shock (Section 6.2.4.5). All these measures would limit the currently large variation of the</w:t>
      </w:r>
      <w:r>
        <w:t xml:space="preserve"> </w:t>
      </w:r>
      <w:r>
        <w:t xml:space="preserve">implementation of the Interest Limitation Rule across the EU. They would standardise the Interest</w:t>
      </w:r>
      <w:r>
        <w:t xml:space="preserve"> </w:t>
      </w:r>
      <w:r>
        <w:t xml:space="preserve">Limitation Rule across Member States, thereby contributing to a more consistent interpretation of</w:t>
      </w:r>
      <w:r>
        <w:t xml:space="preserve"> </w:t>
      </w:r>
      <w:r>
        <w:t xml:space="preserve">legal terms. Exemptions in the case of profitability shocks from one year to another would</w:t>
      </w:r>
      <w:r>
        <w:t xml:space="preserve"> </w:t>
      </w:r>
      <w:r>
        <w:t xml:space="preserve">smoothen the impact of the Interest Limitation Rule on interest expense deductibility, also</w:t>
      </w:r>
      <w:r>
        <w:t xml:space="preserve"> </w:t>
      </w:r>
      <w:r>
        <w:t xml:space="preserve">simplifying the Interest Limitation Rule and facilitating compliance.</w:t>
      </w:r>
      <w:r>
        <w:br/>
      </w:r>
      <w:r>
        <w:t xml:space="preserve">It is well established that, from the perspective of internationally active companies, standardisations</w:t>
      </w:r>
      <w:r>
        <w:t xml:space="preserve"> </w:t>
      </w:r>
      <w:r>
        <w:t xml:space="preserve">and simplifications would directly reduce compliance costs.106 The measures proposed here would</w:t>
      </w:r>
      <w:r>
        <w:t xml:space="preserve"> </w:t>
      </w:r>
      <w:r>
        <w:t xml:space="preserve">eliminate the need for businesses to navigate varied implementation rules across the Member</w:t>
      </w:r>
      <w:r>
        <w:t xml:space="preserve"> </w:t>
      </w:r>
      <w:r>
        <w:t xml:space="preserve">States, such as different thresholds and escape rules. They could therefore reduce compliance cost</w:t>
      </w:r>
      <w:r>
        <w:t xml:space="preserve"> </w:t>
      </w:r>
      <w:r>
        <w:t xml:space="preserve">of all MNE groups operating in the EU. However, there is no empirical precedent or quantitative</w:t>
      </w:r>
      <w:r>
        <w:t xml:space="preserve"> </w:t>
      </w:r>
      <w:r>
        <w:t xml:space="preserve">data that one could use to estimate the cost reduction a company could realise due to the measures.</w:t>
      </w:r>
      <w:r>
        <w:t xml:space="preserve"> </w:t>
      </w:r>
      <w:r>
        <w:t xml:space="preserve">In the absence of any information in that context, we assume that the cost of complying with the</w:t>
      </w:r>
      <w:r>
        <w:t xml:space="preserve"> </w:t>
      </w:r>
      <w:r>
        <w:t xml:space="preserve">Interest Limitation Rule could be reduced by 5% per group on average. The assumption could then</w:t>
      </w:r>
      <w:r>
        <w:t xml:space="preserve"> </w:t>
      </w:r>
      <w:r>
        <w:t xml:space="preserve">result in savings of EUR 80 million per year (≈ 33,000 EUR * 1/3 * 5% * 151,000 groups). This</w:t>
      </w:r>
      <w:r>
        <w:t xml:space="preserve"> </w:t>
      </w:r>
      <w:r>
        <w:t xml:space="preserve">would imply overall ATAD-related compliance costs per group of EUR 33,000, and that one third</w:t>
      </w:r>
      <w:r>
        <w:t xml:space="preserve"> </w:t>
      </w:r>
      <w:r>
        <w:t xml:space="preserve">of these costs relate to the Interest Limitation Rule (see Annex 4, Section 1 for these assumptions).</w:t>
      </w:r>
      <w:r>
        <w:br/>
      </w:r>
      <w:r>
        <w:t xml:space="preserve">Impact on the economy</w:t>
      </w:r>
      <w:r>
        <w:t xml:space="preserve"> </w:t>
      </w:r>
      <w:r>
        <w:t xml:space="preserve">Please refer to section 6.2.4.7.</w:t>
      </w:r>
      <w:r>
        <w:t xml:space="preserve"> </w:t>
      </w:r>
      <w:r>
        <w:t xml:space="preserve">6.2.4.7. Why simplifying the Interest Limitation Rule matters</w:t>
      </w:r>
      <w:r>
        <w:t xml:space="preserve"> </w:t>
      </w:r>
      <w:r>
        <w:t xml:space="preserve">The estimates on the direct reduction of compliance costs presented in the sections above</w:t>
      </w:r>
      <w:r>
        <w:t xml:space="preserve"> </w:t>
      </w:r>
      <w:r>
        <w:t xml:space="preserve">demonstrate that the reduction resulting from proposed measures to amend the Interest Limitation</w:t>
      </w:r>
      <w:r>
        <w:t xml:space="preserve"> </w:t>
      </w:r>
      <w:r>
        <w:t xml:space="preserve">Rule can free up financial resources for companies to invest in growth, innovation, and expansion,</w:t>
      </w:r>
      <w:r>
        <w:t xml:space="preserve"> </w:t>
      </w:r>
      <w:r>
        <w:t xml:space="preserve">benefiting overall economic activity. This is particularly relevant for SMEs as they are, relative to</w:t>
      </w:r>
      <w:r>
        <w:t xml:space="preserve"> </w:t>
      </w:r>
      <w:r>
        <w:t xml:space="preserve">their size, disproportionally affected by the cost of tax compliance.107</w:t>
      </w:r>
    </w:p>
    <w:p>
      <w:pPr>
        <w:pStyle w:val="BodyText"/>
      </w:pPr>
      <w:r>
        <w:t xml:space="preserve">However, as stated earlier, the direct compliance cost reduction does not capture the full long-term</w:t>
      </w:r>
      <w:r>
        <w:t xml:space="preserve"> </w:t>
      </w:r>
      <w:r>
        <w:t xml:space="preserve">potential of reducing complexity, especially when it comes to the deductibility of interest.</w:t>
      </w:r>
      <w:r>
        <w:t xml:space="preserve"> </w:t>
      </w:r>
      <w:r>
        <w:t xml:space="preserve">Standardisation of international tax law will contribute to greater legal certainty (Section 6.2.1.3),</w:t>
      </w:r>
      <w:r>
        <w:t xml:space="preserve"> </w:t>
      </w:r>
      <w:r>
        <w:t xml:space="preserve">making it easier to predict the future cost of investment, ultimately generating higher confidence in</w:t>
      </w:r>
      <w:r>
        <w:t xml:space="preserve"> </w:t>
      </w:r>
      <w:r>
        <w:t xml:space="preserve">investment. Reducing implementation options (Option 2), installing a unique EU-wide EBITDA</w:t>
      </w:r>
    </w:p>
    <w:p>
      <w:pPr>
        <w:pStyle w:val="BodyText"/>
      </w:pPr>
      <w:r>
        <w:t xml:space="preserve">106 For example: European Parliament, Overview on the tax compliance costs faced by European enterprises.</w:t>
      </w:r>
      <w:r>
        <w:t xml:space="preserve"> </w:t>
      </w:r>
      <w:r>
        <w:t xml:space="preserve">107 VVA/KPMG (2022), Tax compliance costs for SMEs: An update and a complement Final Report KPMG/VVA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threshold (Option 3), and better absorption of economic shocks for interest deduction (Option 5)</w:t>
      </w:r>
      <w:r>
        <w:t xml:space="preserve"> </w:t>
      </w:r>
      <w:r>
        <w:t xml:space="preserve">would all serve that purpose.</w:t>
      </w:r>
    </w:p>
    <w:p>
      <w:pPr>
        <w:pStyle w:val="BodyText"/>
      </w:pPr>
      <w:r>
        <w:t xml:space="preserve">A certain positive long-term impact can be expected from Option 4 (taking out the current</w:t>
      </w:r>
      <w:r>
        <w:t xml:space="preserve"> </w:t>
      </w:r>
      <w:r>
        <w:t xml:space="preserve">restriction for low-risk third-party interest payments) in particular. As on-lending of third-party</w:t>
      </w:r>
      <w:r>
        <w:t xml:space="preserve"> </w:t>
      </w:r>
      <w:r>
        <w:t xml:space="preserve">loans within the group would be excluded, such loans would not facilitate profit shifting as they are</w:t>
      </w:r>
      <w:r>
        <w:t xml:space="preserve"> </w:t>
      </w:r>
      <w:r>
        <w:t xml:space="preserve">negotiated at arm’s length and typically used to finance investment projects of group members.</w:t>
      </w:r>
      <w:r>
        <w:t xml:space="preserve"> </w:t>
      </w:r>
      <w:r>
        <w:t xml:space="preserve">Exempting third-party interest payments from the Interest Limitation Rule would, therefore, leave</w:t>
      </w:r>
      <w:r>
        <w:t xml:space="preserve"> </w:t>
      </w:r>
      <w:r>
        <w:t xml:space="preserve">more room for productive cross-border investment (FDI) today. It is well documented that FDI in</w:t>
      </w:r>
      <w:r>
        <w:t xml:space="preserve"> </w:t>
      </w:r>
      <w:r>
        <w:t xml:space="preserve">the EU is one of the major drivers of innovation, mainly through the diffusion of knowledge across</w:t>
      </w:r>
      <w:r>
        <w:t xml:space="preserve"> </w:t>
      </w:r>
      <w:r>
        <w:t xml:space="preserve">countries and across businesses.108 There would be more FDI after exempting interest expenses to</w:t>
      </w:r>
      <w:r>
        <w:t xml:space="preserve"> </w:t>
      </w:r>
      <w:r>
        <w:t xml:space="preserve">third parties from the Interest Limitation Rule as businesses would have more confidence in higher</w:t>
      </w:r>
      <w:r>
        <w:t xml:space="preserve"> </w:t>
      </w:r>
      <w:r>
        <w:t xml:space="preserve">net-returns and lower compliance costs for future investment. More groups would then invest</w:t>
      </w:r>
      <w:r>
        <w:t xml:space="preserve"> </w:t>
      </w:r>
      <w:r>
        <w:t xml:space="preserve">abroad in/across the internal market, fostering innovation and competitiveness, and generating</w:t>
      </w:r>
      <w:r>
        <w:t xml:space="preserve"> </w:t>
      </w:r>
      <w:r>
        <w:t xml:space="preserve">higher growth for EU citizens.</w:t>
      </w:r>
    </w:p>
    <w:p>
      <w:pPr>
        <w:pStyle w:val="BodyText"/>
      </w:pPr>
      <w:r>
        <w:t xml:space="preserve">Moreover, exempting certain volumes of third-party interest payments from the Interest Limitation</w:t>
      </w:r>
      <w:r>
        <w:t xml:space="preserve"> </w:t>
      </w:r>
      <w:r>
        <w:t xml:space="preserve">Rule would also tackle one major deficiency of the Interest Limitation Rule: its strong pro-cyclical</w:t>
      </w:r>
      <w:r>
        <w:t xml:space="preserve"> </w:t>
      </w:r>
      <w:r>
        <w:t xml:space="preserve">impact on company cash-flow. This effect can be very significant during economic downturns.109</w:t>
      </w:r>
      <w:r>
        <w:t xml:space="preserve"> </w:t>
      </w:r>
      <w:r>
        <w:t xml:space="preserve">Especially during times of increasingly frequent and adverse macro-economic shocks, carving out</w:t>
      </w:r>
      <w:r>
        <w:t xml:space="preserve"> </w:t>
      </w:r>
      <w:r>
        <w:t xml:space="preserve">third-party loans (Option 4) would protect businesses from disproportionate limitations to cost</w:t>
      </w:r>
      <w:r>
        <w:t xml:space="preserve"> </w:t>
      </w:r>
      <w:r>
        <w:t xml:space="preserve">deduction – more than discretionary year-by-year exemptions could achieve (Option 5). Global</w:t>
      </w:r>
      <w:r>
        <w:t xml:space="preserve"> </w:t>
      </w:r>
      <w:r>
        <w:t xml:space="preserve">economic crises since the Covid pandemic have revealed that shocks tend to persist for more than</w:t>
      </w:r>
      <w:r>
        <w:t xml:space="preserve"> </w:t>
      </w:r>
      <w:r>
        <w:t xml:space="preserve">just a year. During that period, companies’ debt obligations may remain constant – or may even</w:t>
      </w:r>
      <w:r>
        <w:t xml:space="preserve"> </w:t>
      </w:r>
      <w:r>
        <w:t xml:space="preserve">increase as interest rates tend to go up due to inflationary pressure. At the same time, deductibility</w:t>
      </w:r>
      <w:r>
        <w:t xml:space="preserve"> </w:t>
      </w:r>
      <w:r>
        <w:t xml:space="preserve">shrinks as profits decline. This is exactly what happened since the onset of the global energy crisis</w:t>
      </w:r>
      <w:r>
        <w:t xml:space="preserve"> </w:t>
      </w:r>
      <w:r>
        <w:t xml:space="preserve">in 2022 when the cost of borrowing for non-financial corporations went up from 1.4% (Q4, 2021)</w:t>
      </w:r>
      <w:r>
        <w:t xml:space="preserve"> </w:t>
      </w:r>
      <w:r>
        <w:t xml:space="preserve">to 5.3% (Q4, 2023).110 Non-deductibility of these costs could reduce a company’s cash-flow,</w:t>
      </w:r>
      <w:r>
        <w:t xml:space="preserve"> </w:t>
      </w:r>
      <w:r>
        <w:t xml:space="preserve">thereby causing serious financial distress to otherwise productive companies.111 Removing the</w:t>
      </w:r>
      <w:r>
        <w:t xml:space="preserve"> </w:t>
      </w:r>
      <w:r>
        <w:t xml:space="preserve">Interest Limitation Rule in the case of third-party borrowing will thus strengthen companies’</w:t>
      </w:r>
      <w:r>
        <w:t xml:space="preserve"> </w:t>
      </w:r>
      <w:r>
        <w:t xml:space="preserve">confidence in future investment as they can rely on the tax policy framework to stabilise</w:t>
      </w:r>
      <w:r>
        <w:t xml:space="preserve"> </w:t>
      </w:r>
      <w:r>
        <w:t xml:space="preserve">deductibility across the business cycle. Consequently, companies’ propensity to invest would likely</w:t>
      </w:r>
      <w:r>
        <w:t xml:space="preserve"> </w:t>
      </w:r>
      <w:r>
        <w:t xml:space="preserve">increase, especially if businesses rely heavily on external debt.112</w:t>
      </w:r>
      <w:r>
        <w:br/>
      </w:r>
      <w:r>
        <w:t xml:space="preserve">Impact on maintaining high tax standards</w:t>
      </w:r>
    </w:p>
    <w:p>
      <w:pPr>
        <w:pStyle w:val="BodyText"/>
      </w:pPr>
      <w:r>
        <w:t xml:space="preserve">108 OECD (Foreign Direct Investment Qualities and Impact | OECD).</w:t>
      </w:r>
      <w:r>
        <w:t xml:space="preserve"> </w:t>
      </w:r>
      <w:r>
        <w:t xml:space="preserve">109 For example, Finnish companies have seen their effective tax burden increase by up to 19% during the Great</w:t>
      </w:r>
      <w:r>
        <w:t xml:space="preserve"> </w:t>
      </w:r>
      <w:r>
        <w:t xml:space="preserve">Recession in 2008 because of limitations in interest deduction. Ropponen (2021), Interest limitation rules and business</w:t>
      </w:r>
      <w:r>
        <w:t xml:space="preserve"> </w:t>
      </w:r>
      <w:r>
        <w:t xml:space="preserve">cycles: Empirical evidence.</w:t>
      </w:r>
      <w:r>
        <w:t xml:space="preserve"> </w:t>
      </w:r>
      <w:r>
        <w:t xml:space="preserve">110 ECB series: cost for non-financial corporations of newly agreed loans (annualised rate).</w:t>
      </w:r>
      <w:r>
        <w:t xml:space="preserve"> </w:t>
      </w:r>
      <w:r>
        <w:t xml:space="preserve">111 Authors argue that tight deductibility limits would improve market selection as it lowers the likelihood of</w:t>
      </w:r>
      <w:r>
        <w:t xml:space="preserve"> </w:t>
      </w:r>
      <w:r>
        <w:t xml:space="preserve">unproductive businesses stay alive. See Olbert (2025), The impact of tax shields on bankruptcy risk and resource</w:t>
      </w:r>
      <w:r>
        <w:t xml:space="preserve"> </w:t>
      </w:r>
      <w:r>
        <w:t xml:space="preserve">allocation | Review of Accounting Studies. This argument holds in the absence of strong cyclical fluctuation. If strong</w:t>
      </w:r>
      <w:r>
        <w:t xml:space="preserve"> </w:t>
      </w:r>
      <w:r>
        <w:t xml:space="preserve">limitations coincide with pronounced downturns the effect gets amplified and may thus lead to the selection process</w:t>
      </w:r>
      <w:r>
        <w:t xml:space="preserve"> </w:t>
      </w:r>
      <w:r>
        <w:t xml:space="preserve">overshooting in the sense that healthy businesses get wiped out due to reduced cash-flow.</w:t>
      </w:r>
      <w:r>
        <w:br/>
      </w:r>
      <w:r>
        <w:t xml:space="preserve">112 Fich (2025), M&amp;A Under Pressure: How Interest Limitation Rules Are Shaping Corporate Dealmaking | ECGI,</w:t>
      </w:r>
      <w:r>
        <w:t xml:space="preserve"> </w:t>
      </w:r>
      <w:r>
        <w:t xml:space="preserve">turns the argument around: the introduction of interest limitation rules disrupted corporate investment significantly</w:t>
      </w:r>
      <w:r>
        <w:t xml:space="preserve"> </w:t>
      </w:r>
      <w:r>
        <w:t xml:space="preserve">(here: M&amp;A). Businesses with limited cash reserves would be most affected as they rely heavily on third-party debt</w:t>
      </w:r>
      <w:r>
        <w:t xml:space="preserve"> </w:t>
      </w:r>
      <w:r>
        <w:t xml:space="preserve">funding.</w:t>
      </w:r>
    </w:p>
    <w:p>
      <w:pPr>
        <w:pStyle w:val="BodyText"/>
      </w:pPr>
      <w:r>
        <w:t xml:space="preserve">All potential changes to the Interest Limitation Rule (options) analysed in the sections above would</w:t>
      </w:r>
      <w:r>
        <w:t xml:space="preserve"> </w:t>
      </w:r>
      <w:r>
        <w:t xml:space="preserve">retain the safeguards and rules intended to mitigate and limit tax evasion and avoidance and, as</w:t>
      </w:r>
      <w:r>
        <w:t xml:space="preserve"> </w:t>
      </w:r>
      <w:r>
        <w:t xml:space="preserve">such, remain in line with the objectives originally established by the ATAD. For the most part,</w:t>
      </w:r>
      <w:r>
        <w:t xml:space="preserve"> </w:t>
      </w:r>
      <w:r>
        <w:t xml:space="preserve">simplifications to be introduced would, as already analysed above, ensure legal certainty and enact</w:t>
      </w:r>
      <w:r>
        <w:t xml:space="preserve"> </w:t>
      </w:r>
      <w:r>
        <w:t xml:space="preserve">more facile and effective rules across the internal market for cross-border operations. This is</w:t>
      </w:r>
      <w:r>
        <w:t xml:space="preserve"> </w:t>
      </w:r>
      <w:r>
        <w:t xml:space="preserve">particularly the case for measures aimed at reducing implementation options, which would ensure</w:t>
      </w:r>
      <w:r>
        <w:t xml:space="preserve"> </w:t>
      </w:r>
      <w:r>
        <w:t xml:space="preserve">that the rule continues to fulfil its core function of preventing tax avoidance while minimising</w:t>
      </w:r>
      <w:r>
        <w:t xml:space="preserve"> </w:t>
      </w:r>
      <w:r>
        <w:t xml:space="preserve">fragmentation, compliance costs and legal uncertainty. Furthermore, by eliminating on-lending and</w:t>
      </w:r>
      <w:r>
        <w:t xml:space="preserve"> </w:t>
      </w:r>
      <w:r>
        <w:t xml:space="preserve">capital contributions or other equity contributions, for example, even the carve-out of low-risk third</w:t>
      </w:r>
      <w:r>
        <w:t xml:space="preserve"> </w:t>
      </w:r>
      <w:r>
        <w:t xml:space="preserve">party loans would be designed in a way to ensure no new risks to BEPS standards. Moreover, a de</w:t>
      </w:r>
      <w:r>
        <w:t xml:space="preserve"> </w:t>
      </w:r>
      <w:r>
        <w:t xml:space="preserve">facto carve out for SMEs maintains the objectives already established under ATAD, under the clear</w:t>
      </w:r>
      <w:r>
        <w:t xml:space="preserve"> </w:t>
      </w:r>
      <w:r>
        <w:t xml:space="preserve">understanding that these smaller companies should be able to deduct their interest expenses and</w:t>
      </w:r>
      <w:r>
        <w:t xml:space="preserve"> </w:t>
      </w:r>
      <w:r>
        <w:t xml:space="preserve">would not possess the means to consistently engage in aggressive tax planning, avoidance or</w:t>
      </w:r>
      <w:r>
        <w:t xml:space="preserve"> </w:t>
      </w:r>
      <w:r>
        <w:t xml:space="preserve">evasion (through, for example, on lending) in a manner similar to MNEs.</w:t>
      </w:r>
      <w:r>
        <w:br/>
      </w:r>
      <w:r>
        <w:t xml:space="preserve">6.2.4.8. Impact on tax authorities and public finances</w:t>
      </w:r>
      <w:r>
        <w:t xml:space="preserve"> </w:t>
      </w:r>
      <w:r>
        <w:t xml:space="preserve">Carving out certain companies from the Interest Limitation Rule as suggested in Options 1 (SMEs)</w:t>
      </w:r>
      <w:r>
        <w:t xml:space="preserve"> </w:t>
      </w:r>
      <w:r>
        <w:t xml:space="preserve">and 4 (low-risk third-party loans) would also reduce administrative costs for financial</w:t>
      </w:r>
      <w:r>
        <w:t xml:space="preserve"> </w:t>
      </w:r>
      <w:r>
        <w:t xml:space="preserve">administrations as this would cut down on the numbers of compliance checks and enforcement and</w:t>
      </w:r>
      <w:r>
        <w:t xml:space="preserve"> </w:t>
      </w:r>
      <w:r>
        <w:t xml:space="preserve">lead to fewer transactions that would require monitoring and analysis. Financial administrations</w:t>
      </w:r>
      <w:r>
        <w:t xml:space="preserve"> </w:t>
      </w:r>
      <w:r>
        <w:t xml:space="preserve">may then be able to allocate resources more effectively, focusing on higher-risk areas or more</w:t>
      </w:r>
      <w:r>
        <w:t xml:space="preserve"> </w:t>
      </w:r>
      <w:r>
        <w:t xml:space="preserve">complex cases, potentially improving the efficiency of tax enforcement overall. As for the other</w:t>
      </w:r>
      <w:r>
        <w:t xml:space="preserve"> </w:t>
      </w:r>
      <w:r>
        <w:t xml:space="preserve">options considered, changes to existing provisions under the Interest Limitation Rule would likely</w:t>
      </w:r>
      <w:r>
        <w:t xml:space="preserve"> </w:t>
      </w:r>
      <w:r>
        <w:t xml:space="preserve">result in no or little impact for tax administrations since tax authorities are already responsible for</w:t>
      </w:r>
      <w:r>
        <w:t xml:space="preserve"> </w:t>
      </w:r>
      <w:r>
        <w:t xml:space="preserve">the implementation and enforcement of these measures (e.g., in case of audits, etc.).</w:t>
      </w:r>
      <w:r>
        <w:br/>
      </w:r>
      <w:r>
        <w:t xml:space="preserve">The economic analysis of these measures is also further elaborated on in Annex 4. As regards the</w:t>
      </w:r>
      <w:r>
        <w:t xml:space="preserve"> </w:t>
      </w:r>
      <w:r>
        <w:t xml:space="preserve">de minimis threshold, for instance, Section 4.1 of Annex 4 contributes to showing that the impact of</w:t>
      </w:r>
      <w:r>
        <w:t xml:space="preserve"> </w:t>
      </w:r>
      <w:r>
        <w:t xml:space="preserve">implementing an obligatory de minimis threshold of EUR 3 million everywhere in the EU could</w:t>
      </w:r>
      <w:r>
        <w:t xml:space="preserve"> </w:t>
      </w:r>
      <w:r>
        <w:t xml:space="preserve">reduce the tax revenue of some Member States. As a result of the disparate application of the de</w:t>
      </w:r>
      <w:r>
        <w:t xml:space="preserve"> </w:t>
      </w:r>
      <w:r>
        <w:t xml:space="preserve">minimis threshold, the effect is expected to be felt in Member States where no formal de minimis</w:t>
      </w:r>
      <w:r>
        <w:t xml:space="preserve"> </w:t>
      </w:r>
      <w:r>
        <w:t xml:space="preserve">rule or a lower than EUR 3 million threshold is implemented today. In the EU, the overall revenue</w:t>
      </w:r>
      <w:r>
        <w:t xml:space="preserve"> </w:t>
      </w:r>
      <w:r>
        <w:t xml:space="preserve">impact could amount to around EUR 900 million per year. Regarding the carve-out of interest from</w:t>
      </w:r>
      <w:r>
        <w:t xml:space="preserve"> </w:t>
      </w:r>
      <w:r>
        <w:t xml:space="preserve">low-risk loans from the ILR, on the other hand, the impact on public finances is hard to quantify</w:t>
      </w:r>
      <w:r>
        <w:t xml:space="preserve"> </w:t>
      </w:r>
      <w:r>
        <w:t xml:space="preserve">but, as explained in Section 4.3 of Annex 4, it could be financially neutral.</w:t>
      </w:r>
      <w:r>
        <w:br/>
      </w:r>
      <w:r>
        <w:t xml:space="preserve">6.2.5. Aligning &amp; streamlining legislation in the context of tax mergers, dispute resolution</w:t>
      </w:r>
      <w:r>
        <w:t xml:space="preserve"> </w:t>
      </w:r>
      <w:r>
        <w:t xml:space="preserve">mechanisms and removal of imported hybrid mismatches</w:t>
      </w:r>
      <w:r>
        <w:t xml:space="preserve"> </w:t>
      </w:r>
      <w:r>
        <w:t xml:space="preserve">Impact on companies and on the economy</w:t>
      </w:r>
      <w:r>
        <w:t xml:space="preserve"> </w:t>
      </w:r>
      <w:r>
        <w:t xml:space="preserve">Streamlining legislation related to tax mergers and dispute resolution, and the removal of imported</w:t>
      </w:r>
      <w:r>
        <w:t xml:space="preserve"> </w:t>
      </w:r>
      <w:r>
        <w:t xml:space="preserve">hybrid mismatches would contribute to a more consistent interpretation of legal terms, improve</w:t>
      </w:r>
      <w:r>
        <w:t xml:space="preserve"> </w:t>
      </w:r>
      <w:r>
        <w:t xml:space="preserve">legal clarity and certainty of MNE groups and decluttering EU tax law. To that extent, the impact of</w:t>
      </w:r>
      <w:r>
        <w:t xml:space="preserve"> </w:t>
      </w:r>
      <w:r>
        <w:t xml:space="preserve">this measure on companies will be very similar to the package of measures outlined above in</w:t>
      </w:r>
      <w:r>
        <w:t xml:space="preserve"> </w:t>
      </w:r>
      <w:r>
        <w:t xml:space="preserve">Section6.2.4.4 6.2.4.6. in the context of the Interest Limitation Rule (in particular: reducing</w:t>
      </w:r>
      <w:r>
        <w:t xml:space="preserve"> </w:t>
      </w:r>
      <w:r>
        <w:t xml:space="preserve">implementation options and making sure that all Member States apply the same 30% EBITDA</w:t>
      </w:r>
      <w:r>
        <w:t xml:space="preserve"> </w:t>
      </w:r>
      <w:r>
        <w:t xml:space="preserve">threshold). Both pairs of measures enhance legal certainty. They reduce ambiguity and</w:t>
      </w:r>
      <w:r>
        <w:t xml:space="preserve"> </w:t>
      </w:r>
      <w:r>
        <w:t xml:space="preserve">inconsistencies in the application of tax rules across Member States. By harmonising provisions –</w:t>
      </w:r>
      <w:r>
        <w:t xml:space="preserve"> </w:t>
      </w:r>
      <w:r>
        <w:t xml:space="preserve">be it through a uniform EBITDA threshold under the Interest Limitation Rule or through aligning</w:t>
      </w:r>
      <w:r>
        <w:t xml:space="preserve"> </w:t>
      </w:r>
      <w:r>
        <w:t xml:space="preserve">tax merger and dispute resolution legislation – they aim to create a more predictable and stable</w:t>
      </w:r>
    </w:p>
    <w:p>
      <w:pPr>
        <w:pStyle w:val="BodyText"/>
      </w:pPr>
      <w:r>
        <w:t xml:space="preserve">legal environment for businesses operating within the EU. Given these similarities, it is assumed</w:t>
      </w:r>
      <w:r>
        <w:t xml:space="preserve"> </w:t>
      </w:r>
      <w:r>
        <w:t xml:space="preserve">that the effect of the streamlining and simplification measures discussed here would be the same as</w:t>
      </w:r>
      <w:r>
        <w:t xml:space="preserve"> </w:t>
      </w:r>
      <w:r>
        <w:t xml:space="preserve">for the package outlined in Section 6.2.4.6 in relation to the Interest Limitation Rule. The</w:t>
      </w:r>
      <w:r>
        <w:t xml:space="preserve"> </w:t>
      </w:r>
      <w:r>
        <w:t xml:space="preserve">compliance cost reduction could then amount to EUR 80 million per year.</w:t>
      </w:r>
      <w:r>
        <w:t xml:space="preserve"> </w:t>
      </w:r>
      <w:r>
        <w:t xml:space="preserve">By minimising disparities in how Member States apply tax rules, the measures also help prevent</w:t>
      </w:r>
      <w:r>
        <w:t xml:space="preserve"> </w:t>
      </w:r>
      <w:r>
        <w:t xml:space="preserve">distortions in the Single Market, thereby promoting economic growth: Clear and viable dispute</w:t>
      </w:r>
      <w:r>
        <w:t xml:space="preserve"> </w:t>
      </w:r>
      <w:r>
        <w:t xml:space="preserve">resolution mechanisms reduce the risk of inconsistent outcomes in cross-border cases and allow</w:t>
      </w:r>
      <w:r>
        <w:t xml:space="preserve"> </w:t>
      </w:r>
      <w:r>
        <w:t xml:space="preserve">disputes to be resolved in a faster manner. This promotes fair competition and prevents regulatory</w:t>
      </w:r>
      <w:r>
        <w:t xml:space="preserve"> </w:t>
      </w:r>
      <w:r>
        <w:t xml:space="preserve">arbitrage. Likewise, reducing disparities in how Member States’ tax authorities handle restructuring</w:t>
      </w:r>
      <w:r>
        <w:t xml:space="preserve"> </w:t>
      </w:r>
      <w:r>
        <w:t xml:space="preserve">events - mergers and separations - could foster a more level playing field across the EU, enhancing</w:t>
      </w:r>
      <w:r>
        <w:t xml:space="preserve"> </w:t>
      </w:r>
      <w:r>
        <w:t xml:space="preserve">fairness and consistency in tax treatment.</w:t>
      </w:r>
      <w:r>
        <w:t xml:space="preserve"> </w:t>
      </w:r>
      <w:r>
        <w:t xml:space="preserve">Impact on tax authorities and maintaining high tax standards</w:t>
      </w:r>
      <w:r>
        <w:br/>
      </w:r>
      <w:r>
        <w:t xml:space="preserve">Today, tax administrations already have the responsibility to enforce the rules of the TMD, engage</w:t>
      </w:r>
      <w:r>
        <w:t xml:space="preserve"> </w:t>
      </w:r>
      <w:r>
        <w:t xml:space="preserve">in dispute resolution when this is requested under the DRM, and enforce the ATAD mismatch rules</w:t>
      </w:r>
      <w:r>
        <w:t xml:space="preserve"> </w:t>
      </w:r>
      <w:r>
        <w:t xml:space="preserve">as they currently stand. Changes in these in line with the options assessed in this report would result</w:t>
      </w:r>
      <w:r>
        <w:t xml:space="preserve"> </w:t>
      </w:r>
      <w:r>
        <w:t xml:space="preserve">in a minimal impact on tax authorities. Increased legal certainty and more efficient procedures</w:t>
      </w:r>
      <w:r>
        <w:t xml:space="preserve"> </w:t>
      </w:r>
      <w:r>
        <w:t xml:space="preserve">should facilitate the work of tax authorities by reducing procedural uncertainties and administrative</w:t>
      </w:r>
      <w:r>
        <w:t xml:space="preserve"> </w:t>
      </w:r>
      <w:r>
        <w:t xml:space="preserve">complexity, thereby allowing resources to be used more effectively in the analysis and resolution of</w:t>
      </w:r>
      <w:r>
        <w:t xml:space="preserve"> </w:t>
      </w:r>
      <w:r>
        <w:t xml:space="preserve">disputes. While the proposed changes under the DRM could potentially lead to a greater number of</w:t>
      </w:r>
      <w:r>
        <w:t xml:space="preserve"> </w:t>
      </w:r>
      <w:r>
        <w:t xml:space="preserve">disputes being brought under the DRM, this would likely occur at the expense of disputes currently</w:t>
      </w:r>
      <w:r>
        <w:t xml:space="preserve"> </w:t>
      </w:r>
      <w:r>
        <w:t xml:space="preserve">pursued under other legal frameworks, such as Article 25 OECD Model MAPs or the Arbitration</w:t>
      </w:r>
      <w:r>
        <w:t xml:space="preserve"> </w:t>
      </w:r>
      <w:r>
        <w:t xml:space="preserve">Convention. As a result, the overall number of disputes handled by tax authorities and the related</w:t>
      </w:r>
      <w:r>
        <w:t xml:space="preserve"> </w:t>
      </w:r>
      <w:r>
        <w:t xml:space="preserve">workload would likely remain broadly unchanged</w:t>
      </w:r>
      <w:r>
        <w:t xml:space="preserve"> </w:t>
      </w:r>
      <w:r>
        <w:t xml:space="preserve">Meanwhile, all proposed measures under the TMD and DRM would retain high tax standards as</w:t>
      </w:r>
      <w:r>
        <w:t xml:space="preserve"> </w:t>
      </w:r>
      <w:r>
        <w:t xml:space="preserve">they do not entail an undermining or lowering of standards in any way. When it comes to imported</w:t>
      </w:r>
      <w:r>
        <w:t xml:space="preserve"> </w:t>
      </w:r>
      <w:r>
        <w:t xml:space="preserve">mismatches, as previously explained, the information to identify and assess relevant tax schemes in</w:t>
      </w:r>
      <w:r>
        <w:t xml:space="preserve"> </w:t>
      </w:r>
      <w:r>
        <w:t xml:space="preserve">third country jurisdictions is not available or easily identifiable/checked. Anecdotal evidence from</w:t>
      </w:r>
      <w:r>
        <w:t xml:space="preserve"> </w:t>
      </w:r>
      <w:r>
        <w:t xml:space="preserve">several EU Member States confirms that these rules are thus rarely, if ever, applied in practice.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General remarks on the limits assessing the impact of the Omnibus on tax</w:t>
      </w:r>
      <w:r>
        <w:t xml:space="preserve"> </w:t>
      </w:r>
      <w:r>
        <w:t xml:space="preserve">administrations</w:t>
      </w:r>
      <w:r>
        <w:br/>
      </w:r>
      <w:r>
        <w:t xml:space="preserve">The proposed measures will often times simplify administrative procedures also for tax</w:t>
      </w:r>
      <w:r>
        <w:t xml:space="preserve"> </w:t>
      </w:r>
      <w:r>
        <w:t xml:space="preserve">administrations, partly through exempting companies from having to comply with certain rules. For</w:t>
      </w:r>
      <w:r>
        <w:t xml:space="preserve"> </w:t>
      </w:r>
      <w:r>
        <w:t xml:space="preserve">example, by exempting SMEs from the Controlled Foreign Company (CFC) rules and the Interest</w:t>
      </w:r>
      <w:r>
        <w:t xml:space="preserve"> </w:t>
      </w:r>
      <w:r>
        <w:t xml:space="preserve">Limitation Rule, tax administrations will no longer need to allocate resources to monitor, assess,</w:t>
      </w:r>
      <w:r>
        <w:t xml:space="preserve"> </w:t>
      </w:r>
      <w:r>
        <w:t xml:space="preserve">and enforce compliance for a large segment of smaller businesses. This will streamline risk</w:t>
      </w:r>
      <w:r>
        <w:t xml:space="preserve"> </w:t>
      </w:r>
      <w:r>
        <w:t xml:space="preserve">assessment procedures, reduce the volume of required documentation (e.g., CFC reporting and</w:t>
      </w:r>
      <w:r>
        <w:t xml:space="preserve"> </w:t>
      </w:r>
      <w:r>
        <w:t xml:space="preserve">interest deduction calculations), and free up capacity for tax authorities to focus on higher-risk</w:t>
      </w:r>
      <w:r>
        <w:t xml:space="preserve"> </w:t>
      </w:r>
      <w:r>
        <w:t xml:space="preserve">cases, such as large multinationals and aggressive tax planning structures. Additionally,</w:t>
      </w:r>
      <w:r>
        <w:t xml:space="preserve"> </w:t>
      </w:r>
      <w:r>
        <w:t xml:space="preserve">standardised thresholds and clearer definitions will minimise disputes and requests for advance</w:t>
      </w:r>
      <w:r>
        <w:t xml:space="preserve"> </w:t>
      </w:r>
      <w:r>
        <w:t xml:space="preserve">rulings, further cutting down on administrative workload.</w:t>
      </w:r>
      <w:r>
        <w:br/>
      </w:r>
      <w:r>
        <w:t xml:space="preserve">However, the administrative savings resulting from such efficiency gains for tax authorities are</w:t>
      </w:r>
      <w:r>
        <w:t xml:space="preserve"> </w:t>
      </w:r>
      <w:r>
        <w:t xml:space="preserve">impossible to quantify. This is not only because the current burden varies significantly between</w:t>
      </w:r>
      <w:r>
        <w:t xml:space="preserve"> </w:t>
      </w:r>
      <w:r>
        <w:t xml:space="preserve">Member States due to differing enforcement practices, but also because indirect efficiency gains</w:t>
      </w:r>
      <w:r>
        <w:t xml:space="preserve"> </w:t>
      </w:r>
      <w:r>
        <w:t xml:space="preserve">(e.g., faster case processing, reduced litigation, or reallocated staff resources) cannot be measured</w:t>
      </w:r>
    </w:p>
    <w:p>
      <w:pPr>
        <w:pStyle w:val="BodyText"/>
      </w:pPr>
      <w:r>
        <w:t xml:space="preserve">in monetary terms without precise information about the individual cost structures of tax</w:t>
      </w:r>
      <w:r>
        <w:t xml:space="preserve"> </w:t>
      </w:r>
      <w:r>
        <w:t xml:space="preserve">administrations particularly in the context of ATAD-rules. A recent study on the impact of the</w:t>
      </w:r>
      <w:r>
        <w:t xml:space="preserve"> </w:t>
      </w:r>
      <w:r>
        <w:t xml:space="preserve">ATAD rules has consulted Member State administrations especially on the tax-administrative</w:t>
      </w:r>
      <w:r>
        <w:t xml:space="preserve"> </w:t>
      </w:r>
      <w:r>
        <w:t xml:space="preserve">costs.113 Despite detailed questions and engagement with tax administrations as part of the</w:t>
      </w:r>
      <w:r>
        <w:t xml:space="preserve"> </w:t>
      </w:r>
      <w:r>
        <w:t xml:space="preserve">methodological approach, the study could not provide detailed, broken-down quantitative</w:t>
      </w:r>
      <w:r>
        <w:t xml:space="preserve"> </w:t>
      </w:r>
      <w:r>
        <w:t xml:space="preserve">information about the recurrent costs these rules impose on tax administrations. This is because tax</w:t>
      </w:r>
      <w:r>
        <w:t xml:space="preserve"> </w:t>
      </w:r>
      <w:r>
        <w:t xml:space="preserve">administrations themselves cannot separate costs by provision or even Directive, given that these</w:t>
      </w:r>
      <w:r>
        <w:t xml:space="preserve"> </w:t>
      </w:r>
      <w:r>
        <w:t xml:space="preserve">rules have been incorporated in national legislation and are not treated separately (from for overall</w:t>
      </w:r>
      <w:r>
        <w:t xml:space="preserve"> </w:t>
      </w:r>
      <w:r>
        <w:t xml:space="preserve">CIT implementation and enforcement costs) by tax inspectors or administrators.</w:t>
      </w:r>
      <w:r>
        <w:br/>
      </w:r>
      <w:r>
        <w:t xml:space="preserve">The study, however, found that ATAD related costs appear proportionate to the number of</w:t>
      </w:r>
      <w:r>
        <w:t xml:space="preserve"> </w:t>
      </w:r>
      <w:r>
        <w:t xml:space="preserve">corporations that must comply with them. Clarifying the application of the rules, or carving out</w:t>
      </w:r>
      <w:r>
        <w:t xml:space="preserve"> </w:t>
      </w:r>
      <w:r>
        <w:t xml:space="preserve">certain companies from specific rules, as some omnibus measures would seek to do, would imply</w:t>
      </w:r>
      <w:r>
        <w:t xml:space="preserve"> </w:t>
      </w:r>
      <w:r>
        <w:t xml:space="preserve">that the cost for audits and controls could decline. For example, the analysis of Section 6.2.4.4</w:t>
      </w:r>
      <w:r>
        <w:t xml:space="preserve"> </w:t>
      </w:r>
      <w:r>
        <w:t xml:space="preserve">estimates that 8.5% of MNE groups present in the EU may no longer have to deal with Interest</w:t>
      </w:r>
      <w:r>
        <w:t xml:space="preserve"> </w:t>
      </w:r>
      <w:r>
        <w:t xml:space="preserve">Limitation Rules as low-risk loans would be carved out from these rules. This alone could affect an</w:t>
      </w:r>
      <w:r>
        <w:t xml:space="preserve"> </w:t>
      </w:r>
      <w:r>
        <w:t xml:space="preserve">estimated 13,000 – mostly complex – MNE groups. While Carve-outs assessed under Sections</w:t>
      </w:r>
      <w:r>
        <w:t xml:space="preserve"> </w:t>
      </w:r>
      <w:r>
        <w:t xml:space="preserve">6.2.4.1, 6.2.2.2 or 6.2.2.4 would also bring potential streamlining and lower administrative burdens</w:t>
      </w:r>
      <w:r>
        <w:t xml:space="preserve"> </w:t>
      </w:r>
      <w:r>
        <w:t xml:space="preserve">for tax authorities. However, given the data limitations described, point estimates of potential cost</w:t>
      </w:r>
      <w:r>
        <w:t xml:space="preserve"> </w:t>
      </w:r>
      <w:r>
        <w:t xml:space="preserve">savings for tax administrations cannot be provided. This contrasts with the ability to analyse the</w:t>
      </w:r>
      <w:r>
        <w:t xml:space="preserve"> </w:t>
      </w:r>
      <w:r>
        <w:t xml:space="preserve">reduction in compliance costs for businesses, as these can be estimated using publicly available</w:t>
      </w:r>
      <w:r>
        <w:t xml:space="preserve"> </w:t>
      </w:r>
      <w:r>
        <w:t xml:space="preserve">company level information and, not least, because Orbis provides a large database of detailed and</w:t>
      </w:r>
      <w:r>
        <w:t xml:space="preserve"> </w:t>
      </w:r>
      <w:r>
        <w:t xml:space="preserve">relevant accounting information at firm level.</w:t>
      </w:r>
      <w:r>
        <w:t xml:space="preserve"> </w:t>
      </w:r>
      <w:r>
        <w:t xml:space="preserve">6.4.</w:t>
      </w:r>
      <w:r>
        <w:t xml:space="preserve"> </w:t>
      </w:r>
      <w:r>
        <w:t xml:space="preserve">Environmental impacts</w:t>
      </w:r>
      <w:r>
        <w:br/>
      </w:r>
      <w:r>
        <w:t xml:space="preserve">No particular and direct environmental impact is expected. The initiative is a horizontal</w:t>
      </w:r>
      <w:r>
        <w:t xml:space="preserve"> </w:t>
      </w:r>
      <w:r>
        <w:t xml:space="preserve">simplification measure in the field of direct taxation, aimed at streamlining, clarifying and updating</w:t>
      </w:r>
      <w:r>
        <w:t xml:space="preserve"> </w:t>
      </w:r>
      <w:r>
        <w:t xml:space="preserve">the existing corporate tax framework. Any environmental effects are therefore likely to be indirect</w:t>
      </w:r>
      <w:r>
        <w:t xml:space="preserve"> </w:t>
      </w:r>
      <w:r>
        <w:t xml:space="preserve">and limited. To the extent that the simplifications free up resources, some businesses may choose to</w:t>
      </w:r>
      <w:r>
        <w:t xml:space="preserve"> </w:t>
      </w:r>
      <w:r>
        <w:t xml:space="preserve">allocate part of those resources to more environmentally sustainable investments. However, such</w:t>
      </w:r>
      <w:r>
        <w:t xml:space="preserve"> </w:t>
      </w:r>
      <w:r>
        <w:t xml:space="preserve">effects would be contingent on subsequent business decisions and cannot be robustly quantified or</w:t>
      </w:r>
      <w:r>
        <w:t xml:space="preserve"> </w:t>
      </w:r>
      <w:r>
        <w:t xml:space="preserve">directly attributed to the initiative.</w:t>
      </w:r>
      <w:r>
        <w:br/>
      </w:r>
      <w:r>
        <w:t xml:space="preserve">6.5.</w:t>
      </w:r>
      <w:r>
        <w:t xml:space="preserve"> </w:t>
      </w:r>
      <w:r>
        <w:t xml:space="preserve">Social impacts</w:t>
      </w:r>
      <w:r>
        <w:br/>
      </w:r>
      <w:r>
        <w:t xml:space="preserve">Regarding employment and social impacts, the policy options are not expected to produce any</w:t>
      </w:r>
      <w:r>
        <w:t xml:space="preserve"> </w:t>
      </w:r>
      <w:r>
        <w:t xml:space="preserve">material direct social impacts, as it does not concern any labour, social or other directly related</w:t>
      </w:r>
      <w:r>
        <w:t xml:space="preserve"> </w:t>
      </w:r>
      <w:r>
        <w:t xml:space="preserve">rights. Yet, the tax compliance cost savings could be used in productive activities. For instance,</w:t>
      </w:r>
      <w:r>
        <w:t xml:space="preserve"> </w:t>
      </w:r>
      <w:r>
        <w:t xml:space="preserve">businesses could hire or train staff or increase salaries. In such cases, the impact could be positive.</w:t>
      </w:r>
      <w:r>
        <w:t xml:space="preserve"> </w:t>
      </w:r>
      <w:r>
        <w:t xml:space="preserve">Nonetheless, the freed-up funding could also be used for other business purposes or distributed to</w:t>
      </w:r>
      <w:r>
        <w:t xml:space="preserve"> </w:t>
      </w:r>
      <w:r>
        <w:t xml:space="preserve">shareholders. Accordingly, business-level decisions will determine to what extent such effects</w:t>
      </w:r>
      <w:r>
        <w:t xml:space="preserve"> </w:t>
      </w:r>
      <w:r>
        <w:t xml:space="preserve">materialise.</w:t>
      </w:r>
    </w:p>
    <w:p>
      <w:pPr>
        <w:pStyle w:val="BodyText"/>
      </w:pPr>
      <w:r>
        <w:t xml:space="preserve">113 Study prepared for the European Commission to support an evaluation of the Anti-tax Avoidance Directive (ATAD)</w:t>
      </w:r>
      <w:r>
        <w:t xml:space="preserve"> </w:t>
      </w:r>
      <w:r>
        <w:t xml:space="preserve">- Final Report (2025). Here: Volume 2, p. 35.</w:t>
      </w:r>
    </w:p>
    <w:p>
      <w:pPr>
        <w:pStyle w:val="BodyText"/>
      </w:pPr>
      <w:r>
        <w:t xml:space="preserve">6.6.</w:t>
      </w:r>
      <w:r>
        <w:t xml:space="preserve"> </w:t>
      </w:r>
      <w:r>
        <w:t xml:space="preserve">Impact on fundamental rights</w:t>
      </w:r>
      <w:r>
        <w:br/>
      </w:r>
      <w:r>
        <w:t xml:space="preserve">The initiative was also examined as regards its potential impact on fundamental rights, in particular</w:t>
      </w:r>
      <w:r>
        <w:t xml:space="preserve"> </w:t>
      </w:r>
      <w:r>
        <w:t xml:space="preserve">the Charter of Fundamental Rights of the EU. No significant impact is expected. By reducing</w:t>
      </w:r>
      <w:r>
        <w:t xml:space="preserve"> </w:t>
      </w:r>
      <w:r>
        <w:t xml:space="preserve">fragmentation and unnecessary compliance requirements, improving predictability and facilitating</w:t>
      </w:r>
      <w:r>
        <w:t xml:space="preserve"> </w:t>
      </w:r>
      <w:r>
        <w:t xml:space="preserve">cross-border business activity within the internal market, it may have a limited positive bearing on</w:t>
      </w:r>
      <w:r>
        <w:t xml:space="preserve"> </w:t>
      </w:r>
      <w:r>
        <w:t xml:space="preserve">the freedom to conduct a business and the effective exercise of the right of establishment. Such</w:t>
      </w:r>
      <w:r>
        <w:t xml:space="preserve"> </w:t>
      </w:r>
      <w:r>
        <w:t xml:space="preserve">potential impacts cannot be interpreted as meaning that the problems outlined in Chapter 2 lead to</w:t>
      </w:r>
      <w:r>
        <w:t xml:space="preserve"> </w:t>
      </w:r>
      <w:r>
        <w:t xml:space="preserve">any discrimination or unjustified restrictions.</w:t>
      </w:r>
      <w:r>
        <w:br/>
      </w:r>
      <w:r>
        <w:t xml:space="preserve">Finally, where the implementation of the initiative entails the processing of personal data, such</w:t>
      </w:r>
      <w:r>
        <w:t xml:space="preserve"> </w:t>
      </w:r>
      <w:r>
        <w:t xml:space="preserve">processing would have to comply fully with the applicable Union framework on data protection.</w:t>
      </w:r>
      <w:r>
        <w:t xml:space="preserve"> </w:t>
      </w:r>
      <w:r>
        <w:t xml:space="preserve">The initiative is therefore considered to be compatible with the Charter.</w:t>
      </w:r>
    </w:p>
    <w:p>
      <w:pPr>
        <w:pStyle w:val="Compact"/>
        <w:numPr>
          <w:ilvl w:val="0"/>
          <w:numId w:val="1003"/>
        </w:numPr>
      </w:pPr>
      <w:r>
        <w:t xml:space="preserve">HOW DO THE OPTIONS COMPARE?</w:t>
      </w:r>
      <w:r>
        <w:t xml:space="preserve"> </w:t>
      </w:r>
      <w:r>
        <w:t xml:space="preserve">The initiative has two general objectives: to simplify EU tax rules in order to boost EU</w:t>
      </w:r>
      <w:r>
        <w:t xml:space="preserve"> </w:t>
      </w:r>
      <w:r>
        <w:t xml:space="preserve">competitiveness, while maintaining high tax standards in the EU (Chapter 4). These are to be</w:t>
      </w:r>
      <w:r>
        <w:t xml:space="preserve"> </w:t>
      </w:r>
      <w:r>
        <w:t xml:space="preserve">achieved through four specific objectives: eliminating disproportionate EU tax compliance burdens,</w:t>
      </w:r>
      <w:r>
        <w:t xml:space="preserve"> </w:t>
      </w:r>
      <w:r>
        <w:t xml:space="preserve">introducing clear and predictable EU tax rules and terms, improving consistency in the application</w:t>
      </w:r>
      <w:r>
        <w:t xml:space="preserve"> </w:t>
      </w:r>
      <w:r>
        <w:t xml:space="preserve">of EU tax directives, reducing remaining tax obstacles to cross-border investment and commercial</w:t>
      </w:r>
      <w:r>
        <w:t xml:space="preserve"> </w:t>
      </w:r>
      <w:r>
        <w:t xml:space="preserve">activity (Chapter 4).</w:t>
      </w:r>
      <w:r>
        <w:br/>
      </w:r>
      <w:r>
        <w:t xml:space="preserve">To achieve these objectives, the Omnibus on Taxation will amend up to seven Directives through a</w:t>
      </w:r>
      <w:r>
        <w:t xml:space="preserve"> </w:t>
      </w:r>
      <w:r>
        <w:t xml:space="preserve">wide array of policy options. Due to the large number of measures under consideration, and as not</w:t>
      </w:r>
      <w:r>
        <w:t xml:space="preserve"> </w:t>
      </w:r>
      <w:r>
        <w:t xml:space="preserve">every single option can be assessed individually, it is necessary to assess different combinations.</w:t>
      </w:r>
      <w:r>
        <w:t xml:space="preserve"> </w:t>
      </w:r>
      <w:r>
        <w:t xml:space="preserve">This allows a comparison between, on one hand, the different policy options for the main</w:t>
      </w:r>
      <w:r>
        <w:t xml:space="preserve"> </w:t>
      </w:r>
      <w:r>
        <w:t xml:space="preserve">interventions of this initiative (i.e. in relation to the taxation of cross-border payments and the</w:t>
      </w:r>
      <w:r>
        <w:t xml:space="preserve"> </w:t>
      </w:r>
      <w:r>
        <w:t xml:space="preserve">taxation of controlled foreign companies), and, on the other hand, the remaining policy options as</w:t>
      </w:r>
      <w:r>
        <w:t xml:space="preserve"> </w:t>
      </w:r>
      <w:r>
        <w:t xml:space="preserve">opposed to retaining the status quo.</w:t>
      </w:r>
      <w:r>
        <w:br/>
      </w:r>
      <w:r>
        <w:t xml:space="preserve">Accordingly, this report compares three potential approaches for the Omnibus on Taxation proposal</w:t>
      </w:r>
      <w:r>
        <w:t xml:space="preserve"> </w:t>
      </w:r>
      <w:r>
        <w:t xml:space="preserve">depending on different levels of ambition: (1) The Comprehensive Omnibus on Taxation</w:t>
      </w:r>
      <w:r>
        <w:t xml:space="preserve"> </w:t>
      </w:r>
      <w:r>
        <w:t xml:space="preserve">compiles the most impactful simplifications for all envisaged measures which have alternative</w:t>
      </w:r>
      <w:r>
        <w:t xml:space="preserve"> </w:t>
      </w:r>
      <w:r>
        <w:t xml:space="preserve">options, e.g., for the withholding tax relief under IRD and PSD, the overlap between CFC rules and</w:t>
      </w:r>
      <w:r>
        <w:t xml:space="preserve"> </w:t>
      </w:r>
      <w:r>
        <w:t xml:space="preserve">Piller 2, and the update of the TMD. Further, to keep the ambition high, it also entails all other</w:t>
      </w:r>
      <w:r>
        <w:t xml:space="preserve"> </w:t>
      </w:r>
      <w:r>
        <w:t xml:space="preserve">simplifications where the only real choice is between a change or keeping the status quo, such as</w:t>
      </w:r>
      <w:r>
        <w:t xml:space="preserve"> </w:t>
      </w:r>
      <w:r>
        <w:t xml:space="preserve">for R&amp;D expensing and the Interest Limitation Rule. This version will thus assess the most</w:t>
      </w:r>
      <w:r>
        <w:t xml:space="preserve"> </w:t>
      </w:r>
      <w:r>
        <w:t xml:space="preserve">extensive potential for simplification. (2) The Medium Ambition Omnibus on Taxation</w:t>
      </w:r>
      <w:r>
        <w:t xml:space="preserve"> </w:t>
      </w:r>
      <w:r>
        <w:t xml:space="preserve">distinguishes itself from the comprehensive approach by offering the least impactful simplifications</w:t>
      </w:r>
      <w:r>
        <w:t xml:space="preserve"> </w:t>
      </w:r>
      <w:r>
        <w:t xml:space="preserve">for measures which have alternative options. To keep the ambition to a moderate level, it also</w:t>
      </w:r>
      <w:r>
        <w:t xml:space="preserve"> </w:t>
      </w:r>
      <w:r>
        <w:t xml:space="preserve">entails all other simplifications where the choice is between a policy change or keeping the status</w:t>
      </w:r>
      <w:r>
        <w:t xml:space="preserve"> </w:t>
      </w:r>
      <w:r>
        <w:t xml:space="preserve">quo, though leaving out the introduction of a new measure related to R&amp;D expensing. (3) The</w:t>
      </w:r>
      <w:r>
        <w:t xml:space="preserve"> </w:t>
      </w:r>
      <w:r>
        <w:t xml:space="preserve">Limited Ambition Omnibus on Taxation entails a far more limited number of measures, but that</w:t>
      </w:r>
      <w:r>
        <w:t xml:space="preserve"> </w:t>
      </w:r>
      <w:r>
        <w:t xml:space="preserve">nonetheless deliver on the overall simplification objectives of the omnibus. This option, therefore,</w:t>
      </w:r>
      <w:r>
        <w:t xml:space="preserve"> </w:t>
      </w:r>
      <w:r>
        <w:t xml:space="preserve">includes measures such as reducing implementation options for the Interest Limitation Rule in</w:t>
      </w:r>
      <w:r>
        <w:t xml:space="preserve"> </w:t>
      </w:r>
      <w:r>
        <w:t xml:space="preserve">ATAD and ensuring updates to the TMD and DRM, that are most likely to deliver quick results but</w:t>
      </w:r>
      <w:r>
        <w:t xml:space="preserve"> </w:t>
      </w:r>
      <w:r>
        <w:t xml:space="preserve">requiring a more minimal effort.</w:t>
      </w:r>
    </w:p>
    <w:p>
      <w:pPr>
        <w:pStyle w:val="FirstParagraph"/>
      </w:pPr>
      <w:r>
        <w:t xml:space="preserve">The tables below show a scale that indicates to what extent each of the approaches contributes to</w:t>
      </w:r>
      <w:r>
        <w:t xml:space="preserve"> </w:t>
      </w:r>
      <w:r>
        <w:t xml:space="preserve">achieving the specific objectives, considering the different impacts of the policy options, which are</w:t>
      </w:r>
      <w:r>
        <w:t xml:space="preserve"> </w:t>
      </w:r>
      <w:r>
        <w:t xml:space="preserve">discussed in Chapter 6. The scale is based on the following four steps: (0) irrelevant/no change, (+)</w:t>
      </w:r>
      <w:r>
        <w:t xml:space="preserve"> </w:t>
      </w:r>
      <w:r>
        <w:t xml:space="preserve">limited contribution, (++) partial contribution, and (+++) substantial contribution. In addition, it</w:t>
      </w:r>
      <w:r>
        <w:t xml:space="preserve"> </w:t>
      </w:r>
      <w:r>
        <w:t xml:space="preserve">will be considered to what extent the three approaches effectively deliver on the envisaged</w:t>
      </w:r>
      <w:r>
        <w:t xml:space="preserve"> </w:t>
      </w:r>
      <w:r>
        <w:t xml:space="preserve">objectives, efficiently achieve the envisaged objectives at the lowest reasonable cost, and to what</w:t>
      </w:r>
      <w:r>
        <w:t xml:space="preserve"> </w:t>
      </w:r>
      <w:r>
        <w:t xml:space="preserve">extent the approaches are coherent with the Tax Omnibus itself (internal coherence) and with other</w:t>
      </w:r>
      <w:r>
        <w:t xml:space="preserve"> </w:t>
      </w:r>
      <w:r>
        <w:t xml:space="preserve">EU legislation, international obligations, and broader EU policy goals (external coherence).</w:t>
      </w:r>
      <w:r>
        <w:t xml:space="preserve"> </w:t>
      </w:r>
      <w:r>
        <w:t xml:space="preserve">7.1. Comprehensive Omnibus on Taxation</w:t>
      </w:r>
      <w:r>
        <w:t xml:space="preserve"> </w:t>
      </w:r>
      <w:r>
        <w:t xml:space="preserve">Policy option(s)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Taxation of cross-border</w:t>
      </w:r>
      <w:r>
        <w:t xml:space="preserve"> </w:t>
      </w:r>
      <w:r>
        <w:t xml:space="preserve">interest, royalty and dividend</w:t>
      </w:r>
      <w:r>
        <w:t xml:space="preserve"> </w:t>
      </w:r>
      <w:r>
        <w:t xml:space="preserve">payments</w:t>
      </w:r>
      <w:r>
        <w:t xml:space="preserve"> </w:t>
      </w:r>
      <w:r>
        <w:t xml:space="preserve">Eliminate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EU tax</w:t>
      </w:r>
      <w:r>
        <w:t xml:space="preserve"> </w:t>
      </w:r>
      <w:r>
        <w:t xml:space="preserve">compliance</w:t>
      </w:r>
      <w:r>
        <w:t xml:space="preserve"> </w:t>
      </w:r>
      <w:r>
        <w:t xml:space="preserve">burdens</w:t>
      </w:r>
      <w:r>
        <w:t xml:space="preserve"> </w:t>
      </w:r>
      <w:r>
        <w:t xml:space="preserve">Introduce</w:t>
      </w:r>
      <w:r>
        <w:t xml:space="preserve"> </w:t>
      </w:r>
      <w:r>
        <w:t xml:space="preserve">clear 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EU tax rules</w:t>
      </w:r>
      <w:r>
        <w:t xml:space="preserve"> </w:t>
      </w:r>
      <w:r>
        <w:t xml:space="preserve">and terms</w:t>
      </w:r>
      <w:r>
        <w:t xml:space="preserve"> </w:t>
      </w:r>
      <w:r>
        <w:t xml:space="preserve">Improve</w:t>
      </w:r>
      <w:r>
        <w:t xml:space="preserve"> </w:t>
      </w:r>
      <w:r>
        <w:t xml:space="preserve">consistency in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EU tax</w:t>
      </w:r>
      <w:r>
        <w:t xml:space="preserve"> </w:t>
      </w:r>
      <w:r>
        <w:t xml:space="preserve">directives</w:t>
      </w:r>
      <w:r>
        <w:t xml:space="preserve"> </w:t>
      </w:r>
      <w:r>
        <w:t xml:space="preserve">Reduce remaining tax</w:t>
      </w:r>
      <w:r>
        <w:t xml:space="preserve"> </w:t>
      </w:r>
      <w:r>
        <w:t xml:space="preserve">obstacles to cross-</w:t>
      </w:r>
      <w:r>
        <w:t xml:space="preserve"> </w:t>
      </w:r>
      <w:r>
        <w:t xml:space="preserve">border investment</w:t>
      </w:r>
      <w:r>
        <w:t xml:space="preserve"> </w:t>
      </w:r>
      <w:r>
        <w:t xml:space="preserve">and commercial</w:t>
      </w:r>
      <w:r>
        <w:t xml:space="preserve"> </w:t>
      </w:r>
      <w:r>
        <w:t xml:space="preserve">activity</w:t>
      </w:r>
      <w:r>
        <w:t xml:space="preserve"> </w:t>
      </w:r>
      <w:r>
        <w:t xml:space="preserve">Option 1A: Tax exemption</w:t>
      </w:r>
      <w:r>
        <w:t xml:space="preserve"> </w:t>
      </w:r>
      <w:r>
        <w:t xml:space="preserve">accompanied by procedural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Taxation of CFCs</w:t>
      </w:r>
    </w:p>
    <w:p>
      <w:pPr>
        <w:pStyle w:val="BodyText"/>
      </w:pPr>
      <w:r>
        <w:t xml:space="preserve">Option 1: Mandatory</w:t>
      </w:r>
      <w:r>
        <w:t xml:space="preserve"> </w:t>
      </w:r>
      <w:r>
        <w:t xml:space="preserve">application of Model 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2A: Carveout of Pillar 2</w:t>
      </w:r>
      <w:r>
        <w:t xml:space="preserve"> </w:t>
      </w:r>
      <w:r>
        <w:t xml:space="preserve">companies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3: Carveout of SMEs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(R&amp;D)</w:t>
      </w:r>
    </w:p>
    <w:p>
      <w:pPr>
        <w:pStyle w:val="BodyText"/>
      </w:pPr>
      <w:r>
        <w:t xml:space="preserve">Option 1: Immediate expensing</w:t>
      </w:r>
      <w:r>
        <w:t xml:space="preserve"> </w:t>
      </w:r>
      <w:r>
        <w:t xml:space="preserve">for acquired tangible R&amp;D</w:t>
      </w:r>
      <w:r>
        <w:t xml:space="preserve"> </w:t>
      </w:r>
      <w:r>
        <w:t xml:space="preserve">assets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Interest Limitation Rule</w:t>
      </w:r>
    </w:p>
    <w:p>
      <w:pPr>
        <w:pStyle w:val="BodyText"/>
      </w:pPr>
      <w:r>
        <w:t xml:space="preserve">Option 1: Carveout of SMEs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2: Mandatory</w:t>
      </w:r>
      <w:r>
        <w:t xml:space="preserve"> </w:t>
      </w:r>
      <w:r>
        <w:t xml:space="preserve">application of 30% EBITDA</w:t>
      </w:r>
      <w:r>
        <w:t xml:space="preserve"> </w:t>
      </w:r>
      <w:r>
        <w:t xml:space="preserve">cap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3: Reduce</w:t>
      </w:r>
      <w:r>
        <w:t xml:space="preserve"> </w:t>
      </w:r>
      <w:r>
        <w:t xml:space="preserve">implementation options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Option 4: Carveout of low-risk</w:t>
      </w:r>
      <w:r>
        <w:t xml:space="preserve"> </w:t>
      </w:r>
      <w:r>
        <w:t xml:space="preserve">third-party loans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Option 5: Exemption in case of</w:t>
      </w:r>
      <w:r>
        <w:t xml:space="preserve"> </w:t>
      </w:r>
      <w:r>
        <w:t xml:space="preserve">profitability shock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Hybrid mismatches</w:t>
      </w:r>
    </w:p>
    <w:p>
      <w:pPr>
        <w:pStyle w:val="BodyText"/>
      </w:pPr>
      <w:r>
        <w:t xml:space="preserve">Option 1A: Abolish imported</w:t>
      </w:r>
      <w:r>
        <w:t xml:space="preserve"> </w:t>
      </w:r>
      <w:r>
        <w:t xml:space="preserve">mismatch rules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Tax mergers</w:t>
      </w:r>
    </w:p>
    <w:p>
      <w:pPr>
        <w:pStyle w:val="BodyText"/>
      </w:pPr>
      <w:r>
        <w:t xml:space="preserve">Option 1B: Addition of new</w:t>
      </w:r>
      <w:r>
        <w:t xml:space="preserve"> </w:t>
      </w:r>
      <w:r>
        <w:t xml:space="preserve">restructuring transactions to</w:t>
      </w:r>
      <w:r>
        <w:t xml:space="preserve"> </w:t>
      </w:r>
      <w:r>
        <w:t xml:space="preserve">TMD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Dispute resolution mechanism</w:t>
      </w:r>
    </w:p>
    <w:p>
      <w:pPr>
        <w:pStyle w:val="BodyText"/>
      </w:pPr>
      <w:r>
        <w:t xml:space="preserve">Option 1: Clarify operative rules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2: Use of Council</w:t>
      </w:r>
      <w:r>
        <w:t xml:space="preserve"> </w:t>
      </w:r>
      <w:r>
        <w:t xml:space="preserve">implementing acts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Overall: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Effectiveness: The comprehensive approach addresses all identified problems by compiling an</w:t>
      </w:r>
      <w:r>
        <w:t xml:space="preserve"> </w:t>
      </w:r>
      <w:r>
        <w:t xml:space="preserve">Omnibus on Taxation which is ambitious and holistic in its simplification measures and thus</w:t>
      </w:r>
      <w:r>
        <w:t xml:space="preserve"> </w:t>
      </w:r>
      <w:r>
        <w:t xml:space="preserve">delivers on all envisaged specific objectives to the greatest extent possible. In this way, this</w:t>
      </w:r>
      <w:r>
        <w:t xml:space="preserve"> </w:t>
      </w:r>
      <w:r>
        <w:t xml:space="preserve">approach also accommodates various calls for simplification from the stakeholder consultations,</w:t>
      </w:r>
      <w:r>
        <w:t xml:space="preserve"> </w:t>
      </w:r>
      <w:r>
        <w:t xml:space="preserve">ranging from most frequent asks, which concentrated around the withholding tax relief under PSD</w:t>
      </w:r>
      <w:r>
        <w:t xml:space="preserve"> </w:t>
      </w:r>
      <w:r>
        <w:t xml:space="preserve">and IRD and the overlap between CFC rules and Pillar 2, to more moderate asks relating to the</w:t>
      </w:r>
      <w:r>
        <w:t xml:space="preserve"> </w:t>
      </w:r>
      <w:r>
        <w:t xml:space="preserve">TMD and the DRM. This approach is expected to have high-scale impacts as the aggregated cost</w:t>
      </w:r>
      <w:r>
        <w:t xml:space="preserve"> </w:t>
      </w:r>
      <w:r>
        <w:t xml:space="preserve">savings for EU businesses are roughly estimated to reduce compliance and financial costs by about</w:t>
      </w:r>
      <w:r>
        <w:t xml:space="preserve"> </w:t>
      </w:r>
      <w:r>
        <w:t xml:space="preserve">EUR 6-7 billion (EUR 6.6 billion)114, out of which recurrent costs related to cutting down on</w:t>
      </w:r>
      <w:r>
        <w:t xml:space="preserve"> </w:t>
      </w:r>
      <w:r>
        <w:t xml:space="preserve">administrative burden approximate to about EUR 2 billion per year.</w:t>
      </w:r>
      <w:r>
        <w:t xml:space="preserve"> </w:t>
      </w:r>
      <w:r>
        <w:t xml:space="preserve">Efficiency: As one of the specific objectives is to eliminate disproportionate compliance costs, it</w:t>
      </w:r>
      <w:r>
        <w:t xml:space="preserve"> </w:t>
      </w:r>
      <w:r>
        <w:t xml:space="preserve">has already been stated that the expected economic benefits of the comprehensive approach are</w:t>
      </w:r>
      <w:r>
        <w:t xml:space="preserve"> </w:t>
      </w:r>
      <w:r>
        <w:t xml:space="preserve">significant. By making some of the existing rules mandatory, e.g., for the CFC rules and the Interest</w:t>
      </w:r>
      <w:r>
        <w:t xml:space="preserve"> </w:t>
      </w:r>
      <w:r>
        <w:t xml:space="preserve">Limitation Rule, this approach would entail implementation costs for Member States that do not</w:t>
      </w:r>
      <w:r>
        <w:t xml:space="preserve"> </w:t>
      </w:r>
      <w:r>
        <w:t xml:space="preserve">already apply these options. Nonetheless, the enhanced uniformity in the rules would increase the</w:t>
      </w:r>
      <w:r>
        <w:t xml:space="preserve"> </w:t>
      </w:r>
      <w:r>
        <w:t xml:space="preserve">operational efficiency in the internal market. In general, the one-off costs linked to the transition of</w:t>
      </w:r>
      <w:r>
        <w:t xml:space="preserve"> </w:t>
      </w:r>
      <w:r>
        <w:t xml:space="preserve">the new rules would be relatively minor, as the comprehensive approach focuses on reducing</w:t>
      </w:r>
      <w:r>
        <w:t xml:space="preserve"> </w:t>
      </w:r>
      <w:r>
        <w:t xml:space="preserve">existing requirements, rather than introducing new ones and the carve-outs, e.g., related to the CFC</w:t>
      </w:r>
      <w:r>
        <w:t xml:space="preserve"> </w:t>
      </w:r>
      <w:r>
        <w:t xml:space="preserve">rules and the Interest Limitation rules would entail resource savings for tax administrations. On this</w:t>
      </w:r>
      <w:r>
        <w:t xml:space="preserve"> </w:t>
      </w:r>
      <w:r>
        <w:t xml:space="preserve">basis, the benefits of the comprehensive approach outweigh by far expected costs, and the</w:t>
      </w:r>
      <w:r>
        <w:t xml:space="preserve"> </w:t>
      </w:r>
      <w:r>
        <w:t xml:space="preserve">significant savings from this approach would be redirected towards investments in new projects,</w:t>
      </w:r>
      <w:r>
        <w:t xml:space="preserve"> </w:t>
      </w:r>
      <w:r>
        <w:t xml:space="preserve">expansion and innovation contributing to growth and boosting competitiveness.</w:t>
      </w:r>
      <w:r>
        <w:t xml:space="preserve"> </w:t>
      </w:r>
      <w:r>
        <w:t xml:space="preserve">Coherence: the comprehensive approach is coherent within the proposal itself as it offers the</w:t>
      </w:r>
      <w:r>
        <w:t xml:space="preserve"> </w:t>
      </w:r>
      <w:r>
        <w:t xml:space="preserve">broadest possible range of simplification measures across the existing EU tax framework, while</w:t>
      </w:r>
      <w:r>
        <w:t xml:space="preserve"> </w:t>
      </w:r>
      <w:r>
        <w:t xml:space="preserve">maintaining all the original objectives of the respective tax Directives in place. As a matter of fact,</w:t>
      </w:r>
      <w:r>
        <w:t xml:space="preserve"> </w:t>
      </w:r>
      <w:r>
        <w:t xml:space="preserve">it strengthens the Commission’s tax policy objectives by extending the progress already made</w:t>
      </w:r>
      <w:r>
        <w:t xml:space="preserve"> </w:t>
      </w:r>
      <w:r>
        <w:t xml:space="preserve">under the IRD, PSD, FASTER and TMD, while addressing the overlapping CFC and Pillar 2 rules</w:t>
      </w:r>
      <w:r>
        <w:t xml:space="preserve"> </w:t>
      </w:r>
      <w:r>
        <w:t xml:space="preserve">by introducing a common solution at EU level. It will also contribute to achieving other ongoing</w:t>
      </w:r>
      <w:r>
        <w:t xml:space="preserve"> </w:t>
      </w:r>
      <w:r>
        <w:t xml:space="preserve">Commission</w:t>
      </w:r>
      <w:r>
        <w:t xml:space="preserve"> </w:t>
      </w:r>
      <w:r>
        <w:t xml:space="preserve">priorities, such</w:t>
      </w:r>
      <w:r>
        <w:t xml:space="preserve"> </w:t>
      </w:r>
      <w:r>
        <w:t xml:space="preserve">as building</w:t>
      </w:r>
      <w:r>
        <w:t xml:space="preserve"> </w:t>
      </w:r>
      <w:r>
        <w:t xml:space="preserve">a</w:t>
      </w:r>
      <w:r>
        <w:t xml:space="preserve"> </w:t>
      </w:r>
      <w:r>
        <w:t xml:space="preserve">strong Savings</w:t>
      </w:r>
      <w:r>
        <w:t xml:space="preserve"> </w:t>
      </w:r>
      <w:r>
        <w:t xml:space="preserve">and</w:t>
      </w:r>
      <w:r>
        <w:t xml:space="preserve"> </w:t>
      </w:r>
      <w:r>
        <w:t xml:space="preserve">Investments</w:t>
      </w:r>
      <w:r>
        <w:t xml:space="preserve"> </w:t>
      </w:r>
      <w:r>
        <w:t xml:space="preserve">Union, encouraging cross-border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activity and business</w:t>
      </w:r>
      <w:r>
        <w:t xml:space="preserve"> </w:t>
      </w:r>
      <w:r>
        <w:t xml:space="preserve">expansion in</w:t>
      </w:r>
      <w:r>
        <w:t xml:space="preserve"> </w:t>
      </w:r>
      <w:r>
        <w:t xml:space="preserve">the</w:t>
      </w:r>
      <w:r>
        <w:t xml:space="preserve"> </w:t>
      </w:r>
      <w:r>
        <w:t xml:space="preserve">internal market, as well as facilitating business restructurings. The introduction of a new measure</w:t>
      </w:r>
      <w:r>
        <w:t xml:space="preserve"> </w:t>
      </w:r>
      <w:r>
        <w:t xml:space="preserve">for R&amp;D expensing in this approach is also in line with the Commission Recommendation on tax</w:t>
      </w:r>
      <w:r>
        <w:t xml:space="preserve"> </w:t>
      </w:r>
      <w:r>
        <w:t xml:space="preserve">incentives to support the Clean Industrial Deal and in light of the Clean Industrial Deal State Aid</w:t>
      </w:r>
      <w:r>
        <w:t xml:space="preserve"> </w:t>
      </w:r>
      <w:r>
        <w:t xml:space="preserve">Framework (115). Finally, it helps address security and defence challenges in the EU, particularly</w:t>
      </w:r>
      <w:r>
        <w:t xml:space="preserve"> </w:t>
      </w:r>
      <w:r>
        <w:t xml:space="preserve">by excluding defence projects from the scope of the Interest Limitation Rule.</w:t>
      </w:r>
      <w:r>
        <w:t xml:space="preserve"> </w:t>
      </w:r>
      <w:r>
        <w:t xml:space="preserve">In conclusion, this approach can be expected to deliver on all the specific objectives in a cost-</w:t>
      </w:r>
      <w:r>
        <w:t xml:space="preserve"> </w:t>
      </w:r>
      <w:r>
        <w:t xml:space="preserve">efficient way, and thereby significantly simplify tax rules across the EU to boost the</w:t>
      </w:r>
      <w:r>
        <w:t xml:space="preserve"> </w:t>
      </w:r>
      <w:r>
        <w:t xml:space="preserve">competitiveness of EU business and stimulate investment and economic activity in the EU.</w:t>
      </w:r>
      <w:r>
        <w:t xml:space="preserve"> </w:t>
      </w:r>
      <w:r>
        <w:t xml:space="preserve">Although the simplification measures are ambitious, they remain coherent with the existing EU</w:t>
      </w:r>
    </w:p>
    <w:p>
      <w:pPr>
        <w:pStyle w:val="BodyText"/>
      </w:pPr>
      <w:r>
        <w:t xml:space="preserve">114 Financial costs included in this number stem from the exemption of all payments of interest, royalties and dividends</w:t>
      </w:r>
      <w:r>
        <w:t xml:space="preserve"> </w:t>
      </w:r>
      <w:r>
        <w:t xml:space="preserve">from withholding tax (Option 1A): companies save EUR 4-5 billion as they would no longer forego tax reliefs and</w:t>
      </w:r>
      <w:r>
        <w:t xml:space="preserve"> </w:t>
      </w:r>
      <w:r>
        <w:t xml:space="preserve">would no longer bear opportunity costs due to delayed refund. See Section 6.2.1.1. and esp. Annex 4, Section 2.</w:t>
      </w:r>
      <w:r>
        <w:t xml:space="preserve"> </w:t>
      </w:r>
      <w:r>
        <w:t xml:space="preserve">115 Commission Recommendation of 2.7.2025 on tax incentives to support the Clean Industrial Deal and in light of the</w:t>
      </w:r>
      <w:r>
        <w:t xml:space="preserve"> </w:t>
      </w:r>
      <w:r>
        <w:t xml:space="preserve">Clean Industrial Deal State Aid Framework. C(2025) 4319 final.</w:t>
      </w:r>
    </w:p>
    <w:p>
      <w:pPr>
        <w:pStyle w:val="BodyText"/>
      </w:pPr>
      <w:r>
        <w:t xml:space="preserve">policies and international standards as they are accommodated by necessary safeguards, such as the</w:t>
      </w:r>
      <w:r>
        <w:t xml:space="preserve"> </w:t>
      </w:r>
      <w:r>
        <w:t xml:space="preserve">protective measure for the withholding tax relief under the IRD and PSD, thereby ensuring that the</w:t>
      </w:r>
      <w:r>
        <w:t xml:space="preserve"> </w:t>
      </w:r>
      <w:r>
        <w:t xml:space="preserve">current high tax standards in the EU are not compromised.</w:t>
      </w:r>
      <w:r>
        <w:br/>
      </w:r>
      <w:r>
        <w:t xml:space="preserve">7.2. Medium Ambition Omnibus on Taxation</w:t>
      </w:r>
      <w:r>
        <w:t xml:space="preserve"> </w:t>
      </w:r>
      <w:r>
        <w:t xml:space="preserve">Policy option(s)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Taxation of cross-</w:t>
      </w:r>
      <w:r>
        <w:t xml:space="preserve"> </w:t>
      </w:r>
      <w:r>
        <w:t xml:space="preserve">border interest, royalty</w:t>
      </w:r>
      <w:r>
        <w:t xml:space="preserve"> </w:t>
      </w:r>
      <w:r>
        <w:t xml:space="preserve">and dividend</w:t>
      </w:r>
      <w:r>
        <w:t xml:space="preserve"> </w:t>
      </w:r>
      <w:r>
        <w:t xml:space="preserve">payments</w:t>
      </w:r>
      <w:r>
        <w:t xml:space="preserve"> </w:t>
      </w:r>
      <w:r>
        <w:t xml:space="preserve">Eliminate</w:t>
      </w:r>
      <w:r>
        <w:t xml:space="preserve"> </w:t>
      </w:r>
      <w:r>
        <w:t xml:space="preserve">disproportionate EU tax</w:t>
      </w:r>
      <w:r>
        <w:t xml:space="preserve"> </w:t>
      </w:r>
      <w:r>
        <w:t xml:space="preserve">compliance burdens</w:t>
      </w:r>
      <w:r>
        <w:t xml:space="preserve"> </w:t>
      </w:r>
      <w:r>
        <w:t xml:space="preserve">Introduce clear</w:t>
      </w:r>
      <w:r>
        <w:t xml:space="preserve"> </w:t>
      </w:r>
      <w:r>
        <w:t xml:space="preserve">and predictable</w:t>
      </w:r>
      <w:r>
        <w:t xml:space="preserve"> </w:t>
      </w:r>
      <w:r>
        <w:t xml:space="preserve">EU tax rules and</w:t>
      </w:r>
      <w:r>
        <w:t xml:space="preserve"> </w:t>
      </w:r>
      <w:r>
        <w:t xml:space="preserve">terms</w:t>
      </w:r>
      <w:r>
        <w:t xml:space="preserve"> </w:t>
      </w:r>
      <w:r>
        <w:t xml:space="preserve">Improve</w:t>
      </w:r>
      <w:r>
        <w:t xml:space="preserve"> </w:t>
      </w:r>
      <w:r>
        <w:t xml:space="preserve">consistency</w:t>
      </w:r>
      <w:r>
        <w:t xml:space="preserve"> </w:t>
      </w:r>
      <w:r>
        <w:t xml:space="preserve">in 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 EU tax</w:t>
      </w:r>
      <w:r>
        <w:t xml:space="preserve"> </w:t>
      </w:r>
      <w:r>
        <w:t xml:space="preserve">directives</w:t>
      </w:r>
      <w:r>
        <w:t xml:space="preserve"> </w:t>
      </w:r>
      <w:r>
        <w:t xml:space="preserve">Reduce</w:t>
      </w:r>
      <w:r>
        <w:t xml:space="preserve"> </w:t>
      </w:r>
      <w:r>
        <w:t xml:space="preserve">remaining tax</w:t>
      </w:r>
      <w:r>
        <w:t xml:space="preserve"> </w:t>
      </w:r>
      <w:r>
        <w:t xml:space="preserve">obstacles 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activity</w:t>
      </w:r>
      <w:r>
        <w:t xml:space="preserve"> </w:t>
      </w:r>
      <w:r>
        <w:t xml:space="preserve">Option 1B: Alignment</w:t>
      </w:r>
      <w:r>
        <w:t xml:space="preserve"> </w:t>
      </w:r>
      <w:r>
        <w:t xml:space="preserve">of scope and</w:t>
      </w:r>
      <w:r>
        <w:t xml:space="preserve"> </w:t>
      </w:r>
      <w:r>
        <w:t xml:space="preserve">procedures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Taxation of CFCs</w:t>
      </w:r>
    </w:p>
    <w:p>
      <w:pPr>
        <w:pStyle w:val="BodyText"/>
      </w:pPr>
      <w:r>
        <w:t xml:space="preserve">Option 1: Mandatory</w:t>
      </w:r>
      <w:r>
        <w:t xml:space="preserve"> </w:t>
      </w:r>
      <w:r>
        <w:t xml:space="preserve">application of Model</w:t>
      </w:r>
      <w:r>
        <w:t xml:space="preserve"> </w:t>
      </w:r>
      <w:r>
        <w:t xml:space="preserve">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2B: Inclusion</w:t>
      </w:r>
      <w:r>
        <w:t xml:space="preserve"> </w:t>
      </w:r>
      <w:r>
        <w:t xml:space="preserve">of QDMTT in CFC</w:t>
      </w:r>
      <w:r>
        <w:t xml:space="preserve"> </w:t>
      </w:r>
      <w:r>
        <w:t xml:space="preserve">calculations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3: Carveout of</w:t>
      </w:r>
      <w:r>
        <w:t xml:space="preserve"> </w:t>
      </w:r>
      <w:r>
        <w:t xml:space="preserve">SMEs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Research and</w:t>
      </w:r>
      <w:r>
        <w:t xml:space="preserve"> </w:t>
      </w:r>
      <w:r>
        <w:t xml:space="preserve">development (R&amp;D)</w:t>
      </w:r>
    </w:p>
    <w:p>
      <w:pPr>
        <w:pStyle w:val="BodyText"/>
      </w:pPr>
      <w:r>
        <w:t xml:space="preserve">Option 1B: Keep</w:t>
      </w:r>
      <w:r>
        <w:t xml:space="preserve"> </w:t>
      </w:r>
      <w:r>
        <w:t xml:space="preserve">status quo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Interest Limitation</w:t>
      </w:r>
      <w:r>
        <w:t xml:space="preserve"> </w:t>
      </w:r>
      <w:r>
        <w:t xml:space="preserve">Rule</w:t>
      </w:r>
    </w:p>
    <w:p>
      <w:pPr>
        <w:pStyle w:val="BodyText"/>
      </w:pPr>
      <w:r>
        <w:t xml:space="preserve">Option 1: Carveout of</w:t>
      </w:r>
      <w:r>
        <w:t xml:space="preserve"> </w:t>
      </w:r>
      <w:r>
        <w:t xml:space="preserve">SMEs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2: Mandatory</w:t>
      </w:r>
      <w:r>
        <w:t xml:space="preserve"> </w:t>
      </w:r>
      <w:r>
        <w:t xml:space="preserve">application of 30%</w:t>
      </w:r>
      <w:r>
        <w:t xml:space="preserve"> </w:t>
      </w:r>
      <w:r>
        <w:t xml:space="preserve">EBITDA cap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3: Reduce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options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4: Carveout of</w:t>
      </w:r>
      <w:r>
        <w:t xml:space="preserve"> </w:t>
      </w:r>
      <w:r>
        <w:t xml:space="preserve">low-risk third-party</w:t>
      </w:r>
      <w:r>
        <w:t xml:space="preserve"> </w:t>
      </w:r>
      <w:r>
        <w:t xml:space="preserve">loans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Option 5: Exemption</w:t>
      </w:r>
      <w:r>
        <w:t xml:space="preserve"> </w:t>
      </w:r>
      <w:r>
        <w:t xml:space="preserve">in case of profitability</w:t>
      </w:r>
      <w:r>
        <w:t xml:space="preserve"> </w:t>
      </w:r>
      <w:r>
        <w:t xml:space="preserve">shock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Hybrid mismatches</w:t>
      </w:r>
    </w:p>
    <w:p>
      <w:pPr>
        <w:pStyle w:val="BodyText"/>
      </w:pPr>
      <w:r>
        <w:t xml:space="preserve">Option 1A: Abolish</w:t>
      </w:r>
      <w:r>
        <w:t xml:space="preserve"> </w:t>
      </w:r>
      <w:r>
        <w:t xml:space="preserve">imported mismatch</w:t>
      </w:r>
      <w:r>
        <w:t xml:space="preserve"> </w:t>
      </w:r>
      <w:r>
        <w:t xml:space="preserve">rules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Tax mergers</w:t>
      </w:r>
    </w:p>
    <w:p>
      <w:pPr>
        <w:pStyle w:val="BodyText"/>
      </w:pPr>
      <w:r>
        <w:t xml:space="preserve">Option 1A: Dynamic</w:t>
      </w:r>
      <w:r>
        <w:t xml:space="preserve"> </w:t>
      </w:r>
      <w:r>
        <w:t xml:space="preserve">reference to the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Mobility Directive</w:t>
      </w:r>
      <w:r>
        <w:t xml:space="preserve"> </w:t>
      </w:r>
      <w:r>
        <w:t xml:space="preserve">Dispute resolution</w:t>
      </w:r>
      <w:r>
        <w:t xml:space="preserve"> </w:t>
      </w:r>
      <w:r>
        <w:t xml:space="preserve">mechanism</w:t>
      </w:r>
    </w:p>
    <w:p>
      <w:pPr>
        <w:pStyle w:val="BodyText"/>
      </w:pPr>
      <w:r>
        <w:t xml:space="preserve">Option 1: Clarify</w:t>
      </w:r>
      <w:r>
        <w:t xml:space="preserve"> </w:t>
      </w:r>
      <w:r>
        <w:t xml:space="preserve">operative rules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2: Use of</w:t>
      </w:r>
      <w:r>
        <w:t xml:space="preserve"> </w:t>
      </w:r>
      <w:r>
        <w:t xml:space="preserve">Council implementing</w:t>
      </w:r>
      <w:r>
        <w:t xml:space="preserve"> </w:t>
      </w:r>
      <w:r>
        <w:t xml:space="preserve">acts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Effectiveness: The medium ambition approach entails a wide range of simplification measures that</w:t>
      </w:r>
      <w:r>
        <w:t xml:space="preserve"> </w:t>
      </w:r>
      <w:r>
        <w:t xml:space="preserve">address all identified problems within existing Directives and responds to the need for action that</w:t>
      </w:r>
      <w:r>
        <w:t xml:space="preserve"> </w:t>
      </w:r>
      <w:r>
        <w:t xml:space="preserve">was stressed by stakeholders in the stakeholder consultations. It does not go beyond the existing EU</w:t>
      </w:r>
      <w:r>
        <w:t xml:space="preserve"> </w:t>
      </w:r>
      <w:r>
        <w:t xml:space="preserve">tax framework as requested by stakeholders in the Call for Evidence as it does not provide action</w:t>
      </w:r>
      <w:r>
        <w:t xml:space="preserve"> </w:t>
      </w:r>
      <w:r>
        <w:t xml:space="preserve">related to R&amp;D expensing. Nonetheless, it delivers well on all specific objectives. The approach is</w:t>
      </w:r>
      <w:r>
        <w:t xml:space="preserve"> </w:t>
      </w:r>
      <w:r>
        <w:t xml:space="preserve">roughly estimated to reduce compliance and financial costs by around EUR 2-3 billion (EUR 2.4</w:t>
      </w:r>
      <w:r>
        <w:t xml:space="preserve"> </w:t>
      </w:r>
      <w:r>
        <w:t xml:space="preserve">billion)116, out of which recurrent costs related to cutting down on administrative burden is around</w:t>
      </w:r>
      <w:r>
        <w:t xml:space="preserve"> </w:t>
      </w:r>
      <w:r>
        <w:t xml:space="preserve">EUR 1 billion per year. Although these estimations are significantly lower than under the</w:t>
      </w:r>
      <w:r>
        <w:t xml:space="preserve"> </w:t>
      </w:r>
      <w:r>
        <w:t xml:space="preserve">comprehensive approach, mainly due to the alternative options chosen to address the problems</w:t>
      </w:r>
      <w:r>
        <w:t xml:space="preserve"> </w:t>
      </w:r>
      <w:r>
        <w:t xml:space="preserve">related to the withholding tax relief under the IRD and PSD and the overlap between CFC rules and</w:t>
      </w:r>
      <w:r>
        <w:t xml:space="preserve"> </w:t>
      </w:r>
      <w:r>
        <w:t xml:space="preserve">Pillar 2, this approach is still expected to provide high-scale impact.</w:t>
      </w:r>
      <w:r>
        <w:br/>
      </w:r>
      <w:r>
        <w:t xml:space="preserve">Efficiency: As one of the specific objectives is to eliminate disproportionate compliance costs, it</w:t>
      </w:r>
      <w:r>
        <w:t xml:space="preserve"> </w:t>
      </w:r>
      <w:r>
        <w:t xml:space="preserve">has already been stated that the expected economic benefits of the medium ambition approach are</w:t>
      </w:r>
      <w:r>
        <w:t xml:space="preserve"> </w:t>
      </w:r>
      <w:r>
        <w:t xml:space="preserve">high. As this approach does not include a new measure related to R&amp;D expensing and as the</w:t>
      </w:r>
      <w:r>
        <w:t xml:space="preserve"> </w:t>
      </w:r>
      <w:r>
        <w:t xml:space="preserve">alternative options chosen to address the problems related to the withholding tax relief under the</w:t>
      </w:r>
      <w:r>
        <w:t xml:space="preserve"> </w:t>
      </w:r>
      <w:r>
        <w:t xml:space="preserve">IRD and PSD and the overlap between CFC rules and Pillar 2 are less thorough than in the</w:t>
      </w:r>
      <w:r>
        <w:t xml:space="preserve"> </w:t>
      </w:r>
      <w:r>
        <w:t xml:space="preserve">comprehensive approach, the implementation and transition costs are expected to be lower, without</w:t>
      </w:r>
      <w:r>
        <w:t xml:space="preserve"> </w:t>
      </w:r>
      <w:r>
        <w:t xml:space="preserve">specific impact on tax administrations. While the savings would allow for a more effective</w:t>
      </w:r>
      <w:r>
        <w:t xml:space="preserve"> </w:t>
      </w:r>
      <w:r>
        <w:t xml:space="preserve">allocation of resources, the positive economic impact would be more limited as the dynamic</w:t>
      </w:r>
      <w:r>
        <w:t xml:space="preserve"> </w:t>
      </w:r>
      <w:r>
        <w:t xml:space="preserve">impacts on investment and growth would be marginal.</w:t>
      </w:r>
      <w:r>
        <w:t xml:space="preserve"> </w:t>
      </w:r>
      <w:r>
        <w:t xml:space="preserve">Coherence: The medium ambition approach is coherent within the proposal itself as it offers a</w:t>
      </w:r>
      <w:r>
        <w:t xml:space="preserve"> </w:t>
      </w:r>
      <w:r>
        <w:t xml:space="preserve">broad range of simplification measures across the existing EU tax framework, building on the</w:t>
      </w:r>
      <w:r>
        <w:t xml:space="preserve"> </w:t>
      </w:r>
      <w:r>
        <w:t xml:space="preserve">achievements already made at EU level. Like for the comprehensive approach, all measures are</w:t>
      </w:r>
      <w:r>
        <w:t xml:space="preserve"> </w:t>
      </w:r>
      <w:r>
        <w:t xml:space="preserve">designed to preserve the original objectives of the existing Directives. It also contributes to other</w:t>
      </w:r>
      <w:r>
        <w:t xml:space="preserve"> </w:t>
      </w:r>
      <w:r>
        <w:t xml:space="preserve">EU policies, like addressing security and defence challenges in the EU and the Savings and</w:t>
      </w:r>
      <w:r>
        <w:t xml:space="preserve"> </w:t>
      </w:r>
      <w:r>
        <w:t xml:space="preserve">Investments Union, but to a much lesser extent than the comprehensive approach.</w:t>
      </w:r>
      <w:r>
        <w:t xml:space="preserve"> </w:t>
      </w:r>
      <w:r>
        <w:t xml:space="preserve">In sum, while this outcome will fully ensure high tax standards and appears effective in achieving</w:t>
      </w:r>
      <w:r>
        <w:t xml:space="preserve"> </w:t>
      </w:r>
      <w:r>
        <w:t xml:space="preserve">the envisaged objectives in a cost-efficient way, its interventions in two key areas, i.e., in relation to</w:t>
      </w:r>
      <w:r>
        <w:t xml:space="preserve"> </w:t>
      </w:r>
      <w:r>
        <w:t xml:space="preserve">the withholding tax relief under the IRD and PSD and the overlap between CFC rules and Pillar 2,</w:t>
      </w:r>
      <w:r>
        <w:t xml:space="preserve"> </w:t>
      </w:r>
      <w:r>
        <w:t xml:space="preserve">are less thorough and, consequently, prove less effective in achieving the objectives to simplifying</w:t>
      </w:r>
      <w:r>
        <w:t xml:space="preserve"> </w:t>
      </w:r>
      <w:r>
        <w:t xml:space="preserve">EU tax rules with a view to boosting EU competitiveness.</w:t>
      </w:r>
    </w:p>
    <w:p>
      <w:pPr>
        <w:pStyle w:val="BodyText"/>
      </w:pPr>
      <w:r>
        <w:t xml:space="preserve">116 Financial costs included in this number stem from the exemption of all payments of interest, royalties and dividends</w:t>
      </w:r>
      <w:r>
        <w:t xml:space="preserve"> </w:t>
      </w:r>
      <w:r>
        <w:t xml:space="preserve">from withholding tax (Option 1B): companies save EUR 1-2 billion as they would no longer forego tax reliefs and</w:t>
      </w:r>
      <w:r>
        <w:t xml:space="preserve"> </w:t>
      </w:r>
      <w:r>
        <w:t xml:space="preserve">would no longer bear opportunity costs due to delayed refund. See Section 6.2.1.2 and esp. Annex 4, Section 2.</w:t>
      </w:r>
    </w:p>
    <w:p>
      <w:pPr>
        <w:pStyle w:val="BodyText"/>
      </w:pPr>
      <w:r>
        <w:t xml:space="preserve">7.3. Limited Ambition Omnibus on Taxation</w:t>
      </w:r>
      <w:r>
        <w:t xml:space="preserve"> </w:t>
      </w:r>
      <w:r>
        <w:t xml:space="preserve">Policy option(s)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Taxation of cross-border interest,</w:t>
      </w:r>
      <w:r>
        <w:t xml:space="preserve"> </w:t>
      </w:r>
      <w:r>
        <w:t xml:space="preserve">royalty and dividend payments</w:t>
      </w:r>
      <w:r>
        <w:t xml:space="preserve"> </w:t>
      </w:r>
      <w:r>
        <w:t xml:space="preserve">Eliminate</w:t>
      </w:r>
      <w:r>
        <w:t xml:space="preserve"> </w:t>
      </w:r>
      <w:r>
        <w:t xml:space="preserve">disproportionate</w:t>
      </w:r>
      <w:r>
        <w:t xml:space="preserve"> </w:t>
      </w:r>
      <w:r>
        <w:t xml:space="preserve">EU tax</w:t>
      </w:r>
      <w:r>
        <w:t xml:space="preserve"> </w:t>
      </w:r>
      <w:r>
        <w:t xml:space="preserve">compliance</w:t>
      </w:r>
      <w:r>
        <w:t xml:space="preserve"> </w:t>
      </w:r>
      <w:r>
        <w:t xml:space="preserve">burdens</w:t>
      </w:r>
      <w:r>
        <w:t xml:space="preserve"> </w:t>
      </w:r>
      <w:r>
        <w:t xml:space="preserve">Introduce</w:t>
      </w:r>
      <w:r>
        <w:t xml:space="preserve"> </w:t>
      </w:r>
      <w:r>
        <w:t xml:space="preserve">clear and</w:t>
      </w:r>
      <w:r>
        <w:t xml:space="preserve"> </w:t>
      </w:r>
      <w:r>
        <w:t xml:space="preserve">predictable</w:t>
      </w:r>
      <w:r>
        <w:t xml:space="preserve"> </w:t>
      </w:r>
      <w:r>
        <w:t xml:space="preserve">EU tax rules</w:t>
      </w:r>
      <w:r>
        <w:t xml:space="preserve"> </w:t>
      </w:r>
      <w:r>
        <w:t xml:space="preserve">and terms</w:t>
      </w:r>
      <w:r>
        <w:t xml:space="preserve"> </w:t>
      </w:r>
      <w:r>
        <w:t xml:space="preserve">Improve</w:t>
      </w:r>
      <w:r>
        <w:t xml:space="preserve"> </w:t>
      </w:r>
      <w:r>
        <w:t xml:space="preserve">consistency in</w:t>
      </w:r>
      <w:r>
        <w:t xml:space="preserve"> </w:t>
      </w:r>
      <w:r>
        <w:t xml:space="preserve">the application</w:t>
      </w:r>
      <w:r>
        <w:t xml:space="preserve"> </w:t>
      </w:r>
      <w:r>
        <w:t xml:space="preserve">of EU tax</w:t>
      </w:r>
      <w:r>
        <w:t xml:space="preserve"> </w:t>
      </w:r>
      <w:r>
        <w:t xml:space="preserve">directives</w:t>
      </w:r>
      <w:r>
        <w:t xml:space="preserve"> </w:t>
      </w:r>
      <w:r>
        <w:t xml:space="preserve">Reduce</w:t>
      </w:r>
      <w:r>
        <w:t xml:space="preserve"> </w:t>
      </w:r>
      <w:r>
        <w:t xml:space="preserve">remaining tax</w:t>
      </w:r>
      <w:r>
        <w:t xml:space="preserve"> </w:t>
      </w:r>
      <w:r>
        <w:t xml:space="preserve">obstacles to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investment and</w:t>
      </w:r>
      <w:r>
        <w:t xml:space="preserve"> </w:t>
      </w:r>
      <w:r>
        <w:t xml:space="preserve">commercial</w:t>
      </w:r>
      <w:r>
        <w:t xml:space="preserve"> </w:t>
      </w:r>
      <w:r>
        <w:t xml:space="preserve">activity</w:t>
      </w:r>
      <w:r>
        <w:t xml:space="preserve"> </w:t>
      </w:r>
      <w:r>
        <w:t xml:space="preserve">Status quo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Taxation of CFCs</w:t>
      </w:r>
    </w:p>
    <w:p>
      <w:pPr>
        <w:pStyle w:val="BodyText"/>
      </w:pPr>
      <w:r>
        <w:t xml:space="preserve">Status quo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Research and development (R&amp;D)</w:t>
      </w:r>
    </w:p>
    <w:p>
      <w:pPr>
        <w:pStyle w:val="BodyText"/>
      </w:pPr>
      <w:r>
        <w:t xml:space="preserve">Status quo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Interest Limitation Rule</w:t>
      </w:r>
    </w:p>
    <w:p>
      <w:pPr>
        <w:pStyle w:val="BodyText"/>
      </w:pPr>
      <w:r>
        <w:t xml:space="preserve">Option 2: Mandatory application of</w:t>
      </w:r>
      <w:r>
        <w:t xml:space="preserve"> </w:t>
      </w:r>
      <w:r>
        <w:t xml:space="preserve">30% EBITDA cap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3: Reduce implementation</w:t>
      </w:r>
      <w:r>
        <w:t xml:space="preserve"> </w:t>
      </w:r>
      <w:r>
        <w:t xml:space="preserve">options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Hybrid mismatches</w:t>
      </w:r>
    </w:p>
    <w:p>
      <w:pPr>
        <w:pStyle w:val="BodyText"/>
      </w:pPr>
      <w:r>
        <w:t xml:space="preserve">Option 1A: Abolish imported</w:t>
      </w:r>
      <w:r>
        <w:t xml:space="preserve"> </w:t>
      </w:r>
      <w:r>
        <w:t xml:space="preserve">mismatch rules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Tax Merger Directive</w:t>
      </w:r>
    </w:p>
    <w:p>
      <w:pPr>
        <w:pStyle w:val="BodyText"/>
      </w:pPr>
      <w:r>
        <w:t xml:space="preserve">Option 1B: Addition of new</w:t>
      </w:r>
      <w:r>
        <w:t xml:space="preserve"> </w:t>
      </w:r>
      <w:r>
        <w:t xml:space="preserve">restructuring transactions to TMD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Dispute resolution mechanism</w:t>
      </w:r>
    </w:p>
    <w:p>
      <w:pPr>
        <w:pStyle w:val="BodyText"/>
      </w:pPr>
      <w:r>
        <w:t xml:space="preserve">Option 1: Clarify operative rules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2: Use of Council</w:t>
      </w:r>
      <w:r>
        <w:t xml:space="preserve"> </w:t>
      </w:r>
      <w:r>
        <w:t xml:space="preserve">implementing acts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Effectiveness: The limited ambition approach targets existing measures in a simpler and more</w:t>
      </w:r>
      <w:r>
        <w:t xml:space="preserve"> </w:t>
      </w:r>
      <w:r>
        <w:t xml:space="preserve">straight forward way, such as reducing the implementation options for the Interest Limitation Rule</w:t>
      </w:r>
      <w:r>
        <w:t xml:space="preserve"> </w:t>
      </w:r>
      <w:r>
        <w:t xml:space="preserve">and extending the scope of the TMD, to generate simplification results thorough the easiest and</w:t>
      </w:r>
      <w:r>
        <w:t xml:space="preserve"> </w:t>
      </w:r>
      <w:r>
        <w:t xml:space="preserve">most accessible options. In this way, this approach delivers on all specific objectives, although it is</w:t>
      </w:r>
      <w:r>
        <w:t xml:space="preserve"> </w:t>
      </w:r>
      <w:r>
        <w:t xml:space="preserve">to a far lesser extent than the two previous approaches. In addition, it fails to address identified</w:t>
      </w:r>
      <w:r>
        <w:t xml:space="preserve"> </w:t>
      </w:r>
      <w:r>
        <w:t xml:space="preserve">problems related to the withholding tax relief under the IRD and the PSD and the overlap between</w:t>
      </w:r>
      <w:r>
        <w:t xml:space="preserve"> </w:t>
      </w:r>
      <w:r>
        <w:t xml:space="preserve">CFC and Pillar 2 rules, which were amongst the most highlighted needs for action in the</w:t>
      </w:r>
      <w:r>
        <w:t xml:space="preserve"> </w:t>
      </w:r>
      <w:r>
        <w:t xml:space="preserve">stakeholder consultations. This approach is roughly estimated to reduce compliance costs (recurrent</w:t>
      </w:r>
      <w:r>
        <w:t xml:space="preserve"> </w:t>
      </w:r>
      <w:r>
        <w:t xml:space="preserve">costs related to administrative burden) by around 0.1-0.2 billion.</w:t>
      </w:r>
      <w:r>
        <w:br/>
      </w:r>
      <w:r>
        <w:t xml:space="preserve">Efficiency: While this approach does not entail what could be considered the biggest simplification</w:t>
      </w:r>
      <w:r>
        <w:t xml:space="preserve"> </w:t>
      </w:r>
      <w:r>
        <w:t xml:space="preserve">measures, it has some merit, as it would deliver on the objectives of the omnibus without entailing</w:t>
      </w:r>
      <w:r>
        <w:t xml:space="preserve"> </w:t>
      </w:r>
      <w:r>
        <w:t xml:space="preserve">considerable implementation and transition costs. At the same time, it has already been stated that</w:t>
      </w:r>
      <w:r>
        <w:t xml:space="preserve"> </w:t>
      </w:r>
      <w:r>
        <w:t xml:space="preserve">the expected economic benefits of the comprehensive approach are low, so it is an approach which</w:t>
      </w:r>
      <w:r>
        <w:t xml:space="preserve"> </w:t>
      </w:r>
      <w:r>
        <w:t xml:space="preserve">neither entails economic benefits, nor costs, resulting in no considerable impact.</w:t>
      </w:r>
      <w:r>
        <w:t xml:space="preserve"> </w:t>
      </w:r>
      <w:r>
        <w:t xml:space="preserve">Coherence: The limited ambition approach is coherent within the proposal itself as it offers a broad</w:t>
      </w:r>
      <w:r>
        <w:t xml:space="preserve"> </w:t>
      </w:r>
      <w:r>
        <w:t xml:space="preserve">range of simplification measures across the existing EU tax framework, building on the</w:t>
      </w:r>
      <w:r>
        <w:t xml:space="preserve"> </w:t>
      </w:r>
      <w:r>
        <w:t xml:space="preserve">achievements already made at EU level. However, it does not contribute significantly to other EU</w:t>
      </w:r>
      <w:r>
        <w:t xml:space="preserve"> </w:t>
      </w:r>
      <w:r>
        <w:t xml:space="preserve">policies and it falls short of delivering on the Commission’s aim to cut recurring administrative</w:t>
      </w:r>
      <w:r>
        <w:t xml:space="preserve"> </w:t>
      </w:r>
      <w:r>
        <w:t xml:space="preserve">costs by EUR 37.5 billion by the end of the 2024-2029 Commission mandate.</w:t>
      </w:r>
    </w:p>
    <w:p>
      <w:pPr>
        <w:pStyle w:val="BodyText"/>
      </w:pPr>
      <w:r>
        <w:t xml:space="preserve">In sum, simplification by the least extensive means has the advantage that the legislative proposal</w:t>
      </w:r>
      <w:r>
        <w:t xml:space="preserve"> </w:t>
      </w:r>
      <w:r>
        <w:t xml:space="preserve">would be very targeted, focusing on the Interest Limitation Rule, the Hybrid Mismatch Rules, the</w:t>
      </w:r>
      <w:r>
        <w:t xml:space="preserve"> </w:t>
      </w:r>
      <w:r>
        <w:t xml:space="preserve">TMD and the DRM. Although, these elements would contribute to achieving the specific and</w:t>
      </w:r>
      <w:r>
        <w:t xml:space="preserve"> </w:t>
      </w:r>
      <w:r>
        <w:t xml:space="preserve">general objectives, this version is expected to be less effective than the others as it misses out on the</w:t>
      </w:r>
      <w:r>
        <w:t xml:space="preserve"> </w:t>
      </w:r>
      <w:r>
        <w:t xml:space="preserve">opportunity to simplify the rules to a greater extent and fails to meet the requests from the vast</w:t>
      </w:r>
      <w:r>
        <w:t xml:space="preserve"> </w:t>
      </w:r>
      <w:r>
        <w:t xml:space="preserve">majority of stakeholders in the stakeholder consultations to table an ambitious and holistic Omnibus</w:t>
      </w:r>
      <w:r>
        <w:t xml:space="preserve"> </w:t>
      </w:r>
      <w:r>
        <w:t xml:space="preserve">on Taxation. Consequently, the assessment of the limited ambition approach demonstrates well the</w:t>
      </w:r>
      <w:r>
        <w:t xml:space="preserve"> </w:t>
      </w:r>
      <w:r>
        <w:t xml:space="preserve">importance of proposing a reform of wide scope, since various specific objectives would be less</w:t>
      </w:r>
      <w:r>
        <w:t xml:space="preserve"> </w:t>
      </w:r>
      <w:r>
        <w:t xml:space="preserve">supported if the status quo were to be retained in several areas. For this reason, focussing only on</w:t>
      </w:r>
      <w:r>
        <w:t xml:space="preserve"> </w:t>
      </w:r>
      <w:r>
        <w:t xml:space="preserve">the two key measures appears less effective and efficient than proposing an Omnibus on Taxation</w:t>
      </w:r>
      <w:r>
        <w:t xml:space="preserve"> </w:t>
      </w:r>
      <w:r>
        <w:t xml:space="preserve">with a broader and more ambitious scope.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Based on the outcome of the previous section, where the different simplification approaches were</w:t>
      </w:r>
      <w:r>
        <w:t xml:space="preserve"> </w:t>
      </w:r>
      <w:r>
        <w:t xml:space="preserve">assessed and compared, the preferred approach is the comprehensive approach to the Omnibus on</w:t>
      </w:r>
      <w:r>
        <w:t xml:space="preserve"> </w:t>
      </w:r>
      <w:r>
        <w:t xml:space="preserve">Taxation. Each of the options, which feature in the preferred approach, are analysed in more detail</w:t>
      </w:r>
      <w:r>
        <w:t xml:space="preserve"> </w:t>
      </w:r>
      <w:r>
        <w:t xml:space="preserve">below.</w:t>
      </w:r>
      <w:r>
        <w:t xml:space="preserve"> </w:t>
      </w:r>
      <w:r>
        <w:t xml:space="preserve">8.1. Comprehensive Omnibus on Taxation</w:t>
      </w:r>
      <w:r>
        <w:t xml:space="preserve"> </w:t>
      </w:r>
      <w:r>
        <w:t xml:space="preserve">8.1.1. Withholding tax exemption for payments of interest, royalties, and dividends</w:t>
      </w:r>
      <w:r>
        <w:t xml:space="preserve"> </w:t>
      </w:r>
      <w:r>
        <w:t xml:space="preserve">Option A accounts for the preferred simplification measure. This is to facilitate the tax exemption</w:t>
      </w:r>
      <w:r>
        <w:t xml:space="preserve"> </w:t>
      </w:r>
      <w:r>
        <w:t xml:space="preserve">of cross-border interest, royalties, and dividends within the EU, i.e., a tax exemption of all such</w:t>
      </w:r>
      <w:r>
        <w:t xml:space="preserve"> </w:t>
      </w:r>
      <w:r>
        <w:t xml:space="preserve">payments without consideration of holding threshold and accompanied by reduced or no procedural</w:t>
      </w:r>
      <w:r>
        <w:t xml:space="preserve"> </w:t>
      </w:r>
      <w:r>
        <w:t xml:space="preserve">requirements.</w:t>
      </w:r>
      <w:r>
        <w:t xml:space="preserve"> </w:t>
      </w:r>
      <w:r>
        <w:t xml:space="preserve">Overall, the option scores high in terms of fulfilling all the specific objectives. It will, inter alia,</w:t>
      </w:r>
      <w:r>
        <w:t xml:space="preserve"> </w:t>
      </w:r>
      <w:r>
        <w:t xml:space="preserve">provide consistency in the application of the IRD and the PSD by extending the scope of these</w:t>
      </w:r>
      <w:r>
        <w:t xml:space="preserve"> </w:t>
      </w:r>
      <w:r>
        <w:t xml:space="preserve">Directives to all interest, royalty, and dividend payments within the EU, while removing upfront</w:t>
      </w:r>
      <w:r>
        <w:t xml:space="preserve"> </w:t>
      </w:r>
      <w:r>
        <w:t xml:space="preserve">procedural requirements. The update and alignment of the Annexes will contribute to having</w:t>
      </w:r>
      <w:r>
        <w:t xml:space="preserve"> </w:t>
      </w:r>
      <w:r>
        <w:t xml:space="preserve">clearer rules. In this way, unnecessary tax compliance burdens linked to the application of these</w:t>
      </w:r>
      <w:r>
        <w:t xml:space="preserve"> </w:t>
      </w:r>
      <w:r>
        <w:t xml:space="preserve">Directives should be significantly reduced as fewer requirements will have to be met, in order to</w:t>
      </w:r>
      <w:r>
        <w:t xml:space="preserve"> </w:t>
      </w:r>
      <w:r>
        <w:t xml:space="preserve">benefit from the rules and as the option also provides for greater harmonisation of the procedures,</w:t>
      </w:r>
      <w:r>
        <w:t xml:space="preserve"> </w:t>
      </w:r>
      <w:r>
        <w:t xml:space="preserve">thereby also delivering on reducing remaining tax obstacles to cross-border investment and</w:t>
      </w:r>
      <w:r>
        <w:t xml:space="preserve"> </w:t>
      </w:r>
      <w:r>
        <w:t xml:space="preserve">commercial activity.</w:t>
      </w:r>
      <w:r>
        <w:br/>
      </w:r>
      <w:r>
        <w:t xml:space="preserve">These results indicate not only a significant contribution to reaching the general objectives of the</w:t>
      </w:r>
      <w:r>
        <w:t xml:space="preserve"> </w:t>
      </w:r>
      <w:r>
        <w:t xml:space="preserve">Omnibus on Taxation proposal itself, as the proposal simplifies EU tax rules with a view to</w:t>
      </w:r>
      <w:r>
        <w:t xml:space="preserve"> </w:t>
      </w:r>
      <w:r>
        <w:t xml:space="preserve">boosting EU competitiveness, but also to other EU policies such as the Savings and Investment</w:t>
      </w:r>
      <w:r>
        <w:t xml:space="preserve"> </w:t>
      </w:r>
      <w:r>
        <w:t xml:space="preserve">Union. At the same time, the option upholds the original objectives of the IRD and the PSD, i.e.,</w:t>
      </w:r>
      <w:r>
        <w:t xml:space="preserve"> </w:t>
      </w:r>
      <w:r>
        <w:t xml:space="preserve">eliminating double taxation and reducing administrative burdens within the EU, while the</w:t>
      </w:r>
      <w:r>
        <w:t xml:space="preserve"> </w:t>
      </w:r>
      <w:r>
        <w:t xml:space="preserve">accompanying protective measure targeting royalty and interest payments to zero-tax jurisdictions</w:t>
      </w:r>
      <w:r>
        <w:t xml:space="preserve"> </w:t>
      </w:r>
      <w:r>
        <w:t xml:space="preserve">will remove the risk of unintended consequences, such as leaving the door open for tax planning</w:t>
      </w:r>
      <w:r>
        <w:t xml:space="preserve"> </w:t>
      </w:r>
      <w:r>
        <w:t xml:space="preserve">practices. The protective measure will ensure that the current level of protection, and thereby the</w:t>
      </w:r>
      <w:r>
        <w:t xml:space="preserve"> </w:t>
      </w:r>
      <w:r>
        <w:t xml:space="preserve">high tax standards, are maintained in the EU.</w:t>
      </w:r>
    </w:p>
    <w:p>
      <w:pPr>
        <w:pStyle w:val="BodyText"/>
      </w:pPr>
      <w:r>
        <w:t xml:space="preserve">8.1.2. Taxation of Controlled Foreign Companies</w:t>
      </w:r>
      <w:r>
        <w:t xml:space="preserve"> </w:t>
      </w:r>
      <w:r>
        <w:t xml:space="preserve">To address the identified issues related to CFC rules in the ATAD, the preferred simplification</w:t>
      </w:r>
      <w:r>
        <w:t xml:space="preserve"> </w:t>
      </w:r>
      <w:r>
        <w:t xml:space="preserve">measures constitute a combination of Option 1, i.e., mandatory application of ‘Model A’, Option</w:t>
      </w:r>
      <w:r>
        <w:t xml:space="preserve"> </w:t>
      </w:r>
      <w:r>
        <w:t xml:space="preserve">2A, i.e., carveout of Pillar 2 companies, and Option 3, i.e., carveout of SMEs.</w:t>
      </w:r>
      <w:r>
        <w:t xml:space="preserve"> </w:t>
      </w:r>
      <w:r>
        <w:t xml:space="preserve">The mandatory application of the CFC rules based on ‘Model A’ introduces a common CFC</w:t>
      </w:r>
      <w:r>
        <w:t xml:space="preserve"> </w:t>
      </w:r>
      <w:r>
        <w:t xml:space="preserve">standard in the EU. Compared to the current divergence in the application of the rules, the measure</w:t>
      </w:r>
      <w:r>
        <w:t xml:space="preserve"> </w:t>
      </w:r>
      <w:r>
        <w:t xml:space="preserve">will effectively improve the consistent application of the CFC rules in the ATAD and replace</w:t>
      </w:r>
      <w:r>
        <w:t xml:space="preserve"> </w:t>
      </w:r>
      <w:r>
        <w:t xml:space="preserve">national specificities related thereto, thereby making the rules clearer. While this will simplify the</w:t>
      </w:r>
      <w:r>
        <w:t xml:space="preserve"> </w:t>
      </w:r>
      <w:r>
        <w:t xml:space="preserve">application of the rules for businesses across the EU, the mandatory application will also bring</w:t>
      </w:r>
      <w:r>
        <w:t xml:space="preserve"> </w:t>
      </w:r>
      <w:r>
        <w:t xml:space="preserve">legislative approximation towards higher tax standards in the EU as ‘Model A’ provides for a more</w:t>
      </w:r>
      <w:r>
        <w:t xml:space="preserve"> </w:t>
      </w:r>
      <w:r>
        <w:t xml:space="preserve">objective test than ‘Model B’ which is based on Transfer Pricing rules entailing a high degree of</w:t>
      </w:r>
      <w:r>
        <w:t xml:space="preserve"> </w:t>
      </w:r>
      <w:r>
        <w:t xml:space="preserve">discretion.</w:t>
      </w:r>
      <w:r>
        <w:br/>
      </w:r>
      <w:r>
        <w:t xml:space="preserve">The carveouts ensure that two low-risk cases will not have to apply the CFC rules: SMEs, which</w:t>
      </w:r>
      <w:r>
        <w:t xml:space="preserve"> </w:t>
      </w:r>
      <w:r>
        <w:t xml:space="preserve">present a low risk for engaging in abusive cross-border tax practices, and large MNEs, which are</w:t>
      </w:r>
      <w:r>
        <w:t xml:space="preserve"> </w:t>
      </w:r>
      <w:r>
        <w:t xml:space="preserve">subject to the Pillar 2 global minimum tax. Thereby, these measures will eliminate unnecessary</w:t>
      </w:r>
      <w:r>
        <w:t xml:space="preserve"> </w:t>
      </w:r>
      <w:r>
        <w:t xml:space="preserve">compliance burdens for these businesses and contribute to simplifying EU tax rules while keeping</w:t>
      </w:r>
      <w:r>
        <w:t xml:space="preserve"> </w:t>
      </w:r>
      <w:r>
        <w:t xml:space="preserve">them fully in place where these are necessary for maintaining the current high tax standards in the</w:t>
      </w:r>
      <w:r>
        <w:t xml:space="preserve"> </w:t>
      </w:r>
      <w:r>
        <w:t xml:space="preserve">EU. The original objective of the CFC rules, i.e., to prevent multinational groups from shifting</w:t>
      </w:r>
      <w:r>
        <w:t xml:space="preserve"> </w:t>
      </w:r>
      <w:r>
        <w:t xml:space="preserve">profits from a parent company in a high tax jurisdiction to subsidiaries in low or no tax jurisdictions</w:t>
      </w:r>
      <w:r>
        <w:t xml:space="preserve"> </w:t>
      </w:r>
      <w:r>
        <w:t xml:space="preserve">to reduce the group’s tax liability, is thus well preserved in accordance with international standards</w:t>
      </w:r>
      <w:r>
        <w:t xml:space="preserve"> </w:t>
      </w:r>
      <w:r>
        <w:t xml:space="preserve">laid down in the OECD BEPS Action 3.</w:t>
      </w:r>
      <w:r>
        <w:t xml:space="preserve"> </w:t>
      </w:r>
      <w:r>
        <w:t xml:space="preserve">8.1.3. Expensing of assets related to research and development (R&amp;D)</w:t>
      </w:r>
      <w:r>
        <w:t xml:space="preserve"> </w:t>
      </w:r>
      <w:r>
        <w:t xml:space="preserve">To boost EU competitiveness, this option introduces a simplified and consistent rule to ensure</w:t>
      </w:r>
      <w:r>
        <w:t xml:space="preserve"> </w:t>
      </w:r>
      <w:r>
        <w:t xml:space="preserve">immediate expensing for acquired tangible R&amp;D assets, which is particularly important given the</w:t>
      </w:r>
      <w:r>
        <w:t xml:space="preserve"> </w:t>
      </w:r>
      <w:r>
        <w:t xml:space="preserve">existing favourable treatment of R&amp;D expenses in key partner economies. This option will</w:t>
      </w:r>
      <w:r>
        <w:t xml:space="preserve"> </w:t>
      </w:r>
      <w:r>
        <w:t xml:space="preserve">introduce clearer and more predictable rules compared to the current national divergencies and will</w:t>
      </w:r>
      <w:r>
        <w:t xml:space="preserve"> </w:t>
      </w:r>
      <w:r>
        <w:t xml:space="preserve">reduce an identified tax obstacle to cross-border investment and commercial activity in the internal</w:t>
      </w:r>
      <w:r>
        <w:t xml:space="preserve"> </w:t>
      </w:r>
      <w:r>
        <w:t xml:space="preserve">market, thereby simplifying tax rules across the EU and stimulating economic activity with an</w:t>
      </w:r>
      <w:r>
        <w:t xml:space="preserve"> </w:t>
      </w:r>
      <w:r>
        <w:t xml:space="preserve">overall stable tax collection. To ensure that the measure meets both general objectives, it is</w:t>
      </w:r>
      <w:r>
        <w:t xml:space="preserve"> </w:t>
      </w:r>
      <w:r>
        <w:t xml:space="preserve">designed in accordance with the highest tax standards, as the option will include a definition of</w:t>
      </w:r>
      <w:r>
        <w:t xml:space="preserve"> </w:t>
      </w:r>
      <w:r>
        <w:t xml:space="preserve">qualifying R&amp;D expenses, and the application will take inspiration from similar legislation adopted</w:t>
      </w:r>
      <w:r>
        <w:t xml:space="preserve"> </w:t>
      </w:r>
      <w:r>
        <w:t xml:space="preserve">by other like-minded international partners.</w:t>
      </w:r>
      <w:r>
        <w:t xml:space="preserve"> </w:t>
      </w:r>
      <w:r>
        <w:t xml:space="preserve">8.1.4. Interest Limitation Rule</w:t>
      </w:r>
      <w:r>
        <w:br/>
      </w:r>
      <w:r>
        <w:t xml:space="preserve">To simplify the functioning of the Interest Limitation Rule in ATAD, it is preferred to introduce all</w:t>
      </w:r>
      <w:r>
        <w:t xml:space="preserve"> </w:t>
      </w:r>
      <w:r>
        <w:t xml:space="preserve">envisaged options, as they will make the rule more efficient and effective compared to the status</w:t>
      </w:r>
      <w:r>
        <w:t xml:space="preserve"> </w:t>
      </w:r>
      <w:r>
        <w:t xml:space="preserve">quo.</w:t>
      </w:r>
      <w:r>
        <w:br/>
      </w:r>
      <w:r>
        <w:t xml:space="preserve">In particular, Option 2, i.e., mandatory application of the 30% fixed ratio of the EBITDA, and</w:t>
      </w:r>
      <w:r>
        <w:t xml:space="preserve"> </w:t>
      </w:r>
      <w:r>
        <w:t xml:space="preserve">Option 3, i.e., reduction of implementation options, will simplify the EU tax environment by</w:t>
      </w:r>
      <w:r>
        <w:t xml:space="preserve"> </w:t>
      </w:r>
      <w:r>
        <w:t xml:space="preserve">ensuring a more consistent application of the Interest Limitation Rule and replacing national</w:t>
      </w:r>
      <w:r>
        <w:t xml:space="preserve"> </w:t>
      </w:r>
      <w:r>
        <w:t xml:space="preserve">specificities related thereto. These options respond directly to the simplifications that stakeholders</w:t>
      </w:r>
      <w:r>
        <w:t xml:space="preserve"> </w:t>
      </w:r>
      <w:r>
        <w:t xml:space="preserve">were asking for in the consultations and to the findings of the ATAD evaluation, where it has been</w:t>
      </w:r>
      <w:r>
        <w:t xml:space="preserve"> </w:t>
      </w:r>
      <w:r>
        <w:t xml:space="preserve">pointed out in unison that the flexibility of the current rule creates problems in practice. These</w:t>
      </w:r>
      <w:r>
        <w:t xml:space="preserve"> </w:t>
      </w:r>
      <w:r>
        <w:t xml:space="preserve">options will, therefore, contribute to the general objectives of the Omnibus on Taxation by</w:t>
      </w:r>
      <w:r>
        <w:t xml:space="preserve"> </w:t>
      </w:r>
      <w:r>
        <w:t xml:space="preserve">simplifying the Interest Limitation Rule with a view to boosting EU competitiveness. Enhancing</w:t>
      </w:r>
    </w:p>
    <w:p>
      <w:pPr>
        <w:pStyle w:val="BodyText"/>
      </w:pPr>
      <w:r>
        <w:t xml:space="preserve">the harmonisation of the rule will also contribute to maintaining high tax standards in the EU as it</w:t>
      </w:r>
      <w:r>
        <w:t xml:space="preserve"> </w:t>
      </w:r>
      <w:r>
        <w:t xml:space="preserve">will provide for a more uniform EU approach that still meets international standards as set out in</w:t>
      </w:r>
      <w:r>
        <w:t xml:space="preserve"> </w:t>
      </w:r>
      <w:r>
        <w:t xml:space="preserve">the OECD BEPS Action 4.</w:t>
      </w:r>
      <w:r>
        <w:t xml:space="preserve"> </w:t>
      </w:r>
      <w:r>
        <w:t xml:space="preserve">In turn, Option 1, i.e., a carveout for SMEs, and Option 4, i.e., carveout of third-party loans, will</w:t>
      </w:r>
      <w:r>
        <w:t xml:space="preserve"> </w:t>
      </w:r>
      <w:r>
        <w:t xml:space="preserve">ensure that the rule is more targeted, as low-risk cases will be alleviated from the associated</w:t>
      </w:r>
      <w:r>
        <w:t xml:space="preserve"> </w:t>
      </w:r>
      <w:r>
        <w:t xml:space="preserve">compliance burdens. The carveout will not alter the original objective of the Interest Limitation</w:t>
      </w:r>
      <w:r>
        <w:t xml:space="preserve"> </w:t>
      </w:r>
      <w:r>
        <w:t xml:space="preserve">Rule, i.e., to prevent using high debt financing to artificially reduce taxable profits in high-tax</w:t>
      </w:r>
      <w:r>
        <w:t xml:space="preserve"> </w:t>
      </w:r>
      <w:r>
        <w:t xml:space="preserve">jurisdictions, as the rule is intended to align taxation with genuine financing needs and prevent base</w:t>
      </w:r>
      <w:r>
        <w:t xml:space="preserve"> </w:t>
      </w:r>
      <w:r>
        <w:t xml:space="preserve">erosion by ensuring that interest deductions correspond to actual earnings. In the low-risk cases in</w:t>
      </w:r>
      <w:r>
        <w:t xml:space="preserve"> </w:t>
      </w:r>
      <w:r>
        <w:t xml:space="preserve">question, taking out a loan will generally reflect the company’s financing needs and the current</w:t>
      </w:r>
      <w:r>
        <w:t xml:space="preserve"> </w:t>
      </w:r>
      <w:r>
        <w:t xml:space="preserve">level of protection will not be adversely affected by unintended consequences linked to these</w:t>
      </w:r>
      <w:r>
        <w:t xml:space="preserve"> </w:t>
      </w:r>
      <w:r>
        <w:t xml:space="preserve">options. Hence, high tax standards remain within the EU.</w:t>
      </w:r>
      <w:r>
        <w:t xml:space="preserve"> </w:t>
      </w:r>
      <w:r>
        <w:t xml:space="preserve">Finally, Option 5, i.e., exemption in case of profitability shock, addresses the specific case where</w:t>
      </w:r>
      <w:r>
        <w:t xml:space="preserve"> </w:t>
      </w:r>
      <w:r>
        <w:t xml:space="preserve">the Interest Limitation Rule should not be imposing additional compliance or tax burden on a</w:t>
      </w:r>
      <w:r>
        <w:t xml:space="preserve"> </w:t>
      </w:r>
      <w:r>
        <w:t xml:space="preserve">company which experiences a significant drop in its EBITDA. This option will facilitate doing</w:t>
      </w:r>
      <w:r>
        <w:t xml:space="preserve"> </w:t>
      </w:r>
      <w:r>
        <w:t xml:space="preserve">business in the EU in periods of general economic difficulty or when a company faces occasional</w:t>
      </w:r>
      <w:r>
        <w:t xml:space="preserve"> </w:t>
      </w:r>
      <w:r>
        <w:t xml:space="preserve">economic challenges and, thereby, it improves the competitiveness of EU companies. The option</w:t>
      </w:r>
      <w:r>
        <w:t xml:space="preserve"> </w:t>
      </w:r>
      <w:r>
        <w:t xml:space="preserve">does not lower the current level of protection as it will only apply in cases where a company’s</w:t>
      </w:r>
      <w:r>
        <w:t xml:space="preserve"> </w:t>
      </w:r>
      <w:r>
        <w:t xml:space="preserve">difficulties reflect its economic reality. Tax planning opportunities will, therefore, not be an</w:t>
      </w:r>
      <w:r>
        <w:t xml:space="preserve"> </w:t>
      </w:r>
      <w:r>
        <w:t xml:space="preserve">unintended consequence of the option, and the high tax standards in the EU will continue to apply.</w:t>
      </w:r>
      <w:r>
        <w:br/>
      </w:r>
      <w:r>
        <w:t xml:space="preserve">8.1.5. Hybrid mismatches</w:t>
      </w:r>
      <w:r>
        <w:t xml:space="preserve"> </w:t>
      </w:r>
      <w:r>
        <w:t xml:space="preserve">To reduce the complexity related to the hybrid mismatch rules, the preferred simplification measure</w:t>
      </w:r>
      <w:r>
        <w:t xml:space="preserve"> </w:t>
      </w:r>
      <w:r>
        <w:t xml:space="preserve">is to abolish the rules on imported mismatches, i.e., Option 1A, due to their limited use, practical</w:t>
      </w:r>
      <w:r>
        <w:t xml:space="preserve"> </w:t>
      </w:r>
      <w:r>
        <w:t xml:space="preserve">difficulties in application, and, as a result, little-to-no practical effect. This will make the rules</w:t>
      </w:r>
      <w:r>
        <w:t xml:space="preserve"> </w:t>
      </w:r>
      <w:r>
        <w:t xml:space="preserve">clearer without altering the original objective of the rules, i.e., eliminating hybrid mismatch</w:t>
      </w:r>
      <w:r>
        <w:t xml:space="preserve"> </w:t>
      </w:r>
      <w:r>
        <w:t xml:space="preserve">arrangements that exploit differences in the tax treatment of instruments, entities, or transfers</w:t>
      </w:r>
      <w:r>
        <w:t xml:space="preserve"> </w:t>
      </w:r>
      <w:r>
        <w:t xml:space="preserve">between two or more countries to achieve double non-taxation, as it is only doing away with a rule</w:t>
      </w:r>
      <w:r>
        <w:t xml:space="preserve"> </w:t>
      </w:r>
      <w:r>
        <w:t xml:space="preserve">which does not offer any protection in practice. The hybrid mismatch rules in the EU would</w:t>
      </w:r>
      <w:r>
        <w:t xml:space="preserve"> </w:t>
      </w:r>
      <w:r>
        <w:t xml:space="preserve">therefore remain in line with the primary rules of the international standards as set out in the OECD</w:t>
      </w:r>
      <w:r>
        <w:t xml:space="preserve"> </w:t>
      </w:r>
      <w:r>
        <w:t xml:space="preserve">BEPS Action 2. The option will thereby contribute to simplifying the EU tax landscape by</w:t>
      </w:r>
      <w:r>
        <w:t xml:space="preserve"> </w:t>
      </w:r>
      <w:r>
        <w:t xml:space="preserve">eliminating compliance burdens in a certain field without lowering high tax standards.</w:t>
      </w:r>
      <w:r>
        <w:br/>
      </w:r>
      <w:r>
        <w:t xml:space="preserve">8.1.6. Tax mergers</w:t>
      </w:r>
      <w:r>
        <w:t xml:space="preserve"> </w:t>
      </w:r>
      <w:r>
        <w:t xml:space="preserve">As for the TMD, the preferred option is to update the existing definitions to include the new</w:t>
      </w:r>
      <w:r>
        <w:t xml:space="preserve"> </w:t>
      </w:r>
      <w:r>
        <w:t xml:space="preserve">restructuring transactions in the Mobility Directive (Option 1B). This will ensure the most</w:t>
      </w:r>
      <w:r>
        <w:t xml:space="preserve"> </w:t>
      </w:r>
      <w:r>
        <w:t xml:space="preserve">consistent application and remove a tax obstacle for business reorganisations which are already</w:t>
      </w:r>
      <w:r>
        <w:t xml:space="preserve"> </w:t>
      </w:r>
      <w:r>
        <w:t xml:space="preserve">acknowledged by EU law. The original objectives of the TMD, i.e., harmonising the tax treatment</w:t>
      </w:r>
      <w:r>
        <w:t xml:space="preserve"> </w:t>
      </w:r>
      <w:r>
        <w:t xml:space="preserve">of cross-border corporate reorganisations, would be fully pursued and extended to new</w:t>
      </w:r>
      <w:r>
        <w:t xml:space="preserve"> </w:t>
      </w:r>
      <w:r>
        <w:t xml:space="preserve">restructurings, thereby ensuring a wider level of protection for EU companies and facilitating more</w:t>
      </w:r>
      <w:r>
        <w:t xml:space="preserve"> </w:t>
      </w:r>
      <w:r>
        <w:t xml:space="preserve">types of restructurings to boost EU competitiveness. It would also run counter to the objectives of</w:t>
      </w:r>
      <w:r>
        <w:t xml:space="preserve"> </w:t>
      </w:r>
      <w:r>
        <w:t xml:space="preserve">the Omnibus on Taxation if these cases were left to be regulated in accordance with diverging</w:t>
      </w:r>
      <w:r>
        <w:t xml:space="preserve"> </w:t>
      </w:r>
      <w:r>
        <w:t xml:space="preserve">national tax approaches.</w:t>
      </w:r>
      <w:r>
        <w:br/>
      </w:r>
      <w:r>
        <w:t xml:space="preserve">8.1.7. Dispute resolution mechanisms</w:t>
      </w:r>
      <w:r>
        <w:t xml:space="preserve"> </w:t>
      </w:r>
      <w:r>
        <w:t xml:space="preserve">Regarding the DRM, the preferred approach is a combination of targeted legislative amendments to</w:t>
      </w:r>
      <w:r>
        <w:t xml:space="preserve"> </w:t>
      </w:r>
      <w:r>
        <w:t xml:space="preserve">the text of the DRM (Option 1) coupled with the possibility of adopting Council implementing acts</w:t>
      </w:r>
    </w:p>
    <w:p>
      <w:pPr>
        <w:pStyle w:val="BodyText"/>
      </w:pPr>
      <w:r>
        <w:t xml:space="preserve">(Option 2), depending on the nature of each issue. The original objective of the DRM, i.e.,</w:t>
      </w:r>
      <w:r>
        <w:t xml:space="preserve"> </w:t>
      </w:r>
      <w:r>
        <w:t xml:space="preserve">improving procedures for resolving double taxation disputes between Member States, will not be</w:t>
      </w:r>
      <w:r>
        <w:t xml:space="preserve"> </w:t>
      </w:r>
      <w:r>
        <w:t xml:space="preserve">affected. In fact, the interpretative issues identified in the application of the DRM cannot be</w:t>
      </w:r>
      <w:r>
        <w:t xml:space="preserve"> </w:t>
      </w:r>
      <w:r>
        <w:t xml:space="preserve">effectively addressed through a single instrument; instead the combination of the options will</w:t>
      </w:r>
      <w:r>
        <w:t xml:space="preserve"> </w:t>
      </w:r>
      <w:r>
        <w:t xml:space="preserve">effectively eliminate interpretative divergences and deliver to the greatest extent on providing clear</w:t>
      </w:r>
      <w:r>
        <w:t xml:space="preserve"> </w:t>
      </w:r>
      <w:r>
        <w:t xml:space="preserve">and predictable EU tax rules and terms, while also largely ensuring a uniform treatment of matters</w:t>
      </w:r>
      <w:r>
        <w:t xml:space="preserve"> </w:t>
      </w:r>
      <w:r>
        <w:t xml:space="preserve">within the scope of the DRM by replacing national rules related to the DRM with a harmonised</w:t>
      </w:r>
      <w:r>
        <w:t xml:space="preserve"> </w:t>
      </w:r>
      <w:r>
        <w:t xml:space="preserve">approach. These measures are complementary and expected to simplify the application of the DRM</w:t>
      </w:r>
      <w:r>
        <w:t xml:space="preserve"> </w:t>
      </w:r>
      <w:r>
        <w:t xml:space="preserve">while the improved functioning of the DRM will offer a higher level of protection and enhance the</w:t>
      </w:r>
      <w:r>
        <w:t xml:space="preserve"> </w:t>
      </w:r>
      <w:r>
        <w:t xml:space="preserve">tax standards in the EU.</w:t>
      </w:r>
      <w:r>
        <w:t xml:space="preserve"> </w:t>
      </w:r>
      <w:r>
        <w:t xml:space="preserve">8.2. REFIT (simplification and improved efficiency)</w:t>
      </w:r>
      <w:r>
        <w:t xml:space="preserve"> </w:t>
      </w:r>
      <w:r>
        <w:t xml:space="preserve">Under this programme, the Commission ensures that EU laws deliver their intended benefits for</w:t>
      </w:r>
      <w:r>
        <w:t xml:space="preserve"> </w:t>
      </w:r>
      <w:r>
        <w:t xml:space="preserve">individuals and businesses while achieving simplification and cutting red tape, whenever possible.</w:t>
      </w:r>
      <w:r>
        <w:t xml:space="preserve"> </w:t>
      </w:r>
      <w:r>
        <w:t xml:space="preserve">This condition is fulfilled, given the very intention of the proposed package: to simplify and cut red</w:t>
      </w:r>
      <w:r>
        <w:t xml:space="preserve"> </w:t>
      </w:r>
      <w:r>
        <w:t xml:space="preserve">tape. As noted in Section 8.1, all businesses in the scope of the EU acquis will benefit from the</w:t>
      </w:r>
      <w:r>
        <w:t xml:space="preserve"> </w:t>
      </w:r>
      <w:r>
        <w:t xml:space="preserve">simplifications which are envisaged under the Omnibus on Taxation proposal. The Omnibus on</w:t>
      </w:r>
      <w:r>
        <w:t xml:space="preserve"> </w:t>
      </w:r>
      <w:r>
        <w:t xml:space="preserve">Taxation is therefore in accordance with REFIT.</w:t>
      </w:r>
      <w:r>
        <w:t xml:space="preserve"> </w:t>
      </w:r>
      <w:r>
        <w:t xml:space="preserve">For further details, see Sections 4.1, 5.2, 6, and 0.</w:t>
      </w:r>
      <w:r>
        <w:t xml:space="preserve"> </w:t>
      </w:r>
      <w:r>
        <w:t xml:space="preserve">8.3. Application of the ‘one in, one out’ approach</w:t>
      </w:r>
      <w:r>
        <w:t xml:space="preserve"> </w:t>
      </w:r>
      <w:r>
        <w:t xml:space="preserve">According to the ‘one in, one out’ approach, new administrative burdens resulting from the</w:t>
      </w:r>
      <w:r>
        <w:t xml:space="preserve"> </w:t>
      </w:r>
      <w:r>
        <w:t xml:space="preserve">Commission’s proposals should be offset by reducing existing burdens in the same policy area. As</w:t>
      </w:r>
      <w:r>
        <w:t xml:space="preserve"> </w:t>
      </w:r>
      <w:r>
        <w:t xml:space="preserve">noted in Section 8.1, the preferred option has the potential to significantly reduce tax compliance</w:t>
      </w:r>
      <w:r>
        <w:t xml:space="preserve"> </w:t>
      </w:r>
      <w:r>
        <w:t xml:space="preserve">costs for businesses in the EU.</w:t>
      </w:r>
      <w:r>
        <w:t xml:space="preserve"> </w:t>
      </w:r>
      <w:r>
        <w:t xml:space="preserve">Proposals are designed so that the cost of implementation is minimal, especially if expressed as</w:t>
      </w:r>
      <w:r>
        <w:t xml:space="preserve"> </w:t>
      </w:r>
      <w:r>
        <w:t xml:space="preserve">annualised present value (i.e., distributed over the entire period a company will exist). It is so low</w:t>
      </w:r>
      <w:r>
        <w:t xml:space="preserve"> </w:t>
      </w:r>
      <w:r>
        <w:t xml:space="preserve">that they cannot be seriously estimated for both companies and financial administrations.</w:t>
      </w:r>
      <w:r>
        <w:br/>
      </w:r>
      <w:r>
        <w:t xml:space="preserve">As a result, it is difficult to fully apply the ‘one in, one out’ approach in this situation as the</w:t>
      </w:r>
      <w:r>
        <w:t xml:space="preserve"> </w:t>
      </w:r>
      <w:r>
        <w:t xml:space="preserve">Omnibus on Taxation is meant to amend the existing rules to make them simpler and more</w:t>
      </w:r>
      <w:r>
        <w:t xml:space="preserve"> </w:t>
      </w:r>
      <w:r>
        <w:t xml:space="preserve">effective rather than removing or adding rules. On the basis of the Omnibus on Taxation, the</w:t>
      </w:r>
      <w:r>
        <w:t xml:space="preserve"> </w:t>
      </w:r>
      <w:r>
        <w:t xml:space="preserve">estimated administrative cost savings is about EUR 2 billion.117</w:t>
      </w:r>
      <w:r>
        <w:br/>
      </w:r>
      <w:r>
        <w:t xml:space="preserve">However, as mentioned in the context of model simulations presented in Chapter 6, the full macro-</w:t>
      </w:r>
      <w:r>
        <w:t xml:space="preserve"> </w:t>
      </w:r>
      <w:r>
        <w:t xml:space="preserve">economic benefits of the proposed simplification measures for businesses outweigh by far these</w:t>
      </w:r>
      <w:r>
        <w:t xml:space="preserve"> </w:t>
      </w:r>
      <w:r>
        <w:t xml:space="preserve">direct cost savings and, all the more so, the cost of their implementation. This is because these cost</w:t>
      </w:r>
      <w:r>
        <w:t xml:space="preserve"> </w:t>
      </w:r>
      <w:r>
        <w:t xml:space="preserve">savings will play a role each time that companies make a decision about whether or not to invest</w:t>
      </w:r>
      <w:r>
        <w:t xml:space="preserve"> </w:t>
      </w:r>
      <w:r>
        <w:t xml:space="preserve">cross-border. This will create important second-round effects.</w:t>
      </w:r>
      <w:r>
        <w:t xml:space="preserve"> </w:t>
      </w:r>
      <w:r>
        <w:t xml:space="preserve">Consider that withholding taxes at zero percent across the EU will make complex refund</w:t>
      </w:r>
      <w:r>
        <w:t xml:space="preserve"> </w:t>
      </w:r>
      <w:r>
        <w:t xml:space="preserve">procedures unnecessary (Section 6.2.1.1); or that many companies having to comply with P2-</w:t>
      </w:r>
    </w:p>
    <w:p>
      <w:pPr>
        <w:pStyle w:val="BodyText"/>
      </w:pPr>
      <w:r>
        <w:t xml:space="preserve">117 The latter amount includes savings from avoiding financial costs stemming from the exemption of all payments of</w:t>
      </w:r>
      <w:r>
        <w:t xml:space="preserve"> </w:t>
      </w:r>
      <w:r>
        <w:t xml:space="preserve">interest, royalties and dividends from withholding tax (Option 1A): avoiding foregone refund and opportunity costs due</w:t>
      </w:r>
      <w:r>
        <w:t xml:space="preserve"> </w:t>
      </w:r>
      <w:r>
        <w:t xml:space="preserve">to late tax refunds, a total of EUR 4.6 billion. See Chapter 6, Section 6.2.1.1 and Tables 1 and 2 of Annex 4.</w:t>
      </w:r>
    </w:p>
    <w:p>
      <w:pPr>
        <w:pStyle w:val="BodyText"/>
      </w:pPr>
      <w:r>
        <w:t xml:space="preserve">related rules will be relieved from having to also comply with CFC rules (Section 6.2.2.2); or that</w:t>
      </w:r>
      <w:r>
        <w:t xml:space="preserve"> </w:t>
      </w:r>
      <w:r>
        <w:t xml:space="preserve">many companies now subject to interest limitation rules would no longer have to check compliance</w:t>
      </w:r>
      <w:r>
        <w:t xml:space="preserve"> </w:t>
      </w:r>
      <w:r>
        <w:t xml:space="preserve">with these rules in the future (Sections 6.2.4.1 and 6.2.4.4). All these measures create more legal</w:t>
      </w:r>
      <w:r>
        <w:t xml:space="preserve"> </w:t>
      </w:r>
      <w:r>
        <w:t xml:space="preserve">certainty for a significant number of companies which, in turn, will foster confidence in future</w:t>
      </w:r>
      <w:r>
        <w:t xml:space="preserve"> </w:t>
      </w:r>
      <w:r>
        <w:t xml:space="preserve">investment. It will motivate more of those companies to actually decide in favour of a given</w:t>
      </w:r>
      <w:r>
        <w:t xml:space="preserve"> </w:t>
      </w:r>
      <w:r>
        <w:t xml:space="preserve">investment, which today still consider that their cost is no match to the potential return. As a result,</w:t>
      </w:r>
      <w:r>
        <w:t xml:space="preserve"> </w:t>
      </w:r>
      <w:r>
        <w:t xml:space="preserve">more companies will invest in other EU countries, tapping into the full potential of the internal</w:t>
      </w:r>
      <w:r>
        <w:t xml:space="preserve"> </w:t>
      </w:r>
      <w:r>
        <w:t xml:space="preserve">market.</w:t>
      </w:r>
    </w:p>
    <w:p>
      <w:pPr>
        <w:pStyle w:val="Compact"/>
        <w:numPr>
          <w:ilvl w:val="0"/>
          <w:numId w:val="1004"/>
        </w:numPr>
      </w:pPr>
      <w:r>
        <w:t xml:space="preserve">HOW WILL ACTUAL IMPACTS BE MONITORED AND EVALUATED?</w:t>
      </w:r>
      <w:r>
        <w:t xml:space="preserve"> </w:t>
      </w:r>
      <w:r>
        <w:t xml:space="preserve">Monitoring and evaluation are key constituents of this simplification initiative, regardless of the</w:t>
      </w:r>
      <w:r>
        <w:t xml:space="preserve"> </w:t>
      </w:r>
      <w:r>
        <w:t xml:space="preserve">policy options to be finally selected. Progress towards achieving the objectives will be monitored</w:t>
      </w:r>
      <w:r>
        <w:t xml:space="preserve"> </w:t>
      </w:r>
      <w:r>
        <w:t xml:space="preserve">and evaluated on the basis of the data already collected in combination with potential new</w:t>
      </w:r>
      <w:r>
        <w:t xml:space="preserve"> </w:t>
      </w:r>
      <w:r>
        <w:t xml:space="preserve">information.</w:t>
      </w:r>
      <w:r>
        <w:br/>
      </w:r>
      <w:r>
        <w:t xml:space="preserve">9.1. Monitoring</w:t>
      </w:r>
      <w:r>
        <w:t xml:space="preserve"> </w:t>
      </w:r>
      <w:r>
        <w:t xml:space="preserve">The Commission will periodically monitor the implementation of the Omnibus on Taxation</w:t>
      </w:r>
      <w:r>
        <w:t xml:space="preserve"> </w:t>
      </w:r>
      <w:r>
        <w:t xml:space="preserve">proposal and its application in close cooperation with the Member States. Monitoring in a</w:t>
      </w:r>
      <w:r>
        <w:t xml:space="preserve"> </w:t>
      </w:r>
      <w:r>
        <w:t xml:space="preserve">continuous and systematic way will allow the Commission to identify whether the policy proposal</w:t>
      </w:r>
      <w:r>
        <w:t xml:space="preserve"> </w:t>
      </w:r>
      <w:r>
        <w:t xml:space="preserve">is being applied as expected and to address implementation problems in a timely manner.</w:t>
      </w:r>
      <w:r>
        <w:t xml:space="preserve"> </w:t>
      </w:r>
      <w:r>
        <w:t xml:space="preserve">Collection of factual data on the suggested monitoring indicators will also provide the basis for the</w:t>
      </w:r>
      <w:r>
        <w:t xml:space="preserve"> </w:t>
      </w:r>
      <w:r>
        <w:t xml:space="preserve">future evaluation of the initiative (Section 9.2).</w:t>
      </w:r>
      <w:r>
        <w:t xml:space="preserve"> </w:t>
      </w:r>
      <w:r>
        <w:t xml:space="preserve">Below, indicators are suggested to measure the success of the initiative in light of the specific</w:t>
      </w:r>
      <w:r>
        <w:t xml:space="preserve"> </w:t>
      </w:r>
      <w:r>
        <w:t xml:space="preserve">objectives (Tabel 1) and general objectives (Tabel 2):</w:t>
      </w:r>
      <w:r>
        <w:br/>
      </w:r>
      <w:r>
        <w:t xml:space="preserve">Table 1: Monitoring of specific objectives</w:t>
      </w:r>
      <w:r>
        <w:t xml:space="preserve"> </w:t>
      </w:r>
      <w:r>
        <w:t xml:space="preserve">Target</w:t>
      </w:r>
      <w:r>
        <w:t xml:space="preserve"> </w:t>
      </w:r>
      <w:r>
        <w:t xml:space="preserve">Indicators</w:t>
      </w:r>
      <w:r>
        <w:t xml:space="preserve"> </w:t>
      </w:r>
      <w:r>
        <w:t xml:space="preserve">Eliminate disproportionate</w:t>
      </w:r>
      <w:r>
        <w:t xml:space="preserve"> </w:t>
      </w:r>
      <w:r>
        <w:t xml:space="preserve">EU tax compliance burdens</w:t>
      </w:r>
      <w:r>
        <w:t xml:space="preserve"> </w:t>
      </w:r>
      <w:r>
        <w:t xml:space="preserve">• Significant change in tax compliance costs for businesses,</w:t>
      </w:r>
      <w:r>
        <w:t xml:space="preserve"> </w:t>
      </w:r>
      <w:r>
        <w:t xml:space="preserve">relative to their turnover (established through a dedicated</w:t>
      </w:r>
      <w:r>
        <w:t xml:space="preserve"> </w:t>
      </w:r>
      <w:r>
        <w:t xml:space="preserve">survey).</w:t>
      </w:r>
      <w:r>
        <w:t xml:space="preserve"> </w:t>
      </w:r>
      <w:r>
        <w:t xml:space="preserve">• Share of companies for whom exceeding borrowing costs</w:t>
      </w:r>
      <w:r>
        <w:t xml:space="preserve"> </w:t>
      </w:r>
      <w:r>
        <w:t xml:space="preserve">remain non-deductible for both groups and SMEs, established</w:t>
      </w:r>
      <w:r>
        <w:t xml:space="preserve"> </w:t>
      </w:r>
      <w:r>
        <w:t xml:space="preserve">on the basis of a firm-level sample as done for this Impact</w:t>
      </w:r>
      <w:r>
        <w:t xml:space="preserve"> </w:t>
      </w:r>
      <w:r>
        <w:t xml:space="preserve">Assessment (Chapter 6 and Annex 4, Section 4 for 2024).</w:t>
      </w:r>
      <w:r>
        <w:t xml:space="preserve"> </w:t>
      </w:r>
      <w:r>
        <w:t xml:space="preserve">• Change in R&amp;D expenditure as percent of GDP</w:t>
      </w:r>
      <w:r>
        <w:t xml:space="preserve"> </w:t>
      </w:r>
      <w:r>
        <w:t xml:space="preserve">• Level of costs and cost savings borne by tax administrations</w:t>
      </w:r>
      <w:r>
        <w:t xml:space="preserve"> </w:t>
      </w:r>
      <w:r>
        <w:t xml:space="preserve">(established through dedicated surveys)</w:t>
      </w:r>
      <w:r>
        <w:t xml:space="preserve"> </w:t>
      </w:r>
      <w:r>
        <w:t xml:space="preserve">Predictable EU tax rules</w:t>
      </w:r>
      <w:r>
        <w:t xml:space="preserve"> </w:t>
      </w:r>
      <w:r>
        <w:t xml:space="preserve">and terms</w:t>
      </w:r>
      <w:r>
        <w:br/>
      </w:r>
      <w:r>
        <w:t xml:space="preserve">• Stakeholder views on issues with the interpretation of specific</w:t>
      </w:r>
      <w:r>
        <w:t xml:space="preserve"> </w:t>
      </w:r>
      <w:r>
        <w:t xml:space="preserve">provisions, the existence of operational and technical</w:t>
      </w:r>
      <w:r>
        <w:t xml:space="preserve"> </w:t>
      </w:r>
      <w:r>
        <w:t xml:space="preserve">inconsistencies (e.g. different definitions, different reporting</w:t>
      </w:r>
      <w:r>
        <w:t xml:space="preserve"> </w:t>
      </w:r>
      <w:r>
        <w:t xml:space="preserve">standards), and how different policy choices in implementation</w:t>
      </w:r>
      <w:r>
        <w:t xml:space="preserve"> </w:t>
      </w:r>
      <w:r>
        <w:t xml:space="preserve">affect effectiveness</w:t>
      </w:r>
      <w:r>
        <w:t xml:space="preserve"> </w:t>
      </w:r>
      <w:r>
        <w:t xml:space="preserve">• Change in the number of cases resolved using the DRM</w:t>
      </w:r>
      <w:r>
        <w:t xml:space="preserve"> </w:t>
      </w:r>
      <w:r>
        <w:t xml:space="preserve">• (Change in tax compliance costs for businesses, relative to their</w:t>
      </w:r>
    </w:p>
    <w:p>
      <w:pPr>
        <w:pStyle w:val="FirstParagraph"/>
      </w:pPr>
      <w:r>
        <w:t xml:space="preserve">turnover)</w:t>
      </w:r>
      <w:r>
        <w:t xml:space="preserve"> </w:t>
      </w:r>
      <w:r>
        <w:t xml:space="preserve">Consistent application of</w:t>
      </w:r>
      <w:r>
        <w:t xml:space="preserve"> </w:t>
      </w:r>
      <w:r>
        <w:t xml:space="preserve">EU tax directive</w:t>
      </w:r>
      <w:r>
        <w:t xml:space="preserve"> </w:t>
      </w:r>
      <w:r>
        <w:t xml:space="preserve">• Stakeholders’ views on harmonisation and on the variation of</w:t>
      </w:r>
      <w:r>
        <w:t xml:space="preserve"> </w:t>
      </w:r>
      <w:r>
        <w:t xml:space="preserve">options for transpositions and effects on business operations</w:t>
      </w:r>
      <w:r>
        <w:t xml:space="preserve"> </w:t>
      </w:r>
      <w:r>
        <w:t xml:space="preserve">• Existence of tax gaps and overlaps</w:t>
      </w:r>
      <w:r>
        <w:t xml:space="preserve"> </w:t>
      </w:r>
      <w:r>
        <w:t xml:space="preserve">• (Change in tax compliance costs for businesses, relative to their</w:t>
      </w:r>
      <w:r>
        <w:t xml:space="preserve"> </w:t>
      </w:r>
      <w:r>
        <w:t xml:space="preserve">turnover)</w:t>
      </w:r>
    </w:p>
    <w:p>
      <w:pPr>
        <w:pStyle w:val="BodyText"/>
      </w:pPr>
      <w:r>
        <w:t xml:space="preserve">Table 2: Monitoring of general objectives</w:t>
      </w:r>
      <w:r>
        <w:t xml:space="preserve"> </w:t>
      </w:r>
      <w:r>
        <w:t xml:space="preserve">Target</w:t>
      </w:r>
      <w:r>
        <w:t xml:space="preserve"> </w:t>
      </w:r>
      <w:r>
        <w:t xml:space="preserve">Indicators</w:t>
      </w:r>
      <w:r>
        <w:t xml:space="preserve"> </w:t>
      </w:r>
      <w:r>
        <w:t xml:space="preserve">Simpler tax rules boosting</w:t>
      </w:r>
      <w:r>
        <w:t xml:space="preserve"> </w:t>
      </w:r>
      <w:r>
        <w:t xml:space="preserve">EU competitiveness</w:t>
      </w:r>
      <w:r>
        <w:t xml:space="preserve"> </w:t>
      </w:r>
      <w:r>
        <w:t xml:space="preserve">• Change in FDI within the EU (Balance of Payment Statistics)</w:t>
      </w:r>
      <w:r>
        <w:t xml:space="preserve"> </w:t>
      </w:r>
      <w:r>
        <w:t xml:space="preserve">• Change in tax compliance costs for businesses, relative to their</w:t>
      </w:r>
      <w:r>
        <w:t xml:space="preserve"> </w:t>
      </w:r>
      <w:r>
        <w:t xml:space="preserve">turnover</w:t>
      </w:r>
      <w:r>
        <w:t xml:space="preserve"> </w:t>
      </w:r>
      <w:r>
        <w:t xml:space="preserve">• Comparison of costs and benefits from stakeholders’</w:t>
      </w:r>
      <w:r>
        <w:t xml:space="preserve"> </w:t>
      </w:r>
      <w:r>
        <w:t xml:space="preserve">perspective (feedback on the issues addressed by the Tax</w:t>
      </w:r>
      <w:r>
        <w:t xml:space="preserve"> </w:t>
      </w:r>
      <w:r>
        <w:t xml:space="preserve">Omnibus)</w:t>
      </w:r>
      <w:r>
        <w:br/>
      </w:r>
      <w:r>
        <w:t xml:space="preserve">Maintaining high tax</w:t>
      </w:r>
      <w:r>
        <w:t xml:space="preserve"> </w:t>
      </w:r>
      <w:r>
        <w:t xml:space="preserve">standard in the EU</w:t>
      </w:r>
      <w:r>
        <w:t xml:space="preserve"> </w:t>
      </w:r>
      <w:r>
        <w:t xml:space="preserve">• Evidence of issues in the design of the Tax Omnibus, e.g., gaps</w:t>
      </w:r>
      <w:r>
        <w:t xml:space="preserve"> </w:t>
      </w:r>
      <w:r>
        <w:t xml:space="preserve">or loopholes that make the existing Directives prone to be</w:t>
      </w:r>
      <w:r>
        <w:t xml:space="preserve"> </w:t>
      </w:r>
      <w:r>
        <w:t xml:space="preserve">circumvented (stakeholder views)</w:t>
      </w:r>
      <w:r>
        <w:t xml:space="preserve"> </w:t>
      </w:r>
      <w:r>
        <w:t xml:space="preserve">• Change in the use of aggressive tax planning as indicated by the</w:t>
      </w:r>
      <w:r>
        <w:t xml:space="preserve"> </w:t>
      </w:r>
      <w:r>
        <w:t xml:space="preserve">amount of interest and royalty payments bound for jurisdictions</w:t>
      </w:r>
      <w:r>
        <w:t xml:space="preserve"> </w:t>
      </w:r>
      <w:r>
        <w:t xml:space="preserve">outside the EU</w:t>
      </w:r>
      <w:r>
        <w:t xml:space="preserve"> </w:t>
      </w:r>
      <w:r>
        <w:t xml:space="preserve">• Stakeholders’ views of the extent to which the Tax Omnibus</w:t>
      </w:r>
      <w:r>
        <w:t xml:space="preserve"> </w:t>
      </w:r>
      <w:r>
        <w:t xml:space="preserve">influenced business organisation and tax planning choices</w:t>
      </w:r>
    </w:p>
    <w:p>
      <w:pPr>
        <w:pStyle w:val="BodyText"/>
      </w:pPr>
      <w:r>
        <w:t xml:space="preserve">To measure the indicators, the Commission will use different tools, such as stakeholder</w:t>
      </w:r>
      <w:r>
        <w:t xml:space="preserve"> </w:t>
      </w:r>
      <w:r>
        <w:t xml:space="preserve">surveys/questionnaires, public information, e.g., from Eurostat, company level databases, e.g.,</w:t>
      </w:r>
      <w:r>
        <w:t xml:space="preserve"> </w:t>
      </w:r>
      <w:r>
        <w:t xml:space="preserve">Orbis, external and internal research, and statistics, e.g., on the judicial activity of the CJEU. The</w:t>
      </w:r>
      <w:r>
        <w:t xml:space="preserve"> </w:t>
      </w:r>
      <w:r>
        <w:t xml:space="preserve">Commission will also review the situation in the Member States regularly and publish a report. The</w:t>
      </w:r>
      <w:r>
        <w:t xml:space="preserve"> </w:t>
      </w:r>
      <w:r>
        <w:t xml:space="preserve">monitoring framework will be subject to further adjustments in accordance with the final legal and</w:t>
      </w:r>
      <w:r>
        <w:t xml:space="preserve"> </w:t>
      </w:r>
      <w:r>
        <w:t xml:space="preserve">implementation requirements and timeline. Given the current lack of data, it will be difficult to</w:t>
      </w:r>
      <w:r>
        <w:t xml:space="preserve"> </w:t>
      </w:r>
      <w:r>
        <w:t xml:space="preserve">isolate the impacts of the Omnibus. Hence, stakeholder will also be surveyed on the basis of</w:t>
      </w:r>
      <w:r>
        <w:t xml:space="preserve"> </w:t>
      </w:r>
      <w:r>
        <w:t xml:space="preserve">generalised questions to obtain broad-ranging qualitative data. Similarly, a survey specifically on</w:t>
      </w:r>
      <w:r>
        <w:t xml:space="preserve"> </w:t>
      </w:r>
      <w:r>
        <w:t xml:space="preserve">ATAD-related compliance costs will be carried out. It must be sufficiently large to allow for</w:t>
      </w:r>
      <w:r>
        <w:t xml:space="preserve"> </w:t>
      </w:r>
      <w:r>
        <w:t xml:space="preserve">econometric techniques.118 Those will be used to analyse the effect of the Omnibus on compliance</w:t>
      </w:r>
      <w:r>
        <w:t xml:space="preserve"> </w:t>
      </w:r>
      <w:r>
        <w:t xml:space="preserve">costs, controlling to the largest possible extent for other observable and non-observable cost</w:t>
      </w:r>
      <w:r>
        <w:t xml:space="preserve"> </w:t>
      </w:r>
      <w:r>
        <w:t xml:space="preserve">drivers.</w:t>
      </w:r>
    </w:p>
    <w:p>
      <w:pPr>
        <w:pStyle w:val="BodyText"/>
      </w:pPr>
      <w:r>
        <w:t xml:space="preserve">118 The survey could update the analysis presented in Tax compliance costs for SMEs: An update and a complement</w:t>
      </w:r>
      <w:r>
        <w:t xml:space="preserve"> </w:t>
      </w:r>
      <w:r>
        <w:t xml:space="preserve">Final Report KPMG/VVA 2022.</w:t>
      </w:r>
    </w:p>
    <w:p>
      <w:pPr>
        <w:pStyle w:val="BodyText"/>
      </w:pPr>
      <w:r>
        <w:t xml:space="preserve">9.2. Evaluation</w:t>
      </w:r>
      <w:r>
        <w:t xml:space="preserve"> </w:t>
      </w:r>
      <w:r>
        <w:t xml:space="preserve">Considering the impact of the initiative on several existing EU direct tax Directives, which have</w:t>
      </w:r>
      <w:r>
        <w:t xml:space="preserve"> </w:t>
      </w:r>
      <w:r>
        <w:t xml:space="preserve">been transposed by the Member States, it will be necessary to give Member States time to properly</w:t>
      </w:r>
      <w:r>
        <w:t xml:space="preserve"> </w:t>
      </w:r>
      <w:r>
        <w:t xml:space="preserve">implement the adjustments which will be adopted in Council as part of the Omnibus on Taxation</w:t>
      </w:r>
      <w:r>
        <w:t xml:space="preserve"> </w:t>
      </w:r>
      <w:r>
        <w:t xml:space="preserve">proposal. On this premise, the first evaluation should not take place earlier than five years after the</w:t>
      </w:r>
      <w:r>
        <w:t xml:space="preserve"> </w:t>
      </w:r>
      <w:r>
        <w:t xml:space="preserve">new rules start to apply.</w:t>
      </w:r>
      <w:r>
        <w:t xml:space="preserve"> </w:t>
      </w:r>
      <w:r>
        <w:t xml:space="preserve">In addition to the data outlined in Section 9.1, Member States will be asked to communicate to the</w:t>
      </w:r>
      <w:r>
        <w:t xml:space="preserve"> </w:t>
      </w:r>
      <w:r>
        <w:t xml:space="preserve">Commission any relevant information that is necessary for the monitoring and evaluation of the</w:t>
      </w:r>
      <w:r>
        <w:t xml:space="preserve"> </w:t>
      </w:r>
      <w:r>
        <w:t xml:space="preserve">Omnibus on Taxation proposal. After giving a picture of the functioning of the new EU tax rules,</w:t>
      </w:r>
      <w:r>
        <w:t xml:space="preserve"> </w:t>
      </w:r>
      <w:r>
        <w:t xml:space="preserve">the evaluation should assess whether the outlined objectives have been met, including to what</w:t>
      </w:r>
      <w:r>
        <w:t xml:space="preserve"> </w:t>
      </w:r>
      <w:r>
        <w:t xml:space="preserve">extent the expected simplifications have materialised. The Commission will inform about the</w:t>
      </w:r>
      <w:r>
        <w:t xml:space="preserve"> </w:t>
      </w:r>
      <w:r>
        <w:t xml:space="preserve">evaluation results in the form of an evaluation report, which will be submitted to the Council.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Directorate General is the Directorate General for Taxation and the Customs Union (DG</w:t>
      </w:r>
      <w:r>
        <w:t xml:space="preserve"> </w:t>
      </w:r>
      <w:r>
        <w:t xml:space="preserve">TAXUD).</w:t>
      </w:r>
      <w:r>
        <w:t xml:space="preserve"> </w:t>
      </w:r>
      <w:r>
        <w:t xml:space="preserve">References:</w:t>
      </w:r>
      <w:r>
        <w:br/>
      </w:r>
      <w:r>
        <w:t xml:space="preserve">– Agenda Planning: Omnibus on Tax Simplification (PLAN/2025/2875)</w:t>
      </w:r>
      <w:r>
        <w:br/>
      </w:r>
      <w:r>
        <w:t xml:space="preserve">– Call for evidence on simplifying EU rules on direct taxation (Ref. Ares(2026)1712759)</w:t>
      </w:r>
      <w:r>
        <w:br/>
      </w:r>
      <w:r>
        <w:t xml:space="preserve">– The initiative was announced in the Communication from the Commission to the European</w:t>
      </w:r>
      <w:r>
        <w:t xml:space="preserve"> </w:t>
      </w:r>
      <w:r>
        <w:t xml:space="preserve">Parliament, the Council, the European Economic and Social Committee, and the Committee</w:t>
      </w:r>
      <w:r>
        <w:t xml:space="preserve"> </w:t>
      </w:r>
      <w:r>
        <w:t xml:space="preserve">of the Regions on the Commission work programme 2026 (COM(2025) 870 final)</w:t>
      </w:r>
    </w:p>
    <w:p>
      <w:pPr>
        <w:pStyle w:val="BodyText"/>
      </w:pPr>
      <w:r>
        <w:t xml:space="preserve">Organisation and timing</w:t>
      </w:r>
      <w:r>
        <w:t xml:space="preserve"> </w:t>
      </w:r>
      <w:r>
        <w:t xml:space="preserve">An Inter-Service Steering Group (ISSG) was set up to steer and provide input to this impact</w:t>
      </w:r>
      <w:r>
        <w:t xml:space="preserve"> </w:t>
      </w:r>
      <w:r>
        <w:t xml:space="preserve">assessment report. The steering group, led by the Secretariat-General, met on: 23 January, 25</w:t>
      </w:r>
      <w:r>
        <w:t xml:space="preserve"> </w:t>
      </w:r>
      <w:r>
        <w:t xml:space="preserve">February and 20 March 2026.</w:t>
      </w:r>
      <w:r>
        <w:t xml:space="preserve"> </w:t>
      </w:r>
      <w:r>
        <w:t xml:space="preserve">The following Directorates General were invited to the Steering Group: AGRI, BUDG, CNECT,</w:t>
      </w:r>
      <w:r>
        <w:t xml:space="preserve"> </w:t>
      </w:r>
      <w:r>
        <w:t xml:space="preserve">COMM, COMP, ECFIN, EEAS, EMPL, ESTAT, FISMA, GROW, INPTA, JRC, JUST, REGIO,</w:t>
      </w:r>
      <w:r>
        <w:t xml:space="preserve"> </w:t>
      </w:r>
      <w:r>
        <w:t xml:space="preserve">SJ, OLAF, TRADE. In addition to the meetings of the Inter-Service Steering Group, DG TAXUD</w:t>
      </w:r>
      <w:r>
        <w:t xml:space="preserve"> </w:t>
      </w:r>
      <w:r>
        <w:t xml:space="preserve">met in bilateral meetings with representatives of the following Directorates General to discuss the</w:t>
      </w:r>
      <w:r>
        <w:t xml:space="preserve"> </w:t>
      </w:r>
      <w:r>
        <w:t xml:space="preserve">analysis in the impact assessment, the design of options, and other policy issues: COMP, FISMA,</w:t>
      </w:r>
      <w:r>
        <w:t xml:space="preserve"> </w:t>
      </w:r>
      <w:r>
        <w:t xml:space="preserve">JRC, and the Secretariat-General.</w:t>
      </w:r>
    </w:p>
    <w:p>
      <w:pPr>
        <w:pStyle w:val="BodyText"/>
      </w:pPr>
      <w:r>
        <w:t xml:space="preserve">Consultation of the RSB</w:t>
      </w:r>
      <w:r>
        <w:t xml:space="preserve"> </w:t>
      </w:r>
      <w:r>
        <w:t xml:space="preserve">The preparation of the Impact Assessment report was discussed with the Regulatory Scrutiny Board</w:t>
      </w:r>
      <w:r>
        <w:t xml:space="preserve"> </w:t>
      </w:r>
      <w:r>
        <w:t xml:space="preserve">in an upstream meeting on 9 March 2026.</w:t>
      </w:r>
      <w:r>
        <w:br/>
      </w:r>
      <w:r>
        <w:t xml:space="preserve">The report was submitted to the Regulatory Scrutiny Report on 8 April 2026.</w:t>
      </w:r>
      <w:r>
        <w:t xml:space="preserve"> </w:t>
      </w:r>
      <w:r>
        <w:t xml:space="preserve">The Impact Assessment report was scrutinised by the Regulatory Scrutiny Board and discussed in</w:t>
      </w:r>
      <w:r>
        <w:t xml:space="preserve"> </w:t>
      </w:r>
      <w:r>
        <w:t xml:space="preserve">the relevant meeting on 29 April 2026. In the opinion dated 4 May 2026 and in line with the</w:t>
      </w:r>
      <w:r>
        <w:t xml:space="preserve"> </w:t>
      </w:r>
      <w:r>
        <w:t xml:space="preserve">decision of the President of the Commission P(2026)1 of 28 April 2026, the Regulatory Scrutiny</w:t>
      </w:r>
      <w:r>
        <w:t xml:space="preserve"> </w:t>
      </w:r>
      <w:r>
        <w:t xml:space="preserve">Board provided recommendations on how the quality of the draft report submitted should be</w:t>
      </w:r>
      <w:r>
        <w:t xml:space="preserve"> </w:t>
      </w:r>
      <w:r>
        <w:t xml:space="preserve">improved.</w:t>
      </w:r>
      <w:r>
        <w:t xml:space="preserve"> </w:t>
      </w:r>
      <w:r>
        <w:t xml:space="preserve">On this basis, the Impact Assessment report has been revised. The main changes to the report are</w:t>
      </w:r>
      <w:r>
        <w:t xml:space="preserve"> </w:t>
      </w:r>
      <w:r>
        <w:t xml:space="preserve">summarised in Table 3:</w:t>
      </w:r>
      <w:r>
        <w:t xml:space="preserve"> </w:t>
      </w:r>
      <w:r>
        <w:t xml:space="preserve">Table 3: TAXUD revisions following the RSB recommendations</w:t>
      </w:r>
      <w:r>
        <w:t xml:space="preserve"> </w:t>
      </w:r>
      <w:r>
        <w:t xml:space="preserve">Comments of the RSB</w:t>
      </w:r>
      <w:r>
        <w:t xml:space="preserve"> </w:t>
      </w:r>
      <w:r>
        <w:t xml:space="preserve">How and where comments have been addressed</w:t>
      </w:r>
      <w:r>
        <w:t xml:space="preserve"> </w:t>
      </w:r>
      <w:r>
        <w:t xml:space="preserve">(C) What to improve</w:t>
      </w:r>
    </w:p>
    <w:p>
      <w:pPr>
        <w:pStyle w:val="Compact"/>
        <w:numPr>
          <w:ilvl w:val="0"/>
          <w:numId w:val="1005"/>
        </w:numPr>
      </w:pPr>
      <w:r>
        <w:t xml:space="preserve">The report should provide more robust</w:t>
      </w:r>
      <w:r>
        <w:t xml:space="preserve"> </w:t>
      </w:r>
      <w:r>
        <w:t xml:space="preserve">evidence including quantitative observational</w:t>
      </w:r>
      <w:r>
        <w:t xml:space="preserve"> </w:t>
      </w:r>
      <w:r>
        <w:t xml:space="preserve">data, to demonstrate the extent to which the</w:t>
      </w:r>
      <w:r>
        <w:t xml:space="preserve"> </w:t>
      </w:r>
      <w:r>
        <w:t xml:space="preserve">identified problems impose costs and burdens</w:t>
      </w:r>
      <w:r>
        <w:t xml:space="preserve"> </w:t>
      </w:r>
      <w:r>
        <w:t xml:space="preserve">on economic operators. It should explain how</w:t>
      </w:r>
      <w:r>
        <w:t xml:space="preserve"> </w:t>
      </w:r>
      <w:r>
        <w:t xml:space="preserve">this constrains economic activity and impacts</w:t>
      </w:r>
      <w:r>
        <w:t xml:space="preserve"> </w:t>
      </w:r>
      <w:r>
        <w:t xml:space="preserve">growth and competitiveness and also their</w:t>
      </w:r>
      <w:r>
        <w:t xml:space="preserve"> </w:t>
      </w:r>
      <w:r>
        <w:t xml:space="preserve">impacts on public authorities. To the extent</w:t>
      </w:r>
      <w:r>
        <w:t xml:space="preserve"> </w:t>
      </w:r>
      <w:r>
        <w:t xml:space="preserve">possible, observational as well as more granular</w:t>
      </w:r>
      <w:r>
        <w:t xml:space="preserve"> </w:t>
      </w:r>
      <w:r>
        <w:t xml:space="preserve">opinion data should be used to demonstrate the</w:t>
      </w:r>
      <w:r>
        <w:t xml:space="preserve"> </w:t>
      </w:r>
      <w:r>
        <w:t xml:space="preserve">size of the problems and establish the dynamic</w:t>
      </w:r>
      <w:r>
        <w:t xml:space="preserve"> </w:t>
      </w:r>
      <w:r>
        <w:t xml:space="preserve">baseline. The report should also bring forth</w:t>
      </w:r>
      <w:r>
        <w:t xml:space="preserve"> </w:t>
      </w:r>
      <w:r>
        <w:t xml:space="preserve">relevant evidence from key sources, such as the</w:t>
      </w:r>
      <w:r>
        <w:t xml:space="preserve"> </w:t>
      </w:r>
      <w:r>
        <w:t xml:space="preserve">ATAD evaluation and its support study.</w:t>
      </w:r>
      <w:r>
        <w:br/>
      </w:r>
      <w:r>
        <w:t xml:space="preserve">More data, e.g., from the Call for Evidence, the</w:t>
      </w:r>
      <w:r>
        <w:t xml:space="preserve"> </w:t>
      </w:r>
      <w:r>
        <w:t xml:space="preserve">ATAD evaluation and other publicly available</w:t>
      </w:r>
      <w:r>
        <w:t xml:space="preserve"> </w:t>
      </w:r>
      <w:r>
        <w:t xml:space="preserve">studies, has been added in Chapter 2 to provide</w:t>
      </w:r>
      <w:r>
        <w:t xml:space="preserve"> </w:t>
      </w:r>
      <w:r>
        <w:t xml:space="preserve">more</w:t>
      </w:r>
      <w:r>
        <w:t xml:space="preserve"> </w:t>
      </w:r>
      <w:r>
        <w:t xml:space="preserve">robust</w:t>
      </w:r>
      <w:r>
        <w:t xml:space="preserve"> </w:t>
      </w:r>
      <w:r>
        <w:t xml:space="preserve">evidence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problems. It has also been clarified in Chapter 3</w:t>
      </w:r>
      <w:r>
        <w:t xml:space="preserve"> </w:t>
      </w:r>
      <w:r>
        <w:t xml:space="preserve">(EU action) and 5 (baseline scenario) that not all</w:t>
      </w:r>
      <w:r>
        <w:t xml:space="preserve"> </w:t>
      </w:r>
      <w:r>
        <w:t xml:space="preserve">problems that are identified, e.g., in the ATAD</w:t>
      </w:r>
      <w:r>
        <w:t xml:space="preserve"> </w:t>
      </w:r>
      <w:r>
        <w:t xml:space="preserve">evaluation and in the Call for Evidence, feature</w:t>
      </w:r>
      <w:r>
        <w:t xml:space="preserve"> </w:t>
      </w:r>
      <w:r>
        <w:t xml:space="preserve">in the report as the report focuses on identified</w:t>
      </w:r>
      <w:r>
        <w:t xml:space="preserve"> </w:t>
      </w:r>
      <w:r>
        <w:t xml:space="preserve">problems that can only be addressed by</w:t>
      </w:r>
      <w:r>
        <w:t xml:space="preserve"> </w:t>
      </w:r>
      <w:r>
        <w:t xml:space="preserve">legislative action.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should</w:t>
      </w:r>
      <w:r>
        <w:t xml:space="preserve"> </w:t>
      </w:r>
      <w:r>
        <w:t xml:space="preserve">strengthen</w:t>
      </w:r>
      <w:r>
        <w:t xml:space="preserve"> </w:t>
      </w:r>
      <w:r>
        <w:t xml:space="preserve">the</w:t>
      </w:r>
      <w:r>
        <w:t xml:space="preserve"> </w:t>
      </w:r>
      <w:r>
        <w:t xml:space="preserve">intervention logic by providing a clearer</w:t>
      </w:r>
      <w:r>
        <w:t xml:space="preserve"> </w:t>
      </w:r>
      <w:r>
        <w:t xml:space="preserve">description of some of the proposed measures</w:t>
      </w:r>
      <w:r>
        <w:t xml:space="preserve"> </w:t>
      </w:r>
      <w:r>
        <w:t xml:space="preserve">and how they correspond to the identified</w:t>
      </w:r>
      <w:r>
        <w:t xml:space="preserve"> </w:t>
      </w:r>
      <w:r>
        <w:t xml:space="preserve">problems and objectives - especially for</w:t>
      </w:r>
      <w:r>
        <w:t xml:space="preserve"> </w:t>
      </w:r>
      <w:r>
        <w:t xml:space="preserve">measures concerning R&amp;D expensing and</w:t>
      </w:r>
      <w:r>
        <w:t xml:space="preserve"> </w:t>
      </w:r>
      <w:r>
        <w:t xml:space="preserve">imported hybrid mismatches. It should, for</w:t>
      </w:r>
      <w:r>
        <w:t xml:space="preserve"> </w:t>
      </w:r>
      <w:r>
        <w:t xml:space="preserve">example,</w:t>
      </w:r>
      <w:r>
        <w:t xml:space="preserve"> </w:t>
      </w:r>
      <w:r>
        <w:t xml:space="preserve">include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uncertainties and diverging national rules on</w:t>
      </w:r>
      <w:r>
        <w:t xml:space="preserve"> </w:t>
      </w:r>
      <w:r>
        <w:t xml:space="preserve">expensing of R&amp;D, and also clarify that the</w:t>
      </w:r>
      <w:r>
        <w:t xml:space="preserve"> </w:t>
      </w:r>
      <w:r>
        <w:t xml:space="preserve">measure is a new initiative rather than a change</w:t>
      </w:r>
      <w:r>
        <w:t xml:space="preserve"> </w:t>
      </w:r>
      <w:r>
        <w:t xml:space="preserve">of existing EU rules regarding expensing. As</w:t>
      </w:r>
      <w:r>
        <w:t xml:space="preserve"> </w:t>
      </w:r>
      <w:r>
        <w:t xml:space="preserve">regards imported hybrid mismatches, it should</w:t>
      </w:r>
      <w:r>
        <w:t xml:space="preserve"> </w:t>
      </w:r>
      <w:r>
        <w:t xml:space="preserve">better describe the problems. The report should</w:t>
      </w:r>
      <w:r>
        <w:t xml:space="preserve"> </w:t>
      </w:r>
      <w:r>
        <w:t xml:space="preserve">also outline the underlying logic guiding the</w:t>
      </w:r>
      <w:r>
        <w:t xml:space="preserve"> </w:t>
      </w:r>
      <w:r>
        <w:t xml:space="preserve">combination of individual measures into the</w:t>
      </w:r>
      <w:r>
        <w:t xml:space="preserve"> </w:t>
      </w:r>
      <w:r>
        <w:t xml:space="preserve">proposed</w:t>
      </w:r>
      <w:r>
        <w:t xml:space="preserve"> </w:t>
      </w:r>
      <w:r>
        <w:t xml:space="preserve">options,</w:t>
      </w:r>
      <w:r>
        <w:t xml:space="preserve"> </w:t>
      </w:r>
      <w:r>
        <w:t xml:space="preserve">and</w:t>
      </w:r>
      <w:r>
        <w:t xml:space="preserve"> </w:t>
      </w:r>
      <w:r>
        <w:t xml:space="preserve">provide</w:t>
      </w:r>
      <w:r>
        <w:t xml:space="preserve"> </w:t>
      </w:r>
      <w:r>
        <w:t xml:space="preserve">further</w:t>
      </w:r>
      <w:r>
        <w:t xml:space="preserve"> </w:t>
      </w:r>
      <w:r>
        <w:t xml:space="preserve">clarification on the main differences between</w:t>
      </w:r>
      <w:r>
        <w:t xml:space="preserve"> </w:t>
      </w:r>
      <w:r>
        <w:t xml:space="preserve">the ‘comprehensive’ and ‘medium’ ambitions.</w:t>
      </w:r>
      <w:r>
        <w:t xml:space="preserve"> </w:t>
      </w:r>
      <w:r>
        <w:t xml:space="preserve">The intervention logic has been revised to</w:t>
      </w:r>
      <w:r>
        <w:t xml:space="preserve"> </w:t>
      </w:r>
      <w:r>
        <w:t xml:space="preserve">ensure that there is a clearer link between the</w:t>
      </w:r>
      <w:r>
        <w:t xml:space="preserve"> </w:t>
      </w:r>
      <w:r>
        <w:t xml:space="preserve">identified problems (Chapter 2) and envisaged</w:t>
      </w:r>
      <w:r>
        <w:t xml:space="preserve"> </w:t>
      </w:r>
      <w:r>
        <w:t xml:space="preserve">objectives (Chapter 4). The wording of the</w:t>
      </w:r>
      <w:r>
        <w:t xml:space="preserve"> </w:t>
      </w:r>
      <w:r>
        <w:t xml:space="preserve">specific objectives has also been slightly</w:t>
      </w:r>
      <w:r>
        <w:t xml:space="preserve"> </w:t>
      </w:r>
      <w:r>
        <w:t xml:space="preserve">adjusted to make it less prescriptive and more</w:t>
      </w:r>
      <w:r>
        <w:t xml:space="preserve"> </w:t>
      </w:r>
      <w:r>
        <w:t xml:space="preserve">open to different simplification options. More</w:t>
      </w:r>
      <w:r>
        <w:t xml:space="preserve"> </w:t>
      </w:r>
      <w:r>
        <w:t xml:space="preserve">attention has been given to the SMART criteria</w:t>
      </w:r>
      <w:r>
        <w:t xml:space="preserve"> </w:t>
      </w:r>
      <w:r>
        <w:t xml:space="preserve">in the Better Regulation Guidelines, and the</w:t>
      </w:r>
      <w:r>
        <w:t xml:space="preserve"> </w:t>
      </w:r>
      <w:r>
        <w:t xml:space="preserve">measurability of the envisaged objectives has</w:t>
      </w:r>
      <w:r>
        <w:t xml:space="preserve"> </w:t>
      </w:r>
      <w:r>
        <w:t xml:space="preserve">been improved, e.g., by the use of qualitative</w:t>
      </w:r>
      <w:r>
        <w:t xml:space="preserve"> </w:t>
      </w:r>
      <w:r>
        <w:t xml:space="preserve">metrics as indicators for success (Chapter 9).</w:t>
      </w:r>
      <w:r>
        <w:t xml:space="preserve"> </w:t>
      </w:r>
      <w:r>
        <w:t xml:space="preserve">More explanations have been added concerning</w:t>
      </w:r>
      <w:r>
        <w:t xml:space="preserve"> </w:t>
      </w:r>
      <w:r>
        <w:t xml:space="preserve">R&amp;D expensing and Hybrid Mismatch Rules to</w:t>
      </w:r>
      <w:r>
        <w:t xml:space="preserve"> </w:t>
      </w:r>
      <w:r>
        <w:t xml:space="preserve">the explanations concerning the problems</w:t>
      </w:r>
      <w:r>
        <w:t xml:space="preserve"> </w:t>
      </w:r>
      <w:r>
        <w:t xml:space="preserve">(Chapter 2), the baseline scenario and the policy</w:t>
      </w:r>
      <w:r>
        <w:t xml:space="preserve"> </w:t>
      </w:r>
      <w:r>
        <w:t xml:space="preserve">options (Chapter 5).</w:t>
      </w:r>
      <w:r>
        <w:t xml:space="preserve"> </w:t>
      </w:r>
      <w:r>
        <w:t xml:space="preserve">The underlying logic, i.e., different levels of</w:t>
      </w:r>
      <w:r>
        <w:t xml:space="preserve"> </w:t>
      </w:r>
      <w:r>
        <w:t xml:space="preserve">ambition, for the composition of the different</w:t>
      </w:r>
      <w:r>
        <w:t xml:space="preserve"> </w:t>
      </w:r>
      <w:r>
        <w:t xml:space="preserve">approaches to the Omnibus on Taxation has</w:t>
      </w:r>
      <w:r>
        <w:t xml:space="preserve"> </w:t>
      </w:r>
      <w:r>
        <w:t xml:space="preserve">been clarified (Chapter 7). In the same vein, the</w:t>
      </w:r>
      <w:r>
        <w:t xml:space="preserve"> </w:t>
      </w:r>
      <w:r>
        <w:t xml:space="preserve">‘medium ambition’ and ‘limited ambition’</w:t>
      </w:r>
      <w:r>
        <w:t xml:space="preserve"> </w:t>
      </w:r>
      <w:r>
        <w:t xml:space="preserve">approaches have been modified to provide three</w:t>
      </w:r>
      <w:r>
        <w:t xml:space="preserve"> </w:t>
      </w:r>
      <w:r>
        <w:t xml:space="preserve">ways, which are more differentiated, in which</w:t>
      </w:r>
      <w:r>
        <w:t xml:space="preserve"> </w:t>
      </w:r>
      <w:r>
        <w:t xml:space="preserve">the different policy options could be compiled</w:t>
      </w:r>
      <w:r>
        <w:t xml:space="preserve"> </w:t>
      </w:r>
      <w:r>
        <w:t xml:space="preserve">in the Omnibus on Taxation. The assessments of</w:t>
      </w:r>
      <w:r>
        <w:t xml:space="preserve"> </w:t>
      </w:r>
      <w:r>
        <w:t xml:space="preserve">the three approaches have been improved and</w:t>
      </w:r>
      <w:r>
        <w:t xml:space="preserve"> </w:t>
      </w:r>
      <w:r>
        <w:t xml:space="preserve">adjusted accordingly.</w:t>
      </w:r>
    </w:p>
    <w:p>
      <w:pPr>
        <w:pStyle w:val="Compact"/>
        <w:numPr>
          <w:ilvl w:val="0"/>
          <w:numId w:val="1005"/>
        </w:numPr>
      </w:pPr>
      <w:r>
        <w:t xml:space="preserve">The report should elaborate on the impact</w:t>
      </w:r>
      <w:r>
        <w:t xml:space="preserve"> </w:t>
      </w:r>
      <w:r>
        <w:t xml:space="preserve">on public administrations, including costs, cost</w:t>
      </w:r>
      <w:r>
        <w:t xml:space="preserve"> </w:t>
      </w:r>
      <w:r>
        <w:t xml:space="preserve">savings, and short-term and long-term effects</w:t>
      </w:r>
      <w:r>
        <w:t xml:space="preserve"> </w:t>
      </w:r>
      <w:r>
        <w:t xml:space="preserve">on tax bases and tax revenues. The report</w:t>
      </w:r>
      <w:r>
        <w:t xml:space="preserve"> </w:t>
      </w:r>
      <w:r>
        <w:t xml:space="preserve">should analyse potential obstacles that could</w:t>
      </w:r>
      <w:r>
        <w:t xml:space="preserve"> </w:t>
      </w:r>
      <w:r>
        <w:t xml:space="preserve">The analysis in chapter 6 has been supplanted</w:t>
      </w:r>
      <w:r>
        <w:t xml:space="preserve"> </w:t>
      </w:r>
      <w:r>
        <w:t xml:space="preserve">with additional elements on costs and impact on</w:t>
      </w:r>
      <w:r>
        <w:t xml:space="preserve"> </w:t>
      </w:r>
      <w:r>
        <w:t xml:space="preserve">public revenues, where such analysis is possible</w:t>
      </w:r>
      <w:r>
        <w:t xml:space="preserve"> </w:t>
      </w:r>
      <w:r>
        <w:t xml:space="preserve">taking into account significant data limitations,</w:t>
      </w:r>
      <w:r>
        <w:t xml:space="preserve"> </w:t>
      </w:r>
      <w:r>
        <w:t xml:space="preserve">as well as further elements of a macroeconomic</w:t>
      </w:r>
    </w:p>
    <w:p>
      <w:pPr>
        <w:pStyle w:val="FirstParagraph"/>
      </w:pPr>
      <w:r>
        <w:t xml:space="preserve">hinder the effective and timely implementation</w:t>
      </w:r>
      <w:r>
        <w:t xml:space="preserve"> </w:t>
      </w:r>
      <w:r>
        <w:t xml:space="preserve">of the proposed options by Member States.</w:t>
      </w:r>
      <w:r>
        <w:t xml:space="preserve"> </w:t>
      </w:r>
      <w:r>
        <w:t xml:space="preserve">nature to the extent growth, employment,</w:t>
      </w:r>
      <w:r>
        <w:t xml:space="preserve"> </w:t>
      </w:r>
      <w:r>
        <w:t xml:space="preserve">investment impact can be assessed through</w:t>
      </w:r>
      <w:r>
        <w:t xml:space="preserve"> </w:t>
      </w:r>
      <w:r>
        <w:t xml:space="preserve">existing economic models. Further explanations</w:t>
      </w:r>
      <w:r>
        <w:t xml:space="preserve"> </w:t>
      </w:r>
      <w:r>
        <w:t xml:space="preserve">on assumptions underlying points of analysis</w:t>
      </w:r>
      <w:r>
        <w:t xml:space="preserve"> </w:t>
      </w:r>
      <w:r>
        <w:t xml:space="preserve">have also been added (either in the text or</w:t>
      </w:r>
      <w:r>
        <w:t xml:space="preserve"> </w:t>
      </w:r>
      <w:r>
        <w:t xml:space="preserve">details in Annex to support conclusions).</w:t>
      </w:r>
      <w:r>
        <w:t xml:space="preserve"> </w:t>
      </w:r>
      <w:r>
        <w:t xml:space="preserve">4) The report should enhance its analysis of</w:t>
      </w:r>
      <w:r>
        <w:t xml:space="preserve"> </w:t>
      </w:r>
      <w:r>
        <w:t xml:space="preserve">costs, cost savings, and risks, including an</w:t>
      </w:r>
      <w:r>
        <w:t xml:space="preserve"> </w:t>
      </w:r>
      <w:r>
        <w:t xml:space="preserve">examination of potential impacts on objectives</w:t>
      </w:r>
      <w:r>
        <w:t xml:space="preserve"> </w:t>
      </w:r>
      <w:r>
        <w:t xml:space="preserve">such as removing double taxation, eliminating</w:t>
      </w:r>
      <w:r>
        <w:t xml:space="preserve"> </w:t>
      </w:r>
      <w:r>
        <w:t xml:space="preserve">unnecessary or disproportionate tax compliance</w:t>
      </w:r>
      <w:r>
        <w:t xml:space="preserve"> </w:t>
      </w:r>
      <w:r>
        <w:t xml:space="preserve">cost, ensuring tax neutrality, and tackling tax</w:t>
      </w:r>
      <w:r>
        <w:t xml:space="preserve"> </w:t>
      </w:r>
      <w:r>
        <w:t xml:space="preserve">avoidance and evasion. The analysis should</w:t>
      </w:r>
      <w:r>
        <w:t xml:space="preserve"> </w:t>
      </w:r>
      <w:r>
        <w:t xml:space="preserve">also better assess the resulting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applicable</w:t>
      </w:r>
      <w:r>
        <w:t xml:space="preserve"> </w:t>
      </w:r>
      <w:r>
        <w:t xml:space="preserve">efficiency</w:t>
      </w:r>
      <w:r>
        <w:t xml:space="preserve"> </w:t>
      </w:r>
      <w:r>
        <w:t xml:space="preserve">perspectives,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distributional effects on various stakeholders.</w:t>
      </w:r>
      <w:r>
        <w:t xml:space="preserve"> </w:t>
      </w:r>
      <w:r>
        <w:t xml:space="preserve">The report should further assess the effects on</w:t>
      </w:r>
      <w:r>
        <w:t xml:space="preserve"> </w:t>
      </w:r>
      <w:r>
        <w:t xml:space="preserve">the EU business environment and economic</w:t>
      </w:r>
      <w:r>
        <w:t xml:space="preserve"> </w:t>
      </w:r>
      <w:r>
        <w:t xml:space="preserve">growth.</w:t>
      </w:r>
      <w:r>
        <w:t xml:space="preserve"> </w:t>
      </w:r>
      <w:r>
        <w:t xml:space="preserve">In addition to the points above, the analysis has</w:t>
      </w:r>
      <w:r>
        <w:t xml:space="preserve"> </w:t>
      </w:r>
      <w:r>
        <w:t xml:space="preserve">been better delineated by stakeholder group,</w:t>
      </w:r>
      <w:r>
        <w:t xml:space="preserve"> </w:t>
      </w:r>
      <w:r>
        <w:t xml:space="preserve">clarifying impacts on companies (corporate</w:t>
      </w:r>
      <w:r>
        <w:t xml:space="preserve"> </w:t>
      </w:r>
      <w:r>
        <w:t xml:space="preserve">taxpayers),</w:t>
      </w:r>
      <w:r>
        <w:t xml:space="preserve"> </w:t>
      </w:r>
      <w:r>
        <w:t xml:space="preserve">tax</w:t>
      </w:r>
      <w:r>
        <w:t xml:space="preserve"> </w:t>
      </w:r>
      <w:r>
        <w:t xml:space="preserve">administrations,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macro/economic terms. The analysis also</w:t>
      </w:r>
      <w:r>
        <w:t xml:space="preserve"> </w:t>
      </w:r>
      <w:r>
        <w:t xml:space="preserve">provides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maintaining high tax standards in the Union for</w:t>
      </w:r>
      <w:r>
        <w:t xml:space="preserve"> </w:t>
      </w:r>
      <w:r>
        <w:t xml:space="preserve">all relevant measures and policy options.</w:t>
      </w:r>
      <w:r>
        <w:br/>
      </w:r>
      <w:r>
        <w:t xml:space="preserve">(5) The report should provide more empirical</w:t>
      </w:r>
      <w:r>
        <w:t xml:space="preserve"> </w:t>
      </w:r>
      <w:r>
        <w:t xml:space="preserve">evidence to support the assumptions used in the</w:t>
      </w:r>
      <w:r>
        <w:t xml:space="preserve"> </w:t>
      </w:r>
      <w:r>
        <w:t xml:space="preserve">analysis and provide a sensitivity analysis</w:t>
      </w:r>
      <w:r>
        <w:t xml:space="preserve"> </w:t>
      </w:r>
      <w:r>
        <w:t xml:space="preserve">where appropriate. It should, for example,</w:t>
      </w:r>
      <w:r>
        <w:t xml:space="preserve"> </w:t>
      </w:r>
      <w:r>
        <w:t xml:space="preserve">demonstrate the robustness of assumptions such</w:t>
      </w:r>
      <w:r>
        <w:t xml:space="preserve"> </w:t>
      </w:r>
      <w:r>
        <w:t xml:space="preserve">as 0.5% CIT compliance cost savings for R&amp;D,</w:t>
      </w:r>
      <w:r>
        <w:t xml:space="preserve"> </w:t>
      </w:r>
      <w:r>
        <w:t xml:space="preserve">the 5% ILR-related cost reduction, and the</w:t>
      </w:r>
      <w:r>
        <w:t xml:space="preserve"> </w:t>
      </w:r>
      <w:r>
        <w:t xml:space="preserve">assumption on CFC and ILR related compliance</w:t>
      </w:r>
      <w:r>
        <w:t xml:space="preserve"> </w:t>
      </w:r>
      <w:r>
        <w:t xml:space="preserve">costs.</w:t>
      </w:r>
      <w:r>
        <w:t xml:space="preserve"> </w:t>
      </w:r>
      <w:r>
        <w:t xml:space="preserve">Additional</w:t>
      </w:r>
      <w:r>
        <w:t xml:space="preserve"> </w:t>
      </w:r>
      <w:r>
        <w:t xml:space="preserve">explanations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assumptions and data sources used in the model</w:t>
      </w:r>
      <w:r>
        <w:t xml:space="preserve"> </w:t>
      </w:r>
      <w:r>
        <w:t xml:space="preserve">should be included.</w:t>
      </w:r>
      <w:r>
        <w:t xml:space="preserve"> </w:t>
      </w:r>
      <w:r>
        <w:t xml:space="preserve">Detailed explanations of the empirical evidence</w:t>
      </w:r>
      <w:r>
        <w:t xml:space="preserve"> </w:t>
      </w:r>
      <w:r>
        <w:t xml:space="preserve">used, where available, has been added and</w:t>
      </w:r>
      <w:r>
        <w:t xml:space="preserve"> </w:t>
      </w:r>
      <w:r>
        <w:t xml:space="preserve">explanations provided for assumptions and data</w:t>
      </w:r>
      <w:r>
        <w:t xml:space="preserve"> </w:t>
      </w:r>
      <w:r>
        <w:t xml:space="preserve">sources when those are necessary/used.</w:t>
      </w:r>
      <w:r>
        <w:br/>
      </w:r>
      <w:r>
        <w:t xml:space="preserve">(6) The report should be written using non-</w:t>
      </w:r>
      <w:r>
        <w:t xml:space="preserve"> </w:t>
      </w:r>
      <w:r>
        <w:t xml:space="preserve">technical language and be a self-standing</w:t>
      </w:r>
      <w:r>
        <w:t xml:space="preserve"> </w:t>
      </w:r>
      <w:r>
        <w:t xml:space="preserve">document that is accessible to non-expert</w:t>
      </w:r>
      <w:r>
        <w:t xml:space="preserve"> </w:t>
      </w:r>
      <w:r>
        <w:t xml:space="preserve">readers.</w:t>
      </w:r>
      <w:r>
        <w:t xml:space="preserve"> </w:t>
      </w:r>
      <w:r>
        <w:t xml:space="preserve">The</w:t>
      </w:r>
      <w:r>
        <w:t xml:space="preserve"> </w:t>
      </w:r>
      <w:r>
        <w:t xml:space="preserve">report,</w:t>
      </w:r>
      <w:r>
        <w:t xml:space="preserve"> </w:t>
      </w:r>
      <w:r>
        <w:t xml:space="preserve">and</w:t>
      </w:r>
      <w:r>
        <w:t xml:space="preserve"> </w:t>
      </w:r>
      <w:r>
        <w:t xml:space="preserve">particularly</w:t>
      </w:r>
      <w:r>
        <w:t xml:space="preserve"> </w:t>
      </w:r>
      <w:r>
        <w:t xml:space="preserve">Chapter</w:t>
      </w:r>
      <w:r>
        <w:t xml:space="preserve"> </w:t>
      </w:r>
      <w:r>
        <w:t xml:space="preserve">2</w:t>
      </w:r>
      <w:r>
        <w:t xml:space="preserve"> </w:t>
      </w:r>
      <w:r>
        <w:t xml:space="preserve">(problems), has been revised to give a simpler</w:t>
      </w:r>
      <w:r>
        <w:t xml:space="preserve"> </w:t>
      </w:r>
      <w:r>
        <w:t xml:space="preserve">and clearer presentation of identified problems.</w:t>
      </w:r>
      <w:r>
        <w:t xml:space="preserve"> </w:t>
      </w:r>
      <w:r>
        <w:t xml:space="preserve">To provide a better overview, a timeline for the</w:t>
      </w:r>
      <w:r>
        <w:t xml:space="preserve"> </w:t>
      </w:r>
      <w:r>
        <w:t xml:space="preserve">adoption of the existing Directives has been</w:t>
      </w:r>
      <w:r>
        <w:t xml:space="preserve"> </w:t>
      </w:r>
      <w:r>
        <w:t xml:space="preserve">added in Annex 7.</w:t>
      </w:r>
      <w:r>
        <w:t xml:space="preserve"> </w:t>
      </w:r>
      <w:r>
        <w:t xml:space="preserve">The use of abbreviations has been limited, and</w:t>
      </w:r>
      <w:r>
        <w:t xml:space="preserve"> </w:t>
      </w:r>
      <w:r>
        <w:t xml:space="preserve">more definitions of key concepts have been</w:t>
      </w:r>
      <w:r>
        <w:t xml:space="preserve"> </w:t>
      </w:r>
      <w:r>
        <w:t xml:space="preserve">added to make the report more accessible to</w:t>
      </w:r>
      <w:r>
        <w:t xml:space="preserve"> </w:t>
      </w:r>
      <w:r>
        <w:t xml:space="preserve">non-expert readers. The baseline scenario has</w:t>
      </w:r>
      <w:r>
        <w:t xml:space="preserve"> </w:t>
      </w:r>
      <w:r>
        <w:t xml:space="preserve">been moved from an Annex to the main body of</w:t>
      </w:r>
      <w:r>
        <w:t xml:space="preserve"> </w:t>
      </w:r>
      <w:r>
        <w:t xml:space="preserve">the report to ensure that the report is self-</w:t>
      </w:r>
      <w:r>
        <w:t xml:space="preserve"> </w:t>
      </w:r>
      <w:r>
        <w:t xml:space="preserve">standing.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The evidence base for this impact assessment report is based on various different sources, such as:</w:t>
      </w:r>
      <w:r>
        <w:br/>
      </w:r>
      <w:r>
        <w:t xml:space="preserve">– Modelling by the European Commission’s Joint Research Centre using the CORTAX</w:t>
      </w:r>
      <w:r>
        <w:t xml:space="preserve"> </w:t>
      </w:r>
      <w:r>
        <w:t xml:space="preserve">model.</w:t>
      </w:r>
      <w:r>
        <w:br/>
      </w:r>
      <w:r>
        <w:t xml:space="preserve">– Feedback from the targeted stakeholder consultations and call for evidence, as summarised</w:t>
      </w:r>
      <w:r>
        <w:t xml:space="preserve"> </w:t>
      </w:r>
      <w:r>
        <w:t xml:space="preserve">in the synopsis report in Annex 2.</w:t>
      </w:r>
      <w:r>
        <w:t xml:space="preserve"> </w:t>
      </w:r>
      <w:r>
        <w:t xml:space="preserve">– The ATAD evaluation.</w:t>
      </w:r>
      <w:r>
        <w:t xml:space="preserve"> </w:t>
      </w:r>
      <w:r>
        <w:t xml:space="preserve">– Exchanges with additional stakeholders through the Platform for Tax Good Governance</w:t>
      </w:r>
      <w:r>
        <w:t xml:space="preserve"> </w:t>
      </w:r>
      <w:r>
        <w:t xml:space="preserve">and with Member States in Commission Working Party IV.</w:t>
      </w:r>
      <w:r>
        <w:t xml:space="preserve"> </w:t>
      </w:r>
      <w:r>
        <w:t xml:space="preserve">– Desk research and quantitative analysis.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Stakeholders’ engagement strategy</w:t>
      </w:r>
      <w:r>
        <w:t xml:space="preserve"> </w:t>
      </w:r>
      <w:r>
        <w:t xml:space="preserve">The consultation strategy for the Omnibus on Taxation encompasses the following activities:</w:t>
      </w:r>
      <w:r>
        <w:t xml:space="preserve"> </w:t>
      </w:r>
      <w:r>
        <w:t xml:space="preserve">– Feedback to the Call for Evidence published on the Commission website on 16 February</w:t>
      </w:r>
      <w:r>
        <w:t xml:space="preserve"> </w:t>
      </w:r>
      <w:r>
        <w:t xml:space="preserve">2026</w:t>
      </w:r>
      <w:r>
        <w:t xml:space="preserve"> </w:t>
      </w:r>
      <w:r>
        <w:t xml:space="preserve">– Targeted consultations with a wide range and large number of key stakeholders</w:t>
      </w:r>
      <w:r>
        <w:t xml:space="preserve"> </w:t>
      </w:r>
      <w:r>
        <w:t xml:space="preserve">No public consultation has been conducted as extensive targeted consultations have been held with</w:t>
      </w:r>
      <w:r>
        <w:t xml:space="preserve"> </w:t>
      </w:r>
      <w:r>
        <w:t xml:space="preserve">key stakeholders over the course of 15 months.</w:t>
      </w:r>
    </w:p>
    <w:p>
      <w:pPr>
        <w:pStyle w:val="BodyText"/>
      </w:pPr>
      <w:r>
        <w:t xml:space="preserve">Feedback on the Call for Evidence</w:t>
      </w:r>
      <w:r>
        <w:t xml:space="preserve"> </w:t>
      </w:r>
      <w:r>
        <w:t xml:space="preserve">The consultation period through this feedback mechanism took place between 16 February and 30</w:t>
      </w:r>
      <w:r>
        <w:t xml:space="preserve"> </w:t>
      </w:r>
      <w:r>
        <w:t xml:space="preserve">March 2026 via the Commission website119. 117 contributions were submitted during this</w:t>
      </w:r>
      <w:r>
        <w:t xml:space="preserve"> </w:t>
      </w:r>
      <w:r>
        <w:t xml:space="preserve">consultation period by the following categories of stakeholders:</w:t>
      </w:r>
      <w:r>
        <w:t xml:space="preserve"> </w:t>
      </w:r>
      <w:r>
        <w:t xml:space="preserve">Figure 10: Respondents to the Call for Evidence by category</w:t>
      </w:r>
    </w:p>
    <w:p>
      <w:pPr>
        <w:pStyle w:val="BodyText"/>
      </w:pPr>
      <w:r>
        <w:t xml:space="preserve">Source: https://ec.europa.eu/info/law/better-regulation/have-your-say/initiatives/16912-Simplifying-EU-rules-on-direct-taxation-</w:t>
      </w:r>
      <w:r>
        <w:t xml:space="preserve"> </w:t>
      </w:r>
      <w:r>
        <w:t xml:space="preserve">omnibus/feedback_en?p_id=22324</w:t>
      </w:r>
    </w:p>
    <w:p>
      <w:pPr>
        <w:pStyle w:val="BodyText"/>
      </w:pPr>
      <w:r>
        <w:t xml:space="preserve">Overall, stakeholders fully supported the initiative to simplify existing EU tax rules with a view to</w:t>
      </w:r>
      <w:r>
        <w:t xml:space="preserve"> </w:t>
      </w:r>
      <w:r>
        <w:t xml:space="preserve">improving the functioning of the internal market and ensuring Europe’s attractiveness as a place to</w:t>
      </w:r>
      <w:r>
        <w:t xml:space="preserve"> </w:t>
      </w:r>
      <w:r>
        <w:t xml:space="preserve">invest and to do business. Nonetheless, the views on how exactly the simplification should be</w:t>
      </w:r>
      <w:r>
        <w:t xml:space="preserve"> </w:t>
      </w:r>
      <w:r>
        <w:t xml:space="preserve">conducted varied.</w:t>
      </w:r>
    </w:p>
    <w:p>
      <w:pPr>
        <w:pStyle w:val="BodyText"/>
      </w:pPr>
      <w:r>
        <w:t xml:space="preserve">119 Simplifying EU rules on direct taxation – omnibus.</w:t>
      </w:r>
    </w:p>
    <w:p>
      <w:pPr>
        <w:pStyle w:val="BodyText"/>
      </w:pPr>
      <w:r>
        <w:t xml:space="preserve">The majority of stakeholders, i.e., approximately 77%, expressed the need for enhancing</w:t>
      </w:r>
      <w:r>
        <w:t xml:space="preserve"> </w:t>
      </w:r>
      <w:r>
        <w:t xml:space="preserve">harmonisation and limiting national discretion in implementing the existing Directives. Other</w:t>
      </w:r>
      <w:r>
        <w:t xml:space="preserve"> </w:t>
      </w:r>
      <w:r>
        <w:t xml:space="preserve">recurrent askes concerned, e.g., rationalising and modernising the existing Directives, reducing</w:t>
      </w:r>
      <w:r>
        <w:t xml:space="preserve"> </w:t>
      </w:r>
      <w:r>
        <w:t xml:space="preserve">overlaps, inconsistencies, and administrative burdens, as well as standardising and clarifying the</w:t>
      </w:r>
      <w:r>
        <w:t xml:space="preserve"> </w:t>
      </w:r>
      <w:r>
        <w:t xml:space="preserve">terms and rules. Around 50% of the stakeholders found that the procedures following from the</w:t>
      </w:r>
      <w:r>
        <w:t xml:space="preserve"> </w:t>
      </w:r>
      <w:r>
        <w:t xml:space="preserve">Directives should be standardised, including through the use of digital tools. Around 60% also</w:t>
      </w:r>
      <w:r>
        <w:t xml:space="preserve"> </w:t>
      </w:r>
      <w:r>
        <w:t xml:space="preserve">pointed out the importance of making the rules and procedures simpler for SMEs.</w:t>
      </w:r>
      <w:r>
        <w:t xml:space="preserve"> </w:t>
      </w:r>
      <w:r>
        <w:t xml:space="preserve">In terms of specific issues and possible simplifications to the existing Directives, for the IRD and</w:t>
      </w:r>
      <w:r>
        <w:t xml:space="preserve"> </w:t>
      </w:r>
      <w:r>
        <w:t xml:space="preserve">the PSD, approximately 67% of the stakeholders expressed the need to simplify the current</w:t>
      </w:r>
      <w:r>
        <w:t xml:space="preserve"> </w:t>
      </w:r>
      <w:r>
        <w:t xml:space="preserve">withholding tax relief framework. The main issues concentrated around the access to withholding</w:t>
      </w:r>
      <w:r>
        <w:t xml:space="preserve"> </w:t>
      </w:r>
      <w:r>
        <w:t xml:space="preserve">tax relief which was considered as too complex, the eligibility requirements too strict and the</w:t>
      </w:r>
      <w:r>
        <w:t xml:space="preserve"> </w:t>
      </w:r>
      <w:r>
        <w:t xml:space="preserve">application of the Directives too inconsistent. On this basis, it was inter alia suggested to remove</w:t>
      </w:r>
      <w:r>
        <w:t xml:space="preserve"> </w:t>
      </w:r>
      <w:r>
        <w:t xml:space="preserve">upfront requirements, such as attestations, in order to benefit from the tax exemption, or to increase</w:t>
      </w:r>
      <w:r>
        <w:t xml:space="preserve"> </w:t>
      </w:r>
      <w:r>
        <w:t xml:space="preserve">administrative cooperation between the Member States by harmonising the procedural rules,</w:t>
      </w:r>
      <w:r>
        <w:t xml:space="preserve"> </w:t>
      </w:r>
      <w:r>
        <w:t xml:space="preserve">including by introducing a standardised documentation framework, across the EU. It was also</w:t>
      </w:r>
      <w:r>
        <w:t xml:space="preserve"> </w:t>
      </w:r>
      <w:r>
        <w:t xml:space="preserve">suggested to remove withholding taxes within the EU entirely or to harmonise the withholding tax</w:t>
      </w:r>
      <w:r>
        <w:t xml:space="preserve"> </w:t>
      </w:r>
      <w:r>
        <w:t xml:space="preserve">rates. It was suggested to update the list of company forms in annex to each Directive to</w:t>
      </w:r>
      <w:r>
        <w:t xml:space="preserve"> </w:t>
      </w:r>
      <w:r>
        <w:t xml:space="preserve">incorporate changes seen during the last years or even make the list more flexible and to harmonise</w:t>
      </w:r>
      <w:r>
        <w:t xml:space="preserve"> </w:t>
      </w:r>
      <w:r>
        <w:t xml:space="preserve">the beneficial ownership requirements and the participation exemption method. The need for</w:t>
      </w:r>
      <w:r>
        <w:t xml:space="preserve"> </w:t>
      </w:r>
      <w:r>
        <w:t xml:space="preserve">clarifying the scope of the specific anti-abuse rules was mentioned. Moreover, it was pointed out</w:t>
      </w:r>
      <w:r>
        <w:t xml:space="preserve"> </w:t>
      </w:r>
      <w:r>
        <w:t xml:space="preserve">that the current requirement of a 25% direct holding requirement in the IRD is too restrictive and</w:t>
      </w:r>
      <w:r>
        <w:t xml:space="preserve"> </w:t>
      </w:r>
      <w:r>
        <w:t xml:space="preserve">should be aligned with the holding requirements under the PSD. Also, for the IRD, it was</w:t>
      </w:r>
      <w:r>
        <w:t xml:space="preserve"> </w:t>
      </w:r>
      <w:r>
        <w:t xml:space="preserve">highlighted that the material scope is too narrow, e.g., excluding payments that, from an economic</w:t>
      </w:r>
      <w:r>
        <w:t xml:space="preserve"> </w:t>
      </w:r>
      <w:r>
        <w:t xml:space="preserve">perspective, perform the same function as interest or royalties, such as remuneration arising from</w:t>
      </w:r>
      <w:r>
        <w:t xml:space="preserve"> </w:t>
      </w:r>
      <w:r>
        <w:t xml:space="preserve">hybrid financial instruments, loans with variable or profit-linked components, redemption premia,</w:t>
      </w:r>
      <w:r>
        <w:t xml:space="preserve"> </w:t>
      </w:r>
      <w:r>
        <w:t xml:space="preserve">and other financial returns, and that the concept of interest should be harmonised. For the PSD, it</w:t>
      </w:r>
      <w:r>
        <w:t xml:space="preserve"> </w:t>
      </w:r>
      <w:r>
        <w:t xml:space="preserve">was suggested to harmonise the concept of ‘profit distribution’ across the EU, to ensure that all</w:t>
      </w:r>
      <w:r>
        <w:t xml:space="preserve"> </w:t>
      </w:r>
      <w:r>
        <w:t xml:space="preserve">Member States interpret the holding requirements as covering indirect ownership, to consider</w:t>
      </w:r>
      <w:r>
        <w:t xml:space="preserve"> </w:t>
      </w:r>
      <w:r>
        <w:t xml:space="preserve">holding periods at group level, and to avoid distortive outcomes from the 5% exemption limitation.</w:t>
      </w:r>
      <w:r>
        <w:t xml:space="preserve"> </w:t>
      </w:r>
      <w:r>
        <w:t xml:space="preserve">For the ATAD, the main message from stakeholders was to address the complexity and keep the</w:t>
      </w:r>
      <w:r>
        <w:t xml:space="preserve"> </w:t>
      </w:r>
      <w:r>
        <w:t xml:space="preserve">protection. More specifically, approximately 68% of the stakeholders found the parallel application</w:t>
      </w:r>
      <w:r>
        <w:t xml:space="preserve"> </w:t>
      </w:r>
      <w:r>
        <w:t xml:space="preserve">of ATAD and Pillar 2 disproportionate. In this regard, it was inter alia suggested that: The Interest</w:t>
      </w:r>
      <w:r>
        <w:t xml:space="preserve"> </w:t>
      </w:r>
      <w:r>
        <w:t xml:space="preserve">Limitation Rule could be abolished if the lender is established in a jurisdiction which has</w:t>
      </w:r>
      <w:r>
        <w:t xml:space="preserve"> </w:t>
      </w:r>
      <w:r>
        <w:t xml:space="preserve">implemented a QDMTT, and CFC rules and rules on hybrid mismatches could be abolished for</w:t>
      </w:r>
      <w:r>
        <w:t xml:space="preserve"> </w:t>
      </w:r>
      <w:r>
        <w:t xml:space="preserve">Pillar 2 companies. Concerning CFC rules, it was also pointed out that by around 60% of the</w:t>
      </w:r>
      <w:r>
        <w:t xml:space="preserve"> </w:t>
      </w:r>
      <w:r>
        <w:t xml:space="preserve">stakeholders that fragmentation and legal uncertainty should be reduced, e.g., by harmonising rules</w:t>
      </w:r>
      <w:r>
        <w:t xml:space="preserve"> </w:t>
      </w:r>
      <w:r>
        <w:t xml:space="preserve">and reporting obligations (e.g., by allowing only the implementation of one Model). Concerning the</w:t>
      </w:r>
      <w:r>
        <w:t xml:space="preserve"> </w:t>
      </w:r>
      <w:r>
        <w:t xml:space="preserve">Interest Limitation Rule, issues were pointed out by approximately 52% of the stakeholders. In this</w:t>
      </w:r>
      <w:r>
        <w:t xml:space="preserve"> </w:t>
      </w:r>
      <w:r>
        <w:t xml:space="preserve">regard, it was stressed that the current economic conditions, such as inflation, financing needs, and</w:t>
      </w:r>
      <w:r>
        <w:t xml:space="preserve"> </w:t>
      </w:r>
      <w:r>
        <w:t xml:space="preserve">income volatility, should be addressed. In addition, it was suggested to enhance the target and</w:t>
      </w:r>
      <w:r>
        <w:t xml:space="preserve"> </w:t>
      </w:r>
      <w:r>
        <w:t xml:space="preserve">proportionality of the rule, e.g., by excluding third party loans, introducing more coherent</w:t>
      </w:r>
      <w:r>
        <w:t xml:space="preserve"> </w:t>
      </w:r>
      <w:r>
        <w:t xml:space="preserve">definitions of ‘EBITDA’, ‘interest expense’ and ‘borrowing costs’, allowing for certain sector</w:t>
      </w:r>
      <w:r>
        <w:t xml:space="preserve"> </w:t>
      </w:r>
      <w:r>
        <w:t xml:space="preserve">specific requirements, making some of the safeguards mandatory, such as the group escape rule and</w:t>
      </w:r>
      <w:r>
        <w:t xml:space="preserve"> </w:t>
      </w:r>
      <w:r>
        <w:t xml:space="preserve">the infrastructure project exemption, while broadening its scope, and clarifying the treatment in</w:t>
      </w:r>
      <w:r>
        <w:t xml:space="preserve"> </w:t>
      </w:r>
      <w:r>
        <w:t xml:space="preserve">liquidation scenarios. Concerning the hybrid mismatches, concerns were raised by around 43% of</w:t>
      </w:r>
      <w:r>
        <w:t xml:space="preserve"> </w:t>
      </w:r>
      <w:r>
        <w:t xml:space="preserve">the stakeholders. It was, e.g., mentioned that the applicability of the rules should be limited to intra-</w:t>
      </w:r>
      <w:r>
        <w:t xml:space="preserve"> </w:t>
      </w:r>
      <w:r>
        <w:t xml:space="preserve">group transactions, that the rule on imported mismatches should be: removed, limited to ‘back-to-</w:t>
      </w:r>
      <w:r>
        <w:t xml:space="preserve"> </w:t>
      </w:r>
      <w:r>
        <w:t xml:space="preserve">back structures’, or clarified. In addition, it was requested that the definition of ‘acting together’</w:t>
      </w:r>
      <w:r>
        <w:t xml:space="preserve"> </w:t>
      </w:r>
      <w:r>
        <w:t xml:space="preserve">should be clarified, and that a de minimis threshold should be introduced. Concerning the general</w:t>
      </w:r>
    </w:p>
    <w:p>
      <w:pPr>
        <w:pStyle w:val="BodyText"/>
      </w:pPr>
      <w:r>
        <w:t xml:space="preserve">anti-abuse rule (GAAR), approximately 44% of the stakeholders suggested to clarify and target its</w:t>
      </w:r>
      <w:r>
        <w:t xml:space="preserve"> </w:t>
      </w:r>
      <w:r>
        <w:t xml:space="preserve">scope, e.g., by providing guidance on its interpretation and by refining the interaction with Pillar 2.</w:t>
      </w:r>
      <w:r>
        <w:t xml:space="preserve"> </w:t>
      </w:r>
      <w:r>
        <w:t xml:space="preserve">Concerning exit taxation, it was suggested to introduce tax deferral upon exit or until realisation of</w:t>
      </w:r>
      <w:r>
        <w:t xml:space="preserve"> </w:t>
      </w:r>
      <w:r>
        <w:t xml:space="preserve">gains, instead of an instalment, and to standardise the method for determining the market value.</w:t>
      </w:r>
      <w:r>
        <w:t xml:space="preserve"> </w:t>
      </w:r>
      <w:r>
        <w:t xml:space="preserve">Lastly, on a general note, around 67% of the stakeholders stressed that the minimum standards in</w:t>
      </w:r>
      <w:r>
        <w:t xml:space="preserve"> </w:t>
      </w:r>
      <w:r>
        <w:t xml:space="preserve">ATAD, which are transposed differently in the Member States, create fragmentation and</w:t>
      </w:r>
      <w:r>
        <w:t xml:space="preserve"> </w:t>
      </w:r>
      <w:r>
        <w:t xml:space="preserve">complexity which could be addressed by enhancing harmonisation in this area, e.g., by limiting</w:t>
      </w:r>
      <w:r>
        <w:t xml:space="preserve"> </w:t>
      </w:r>
      <w:r>
        <w:t xml:space="preserve">implementation options as much as possible and by reducing ‘gold plating’, i.e., unilateral</w:t>
      </w:r>
      <w:r>
        <w:t xml:space="preserve"> </w:t>
      </w:r>
      <w:r>
        <w:t xml:space="preserve">introduction of additional requirements above the minimum set out in EU legislation, in the</w:t>
      </w:r>
      <w:r>
        <w:t xml:space="preserve"> </w:t>
      </w:r>
      <w:r>
        <w:t xml:space="preserve">Member States. It was also noted by approximately 45% of the stakeholders that the ATAD rules</w:t>
      </w:r>
      <w:r>
        <w:t xml:space="preserve"> </w:t>
      </w:r>
      <w:r>
        <w:t xml:space="preserve">are disproportionate for SMEs and which could be solved by introducing carve-outs for SMEs.</w:t>
      </w:r>
      <w:r>
        <w:br/>
      </w:r>
      <w:r>
        <w:t xml:space="preserve">For the TMD, approximately 38% of the stakeholders found that the scope should be extended and</w:t>
      </w:r>
      <w:r>
        <w:t xml:space="preserve"> </w:t>
      </w:r>
      <w:r>
        <w:t xml:space="preserve">updated. It was inter alia pointed out that it has not kept pace with developments in EU company</w:t>
      </w:r>
      <w:r>
        <w:t xml:space="preserve"> </w:t>
      </w:r>
      <w:r>
        <w:t xml:space="preserve">law, i.e., the Company Merger Directive as amended by the Mobility Directive, and modern</w:t>
      </w:r>
      <w:r>
        <w:t xml:space="preserve"> </w:t>
      </w:r>
      <w:r>
        <w:t xml:space="preserve">business practices. It was also stressed that there is a need for clarification of the specific anti-abuse</w:t>
      </w:r>
      <w:r>
        <w:t xml:space="preserve"> </w:t>
      </w:r>
      <w:r>
        <w:t xml:space="preserve">rule, the treatment of losses carried forward, the effective dates, and the rules concerning partial</w:t>
      </w:r>
      <w:r>
        <w:t xml:space="preserve"> </w:t>
      </w:r>
      <w:r>
        <w:t xml:space="preserve">divisions, including the rules for allocating shared or functionally important assets. Finally, it was</w:t>
      </w:r>
      <w:r>
        <w:t xml:space="preserve"> </w:t>
      </w:r>
      <w:r>
        <w:t xml:space="preserve">noted that the scope and eligibility requirements should be aligned with the IRD and the PSD and</w:t>
      </w:r>
      <w:r>
        <w:t xml:space="preserve"> </w:t>
      </w:r>
      <w:r>
        <w:t xml:space="preserve">extended to cover transparent entities and that it should be ensured that the benefits are not denied</w:t>
      </w:r>
      <w:r>
        <w:t xml:space="preserve"> </w:t>
      </w:r>
      <w:r>
        <w:t xml:space="preserve">where the merger or division includes a tax transparent entity.</w:t>
      </w:r>
      <w:r>
        <w:t xml:space="preserve"> </w:t>
      </w:r>
      <w:r>
        <w:t xml:space="preserve">For the DRM, around 38% of the stakeholders found that dispute resolution remains too slow and</w:t>
      </w:r>
      <w:r>
        <w:t xml:space="preserve"> </w:t>
      </w:r>
      <w:r>
        <w:t xml:space="preserve">complex. It was inter alia pointed out that there is a need for a more meaningful participation of the</w:t>
      </w:r>
      <w:r>
        <w:t xml:space="preserve"> </w:t>
      </w:r>
      <w:r>
        <w:t xml:space="preserve">taxpayer and more timely and effective resolution of double taxation disputes, e.g., under the</w:t>
      </w:r>
      <w:r>
        <w:t xml:space="preserve"> </w:t>
      </w:r>
      <w:r>
        <w:t xml:space="preserve">supervision of the Commission. In this regard, it was e.g., suggested to enhance transparency, to</w:t>
      </w:r>
      <w:r>
        <w:t xml:space="preserve"> </w:t>
      </w:r>
      <w:r>
        <w:t xml:space="preserve">ensure a consistent interpretation of the admission criteria, to enforce timelines more strictly and</w:t>
      </w:r>
      <w:r>
        <w:t xml:space="preserve"> </w:t>
      </w:r>
      <w:r>
        <w:t xml:space="preserve">impose interest and penalties, where applicable, to clarify the interaction with MAP procedures, to</w:t>
      </w:r>
      <w:r>
        <w:t xml:space="preserve"> </w:t>
      </w:r>
      <w:r>
        <w:t xml:space="preserve">establish a permanent arbitration body, to clarify the definition of affected person, and to extend the</w:t>
      </w:r>
      <w:r>
        <w:t xml:space="preserve"> </w:t>
      </w:r>
      <w:r>
        <w:t xml:space="preserve">scope to disputes arising from the application of the Pillar 2 Directive. It was also stressed that</w:t>
      </w:r>
      <w:r>
        <w:t xml:space="preserve"> </w:t>
      </w:r>
      <w:r>
        <w:t xml:space="preserve">there is a need for an EU framework for dispute prevention, e.g., in transfer pricing, which can be</w:t>
      </w:r>
      <w:r>
        <w:t xml:space="preserve"> </w:t>
      </w:r>
      <w:r>
        <w:t xml:space="preserve">bilaterally or multilaterally adopted by Member States.</w:t>
      </w:r>
      <w:r>
        <w:t xml:space="preserve"> </w:t>
      </w:r>
      <w:r>
        <w:t xml:space="preserve">The feedback showed no demand for modifying the original policy objectives of the existing</w:t>
      </w:r>
      <w:r>
        <w:t xml:space="preserve"> </w:t>
      </w:r>
      <w:r>
        <w:t xml:space="preserve">Directives. Conversely, a few stakeholders emphasised that simplification efforts should be done in</w:t>
      </w:r>
      <w:r>
        <w:t xml:space="preserve"> </w:t>
      </w:r>
      <w:r>
        <w:t xml:space="preserve">a way that does not undermine the important policy objectives of the existing Directives. Some</w:t>
      </w:r>
      <w:r>
        <w:t xml:space="preserve"> </w:t>
      </w:r>
      <w:r>
        <w:t xml:space="preserve">went further and noted that the existing Directives should be reinforced, e.g., with new dedicated</w:t>
      </w:r>
      <w:r>
        <w:t xml:space="preserve"> </w:t>
      </w:r>
      <w:r>
        <w:t xml:space="preserve">anti-abuse rules and minimum substance requirements. Others also suggested that new tax</w:t>
      </w:r>
      <w:r>
        <w:t xml:space="preserve"> </w:t>
      </w:r>
      <w:r>
        <w:t xml:space="preserve">initiatives should entail systematic reviews of existing measures, e.g., to ensure that simplification</w:t>
      </w:r>
      <w:r>
        <w:t xml:space="preserve"> </w:t>
      </w:r>
      <w:r>
        <w:t xml:space="preserve">is continuous rather than a one-off matter and that the impact for SMEs is regularly evaluated.</w:t>
      </w:r>
      <w:r>
        <w:br/>
      </w:r>
      <w:r>
        <w:t xml:space="preserve">Finally, approximately 61% of the stakeholders expressed that the simplification should go beyond</w:t>
      </w:r>
      <w:r>
        <w:t xml:space="preserve"> </w:t>
      </w:r>
      <w:r>
        <w:t xml:space="preserve">amending the existing Directives, e.g., to further support innovation and growth through a more</w:t>
      </w:r>
      <w:r>
        <w:t xml:space="preserve"> </w:t>
      </w:r>
      <w:r>
        <w:t xml:space="preserve">ambitious and holistic tax agenda. Other asks in this area related: to taxation of unrealised capital</w:t>
      </w:r>
      <w:r>
        <w:t xml:space="preserve"> </w:t>
      </w:r>
      <w:r>
        <w:t xml:space="preserve">gains, to introduce a common distribution-based tax system in the EU and a centralised EU</w:t>
      </w:r>
      <w:r>
        <w:t xml:space="preserve"> </w:t>
      </w:r>
      <w:r>
        <w:t xml:space="preserve">reporting and one-stop-shop model, to shift from taxing income to taxing pollution and resource-</w:t>
      </w:r>
      <w:r>
        <w:t xml:space="preserve"> </w:t>
      </w:r>
      <w:r>
        <w:t xml:space="preserve">use, to have more incentives for SMEs, to improve Transfer Pricing within the EU, to introduce</w:t>
      </w:r>
      <w:r>
        <w:t xml:space="preserve"> </w:t>
      </w:r>
      <w:r>
        <w:t xml:space="preserve">mutual recognition of tax-exempt public benefit entities, to exclude jurisdictions with a QDMTT</w:t>
      </w:r>
      <w:r>
        <w:t xml:space="preserve"> </w:t>
      </w:r>
      <w:r>
        <w:t xml:space="preserve">from the EU list of non-cooperative jurisdictions, to review the implementation of the OECD Pillar</w:t>
      </w:r>
      <w:r>
        <w:t xml:space="preserve"> </w:t>
      </w:r>
      <w:r>
        <w:t xml:space="preserve">2, and to expand the scope of simplification to indirect taxation, cross-border workers, and existing</w:t>
      </w:r>
      <w:r>
        <w:t xml:space="preserve"> </w:t>
      </w:r>
      <w:r>
        <w:t xml:space="preserve">proposals, such as BEFIT, and the Pillar 2 Directive.</w:t>
      </w:r>
    </w:p>
    <w:p>
      <w:pPr>
        <w:pStyle w:val="BodyText"/>
      </w:pPr>
      <w:r>
        <w:t xml:space="preserve">Targeted Consultations</w:t>
      </w:r>
      <w:r>
        <w:t xml:space="preserve"> </w:t>
      </w:r>
      <w:r>
        <w:t xml:space="preserve">Over the course of the policy development process, a number of interviews and meetings were</w:t>
      </w:r>
      <w:r>
        <w:t xml:space="preserve"> </w:t>
      </w:r>
      <w:r>
        <w:t xml:space="preserve">carried out with different private stakeholders, including businesses of different sizes operating in</w:t>
      </w:r>
      <w:r>
        <w:t xml:space="preserve"> </w:t>
      </w:r>
      <w:r>
        <w:t xml:space="preserve">different sectors. The consultations mainly covered issues related to the IRD, PSD, TMD, and</w:t>
      </w:r>
      <w:r>
        <w:t xml:space="preserve"> </w:t>
      </w:r>
      <w:r>
        <w:t xml:space="preserve">DRM as a separate study was carried out for the ATAD by an external contractor as part of the</w:t>
      </w:r>
      <w:r>
        <w:t xml:space="preserve"> </w:t>
      </w:r>
      <w:r>
        <w:t xml:space="preserve">evaluation of the ATAD.</w:t>
      </w:r>
    </w:p>
    <w:p>
      <w:pPr>
        <w:pStyle w:val="BodyText"/>
      </w:pPr>
      <w:r>
        <w:t xml:space="preserve">Overall, it can be said that the stakeholders favour the objectives of simplification and tax</w:t>
      </w:r>
      <w:r>
        <w:t xml:space="preserve"> </w:t>
      </w:r>
      <w:r>
        <w:t xml:space="preserve">competitiveness but their current issues and needs for simplification vary relative to their size,</w:t>
      </w:r>
      <w:r>
        <w:t xml:space="preserve"> </w:t>
      </w:r>
      <w:r>
        <w:t xml:space="preserve">activities, and the Member States in which they are operating. The key take-aways from the</w:t>
      </w:r>
      <w:r>
        <w:t xml:space="preserve"> </w:t>
      </w:r>
      <w:r>
        <w:t xml:space="preserve">discussions can be summarised as follows:</w:t>
      </w:r>
    </w:p>
    <w:p>
      <w:pPr>
        <w:pStyle w:val="BodyText"/>
      </w:pPr>
      <w:r>
        <w:t xml:space="preserve">Concerning the IRD and the PSD, most stakeholders face compliance burdens, particularly in some</w:t>
      </w:r>
      <w:r>
        <w:t xml:space="preserve"> </w:t>
      </w:r>
      <w:r>
        <w:t xml:space="preserve">Member States where taxpayers have to either request a refund of paid withholding tax or undergo</w:t>
      </w:r>
      <w:r>
        <w:t xml:space="preserve"> </w:t>
      </w:r>
      <w:r>
        <w:t xml:space="preserve">lengthy and costly upfront procedures to benefit from the tax exemption. Stakeholders suggested to</w:t>
      </w:r>
      <w:r>
        <w:t xml:space="preserve"> </w:t>
      </w:r>
      <w:r>
        <w:t xml:space="preserve">align formalities and deadlines, and to introduce a digitalised and standardised procedure across the</w:t>
      </w:r>
      <w:r>
        <w:t xml:space="preserve"> </w:t>
      </w:r>
      <w:r>
        <w:t xml:space="preserve">EU, including EU digital tax resident certificates, building on the FASTER Directive. Some</w:t>
      </w:r>
      <w:r>
        <w:t xml:space="preserve"> </w:t>
      </w:r>
      <w:r>
        <w:t xml:space="preserve">stakeholders also highlighted heavy compliance burdens related to beneficial ownership tests and</w:t>
      </w:r>
      <w:r>
        <w:t xml:space="preserve"> </w:t>
      </w:r>
      <w:r>
        <w:t xml:space="preserve">noted that complex rules have a deterrent effect on distributing profits across borders – contrary to</w:t>
      </w:r>
      <w:r>
        <w:t xml:space="preserve"> </w:t>
      </w:r>
      <w:r>
        <w:t xml:space="preserve">the objectives of the Directives. Some stakeholders found that withholding taxes could be fully</w:t>
      </w:r>
      <w:r>
        <w:t xml:space="preserve"> </w:t>
      </w:r>
      <w:r>
        <w:t xml:space="preserve">removed within the EU, or at least procedures with upfront compliance requirements should be</w:t>
      </w:r>
      <w:r>
        <w:t xml:space="preserve"> </w:t>
      </w:r>
      <w:r>
        <w:t xml:space="preserve">abolished.</w:t>
      </w:r>
    </w:p>
    <w:p>
      <w:pPr>
        <w:pStyle w:val="BodyText"/>
      </w:pPr>
      <w:r>
        <w:t xml:space="preserve">In addition, concerning the IRD and the PSD, many stakeholders stressed the need for a common</w:t>
      </w:r>
      <w:r>
        <w:t xml:space="preserve"> </w:t>
      </w:r>
      <w:r>
        <w:t xml:space="preserve">definition of beneficial ownership and common beneficial ownership test within the EU to provide</w:t>
      </w:r>
      <w:r>
        <w:t xml:space="preserve"> </w:t>
      </w:r>
      <w:r>
        <w:t xml:space="preserve">more certainty to taxpayers and tax authorities. It was also noted by some stakeholder that the PSD</w:t>
      </w:r>
      <w:r>
        <w:t xml:space="preserve"> </w:t>
      </w:r>
      <w:r>
        <w:t xml:space="preserve">does not include a ‘beneficial owner’ definition. Nonetheless, several Member States limit the</w:t>
      </w:r>
      <w:r>
        <w:t xml:space="preserve"> </w:t>
      </w:r>
      <w:r>
        <w:t xml:space="preserve">application of the PSD in situations where the recipient is not considered the beneficial owner,</w:t>
      </w:r>
      <w:r>
        <w:t xml:space="preserve"> </w:t>
      </w:r>
      <w:r>
        <w:t xml:space="preserve">which is clashing with the legal concept of a ‘shareholder’. Some stakeholders also highlighted the</w:t>
      </w:r>
      <w:r>
        <w:t xml:space="preserve"> </w:t>
      </w:r>
      <w:r>
        <w:t xml:space="preserve">general need for common understanding and interpretation of terms in the Directives. Particularly</w:t>
      </w:r>
      <w:r>
        <w:t xml:space="preserve"> </w:t>
      </w:r>
      <w:r>
        <w:t xml:space="preserve">concerning the ‘eligible companies’, it was pointed out that the annexes should be updated and</w:t>
      </w:r>
      <w:r>
        <w:t xml:space="preserve"> </w:t>
      </w:r>
      <w:r>
        <w:t xml:space="preserve">aligned. With regard to the holding requirements, most stakeholders shared the view that the IRD</w:t>
      </w:r>
      <w:r>
        <w:t xml:space="preserve"> </w:t>
      </w:r>
      <w:r>
        <w:t xml:space="preserve">and the PSD should be aligned on the use of indirect holdings and percentages as the they are</w:t>
      </w:r>
      <w:r>
        <w:t xml:space="preserve"> </w:t>
      </w:r>
      <w:r>
        <w:t xml:space="preserve">currently treated differently across the EU because discretion to the Member States led to</w:t>
      </w:r>
      <w:r>
        <w:t xml:space="preserve"> </w:t>
      </w:r>
      <w:r>
        <w:t xml:space="preserve">deviations in the conditions to benefit from the Directives. Some stakeholders found that the scope</w:t>
      </w:r>
      <w:r>
        <w:t xml:space="preserve"> </w:t>
      </w:r>
      <w:r>
        <w:t xml:space="preserve">of the Directive should be broader and that the tax exemption should ideally apply irrespective of</w:t>
      </w:r>
      <w:r>
        <w:t xml:space="preserve"> </w:t>
      </w:r>
      <w:r>
        <w:t xml:space="preserve">holding requirements within the EU.</w:t>
      </w:r>
    </w:p>
    <w:p>
      <w:pPr>
        <w:pStyle w:val="BodyText"/>
      </w:pPr>
      <w:r>
        <w:t xml:space="preserve">Regarding PSD, some stakeholders raised concerns in relation to the implementation of Article 4(3)</w:t>
      </w:r>
      <w:r>
        <w:t xml:space="preserve"> </w:t>
      </w:r>
      <w:r>
        <w:t xml:space="preserve">which allows Members States to exclude, from the tax base, the deduction of management costs</w:t>
      </w:r>
      <w:r>
        <w:t xml:space="preserve"> </w:t>
      </w:r>
      <w:r>
        <w:t xml:space="preserve">relating to the holding for a fixed amount corresponding to 5% of the profits distributed. According</w:t>
      </w:r>
      <w:r>
        <w:t xml:space="preserve"> </w:t>
      </w:r>
      <w:r>
        <w:t xml:space="preserve">to stakeholders concerned, when the actual expenses are lower than the flat rate, this may result in a</w:t>
      </w:r>
      <w:r>
        <w:t xml:space="preserve"> </w:t>
      </w:r>
      <w:r>
        <w:t xml:space="preserve">part of the dividends or profit distributions not being exempt, leading to inconsistencies with the</w:t>
      </w:r>
      <w:r>
        <w:t xml:space="preserve"> </w:t>
      </w:r>
      <w:r>
        <w:t xml:space="preserve">aim of the PSD to eliminate double taxation.</w:t>
      </w:r>
    </w:p>
    <w:p>
      <w:pPr>
        <w:pStyle w:val="BodyText"/>
      </w:pPr>
      <w:r>
        <w:t xml:space="preserve">On the anti-abuse rules in the IRD and the PSD, many stakeholders experienced difficulties in the</w:t>
      </w:r>
      <w:r>
        <w:t xml:space="preserve"> </w:t>
      </w:r>
      <w:r>
        <w:t xml:space="preserve">application of the specific anti-abuse rules, the beneficial ownership tests, and the general anti-</w:t>
      </w:r>
      <w:r>
        <w:t xml:space="preserve"> </w:t>
      </w:r>
      <w:r>
        <w:t xml:space="preserve">abuse rule in the ATAD. It was highlighted that benefits should not be denied if the arrangement</w:t>
      </w:r>
      <w:r>
        <w:t xml:space="preserve"> </w:t>
      </w:r>
      <w:r>
        <w:t xml:space="preserve">does not result in a tax advantage. While some stakeholders suggested to merge the anti-abuse</w:t>
      </w:r>
    </w:p>
    <w:p>
      <w:pPr>
        <w:pStyle w:val="BodyText"/>
      </w:pPr>
      <w:r>
        <w:t xml:space="preserve">provisions of the PSD and IRD, others found that they could be abolished as the general anti-abuse</w:t>
      </w:r>
      <w:r>
        <w:t xml:space="preserve"> </w:t>
      </w:r>
      <w:r>
        <w:t xml:space="preserve">rule in ATAD was sufficient. It was also mentioned that a common understanding of key concepts,</w:t>
      </w:r>
      <w:r>
        <w:t xml:space="preserve"> </w:t>
      </w:r>
      <w:r>
        <w:t xml:space="preserve">including clarifications on ‘tax advantage’ and timing of assessment for non-genuine arrangements,</w:t>
      </w:r>
      <w:r>
        <w:t xml:space="preserve"> </w:t>
      </w:r>
      <w:r>
        <w:t xml:space="preserve">would be helpful.</w:t>
      </w:r>
    </w:p>
    <w:p>
      <w:pPr>
        <w:pStyle w:val="BodyText"/>
      </w:pPr>
      <w:r>
        <w:t xml:space="preserve">Concerning the TMD, not all stakeholders had experience with restructurings. Among the relevant</w:t>
      </w:r>
      <w:r>
        <w:t xml:space="preserve"> </w:t>
      </w:r>
      <w:r>
        <w:t xml:space="preserve">stakeholders, some found a need for clarification on the type of operations that fall within the scope</w:t>
      </w:r>
      <w:r>
        <w:t xml:space="preserve"> </w:t>
      </w:r>
      <w:r>
        <w:t xml:space="preserve">of the TMD. In this regard, it was also pointed out that TMD should be aligned with the Company</w:t>
      </w:r>
      <w:r>
        <w:t xml:space="preserve"> </w:t>
      </w:r>
      <w:r>
        <w:t xml:space="preserve">Law Merger Directive as amended by the Mobility Directive to cover more restructuring forms.</w:t>
      </w:r>
      <w:r>
        <w:t xml:space="preserve"> </w:t>
      </w:r>
      <w:r>
        <w:t xml:space="preserve">Few stakeholders advocated for extending the scope of the TMD to all taxes, including real estate</w:t>
      </w:r>
      <w:r>
        <w:t xml:space="preserve"> </w:t>
      </w:r>
      <w:r>
        <w:t xml:space="preserve">(transfer) taxes, stamp duties, local and regional taxes, to ensure full tax neutrality and to make it</w:t>
      </w:r>
      <w:r>
        <w:t xml:space="preserve"> </w:t>
      </w:r>
      <w:r>
        <w:t xml:space="preserve">easier for businesses re-organise within the EU. A few stakeholders also suggested to have common</w:t>
      </w:r>
      <w:r>
        <w:t xml:space="preserve"> </w:t>
      </w:r>
      <w:r>
        <w:t xml:space="preserve">rules on tax losses and valuation methods.</w:t>
      </w:r>
    </w:p>
    <w:p>
      <w:pPr>
        <w:pStyle w:val="BodyText"/>
      </w:pPr>
      <w:r>
        <w:t xml:space="preserve">Stakeholders in-scope of Pillar 2 highlighted the need to review the EU tax legislation in view of</w:t>
      </w:r>
      <w:r>
        <w:t xml:space="preserve"> </w:t>
      </w:r>
      <w:r>
        <w:t xml:space="preserve">the implementation of Pillar 2. They pointed out that certain elements of the EU tax legislation,</w:t>
      </w:r>
      <w:r>
        <w:t xml:space="preserve"> </w:t>
      </w:r>
      <w:r>
        <w:t xml:space="preserve">particularly concerning ATAD, have been rendered obsolete, and should be withdrawn with a view</w:t>
      </w:r>
      <w:r>
        <w:t xml:space="preserve"> </w:t>
      </w:r>
      <w:r>
        <w:t xml:space="preserve">to reducing administrative burden and boosting the EU’s competitiveness.</w:t>
      </w:r>
    </w:p>
    <w:p>
      <w:pPr>
        <w:pStyle w:val="BodyText"/>
      </w:pPr>
      <w:r>
        <w:t xml:space="preserve">Finally, concerning the DRM, most stakeholders found the procedures too lengthy, time-</w:t>
      </w:r>
      <w:r>
        <w:t xml:space="preserve"> </w:t>
      </w:r>
      <w:r>
        <w:t xml:space="preserve">consuming, and that there was a lack of uniformity amongst existing mechanisms. In this regard, it</w:t>
      </w:r>
      <w:r>
        <w:t xml:space="preserve"> </w:t>
      </w:r>
      <w:r>
        <w:t xml:space="preserve">was pointed out that it is important for tax certainty that the procedures are binding and have set</w:t>
      </w:r>
      <w:r>
        <w:t xml:space="preserve"> </w:t>
      </w:r>
      <w:r>
        <w:t xml:space="preserve">deadlines. Some stakeholders also called for allowing procedures in English, or one or two</w:t>
      </w:r>
      <w:r>
        <w:t xml:space="preserve"> </w:t>
      </w:r>
      <w:r>
        <w:t xml:space="preserve">additional big EU languages, and more extensive involvement of taxpayers during the procedures.</w:t>
      </w:r>
      <w:r>
        <w:t xml:space="preserve"> </w:t>
      </w:r>
      <w:r>
        <w:t xml:space="preserve">It was stressed that the DRM should create an obligation for Member States to solve the issue in</w:t>
      </w:r>
      <w:r>
        <w:t xml:space="preserve"> </w:t>
      </w:r>
      <w:r>
        <w:t xml:space="preserve">question and that Member States’ possibility to deny access should be limited. Several stakeholders</w:t>
      </w:r>
      <w:r>
        <w:t xml:space="preserve"> </w:t>
      </w:r>
      <w:r>
        <w:t xml:space="preserve">also expressed the view that the scope of the DRM could be extended and that more dispute</w:t>
      </w:r>
      <w:r>
        <w:t xml:space="preserve"> </w:t>
      </w:r>
      <w:r>
        <w:t xml:space="preserve">prevention initiatives, such a corporative compliance programmes, are needed in the EU.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initiative directly affects the companies that will be subject to and thus liable to domestic taxes</w:t>
      </w:r>
      <w:r>
        <w:t xml:space="preserve"> </w:t>
      </w:r>
      <w:r>
        <w:t xml:space="preserve">on companies of EU Member States, as well as their respective national tax administrations, by</w:t>
      </w:r>
      <w:r>
        <w:t xml:space="preserve"> </w:t>
      </w:r>
      <w:r>
        <w:t xml:space="preserve">simplifying EU tax rules to boost EU competitiveness, while maintaining high tax standards in the</w:t>
      </w:r>
      <w:r>
        <w:t xml:space="preserve"> </w:t>
      </w:r>
      <w:r>
        <w:t xml:space="preserve">EU. Citizens will indirectly benefit from the increase in GDP. It also indirectly affects the tax</w:t>
      </w:r>
      <w:r>
        <w:t xml:space="preserve"> </w:t>
      </w:r>
      <w:r>
        <w:t xml:space="preserve">revenues of Member States.</w:t>
      </w:r>
      <w:r>
        <w:t xml:space="preserve"> </w:t>
      </w:r>
      <w:r>
        <w:t xml:space="preserve">Companies will bear minimal initial adjustment costs for training the personnel to the new rules.</w:t>
      </w:r>
      <w:r>
        <w:t xml:space="preserve"> </w:t>
      </w:r>
      <w:r>
        <w:t xml:space="preserve">This is because the Omnibus on Taxation either eliminates, clarifies or updates existing EU rules,</w:t>
      </w:r>
      <w:r>
        <w:t xml:space="preserve"> </w:t>
      </w:r>
      <w:r>
        <w:t xml:space="preserve">or, where the initiative introduces new harmonised rules, builds on existing approaches, e.g. the</w:t>
      </w:r>
      <w:r>
        <w:t xml:space="preserve"> </w:t>
      </w:r>
      <w:r>
        <w:t xml:space="preserve">FASTER Directive for withholding tax procedures, or simpler frameworks (e.g. the tax</w:t>
      </w:r>
      <w:r>
        <w:t xml:space="preserve"> </w:t>
      </w:r>
      <w:r>
        <w:t xml:space="preserve">depreciation treatment of assets related to research and development). Accordingly, it is also</w:t>
      </w:r>
      <w:r>
        <w:t xml:space="preserve"> </w:t>
      </w:r>
      <w:r>
        <w:t xml:space="preserve">expected that recurrent costs will be very low. Because the new measures aim to simplify EU tax</w:t>
      </w:r>
      <w:r>
        <w:t xml:space="preserve"> </w:t>
      </w:r>
      <w:r>
        <w:t xml:space="preserve">rules, there will be a significant cost reduction overall for EU businesses.</w:t>
      </w:r>
      <w:r>
        <w:br/>
      </w:r>
      <w:r>
        <w:t xml:space="preserve">Similarly, the impact for tax administrations should be positive, because, apart from the initial cost</w:t>
      </w:r>
      <w:r>
        <w:t xml:space="preserve"> </w:t>
      </w:r>
      <w:r>
        <w:t xml:space="preserve">for training, they can be expected to free up human resources thanks to exemptions from existing</w:t>
      </w:r>
      <w:r>
        <w:t xml:space="preserve"> </w:t>
      </w:r>
      <w:r>
        <w:t xml:space="preserve">administrative burdens (e.g. withholding tax), a more targeted scope for some of the EU rules (e.g. </w:t>
      </w:r>
      <w:r>
        <w:t xml:space="preserve"> </w:t>
      </w:r>
      <w:r>
        <w:t xml:space="preserve">CFC, Interest Limitation Rule), and clearer mechanisms such as for dispute resolution.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As explained in Chapter 6, it has not been possible to estimate costs for each of the envisaged</w:t>
      </w:r>
      <w:r>
        <w:t xml:space="preserve"> </w:t>
      </w:r>
      <w:r>
        <w:t xml:space="preserve">policy options. Also, input from stakeholders has been limited in terms of quantitative estimations</w:t>
      </w:r>
      <w:r>
        <w:t xml:space="preserve"> </w:t>
      </w:r>
      <w:r>
        <w:t xml:space="preserve">of the relevant costs, which accordingly makes it difficult to provide robust estimates. In addition,</w:t>
      </w:r>
      <w:r>
        <w:t xml:space="preserve"> </w:t>
      </w:r>
      <w:r>
        <w:t xml:space="preserve">depending on the business model of the different groups, the cost of applying the existing EU rules</w:t>
      </w:r>
      <w:r>
        <w:t xml:space="preserve"> </w:t>
      </w:r>
      <w:r>
        <w:t xml:space="preserve">is expected to differ substantially. For instance, a group which is centrally organised would have</w:t>
      </w:r>
      <w:r>
        <w:t xml:space="preserve"> </w:t>
      </w:r>
      <w:r>
        <w:t xml:space="preserve">less costs than a group which mainly operates its administrative functions at the level of its</w:t>
      </w:r>
      <w:r>
        <w:t xml:space="preserve"> </w:t>
      </w:r>
      <w:r>
        <w:t xml:space="preserve">subsidiaries in different Member States. Below, an attempt is made to describe some of the possible</w:t>
      </w:r>
      <w:r>
        <w:t xml:space="preserve"> </w:t>
      </w:r>
      <w:r>
        <w:t xml:space="preserve">costs, noting that these are likely to be relatively very small, especially when compared to the</w:t>
      </w:r>
      <w:r>
        <w:t xml:space="preserve"> </w:t>
      </w:r>
      <w:r>
        <w:t xml:space="preserve">potentially large cost savings derived from simplification. No recurrent costs are expected, given</w:t>
      </w:r>
      <w:r>
        <w:t xml:space="preserve"> </w:t>
      </w:r>
      <w:r>
        <w:t xml:space="preserve">that the very nature of the Omnibus on Taxation is to reduce recurrent compliance costs.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tax-related</w:t>
      </w:r>
      <w:r>
        <w:t xml:space="preserve"> </w:t>
      </w:r>
      <w:r>
        <w:t xml:space="preserve">compliance costs for cross-</w:t>
      </w:r>
      <w:r>
        <w:t xml:space="preserve"> </w:t>
      </w:r>
      <w:r>
        <w:t xml:space="preserve">border operating companies.</w:t>
      </w:r>
      <w:r>
        <w:t xml:space="preserve"> </w:t>
      </w:r>
      <w:r>
        <w:t xml:space="preserve">For all companies: EUR 6.6 billion per year</w:t>
      </w:r>
      <w:r>
        <w:t xml:space="preserve"> </w:t>
      </w:r>
      <w:r>
        <w:t xml:space="preserve">- Exemption from WHT on intra-EU cross-</w:t>
      </w:r>
      <w:r>
        <w:t xml:space="preserve"> </w:t>
      </w:r>
      <w:r>
        <w:t xml:space="preserve">border interest, royalty and dividend payments:</w:t>
      </w:r>
      <w:r>
        <w:t xml:space="preserve"> </w:t>
      </w:r>
      <w:r>
        <w:t xml:space="preserve">EUR 5.34 billion per year (of which EUR 4.59</w:t>
      </w:r>
      <w:r>
        <w:t xml:space="preserve"> </w:t>
      </w:r>
      <w:r>
        <w:t xml:space="preserve">billion accrue to lower foregone tax relief and</w:t>
      </w:r>
      <w:r>
        <w:t xml:space="preserve"> </w:t>
      </w:r>
      <w:r>
        <w:t xml:space="preserve">lower opportunity costs; EUR 0.75 billion</w:t>
      </w:r>
      <w:r>
        <w:t xml:space="preserve"> </w:t>
      </w:r>
      <w:r>
        <w:t xml:space="preserve">accrue to incurred costs, i.e., lower</w:t>
      </w:r>
      <w:r>
        <w:t xml:space="preserve"> </w:t>
      </w:r>
      <w:r>
        <w:t xml:space="preserve">administrative burden).</w:t>
      </w:r>
      <w:r>
        <w:t xml:space="preserve"> </w:t>
      </w:r>
      <w:r>
        <w:t xml:space="preserve">- Carveout of Pillar 2 companies and SMEs from</w:t>
      </w:r>
      <w:r>
        <w:t xml:space="preserve"> </w:t>
      </w:r>
      <w:r>
        <w:t xml:space="preserve">CFC rules: EUR 160 million respectively EUR</w:t>
      </w:r>
      <w:r>
        <w:t xml:space="preserve"> </w:t>
      </w:r>
      <w:r>
        <w:t xml:space="preserve">90 million per year</w:t>
      </w:r>
      <w:r>
        <w:t xml:space="preserve"> </w:t>
      </w:r>
      <w:r>
        <w:t xml:space="preserve">- Mandatory application of CFC Model A: EUR</w:t>
      </w:r>
      <w:r>
        <w:t xml:space="preserve"> </w:t>
      </w:r>
      <w:r>
        <w:t xml:space="preserve">45 million per year</w:t>
      </w:r>
      <w:r>
        <w:t xml:space="preserve"> </w:t>
      </w:r>
      <w:r>
        <w:t xml:space="preserve">Chapter 6 provides explanation for</w:t>
      </w:r>
      <w:r>
        <w:t xml:space="preserve"> </w:t>
      </w:r>
      <w:r>
        <w:t xml:space="preserve">estimates under different scenarios.</w:t>
      </w:r>
    </w:p>
    <w:p>
      <w:pPr>
        <w:pStyle w:val="Compact"/>
        <w:numPr>
          <w:ilvl w:val="0"/>
          <w:numId w:val="1006"/>
        </w:numPr>
      </w:pPr>
      <w:r>
        <w:t xml:space="preserve">Common tax depreciation treatment of R&amp;D</w:t>
      </w:r>
      <w:r>
        <w:t xml:space="preserve"> </w:t>
      </w:r>
      <w:r>
        <w:t xml:space="preserve">assets: EUR 265 million per year</w:t>
      </w:r>
    </w:p>
    <w:p>
      <w:pPr>
        <w:pStyle w:val="Compact"/>
        <w:numPr>
          <w:ilvl w:val="0"/>
          <w:numId w:val="1006"/>
        </w:numPr>
      </w:pPr>
      <w:r>
        <w:t xml:space="preserve">De minimis exclusion (SMEs) and carve-out of</w:t>
      </w:r>
      <w:r>
        <w:t xml:space="preserve"> </w:t>
      </w:r>
      <w:r>
        <w:t xml:space="preserve">qualifying third-party loans from the interest</w:t>
      </w:r>
      <w:r>
        <w:t xml:space="preserve"> </w:t>
      </w:r>
      <w:r>
        <w:t xml:space="preserve">limitation rule: EUR 69 million and EUR 430</w:t>
      </w:r>
      <w:r>
        <w:t xml:space="preserve"> </w:t>
      </w:r>
      <w:r>
        <w:t xml:space="preserve">million per year respectively</w:t>
      </w:r>
    </w:p>
    <w:p>
      <w:pPr>
        <w:pStyle w:val="Compact"/>
        <w:numPr>
          <w:ilvl w:val="0"/>
          <w:numId w:val="1006"/>
        </w:numPr>
      </w:pPr>
      <w:r>
        <w:t xml:space="preserve">Other simplifications of the interest limitation</w:t>
      </w:r>
      <w:r>
        <w:t xml:space="preserve"> </w:t>
      </w:r>
      <w:r>
        <w:t xml:space="preserve">rule: EUR 80 million per year</w:t>
      </w:r>
    </w:p>
    <w:p>
      <w:pPr>
        <w:pStyle w:val="Compact"/>
        <w:numPr>
          <w:ilvl w:val="0"/>
          <w:numId w:val="1006"/>
        </w:numPr>
      </w:pPr>
      <w:r>
        <w:t xml:space="preserve">Other measures (hybrid mismatches, tax</w:t>
      </w:r>
      <w:r>
        <w:t xml:space="preserve"> </w:t>
      </w:r>
      <w:r>
        <w:t xml:space="preserve">mergers, dispute resolution): EUR 80 million per</w:t>
      </w:r>
      <w:r>
        <w:t xml:space="preserve"> </w:t>
      </w:r>
      <w:r>
        <w:t xml:space="preserve">year</w:t>
      </w:r>
      <w:r>
        <w:br/>
      </w:r>
      <w:r>
        <w:t xml:space="preserve">Cost savings in legal advice</w:t>
      </w:r>
      <w:r>
        <w:t xml:space="preserve"> </w:t>
      </w:r>
      <w:r>
        <w:t xml:space="preserve">and litigation procedures</w:t>
      </w:r>
      <w:r>
        <w:t xml:space="preserve"> </w:t>
      </w:r>
      <w:r>
        <w:t xml:space="preserve">concerning dispute</w:t>
      </w:r>
      <w:r>
        <w:t xml:space="preserve"> </w:t>
      </w:r>
      <w:r>
        <w:t xml:space="preserve">resolution and business</w:t>
      </w:r>
      <w:r>
        <w:t xml:space="preserve"> </w:t>
      </w:r>
      <w:r>
        <w:t xml:space="preserve">reorganisations.</w:t>
      </w:r>
      <w:r>
        <w:t xml:space="preserve"> </w:t>
      </w:r>
      <w:r>
        <w:t xml:space="preserve">Difficult to estimate. Legal advice and litigation</w:t>
      </w:r>
      <w:r>
        <w:t xml:space="preserve"> </w:t>
      </w:r>
      <w:r>
        <w:t xml:space="preserve">costs for complex tax matters can range from</w:t>
      </w:r>
      <w:r>
        <w:t xml:space="preserve"> </w:t>
      </w:r>
      <w:r>
        <w:t xml:space="preserve">several thousands to a few millions per company</w:t>
      </w:r>
      <w:r>
        <w:t xml:space="preserve"> </w:t>
      </w:r>
      <w:r>
        <w:t xml:space="preserve">per case. More tax certainty and common rules</w:t>
      </w:r>
      <w:r>
        <w:t xml:space="preserve"> </w:t>
      </w:r>
      <w:r>
        <w:t xml:space="preserve">can lead to a substantial reduction of such costs.</w:t>
      </w:r>
      <w:r>
        <w:t xml:space="preserve"> </w:t>
      </w:r>
      <w:r>
        <w:t xml:space="preserve">Chapter 6 provides explanation for</w:t>
      </w:r>
      <w:r>
        <w:t xml:space="preserve"> </w:t>
      </w:r>
      <w:r>
        <w:t xml:space="preserve">estimates under different scenarios.</w:t>
      </w:r>
      <w:r>
        <w:t xml:space="preserve"> </w:t>
      </w:r>
      <w:r>
        <w:t xml:space="preserve">Supporting EU</w:t>
      </w:r>
      <w:r>
        <w:t xml:space="preserve"> </w:t>
      </w:r>
      <w:r>
        <w:t xml:space="preserve">competitiveness through</w:t>
      </w:r>
      <w:r>
        <w:t xml:space="preserve"> </w:t>
      </w:r>
      <w:r>
        <w:t xml:space="preserve">exemption from WHT on</w:t>
      </w:r>
      <w:r>
        <w:t xml:space="preserve"> </w:t>
      </w:r>
      <w:r>
        <w:t xml:space="preserve">intra-EU cross-border</w:t>
      </w:r>
      <w:r>
        <w:t xml:space="preserve"> </w:t>
      </w:r>
      <w:r>
        <w:t xml:space="preserve">interest, royalty and</w:t>
      </w:r>
      <w:r>
        <w:t xml:space="preserve"> </w:t>
      </w:r>
      <w:r>
        <w:t xml:space="preserve">dividend payments.</w:t>
      </w:r>
      <w:r>
        <w:t xml:space="preserve"> </w:t>
      </w:r>
      <w:r>
        <w:t xml:space="preserve">In the long run: EU GDP could be higher by</w:t>
      </w:r>
      <w:r>
        <w:t xml:space="preserve"> </w:t>
      </w:r>
      <w:r>
        <w:t xml:space="preserve">+0.04% relative to the status quo.</w:t>
      </w:r>
      <w:r>
        <w:t xml:space="preserve"> </w:t>
      </w:r>
      <w:r>
        <w:t xml:space="preserve">Chapter 6 provides explanation for</w:t>
      </w:r>
      <w:r>
        <w:t xml:space="preserve"> </w:t>
      </w:r>
      <w:r>
        <w:t xml:space="preserve">estimates under different scenarios.</w:t>
      </w:r>
      <w:r>
        <w:t xml:space="preserve"> </w:t>
      </w:r>
      <w:r>
        <w:t xml:space="preserve">Supporting EU</w:t>
      </w:r>
      <w:r>
        <w:t xml:space="preserve"> </w:t>
      </w:r>
      <w:r>
        <w:t xml:space="preserve">competitiveness through</w:t>
      </w:r>
      <w:r>
        <w:t xml:space="preserve"> </w:t>
      </w:r>
      <w:r>
        <w:t xml:space="preserve">simpler, common and more</w:t>
      </w:r>
      <w:r>
        <w:t xml:space="preserve"> </w:t>
      </w:r>
      <w:r>
        <w:t xml:space="preserve">beneficial tax depreciation</w:t>
      </w:r>
      <w:r>
        <w:t xml:space="preserve"> </w:t>
      </w:r>
      <w:r>
        <w:t xml:space="preserve">treatment for investments in</w:t>
      </w:r>
      <w:r>
        <w:t xml:space="preserve"> </w:t>
      </w:r>
      <w:r>
        <w:t xml:space="preserve">the area of research and</w:t>
      </w:r>
      <w:r>
        <w:t xml:space="preserve"> </w:t>
      </w:r>
      <w:r>
        <w:t xml:space="preserve">development (R&amp;D).</w:t>
      </w:r>
      <w:r>
        <w:t xml:space="preserve"> </w:t>
      </w:r>
      <w:r>
        <w:t xml:space="preserve">In the long run: EU GDP could be higher by</w:t>
      </w:r>
      <w:r>
        <w:t xml:space="preserve"> </w:t>
      </w:r>
      <w:r>
        <w:t xml:space="preserve">+0.2% relative to the status quo.</w:t>
      </w:r>
      <w:r>
        <w:t xml:space="preserve"> </w:t>
      </w:r>
      <w:r>
        <w:t xml:space="preserve">Chapter 6 provides explanation for</w:t>
      </w:r>
      <w:r>
        <w:t xml:space="preserve"> </w:t>
      </w:r>
      <w:r>
        <w:t xml:space="preserve">estimates under different scenarios.</w:t>
      </w:r>
      <w:r>
        <w:t xml:space="preserve"> </w:t>
      </w:r>
      <w:r>
        <w:t xml:space="preserve">Indirect benefits</w:t>
      </w:r>
    </w:p>
    <w:p>
      <w:pPr>
        <w:pStyle w:val="Compact"/>
        <w:numPr>
          <w:ilvl w:val="0"/>
          <w:numId w:val="1007"/>
        </w:numPr>
      </w:pP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in the comments column which</w:t>
      </w:r>
      <w:r>
        <w:t xml:space="preserve"> </w:t>
      </w:r>
      <w:r>
        <w:t xml:space="preserve">stakeholder group is the main recipient of the benefit;(3) For reductions in regulatory costs, please describe in the</w:t>
      </w:r>
      <w:r>
        <w:t xml:space="preserve"> </w:t>
      </w:r>
      <w:r>
        <w:t xml:space="preserve">comments column the details as to how the saving arises (e.g. reductions in adjustment costs, administrative costs,</w:t>
      </w:r>
      <w:r>
        <w:t xml:space="preserve"> </w:t>
      </w:r>
      <w:r>
        <w:t xml:space="preserve">regulatory charges, enforcement costs, etc.;);.</w:t>
      </w:r>
    </w:p>
    <w:p>
      <w:pPr>
        <w:pStyle w:val="Compact"/>
        <w:numPr>
          <w:ilvl w:val="0"/>
          <w:numId w:val="1008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Exemption from WHT</w:t>
      </w:r>
      <w:r>
        <w:t xml:space="preserve"> </w:t>
      </w:r>
      <w:r>
        <w:t xml:space="preserve">on</w:t>
      </w:r>
      <w:r>
        <w:t xml:space="preserve"> </w:t>
      </w:r>
      <w:r>
        <w:t xml:space="preserve">intra-EU</w:t>
      </w:r>
      <w:r>
        <w:t xml:space="preserve"> </w:t>
      </w:r>
      <w:r>
        <w:t xml:space="preserve">cross-</w:t>
      </w:r>
      <w:r>
        <w:t xml:space="preserve"> </w:t>
      </w:r>
      <w:r>
        <w:t xml:space="preserve">border interest, royalty</w:t>
      </w:r>
      <w:r>
        <w:t xml:space="preserve"> </w:t>
      </w:r>
      <w:r>
        <w:t xml:space="preserve">and dividend payments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Taxation of CFCs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None/very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Simpler, common and</w:t>
      </w:r>
      <w:r>
        <w:t xml:space="preserve"> </w:t>
      </w:r>
      <w:r>
        <w:t xml:space="preserve">more</w:t>
      </w:r>
      <w:r>
        <w:t xml:space="preserve"> </w:t>
      </w:r>
      <w:r>
        <w:t xml:space="preserve">beneficial</w:t>
      </w:r>
      <w:r>
        <w:t xml:space="preserve"> </w:t>
      </w:r>
      <w:r>
        <w:t xml:space="preserve">tax</w:t>
      </w:r>
      <w:r>
        <w:t xml:space="preserve"> </w:t>
      </w:r>
      <w:r>
        <w:t xml:space="preserve">depreciation treatment</w:t>
      </w:r>
      <w:r>
        <w:t xml:space="preserve"> </w:t>
      </w:r>
      <w:r>
        <w:t xml:space="preserve">for investments in the</w:t>
      </w:r>
      <w:r>
        <w:t xml:space="preserve"> </w:t>
      </w:r>
      <w:r>
        <w:t xml:space="preserve">area of research and</w:t>
      </w:r>
      <w:r>
        <w:t xml:space="preserve"> </w:t>
      </w:r>
      <w:r>
        <w:t xml:space="preserve">development (R&amp;D)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Other simplifications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Very marginal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none</w:t>
      </w:r>
      <w:r>
        <w:t xml:space="preserve"> </w:t>
      </w:r>
      <w:r>
        <w:t xml:space="preserve">n/a</w:t>
      </w:r>
      <w:r>
        <w:t xml:space="preserve"> </w:t>
      </w:r>
      <w:r>
        <w:t xml:space="preserve">(1) 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 costs,</w:t>
      </w:r>
      <w:r>
        <w:t xml:space="preserve"> </w:t>
      </w:r>
      <w:r>
        <w:t xml:space="preserve">indirect costs;).</w:t>
      </w:r>
    </w:p>
    <w:p>
      <w:pPr>
        <w:pStyle w:val="Compact"/>
        <w:numPr>
          <w:ilvl w:val="0"/>
          <w:numId w:val="1009"/>
        </w:numPr>
      </w:pPr>
      <w:r>
        <w:t xml:space="preserve">Contribution to the administrative burden reduction targets – Preferred option(s)</w:t>
      </w:r>
      <w:r>
        <w:br/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[M€]</w:t>
      </w:r>
      <w:r>
        <w:br/>
      </w:r>
      <w:r>
        <w:t xml:space="preserve">New recurrent</w:t>
      </w:r>
      <w:r>
        <w:t xml:space="preserve"> </w:t>
      </w:r>
      <w:r>
        <w:t xml:space="preserve">costs (INs)</w:t>
      </w:r>
      <w:r>
        <w:br/>
      </w:r>
      <w:r>
        <w:t xml:space="preserve">(nominal values</w:t>
      </w:r>
      <w:r>
        <w:t xml:space="preserve"> </w:t>
      </w:r>
      <w:r>
        <w:t xml:space="preserve">per year)</w:t>
      </w:r>
      <w:r>
        <w:br/>
      </w:r>
      <w:r>
        <w:t xml:space="preserve">Removed recurrent</w:t>
      </w:r>
      <w:r>
        <w:t xml:space="preserve"> </w:t>
      </w:r>
      <w:r>
        <w:t xml:space="preserve">costs (OUTs)</w:t>
      </w:r>
      <w:r>
        <w:br/>
      </w:r>
      <w:r>
        <w:t xml:space="preserve">(nominal values per</w:t>
      </w:r>
      <w:r>
        <w:t xml:space="preserve"> </w:t>
      </w:r>
      <w:r>
        <w:t xml:space="preserve">year)</w:t>
      </w:r>
      <w:r>
        <w:br/>
      </w:r>
      <w:r>
        <w:t xml:space="preserve">Net cost (INs</w:t>
      </w:r>
      <w:r>
        <w:t xml:space="preserve"> </w:t>
      </w:r>
      <w:r>
        <w:t xml:space="preserve">– OUTs)</w:t>
      </w:r>
    </w:p>
    <w:p>
      <w:pPr>
        <w:pStyle w:val="FirstParagraph"/>
      </w:pPr>
      <w:r>
        <w:t xml:space="preserve">(nominal values</w:t>
      </w:r>
      <w:r>
        <w:t xml:space="preserve"> </w:t>
      </w:r>
      <w:r>
        <w:t xml:space="preserve">per year)</w:t>
      </w:r>
      <w:r>
        <w:br/>
      </w:r>
      <w:r>
        <w:t xml:space="preserve">New one-off costs</w:t>
      </w:r>
      <w:r>
        <w:t xml:space="preserve"> </w:t>
      </w:r>
      <w:r>
        <w:t xml:space="preserve">(INs)</w:t>
      </w:r>
      <w:r>
        <w:br/>
      </w:r>
      <w:r>
        <w:t xml:space="preserve">(annualised total net</w:t>
      </w:r>
      <w:r>
        <w:t xml:space="preserve"> </w:t>
      </w:r>
      <w:r>
        <w:t xml:space="preserve">present value over the</w:t>
      </w:r>
      <w:r>
        <w:t xml:space="preserve"> </w:t>
      </w:r>
      <w:r>
        <w:t xml:space="preserve">relevant period)</w:t>
      </w:r>
      <w:r>
        <w:br/>
      </w:r>
      <w:r>
        <w:t xml:space="preserve">Removed one-off costs</w:t>
      </w:r>
      <w:r>
        <w:t xml:space="preserve"> </w:t>
      </w:r>
      <w:r>
        <w:t xml:space="preserve">(OUTs)</w:t>
      </w:r>
      <w:r>
        <w:br/>
      </w:r>
      <w:r>
        <w:t xml:space="preserve">(annualised total net</w:t>
      </w:r>
      <w:r>
        <w:t xml:space="preserve"> </w:t>
      </w:r>
      <w:r>
        <w:t xml:space="preserve">present value over the</w:t>
      </w:r>
      <w:r>
        <w:t xml:space="preserve"> </w:t>
      </w:r>
      <w:r>
        <w:t xml:space="preserve">relevant period)</w:t>
      </w:r>
      <w:r>
        <w:br/>
      </w:r>
      <w:r>
        <w:t xml:space="preserve">All businesses</w:t>
      </w:r>
    </w:p>
    <w:p>
      <w:pPr>
        <w:pStyle w:val="BodyText"/>
      </w:pPr>
      <w:r>
        <w:t xml:space="preserve">For all companies:</w:t>
      </w:r>
      <w:r>
        <w:t xml:space="preserve"> </w:t>
      </w:r>
      <w:r>
        <w:t xml:space="preserve">~EUR 2 billion per</w:t>
      </w:r>
      <w:r>
        <w:t xml:space="preserve"> </w:t>
      </w:r>
      <w:r>
        <w:t xml:space="preserve">year</w:t>
      </w:r>
      <w:r>
        <w:t xml:space="preserve"> </w:t>
      </w:r>
      <w:r>
        <w:t xml:space="preserve">- Exemption from</w:t>
      </w:r>
    </w:p>
    <w:p>
      <w:pPr>
        <w:pStyle w:val="BodyText"/>
      </w:pPr>
      <w:r>
        <w:t xml:space="preserve">WHT on intra-EU</w:t>
      </w:r>
      <w:r>
        <w:t xml:space="preserve"> </w:t>
      </w:r>
      <w:r>
        <w:t xml:space="preserve">cross-border interest,</w:t>
      </w:r>
      <w:r>
        <w:t xml:space="preserve"> </w:t>
      </w:r>
      <w:r>
        <w:t xml:space="preserve">royalty and dividend</w:t>
      </w:r>
      <w:r>
        <w:t xml:space="preserve"> </w:t>
      </w:r>
      <w:r>
        <w:t xml:space="preserve">payments: EUR 0.75</w:t>
      </w:r>
      <w:r>
        <w:t xml:space="preserve"> </w:t>
      </w:r>
      <w:r>
        <w:t xml:space="preserve">billion per year of</w:t>
      </w:r>
      <w:r>
        <w:t xml:space="preserve"> </w:t>
      </w:r>
      <w:r>
        <w:t xml:space="preserve">lower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- Carveout of Pillar 2</w:t>
      </w:r>
      <w:r>
        <w:t xml:space="preserve"> </w:t>
      </w:r>
      <w:r>
        <w:t xml:space="preserve">companies and SMEs</w:t>
      </w:r>
      <w:r>
        <w:t xml:space="preserve"> </w:t>
      </w:r>
      <w:r>
        <w:t xml:space="preserve">from CFC rules:</w:t>
      </w:r>
      <w:r>
        <w:t xml:space="preserve"> </w:t>
      </w:r>
      <w:r>
        <w:t xml:space="preserve">EUR 160 million,</w:t>
      </w:r>
      <w:r>
        <w:t xml:space="preserve"> </w:t>
      </w:r>
      <w:r>
        <w:t xml:space="preserve">EUR 90 million per</w:t>
      </w:r>
      <w:r>
        <w:t xml:space="preserve"> </w:t>
      </w:r>
      <w:r>
        <w:t xml:space="preserve">year respectively</w:t>
      </w:r>
      <w:r>
        <w:t xml:space="preserve"> </w:t>
      </w:r>
      <w:r>
        <w:t xml:space="preserve">- Mandatory</w:t>
      </w:r>
      <w:r>
        <w:t xml:space="preserve"> </w:t>
      </w:r>
      <w:r>
        <w:t xml:space="preserve">application of CFC</w:t>
      </w:r>
      <w:r>
        <w:t xml:space="preserve"> </w:t>
      </w:r>
      <w:r>
        <w:t xml:space="preserve">Model A: EUR 45</w:t>
      </w:r>
      <w:r>
        <w:t xml:space="preserve"> </w:t>
      </w:r>
      <w:r>
        <w:t xml:space="preserve">million per year</w:t>
      </w:r>
      <w:r>
        <w:t xml:space="preserve"> </w:t>
      </w:r>
      <w:r>
        <w:t xml:space="preserve">- Common tax</w:t>
      </w:r>
      <w:r>
        <w:t xml:space="preserve"> </w:t>
      </w:r>
      <w:r>
        <w:t xml:space="preserve">depreciation</w:t>
      </w:r>
      <w:r>
        <w:t xml:space="preserve"> </w:t>
      </w:r>
      <w:r>
        <w:t xml:space="preserve">treatment of R&amp;D</w:t>
      </w:r>
      <w:r>
        <w:t xml:space="preserve"> </w:t>
      </w:r>
      <w:r>
        <w:t xml:space="preserve">assets: EUR 265</w:t>
      </w:r>
      <w:r>
        <w:t xml:space="preserve"> </w:t>
      </w:r>
      <w:r>
        <w:t xml:space="preserve">million per year</w:t>
      </w:r>
      <w:r>
        <w:t xml:space="preserve"> </w:t>
      </w:r>
      <w:r>
        <w:t xml:space="preserve">- De minimis</w:t>
      </w:r>
      <w:r>
        <w:t xml:space="preserve"> </w:t>
      </w:r>
      <w:r>
        <w:t xml:space="preserve">exclusion (SMEs)</w:t>
      </w:r>
      <w:r>
        <w:t xml:space="preserve"> </w:t>
      </w:r>
      <w:r>
        <w:t xml:space="preserve">and carve-out of</w:t>
      </w:r>
      <w:r>
        <w:t xml:space="preserve"> </w:t>
      </w:r>
      <w:r>
        <w:t xml:space="preserve">qualifying third-party</w:t>
      </w:r>
      <w:r>
        <w:t xml:space="preserve"> </w:t>
      </w:r>
      <w:r>
        <w:t xml:space="preserve">loans from the</w:t>
      </w:r>
      <w:r>
        <w:t xml:space="preserve"> </w:t>
      </w:r>
      <w:r>
        <w:t xml:space="preserve">interest limitation</w:t>
      </w:r>
      <w:r>
        <w:t xml:space="preserve"> </w:t>
      </w:r>
      <w:r>
        <w:t xml:space="preserve">rule: EUR 69 million</w:t>
      </w:r>
      <w:r>
        <w:br/>
      </w:r>
      <w:r>
        <w:t xml:space="preserve">EUR 430 million per</w:t>
      </w:r>
      <w:r>
        <w:t xml:space="preserve"> </w:t>
      </w:r>
      <w:r>
        <w:t xml:space="preserve">year respectively</w:t>
      </w:r>
      <w:r>
        <w:t xml:space="preserve"> </w:t>
      </w:r>
      <w:r>
        <w:t xml:space="preserve">- Other</w:t>
      </w:r>
      <w:r>
        <w:t xml:space="preserve"> </w:t>
      </w:r>
      <w:r>
        <w:t xml:space="preserve">simplifications of the</w:t>
      </w:r>
      <w:r>
        <w:t xml:space="preserve"> </w:t>
      </w:r>
      <w:r>
        <w:t xml:space="preserve">interest limitation</w:t>
      </w:r>
      <w:r>
        <w:t xml:space="preserve"> </w:t>
      </w:r>
      <w:r>
        <w:t xml:space="preserve">rule: EUR 80 million</w:t>
      </w:r>
      <w:r>
        <w:t xml:space="preserve"> </w:t>
      </w:r>
      <w:r>
        <w:t xml:space="preserve">per year</w:t>
      </w:r>
      <w:r>
        <w:t xml:space="preserve"> </w:t>
      </w:r>
      <w:r>
        <w:t xml:space="preserve">- Other measures</w:t>
      </w:r>
      <w:r>
        <w:t xml:space="preserve"> </w:t>
      </w:r>
      <w:r>
        <w:t xml:space="preserve">(hybrid mismatches,</w:t>
      </w:r>
      <w:r>
        <w:t xml:space="preserve"> </w:t>
      </w:r>
      <w:r>
        <w:t xml:space="preserve">tax mergers, dispute</w:t>
      </w:r>
      <w:r>
        <w:t xml:space="preserve"> </w:t>
      </w:r>
      <w:r>
        <w:t xml:space="preserve">resolution): EUR 80</w:t>
      </w:r>
      <w:r>
        <w:t xml:space="preserve"> </w:t>
      </w:r>
      <w:r>
        <w:t xml:space="preserve">million per year</w:t>
      </w:r>
      <w:r>
        <w:t xml:space="preserve"> </w:t>
      </w:r>
      <w:r>
        <w:t xml:space="preserve">•</w:t>
      </w:r>
      <w:r>
        <w:t xml:space="preserve"> </w:t>
      </w:r>
      <w:r>
        <w:t xml:space="preserve">in which</w:t>
      </w:r>
      <w:r>
        <w:t xml:space="preserve"> </w:t>
      </w:r>
      <w:r>
        <w:t xml:space="preserve">SMEs</w:t>
      </w:r>
    </w:p>
    <w:p>
      <w:pPr>
        <w:pStyle w:val="BodyText"/>
      </w:pPr>
      <w:r>
        <w:t xml:space="preserve">Public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Citizens</w:t>
      </w:r>
    </w:p>
    <w:p>
      <w:pPr>
        <w:pStyle w:val="Compact"/>
        <w:numPr>
          <w:ilvl w:val="0"/>
          <w:numId w:val="1010"/>
        </w:numPr>
      </w:pPr>
      <w:r>
        <w:t xml:space="preserve">Relevant sustainable development goals</w:t>
      </w:r>
      <w:r>
        <w:t xml:space="preserve"> </w:t>
      </w:r>
      <w:r>
        <w:t xml:space="preserve">The below table provides an overview of the Sustainable Development Goals (SDGs) that are at</w:t>
      </w:r>
      <w:r>
        <w:t xml:space="preserve"> </w:t>
      </w:r>
      <w:r>
        <w:t xml:space="preserve">stake and the progress that is expected under the preferred option for the Omnibus on Taxation, as</w:t>
      </w:r>
      <w:r>
        <w:t xml:space="preserve"> </w:t>
      </w:r>
      <w:r>
        <w:t xml:space="preserve">described in Chapter 8.</w:t>
      </w:r>
    </w:p>
    <w:p>
      <w:pPr>
        <w:pStyle w:val="Compact"/>
        <w:numPr>
          <w:ilvl w:val="0"/>
          <w:numId w:val="1011"/>
        </w:numPr>
      </w:pPr>
      <w:r>
        <w:t xml:space="preserve">Overview of relevant Sustainable Development Goals – Preferred Option(s)</w:t>
      </w:r>
    </w:p>
    <w:p>
      <w:pPr>
        <w:pStyle w:val="FirstParagraph"/>
      </w:pP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e.g. SDG no. 8 – Promote</w:t>
      </w:r>
      <w:r>
        <w:t xml:space="preserve"> </w:t>
      </w:r>
      <w:r>
        <w:t xml:space="preserve">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decent</w:t>
      </w:r>
      <w:r>
        <w:t xml:space="preserve"> </w:t>
      </w:r>
      <w:r>
        <w:t xml:space="preserve">work for all</w:t>
      </w:r>
      <w:r>
        <w:t xml:space="preserve"> </w:t>
      </w:r>
      <w:r>
        <w:t xml:space="preserve">The Omnibus on Taxation proposal contributes to</w:t>
      </w:r>
      <w:r>
        <w:t xml:space="preserve"> </w:t>
      </w:r>
      <w:r>
        <w:t xml:space="preserve">SDG 8 by reducing tax compliance burdens,</w:t>
      </w:r>
      <w:r>
        <w:t xml:space="preserve"> </w:t>
      </w:r>
      <w:r>
        <w:t xml:space="preserve">clarifying tax terminology, replacing uneven</w:t>
      </w:r>
      <w:r>
        <w:t xml:space="preserve"> </w:t>
      </w:r>
      <w:r>
        <w:t xml:space="preserve">treatments and divergent national rules with a</w:t>
      </w:r>
      <w:r>
        <w:t xml:space="preserve"> </w:t>
      </w:r>
      <w:r>
        <w:t xml:space="preserve">single EU approach, while maintaining high EU</w:t>
      </w:r>
      <w:r>
        <w:t xml:space="preserve"> </w:t>
      </w:r>
      <w:r>
        <w:t xml:space="preserve">tax standards, thereby fostering a more efficient,</w:t>
      </w:r>
      <w:r>
        <w:t xml:space="preserve"> </w:t>
      </w:r>
      <w:r>
        <w:t xml:space="preserve">predictable, and growth-supportive business</w:t>
      </w:r>
      <w:r>
        <w:t xml:space="preserve"> </w:t>
      </w:r>
      <w:r>
        <w:t xml:space="preserve">environment across the EU.</w:t>
      </w:r>
      <w:r>
        <w:t xml:space="preserve"> </w:t>
      </w:r>
      <w:r>
        <w:t xml:space="preserve">The Omnibus on Taxation is expected to</w:t>
      </w:r>
      <w:r>
        <w:t xml:space="preserve"> </w:t>
      </w:r>
      <w:r>
        <w:t xml:space="preserve">lead – in the long term to a positive impact</w:t>
      </w:r>
      <w:r>
        <w:t xml:space="preserve"> </w:t>
      </w:r>
      <w:r>
        <w:t xml:space="preserve">on GDP – see above.</w:t>
      </w:r>
      <w:r>
        <w:br/>
      </w:r>
      <w:r>
        <w:t xml:space="preserve">e.g. SDG no. 9 - Build</w:t>
      </w:r>
      <w:r>
        <w:t xml:space="preserve"> </w:t>
      </w:r>
      <w:r>
        <w:t xml:space="preserve">resilient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promote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 industrialisation</w:t>
      </w:r>
      <w:r>
        <w:t xml:space="preserve"> </w:t>
      </w:r>
      <w:r>
        <w:t xml:space="preserve">and foster innovation</w:t>
      </w:r>
      <w:r>
        <w:t xml:space="preserve"> </w:t>
      </w:r>
      <w:r>
        <w:t xml:space="preserve">Through simpler and more coherent EU tax rules,</w:t>
      </w:r>
      <w:r>
        <w:t xml:space="preserve"> </w:t>
      </w:r>
      <w:r>
        <w:t xml:space="preserve">as well as a more beneficial treatment for</w:t>
      </w:r>
      <w:r>
        <w:t xml:space="preserve"> </w:t>
      </w:r>
      <w:r>
        <w:t xml:space="preserve">investments in research and development, the</w:t>
      </w:r>
      <w:r>
        <w:t xml:space="preserve"> </w:t>
      </w:r>
      <w:r>
        <w:t xml:space="preserve">Omnibus on Taxation will support EU industry</w:t>
      </w:r>
      <w:r>
        <w:t xml:space="preserve"> </w:t>
      </w:r>
      <w:r>
        <w:t xml:space="preserve">and innovation, including infrastructure and</w:t>
      </w:r>
      <w:r>
        <w:t xml:space="preserve"> </w:t>
      </w:r>
      <w:r>
        <w:t xml:space="preserve">digitalisation.</w:t>
      </w:r>
      <w:r>
        <w:t xml:space="preserve"> </w:t>
      </w:r>
      <w:r>
        <w:t xml:space="preserve">The Omnibus on Taxation is expected to</w:t>
      </w:r>
      <w:r>
        <w:t xml:space="preserve"> </w:t>
      </w:r>
      <w:r>
        <w:t xml:space="preserve">stimulate GDP growth, as said above, in</w:t>
      </w:r>
      <w:r>
        <w:t xml:space="preserve"> </w:t>
      </w:r>
      <w:r>
        <w:t xml:space="preserve">particular also thanks to the positive impact</w:t>
      </w:r>
      <w:r>
        <w:t xml:space="preserve"> </w:t>
      </w:r>
      <w:r>
        <w:t xml:space="preserve">of the proposed immediate expensing for the</w:t>
      </w:r>
      <w:r>
        <w:t xml:space="preserve"> </w:t>
      </w:r>
      <w:r>
        <w:t xml:space="preserve">acquisition of R&amp;D-related tangible assets.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General remarks about compliance costs per MNE group</w:t>
      </w:r>
      <w:r>
        <w:t xml:space="preserve"> </w:t>
      </w:r>
      <w:r>
        <w:t xml:space="preserve">It should be strongly noted that there is a general absence of reliable statistics about the level of</w:t>
      </w:r>
      <w:r>
        <w:t xml:space="preserve"> </w:t>
      </w:r>
      <w:r>
        <w:t xml:space="preserve">ATAD-related tax compliance costs for MNEs. Therefore, the analysis presented in this impact</w:t>
      </w:r>
      <w:r>
        <w:t xml:space="preserve"> </w:t>
      </w:r>
      <w:r>
        <w:t xml:space="preserve">assessment and the methodological approaches explained in detail in this Annex rely on</w:t>
      </w:r>
      <w:r>
        <w:t xml:space="preserve"> </w:t>
      </w:r>
      <w:r>
        <w:t xml:space="preserve">information received from stakeholder interviews in the context of a related study carried out for</w:t>
      </w:r>
      <w:r>
        <w:t xml:space="preserve"> </w:t>
      </w:r>
      <w:r>
        <w:t xml:space="preserve">the European Commission in 2025. The study concludes that:</w:t>
      </w:r>
      <w:r>
        <w:t xml:space="preserve"> </w:t>
      </w:r>
      <w:r>
        <w:t xml:space="preserve">“Costs for large and more complex companies for which rules are relevant can be higher, although</w:t>
      </w:r>
      <w:r>
        <w:t xml:space="preserve"> </w:t>
      </w:r>
      <w:r>
        <w:t xml:space="preserve">often hard to disaggregate from compliance with other EU provisions, typically managed by the</w:t>
      </w:r>
      <w:r>
        <w:t xml:space="preserve"> </w:t>
      </w:r>
      <w:r>
        <w:t xml:space="preserve">same offices or teams. With the exception of one outlier, costs are in the order of EUR 100,000 per</w:t>
      </w:r>
      <w:r>
        <w:t xml:space="preserve"> </w:t>
      </w:r>
      <w:r>
        <w:t xml:space="preserve">year at the level of an MNE group (corresponding to two-three full-time staff dedicated to ATAD</w:t>
      </w:r>
      <w:r>
        <w:t xml:space="preserve"> </w:t>
      </w:r>
      <w:r>
        <w:t xml:space="preserve">compliance).” 120</w:t>
      </w:r>
      <w:r>
        <w:t xml:space="preserve"> </w:t>
      </w:r>
      <w:r>
        <w:t xml:space="preserve">For the purposes of analysing the impact of several possible measures, it is thus assumed that, at the</w:t>
      </w:r>
      <w:r>
        <w:t xml:space="preserve"> </w:t>
      </w:r>
      <w:r>
        <w:t xml:space="preserve">level of large groups, ATAD related activities do incur compliance costs at the level of EUR</w:t>
      </w:r>
      <w:r>
        <w:t xml:space="preserve"> </w:t>
      </w:r>
      <w:r>
        <w:t xml:space="preserve">100,000 per year if the respective measure affects large groups, especially those subject to Pillar 2.</w:t>
      </w:r>
      <w:r>
        <w:t xml:space="preserve"> </w:t>
      </w:r>
      <w:r>
        <w:t xml:space="preserve">If the measure is broader, or affects smaller MNEs in particular, one third of this amount is</w:t>
      </w:r>
      <w:r>
        <w:t xml:space="preserve"> </w:t>
      </w:r>
      <w:r>
        <w:t xml:space="preserve">assumed (about EUR 33,000). As the study confirms, no empirical information is available</w:t>
      </w:r>
      <w:r>
        <w:t xml:space="preserve"> </w:t>
      </w:r>
      <w:r>
        <w:t xml:space="preserve">concerning how these costs can be disaggregated to the single ATAD components. Given these</w:t>
      </w:r>
      <w:r>
        <w:t xml:space="preserve"> </w:t>
      </w:r>
      <w:r>
        <w:t xml:space="preserve">limitations, it is thus assumed that CFC and ILR rules make up one third of these costs each, given</w:t>
      </w:r>
      <w:r>
        <w:t xml:space="preserve"> </w:t>
      </w:r>
      <w:r>
        <w:t xml:space="preserve">the importance and complexity of each of these rules.</w:t>
      </w:r>
      <w:r>
        <w:br/>
      </w:r>
      <w:r>
        <w:t xml:space="preserve">By-and-large, the ATAD consists of five rules. In principle it could thus be assumed that each rule</w:t>
      </w:r>
      <w:r>
        <w:t xml:space="preserve"> </w:t>
      </w:r>
      <w:r>
        <w:t xml:space="preserve">accounts for one fifth of the compliance costs, in absence of further information. However, the ILR</w:t>
      </w:r>
      <w:r>
        <w:t xml:space="preserve"> </w:t>
      </w:r>
      <w:r>
        <w:t xml:space="preserve">and CFC rules both have been brought forward predominantly by stakeholders in the targeted</w:t>
      </w:r>
      <w:r>
        <w:t xml:space="preserve"> </w:t>
      </w:r>
      <w:r>
        <w:t xml:space="preserve">consultations as presenting concerns and both have a wide scope of application, compared to other</w:t>
      </w:r>
      <w:r>
        <w:t xml:space="preserve"> </w:t>
      </w:r>
      <w:r>
        <w:t xml:space="preserve">rules of the ATAD (e.g. the hybrid mismatch rules concern specific cases depending on the</w:t>
      </w:r>
      <w:r>
        <w:t xml:space="preserve"> </w:t>
      </w:r>
      <w:r>
        <w:t xml:space="preserve">legislation gaps between different legal orders; exit taxation concerns specific transactions).</w:t>
      </w:r>
      <w:r>
        <w:br/>
      </w:r>
      <w:r>
        <w:t xml:space="preserve">In terms of volume and tax revenues at stake, the ILR would also appear as most significant, which</w:t>
      </w:r>
      <w:r>
        <w:t xml:space="preserve"> </w:t>
      </w:r>
      <w:r>
        <w:t xml:space="preserve">can be an additional indication that firms may dedicate more attention and efforts to it. Similarly,</w:t>
      </w:r>
      <w:r>
        <w:t xml:space="preserve"> </w:t>
      </w:r>
      <w:r>
        <w:t xml:space="preserve">the CFC rules require identifying ownership structures and analysis of the operations and balance</w:t>
      </w:r>
      <w:r>
        <w:t xml:space="preserve"> </w:t>
      </w:r>
      <w:r>
        <w:t xml:space="preserve">sheet of each relevant entity, differentiating between different types of income and identifying</w:t>
      </w:r>
      <w:r>
        <w:t xml:space="preserve"> </w:t>
      </w:r>
      <w:r>
        <w:t xml:space="preserve">relevant substance, in order to determine whether and to what extent income should be attributed to</w:t>
      </w:r>
      <w:r>
        <w:t xml:space="preserve"> </w:t>
      </w:r>
      <w:r>
        <w:t xml:space="preserve">other entities.</w:t>
      </w:r>
      <w:r>
        <w:br/>
      </w:r>
      <w:r>
        <w:t xml:space="preserve">The other rules of the ATAD are less comprehensive. Moreover, both ILR and CFC rules impose</w:t>
      </w:r>
      <w:r>
        <w:t xml:space="preserve"> </w:t>
      </w:r>
      <w:r>
        <w:t xml:space="preserve">ongoing obligations on firms. The other ATAD rules can also be complex. Yet, on average they</w:t>
      </w:r>
      <w:r>
        <w:t xml:space="preserve"> </w:t>
      </w:r>
      <w:r>
        <w:t xml:space="preserve">likely cause lower compliance costs because:</w:t>
      </w:r>
      <w:r>
        <w:br/>
      </w:r>
      <w:r>
        <w:t xml:space="preserve">• Their likelihood of imposing an ongoing compliance burden is lower as they are triggered</w:t>
      </w:r>
      <w:r>
        <w:t xml:space="preserve"> </w:t>
      </w:r>
      <w:r>
        <w:t xml:space="preserve">by events (transactions).</w:t>
      </w:r>
    </w:p>
    <w:p>
      <w:pPr>
        <w:pStyle w:val="BodyText"/>
      </w:pPr>
      <w:r>
        <w:t xml:space="preserve">120 Study prepared for the European Commission to support an evaluation of the Anti-tax Avoidance Directive (ATAD)</w:t>
      </w:r>
      <w:r>
        <w:t xml:space="preserve"> </w:t>
      </w:r>
      <w:r>
        <w:t xml:space="preserve">- Final Report (2025). Here: Volume 2, p. 38.</w:t>
      </w:r>
    </w:p>
    <w:p>
      <w:pPr>
        <w:pStyle w:val="BodyText"/>
      </w:pPr>
      <w:r>
        <w:t xml:space="preserve">• They are mostly relevant for MNE groups, rather than constituting a permanent compliance</w:t>
      </w:r>
      <w:r>
        <w:t xml:space="preserve"> </w:t>
      </w:r>
      <w:r>
        <w:t xml:space="preserve">obligation to a large number of firms.</w:t>
      </w:r>
      <w:r>
        <w:br/>
      </w:r>
      <w:r>
        <w:t xml:space="preserve">• GAAR, in particular, are based on broader principles (as opposed to complex formulaic</w:t>
      </w:r>
      <w:r>
        <w:t xml:space="preserve"> </w:t>
      </w:r>
      <w:r>
        <w:t xml:space="preserve">rules). This is why they are less likely to trigger proactive restructuring and to impose a risk</w:t>
      </w:r>
      <w:r>
        <w:t xml:space="preserve"> </w:t>
      </w:r>
      <w:r>
        <w:t xml:space="preserve">of disputes.</w:t>
      </w:r>
      <w:r>
        <w:br/>
      </w:r>
      <w:r>
        <w:t xml:space="preserve">In the absence of more accurate information we therefore apply the informed assumption that ILR</w:t>
      </w:r>
      <w:r>
        <w:t xml:space="preserve"> </w:t>
      </w:r>
      <w:r>
        <w:t xml:space="preserve">and CFC-rules make a share of one third in total ATAD-related compliance costs each, with the</w:t>
      </w:r>
      <w:r>
        <w:t xml:space="preserve"> </w:t>
      </w:r>
      <w:r>
        <w:t xml:space="preserve">other ATAD-elements accounting for the remaining third.</w:t>
      </w:r>
    </w:p>
    <w:p>
      <w:pPr>
        <w:pStyle w:val="Compact"/>
        <w:numPr>
          <w:ilvl w:val="0"/>
          <w:numId w:val="1012"/>
        </w:numPr>
      </w:pPr>
      <w:r>
        <w:t xml:space="preserve">Analysis of options: tax exemptions for interest, royalty and dividend payments</w:t>
      </w:r>
      <w:r>
        <w:t xml:space="preserve"> </w:t>
      </w:r>
      <w:r>
        <w:t xml:space="preserve">Step 1: Cost characteristics</w:t>
      </w:r>
      <w:r>
        <w:br/>
      </w:r>
      <w:r>
        <w:t xml:space="preserve">A tax exemption of cross-border intra-EU payments of interest, royalties and dividends from</w:t>
      </w:r>
      <w:r>
        <w:t xml:space="preserve"> </w:t>
      </w:r>
      <w:r>
        <w:t xml:space="preserve">withholding tax would mean a significant cost reduction for investors. Investors currently have to</w:t>
      </w:r>
      <w:r>
        <w:t xml:space="preserve"> </w:t>
      </w:r>
      <w:r>
        <w:t xml:space="preserve">incur three types of costs when seeking a refund of overpaid withholding taxes. If withholding</w:t>
      </w:r>
      <w:r>
        <w:t xml:space="preserve"> </w:t>
      </w:r>
      <w:r>
        <w:t xml:space="preserve">taxes are set at zero in all Member States (i.e., no tax difference between Member States), these</w:t>
      </w:r>
      <w:r>
        <w:t xml:space="preserve"> </w:t>
      </w:r>
      <w:r>
        <w:t xml:space="preserve">costs would no longer be incurred. The analysis conducted on the extension of this exemption</w:t>
      </w:r>
      <w:r>
        <w:t xml:space="preserve"> </w:t>
      </w:r>
      <w:r>
        <w:t xml:space="preserve">across all EU Member States addresses three different angles of potential impact.</w:t>
      </w:r>
      <w:r>
        <w:t xml:space="preserve"> </w:t>
      </w:r>
      <w:r>
        <w:t xml:space="preserve">First, incurred costs that arise directly to investors, or the relevant operations department of the</w:t>
      </w:r>
      <w:r>
        <w:t xml:space="preserve"> </w:t>
      </w:r>
      <w:r>
        <w:t xml:space="preserve">custodian or an external service provider as they engage in paperwork required to comply with</w:t>
      </w:r>
      <w:r>
        <w:t xml:space="preserve"> </w:t>
      </w:r>
      <w:r>
        <w:t xml:space="preserve">current refund rules: These costs are assumed to account for an average of 2% of the refundable</w:t>
      </w:r>
      <w:r>
        <w:t xml:space="preserve"> </w:t>
      </w:r>
      <w:r>
        <w:t xml:space="preserve">amount. The calibration of the parameter is based on earlier Commission studies.121 It includes the</w:t>
      </w:r>
      <w:r>
        <w:t xml:space="preserve"> </w:t>
      </w:r>
      <w:r>
        <w:t xml:space="preserve">cost of operations departments of the custodian itself or of an external service provider, but also</w:t>
      </w:r>
      <w:r>
        <w:t xml:space="preserve"> </w:t>
      </w:r>
      <w:r>
        <w:t xml:space="preserve">fees for the processing of late filings. Paperwork and a variety of source country requirements are</w:t>
      </w:r>
      <w:r>
        <w:t xml:space="preserve"> </w:t>
      </w:r>
      <w:r>
        <w:t xml:space="preserve">amongst the cost drivers.</w:t>
      </w:r>
      <w:r>
        <w:t xml:space="preserve"> </w:t>
      </w:r>
      <w:r>
        <w:t xml:space="preserve">Second, opportunity costs due to delayed claims and payments of tax refunds: Delays in refunding</w:t>
      </w:r>
      <w:r>
        <w:t xml:space="preserve"> </w:t>
      </w:r>
      <w:r>
        <w:t xml:space="preserve">of withholding taxes paid currently entail a financial disadvantage for the investor. Studies confirm</w:t>
      </w:r>
      <w:r>
        <w:t xml:space="preserve"> </w:t>
      </w:r>
      <w:r>
        <w:t xml:space="preserve">that refund procedures usually take between several months and years.122 The resulting delayed</w:t>
      </w:r>
      <w:r>
        <w:t xml:space="preserve"> </w:t>
      </w:r>
      <w:r>
        <w:t xml:space="preserve">cash-flow may keep investors from funnelling liquid means into interest-bearing investment during</w:t>
      </w:r>
      <w:r>
        <w:t xml:space="preserve"> </w:t>
      </w:r>
      <w:r>
        <w:t xml:space="preserve">the period of delay. To assess the opportunity cost of this foregone cash-flow, the analysis uses a</w:t>
      </w:r>
      <w:r>
        <w:t xml:space="preserve"> </w:t>
      </w:r>
      <w:r>
        <w:t xml:space="preserve">risk-free investment in government bonds as an example of one such missed opportunity and</w:t>
      </w:r>
      <w:r>
        <w:t xml:space="preserve"> </w:t>
      </w:r>
      <w:r>
        <w:t xml:space="preserve">assumes that, based on 2024 numbers, such one-year investment would bear an average yield of</w:t>
      </w:r>
      <w:r>
        <w:t xml:space="preserve"> </w:t>
      </w:r>
      <w:r>
        <w:t xml:space="preserve">2.2%. We also assume an average refund period of one year (which is already relatively generous</w:t>
      </w:r>
      <w:r>
        <w:t xml:space="preserve"> </w:t>
      </w:r>
      <w:r>
        <w:t xml:space="preserve">compared to the time it takes in many Member States), to assess then the possible financial impact.</w:t>
      </w:r>
      <w:r>
        <w:br/>
      </w:r>
      <w:r>
        <w:t xml:space="preserve">Third, foregone relief to investors: Due to complex and cumbersome refund procedures, taxpayers</w:t>
      </w:r>
      <w:r>
        <w:t xml:space="preserve"> </w:t>
      </w:r>
      <w:r>
        <w:t xml:space="preserve">may be dissuaded from claiming back overpaid withholding tax. This may be the case especially</w:t>
      </w:r>
      <w:r>
        <w:t xml:space="preserve"> </w:t>
      </w:r>
      <w:r>
        <w:t xml:space="preserve">for smaller investors with little resources to deal with these procedures. Following assumptions</w:t>
      </w:r>
    </w:p>
    <w:p>
      <w:pPr>
        <w:pStyle w:val="FirstParagraph"/>
      </w:pPr>
      <w:r>
        <w:t xml:space="preserve">121 New EU system for the avoidance of double taxation and prevention of tax abuse in the field of withholding taxes</w:t>
      </w:r>
      <w:r>
        <w:t xml:space="preserve"> </w:t>
      </w:r>
      <w:r>
        <w:t xml:space="preserve">(WHT) Accompanying the document Proposal for a Council Directive on Faster and Safer Relief of Excess</w:t>
      </w:r>
      <w:r>
        <w:t xml:space="preserve"> </w:t>
      </w:r>
      <w:r>
        <w:t xml:space="preserve">Withholding Taxes: SWD/2023/216 final; The Economic Impact of the Commission Recommendation on Withholding</w:t>
      </w:r>
      <w:r>
        <w:t xml:space="preserve"> </w:t>
      </w:r>
      <w:r>
        <w:t xml:space="preserve">Tax Relief Procedures and the FISCO Proposals, Commission Staff Working Document, 24 June 2009.</w:t>
      </w:r>
      <w:r>
        <w:t xml:space="preserve"> </w:t>
      </w:r>
      <w:r>
        <w:t xml:space="preserve">122 SWD/2023/216 final (p. 96).</w:t>
      </w:r>
    </w:p>
    <w:p>
      <w:pPr>
        <w:pStyle w:val="BodyText"/>
      </w:pPr>
      <w:r>
        <w:t xml:space="preserve">made in earlier Commission analyses, it is assumed that foregone relief affects 10% of the relevant</w:t>
      </w:r>
      <w:r>
        <w:t xml:space="preserve"> </w:t>
      </w:r>
      <w:r>
        <w:t xml:space="preserve">cross-border flows.123</w:t>
      </w:r>
      <w:r>
        <w:br/>
      </w:r>
      <w:r>
        <w:t xml:space="preserve">Step 2: Estimating the underlying monetary flows for interest and dividend payments</w:t>
      </w:r>
      <w:r>
        <w:t xml:space="preserve"> </w:t>
      </w:r>
      <w:r>
        <w:t xml:space="preserve">As a starting point, the analysis estimates the amounts that are currently flowing from the source</w:t>
      </w:r>
      <w:r>
        <w:t xml:space="preserve"> </w:t>
      </w:r>
      <w:r>
        <w:t xml:space="preserve">country (the company) to the country where the investor is located. These amounts may be subject</w:t>
      </w:r>
      <w:r>
        <w:t xml:space="preserve"> </w:t>
      </w:r>
      <w:r>
        <w:t xml:space="preserve">to a tax at source which may be refunded to the investor. While information about cross-border</w:t>
      </w:r>
      <w:r>
        <w:t xml:space="preserve"> </w:t>
      </w:r>
      <w:r>
        <w:t xml:space="preserve">income (interest, dividends) and royalty flows does exist in Eurostat’s Balance of Payment</w:t>
      </w:r>
      <w:r>
        <w:t xml:space="preserve"> </w:t>
      </w:r>
      <w:r>
        <w:t xml:space="preserve">statistics, this information is patchy for certain country pairs. The analysis therefore uses this data</w:t>
      </w:r>
      <w:r>
        <w:t xml:space="preserve"> </w:t>
      </w:r>
      <w:r>
        <w:t xml:space="preserve">only for royalty payments (Step 3). For interest and dividend payments, a different approach is</w:t>
      </w:r>
      <w:r>
        <w:t xml:space="preserve"> </w:t>
      </w:r>
      <w:r>
        <w:t xml:space="preserve">used, which follows earlier Commission analysis.124 For interest and dividends, we start from</w:t>
      </w:r>
      <w:r>
        <w:t xml:space="preserve"> </w:t>
      </w:r>
      <w:r>
        <w:t xml:space="preserve">information about the bilateral stock of the relevant investment, i.e., the investment position of an</w:t>
      </w:r>
      <w:r>
        <w:t xml:space="preserve"> </w:t>
      </w:r>
      <w:r>
        <w:t xml:space="preserve">investor located in Member State A investing in Member State B. This information is available</w:t>
      </w:r>
      <w:r>
        <w:t xml:space="preserve"> </w:t>
      </w:r>
      <w:r>
        <w:t xml:space="preserve">from the International Monetary Fund’s statistics on portfolio investment positions.</w:t>
      </w:r>
      <w:r>
        <w:br/>
      </w:r>
      <w:r>
        <w:t xml:space="preserve">We use the portfolio investment statistics (as opposed to FDI statistics) because these better capture</w:t>
      </w:r>
      <w:r>
        <w:t xml:space="preserve"> </w:t>
      </w:r>
      <w:r>
        <w:t xml:space="preserve">the investments currently not covered by the PSD and IRD. Those directives foresee no</w:t>
      </w:r>
      <w:r>
        <w:t xml:space="preserve"> </w:t>
      </w:r>
      <w:r>
        <w:t xml:space="preserve">withholding taxes on cross-border dividend, interest and royalty payments, but this exemption does</w:t>
      </w:r>
      <w:r>
        <w:t xml:space="preserve"> </w:t>
      </w:r>
      <w:r>
        <w:t xml:space="preserve">not apply if the association between payer and payee involves a holding below 10% (PSD) or</w:t>
      </w:r>
      <w:r>
        <w:t xml:space="preserve"> </w:t>
      </w:r>
      <w:r>
        <w:t xml:space="preserve">below 25% (IRD). Thus, a withholding tax applies below these thresholds. As Member States often</w:t>
      </w:r>
      <w:r>
        <w:t xml:space="preserve"> </w:t>
      </w:r>
      <w:r>
        <w:t xml:space="preserve">withhold taxes at the national rate, which is usually higher than the one of the tax treaty that is</w:t>
      </w:r>
      <w:r>
        <w:t xml:space="preserve"> </w:t>
      </w:r>
      <w:r>
        <w:t xml:space="preserve">applicable to a specific (bilateral) situation, withholding taxes are associated with refund</w:t>
      </w:r>
      <w:r>
        <w:t xml:space="preserve"> </w:t>
      </w:r>
      <w:r>
        <w:t xml:space="preserve">procedures which differ substantially per Member State and lead to significant compliance costs.</w:t>
      </w:r>
      <w:r>
        <w:t xml:space="preserve"> </w:t>
      </w:r>
      <w:r>
        <w:t xml:space="preserve">The statistics give the amount of portfolio investment in stock debt security assets and equity assets</w:t>
      </w:r>
      <w:r>
        <w:t xml:space="preserve"> </w:t>
      </w:r>
      <w:r>
        <w:t xml:space="preserve">issued by a company in country B and held by the investor in country A (i.e., stocks of assets per</w:t>
      </w:r>
      <w:r>
        <w:t xml:space="preserve"> </w:t>
      </w:r>
      <w:r>
        <w:t xml:space="preserve">country pair A/B). Next, these stocks are multiplied by average yields to obtain an estimate for</w:t>
      </w:r>
      <w:r>
        <w:t xml:space="preserve"> </w:t>
      </w:r>
      <w:r>
        <w:t xml:space="preserve">bilateral flows of income payments from country B (source) to country A (investor). For year 2024,</w:t>
      </w:r>
      <w:r>
        <w:t xml:space="preserve"> </w:t>
      </w:r>
      <w:r>
        <w:t xml:space="preserve">interest flows are proxied by multiplying debt security assets by the 10-year government bond yield</w:t>
      </w:r>
      <w:r>
        <w:t xml:space="preserve"> </w:t>
      </w:r>
      <w:r>
        <w:t xml:space="preserve">as given by the European Central Bank (2.4%), while dividend flows are obtained by multiplying</w:t>
      </w:r>
      <w:r>
        <w:t xml:space="preserve"> </w:t>
      </w:r>
      <w:r>
        <w:t xml:space="preserve">equity stocks by the Eurostoxx 600 average yield (2.5%).</w:t>
      </w:r>
      <w:r>
        <w:br/>
      </w:r>
      <w:r>
        <w:t xml:space="preserve">Step 3: Estimating the underlying monetary flows for royalty payments</w:t>
      </w:r>
      <w:r>
        <w:t xml:space="preserve"> </w:t>
      </w:r>
      <w:r>
        <w:t xml:space="preserve">Unlike interest and dividend payments, in the system of National Accounts, charges for the use of</w:t>
      </w:r>
      <w:r>
        <w:t xml:space="preserve"> </w:t>
      </w:r>
      <w:r>
        <w:t xml:space="preserve">intellectual property are not considered income flows stemming from direct investment but a</w:t>
      </w:r>
      <w:r>
        <w:t xml:space="preserve"> </w:t>
      </w:r>
      <w:r>
        <w:t xml:space="preserve">compensation for performing a service. We can therefore not rely on investment stocks as a starting</w:t>
      </w:r>
      <w:r>
        <w:t xml:space="preserve"> </w:t>
      </w:r>
      <w:r>
        <w:t xml:space="preserve">point for flow estimates as it happened in Step 2 above for interest and dividends. Rather, the</w:t>
      </w:r>
      <w:r>
        <w:t xml:space="preserve"> </w:t>
      </w:r>
      <w:r>
        <w:t xml:space="preserve">approach for royalties looks directly at Eurostat’s Balance of Payments statistics which measure</w:t>
      </w:r>
      <w:r>
        <w:t xml:space="preserve"> </w:t>
      </w:r>
      <w:r>
        <w:t xml:space="preserve">international royalty flows. The assumptions about the cost components (Step 1) and using the</w:t>
      </w:r>
      <w:r>
        <w:t xml:space="preserve"> </w:t>
      </w:r>
      <w:r>
        <w:t xml:space="preserve">bilateral levels of withholding taxes (Step 4) applied to royalties are the same as above.</w:t>
      </w:r>
      <w:r>
        <w:br/>
      </w:r>
      <w:r>
        <w:t xml:space="preserve">Step 4: Estimating the refundable tax relief withheld at source on these flows</w:t>
      </w:r>
    </w:p>
    <w:p>
      <w:pPr>
        <w:pStyle w:val="BodyText"/>
      </w:pPr>
      <w:r>
        <w:t xml:space="preserve">123 Ibidem.</w:t>
      </w:r>
      <w:r>
        <w:t xml:space="preserve"> </w:t>
      </w:r>
      <w:r>
        <w:t xml:space="preserve">124 Ibidem.</w:t>
      </w:r>
    </w:p>
    <w:p>
      <w:pPr>
        <w:pStyle w:val="BodyText"/>
      </w:pPr>
      <w:r>
        <w:t xml:space="preserve">In order to estimate the potential current tax refund for each country pair, these payment flows have</w:t>
      </w:r>
      <w:r>
        <w:t xml:space="preserve"> </w:t>
      </w:r>
      <w:r>
        <w:t xml:space="preserve">to be multiplied by the corresponding withholding tax rate, or rather, the overpaid part of the</w:t>
      </w:r>
      <w:r>
        <w:t xml:space="preserve"> </w:t>
      </w:r>
      <w:r>
        <w:t xml:space="preserve">withholding tax that would be up for refund if there were a positive difference between the</w:t>
      </w:r>
      <w:r>
        <w:t xml:space="preserve"> </w:t>
      </w:r>
      <w:r>
        <w:t xml:space="preserve">domestic tax withheld at source (in the country of the company) and the tax due in the Member</w:t>
      </w:r>
      <w:r>
        <w:t xml:space="preserve"> </w:t>
      </w:r>
      <w:r>
        <w:t xml:space="preserve">State of the investor. Domestic withholding tax rates in the country of the investor may apply if</w:t>
      </w:r>
      <w:r>
        <w:t xml:space="preserve"> </w:t>
      </w:r>
      <w:r>
        <w:t xml:space="preserve">there is no bilateral agreement about the level of withholding taxes on flows between the two</w:t>
      </w:r>
      <w:r>
        <w:t xml:space="preserve"> </w:t>
      </w:r>
      <w:r>
        <w:t xml:space="preserve">countries. However, such agreements exist between almost all Member States, so that the relevant</w:t>
      </w:r>
      <w:r>
        <w:t xml:space="preserve"> </w:t>
      </w:r>
      <w:r>
        <w:t xml:space="preserve">refundable tax difference is usually the one between the domestic withholding tax at source and the</w:t>
      </w:r>
      <w:r>
        <w:t xml:space="preserve"> </w:t>
      </w:r>
      <w:r>
        <w:t xml:space="preserve">tax rate applicable for bilateral interest, dividend and royalty payments as stipulated in the treaty.</w:t>
      </w:r>
      <w:r>
        <w:t xml:space="preserve"> </w:t>
      </w:r>
      <w:r>
        <w:t xml:space="preserve">Thus:</w:t>
      </w:r>
      <w:r>
        <w:t xml:space="preserve"> </w:t>
      </w:r>
      <w:r>
        <w:t xml:space="preserve">(Equation 1) Refundable WHT = Domestic WHT (at source) – Treaty WHT</w:t>
      </w:r>
      <w:r>
        <w:t xml:space="preserve"> </w:t>
      </w:r>
      <w:r>
        <w:t xml:space="preserve">Information about the level of bilateral withholding taxes applied to interest, dividend and royalty</w:t>
      </w:r>
      <w:r>
        <w:t xml:space="preserve"> </w:t>
      </w:r>
      <w:r>
        <w:t xml:space="preserve">payments is given by the International Bureau of Fiscal Documentation (IBFD).</w:t>
      </w:r>
      <w:r>
        <w:br/>
      </w:r>
      <w:r>
        <w:t xml:space="preserve">Cost estimates for companies: Full exemption of interest, dividend and royalty payments</w:t>
      </w:r>
      <w:r>
        <w:t xml:space="preserve"> </w:t>
      </w:r>
      <w:r>
        <w:t xml:space="preserve">(Option 1A)</w:t>
      </w:r>
      <w:r>
        <w:t xml:space="preserve"> </w:t>
      </w:r>
      <w:r>
        <w:t xml:space="preserve">Estimated interest and dividend payments</w:t>
      </w:r>
      <w:r>
        <w:t xml:space="preserve"> </w:t>
      </w:r>
      <w:r>
        <w:t xml:space="preserve">The following flow estimates are obtained for interest and dividend payments:</w:t>
      </w:r>
      <w:r>
        <w:br/>
      </w:r>
      <w:r>
        <w:t xml:space="preserve">Estimated cost = cost-factor (Step 1) times estimated flows (Step 2) times withholding tax</w:t>
      </w:r>
      <w:r>
        <w:t xml:space="preserve"> </w:t>
      </w:r>
      <w:r>
        <w:t xml:space="preserve">difference between source and investor country (Step 4)</w:t>
      </w:r>
      <w:r>
        <w:t xml:space="preserve"> </w:t>
      </w:r>
      <w:r>
        <w:t xml:space="preserve">Table 1: Assumptions and estimates for cross-border interest and dividend payments within the EU</w:t>
      </w:r>
    </w:p>
    <w:p>
      <w:pPr>
        <w:pStyle w:val="BodyText"/>
      </w:pPr>
      <w:r>
        <w:t xml:space="preserve">The three estimated cost measures then cumulate to annual tax savings from the perspective of the</w:t>
      </w:r>
      <w:r>
        <w:t xml:space="preserve"> </w:t>
      </w:r>
      <w:r>
        <w:t xml:space="preserve">investor of EUR 3.6 billion for cross-country interest and dividend payments within the EU (rows</w:t>
      </w:r>
      <w:r>
        <w:t xml:space="preserve"> </w:t>
      </w:r>
      <w:r>
        <w:t xml:space="preserve">8-10). This is higher than the estimation under the FASTER Impact Assessment.</w:t>
      </w:r>
      <w:r>
        <w:br/>
      </w:r>
      <w:r>
        <w:t xml:space="preserve">Estimated cost reduction: royalty payments</w:t>
      </w:r>
      <w:r>
        <w:t xml:space="preserve"> </w:t>
      </w:r>
      <w:r>
        <w:t xml:space="preserve">Unlike interest and dividend payments, in the system of National Accounts, charges for the use of</w:t>
      </w:r>
      <w:r>
        <w:t xml:space="preserve"> </w:t>
      </w:r>
      <w:r>
        <w:t xml:space="preserve">intellectual property are not considered income flows stimming from direct investment but a</w:t>
      </w:r>
      <w:r>
        <w:t xml:space="preserve"> </w:t>
      </w:r>
      <w:r>
        <w:t xml:space="preserve">compensation for performing a service. We can therefore not recur on investment stocks as a</w:t>
      </w:r>
      <w:r>
        <w:t xml:space="preserve"> </w:t>
      </w:r>
      <w:r>
        <w:t xml:space="preserve">Interest and Dividends 1)</w:t>
      </w:r>
      <w:r>
        <w:t xml:space="preserve"> </w:t>
      </w:r>
      <w:r>
        <w:t xml:space="preserve">Income flows</w:t>
      </w:r>
      <w:r>
        <w:t xml:space="preserve"> </w:t>
      </w:r>
      <w:r>
        <w:t xml:space="preserve">million EUR</w:t>
      </w:r>
      <w:r>
        <w:t xml:space="preserve"> </w:t>
      </w:r>
      <w:r>
        <w:t xml:space="preserve">1 Interest (from Debt instr.)</w:t>
      </w:r>
      <w:r>
        <w:t xml:space="preserve"> </w:t>
      </w:r>
      <w:r>
        <w:t xml:space="preserve">161,890</w:t>
      </w:r>
    </w:p>
    <w:p>
      <w:pPr>
        <w:pStyle w:val="BodyText"/>
      </w:pPr>
      <w:r>
        <w:t xml:space="preserve">2 Dividends (from Equity)</w:t>
      </w:r>
      <w:r>
        <w:t xml:space="preserve"> </w:t>
      </w:r>
      <w:r>
        <w:t xml:space="preserve">188,981</w:t>
      </w:r>
    </w:p>
    <w:p>
      <w:pPr>
        <w:pStyle w:val="BodyText"/>
      </w:pPr>
      <w:r>
        <w:t xml:space="preserve">3 Interest+Dividends</w:t>
      </w:r>
      <w:r>
        <w:t xml:space="preserve"> </w:t>
      </w:r>
      <w:r>
        <w:t xml:space="preserve">350,871</w:t>
      </w:r>
    </w:p>
    <w:p>
      <w:pPr>
        <w:pStyle w:val="BodyText"/>
      </w:pPr>
      <w:r>
        <w:t xml:space="preserve">Refundable tax relief</w:t>
      </w:r>
      <w:r>
        <w:t xml:space="preserve"> </w:t>
      </w:r>
      <w:r>
        <w:t xml:space="preserve">4 Interest (from Debt instr.)</w:t>
      </w:r>
      <w:r>
        <w:t xml:space="preserve"> </w:t>
      </w:r>
      <w:r>
        <w:t xml:space="preserve">13,483</w:t>
      </w:r>
    </w:p>
    <w:p>
      <w:pPr>
        <w:pStyle w:val="BodyText"/>
      </w:pPr>
      <w:r>
        <w:t xml:space="preserve">5 Dividends (from Equity)</w:t>
      </w:r>
      <w:r>
        <w:t xml:space="preserve"> </w:t>
      </w:r>
      <w:r>
        <w:t xml:space="preserve">12,241</w:t>
      </w:r>
    </w:p>
    <w:p>
      <w:pPr>
        <w:pStyle w:val="BodyText"/>
      </w:pPr>
      <w:r>
        <w:t xml:space="preserve">6 Interest+Dividends</w:t>
      </w:r>
      <w:r>
        <w:t xml:space="preserve"> </w:t>
      </w:r>
      <w:r>
        <w:t xml:space="preserve">25,724</w:t>
      </w:r>
    </w:p>
    <w:p>
      <w:pPr>
        <w:pStyle w:val="BodyText"/>
      </w:pPr>
      <w:r>
        <w:t xml:space="preserve">7 Implicit rate of WHT relief, dividends and Interest:</w:t>
      </w:r>
      <w:r>
        <w:t xml:space="preserve"> </w:t>
      </w:r>
      <w:r>
        <w:t xml:space="preserve">7.3%</w:t>
      </w:r>
      <w:r>
        <w:t xml:space="preserve"> </w:t>
      </w:r>
      <w:r>
        <w:t xml:space="preserve">Cost relief estimate</w:t>
      </w:r>
      <w:r>
        <w:t xml:space="preserve"> </w:t>
      </w:r>
      <w:r>
        <w:t xml:space="preserve">Total</w:t>
      </w:r>
      <w:r>
        <w:t xml:space="preserve"> </w:t>
      </w:r>
      <w:r>
        <w:t xml:space="preserve">Interest</w:t>
      </w:r>
      <w:r>
        <w:t xml:space="preserve"> </w:t>
      </w:r>
      <w:r>
        <w:t xml:space="preserve">Divid.</w:t>
      </w:r>
      <w:r>
        <w:t xml:space="preserve"> </w:t>
      </w:r>
      <w:r>
        <w:t xml:space="preserve">8 Foregone tax relief (investors not claiming)</w:t>
      </w:r>
      <w:r>
        <w:t xml:space="preserve"> </w:t>
      </w:r>
      <w:r>
        <w:t xml:space="preserve">2,572</w:t>
      </w:r>
    </w:p>
    <w:p>
      <w:pPr>
        <w:pStyle w:val="BodyText"/>
      </w:pPr>
      <w:r>
        <w:t xml:space="preserve">1,348</w:t>
      </w:r>
    </w:p>
    <w:p>
      <w:pPr>
        <w:pStyle w:val="BodyText"/>
      </w:pPr>
      <w:r>
        <w:t xml:space="preserve">1,224</w:t>
      </w:r>
    </w:p>
    <w:p>
      <w:pPr>
        <w:pStyle w:val="BodyText"/>
      </w:pPr>
      <w:r>
        <w:t xml:space="preserve">9 Opportunity costs of delayed claims and payments of tax refund (+1 year)</w:t>
      </w:r>
      <w:r>
        <w:t xml:space="preserve"> </w:t>
      </w:r>
      <w:r>
        <w:t xml:space="preserve">561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10 Incurred costs (paperwork etc.)</w:t>
      </w:r>
      <w:r>
        <w:t xml:space="preserve"> </w:t>
      </w:r>
      <w:r>
        <w:t xml:space="preserve">514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starting point for flow estimates as it happened in (Step 2 above) above for interest and dividends.</w:t>
      </w:r>
      <w:r>
        <w:t xml:space="preserve"> </w:t>
      </w:r>
      <w:r>
        <w:t xml:space="preserve">Rather, the approach for royalties looks directly at Eurostat’s Balance of Payments statistics which</w:t>
      </w:r>
      <w:r>
        <w:t xml:space="preserve"> </w:t>
      </w:r>
      <w:r>
        <w:t xml:space="preserve">measure international royalty flows (Step 3). The assumptions about the cost components (Step 1)</w:t>
      </w:r>
      <w:r>
        <w:t xml:space="preserve"> </w:t>
      </w:r>
      <w:r>
        <w:t xml:space="preserve">and using the bilateral levels of withholding taxes (Step 4) applied to royalties are the same as</w:t>
      </w:r>
      <w:r>
        <w:t xml:space="preserve"> </w:t>
      </w:r>
      <w:r>
        <w:t xml:space="preserve">above.</w:t>
      </w:r>
      <w:r>
        <w:br/>
      </w:r>
      <w:r>
        <w:t xml:space="preserve">For royalties, the total cost amounts to EUR 1.7 billion (rows 5-7 in Table 2).</w:t>
      </w:r>
      <w:r>
        <w:t xml:space="preserve"> </w:t>
      </w:r>
      <w:r>
        <w:t xml:space="preserve">Table 2: Assumptions and estimates for cross-border royalty payments within the EU</w:t>
      </w:r>
    </w:p>
    <w:p>
      <w:pPr>
        <w:pStyle w:val="BodyText"/>
      </w:pPr>
      <w:r>
        <w:t xml:space="preserve">Total estimated cost reduction</w:t>
      </w:r>
      <w:r>
        <w:t xml:space="preserve"> </w:t>
      </w:r>
      <w:r>
        <w:t xml:space="preserve">Overall, total cost reduction from the investor’s perspective (savings on foregone tax relief,</w:t>
      </w:r>
      <w:r>
        <w:t xml:space="preserve"> </w:t>
      </w:r>
      <w:r>
        <w:t xml:space="preserve">opportunity costs and incurred costs) therefore amounts to an estimated EUR 5.34 billion per year</w:t>
      </w:r>
      <w:r>
        <w:t xml:space="preserve"> </w:t>
      </w:r>
      <w:r>
        <w:t xml:space="preserve">for interest, dividend and royalty payments (rows 1-3 of Table 3).</w:t>
      </w:r>
      <w:r>
        <w:t xml:space="preserve"> </w:t>
      </w:r>
      <w:r>
        <w:t xml:space="preserve">Table 3: Total estimates for cross-border payments within the EU and tax revenue losses, Option</w:t>
      </w:r>
      <w:r>
        <w:t xml:space="preserve"> </w:t>
      </w:r>
      <w:r>
        <w:t xml:space="preserve">1A (million EUR)</w:t>
      </w:r>
    </w:p>
    <w:p>
      <w:pPr>
        <w:pStyle w:val="BodyText"/>
      </w:pPr>
      <w:r>
        <w:t xml:space="preserve">Cost relief estimates for companies: Alignment of scope and procedures (Option 1B)</w:t>
      </w:r>
      <w:r>
        <w:t xml:space="preserve"> </w:t>
      </w:r>
      <w:r>
        <w:t xml:space="preserve">We estimate the impact of lowering the holding requirement of the Interest and Royalty Directive</w:t>
      </w:r>
      <w:r>
        <w:t xml:space="preserve"> </w:t>
      </w:r>
      <w:r>
        <w:t xml:space="preserve">(IRD) from today’s 25% down to 10%. This lowering will bring more investors under the IRD, so</w:t>
      </w:r>
      <w:r>
        <w:t xml:space="preserve"> </w:t>
      </w:r>
      <w:r>
        <w:t xml:space="preserve">that more investors would see their payments exempt form a WHT. How many investors may be</w:t>
      </w:r>
      <w:r>
        <w:t xml:space="preserve"> </w:t>
      </w:r>
      <w:r>
        <w:t xml:space="preserve">affected by that? To roughly estimate this, one should first estimate the share of investors today</w:t>
      </w:r>
      <w:r>
        <w:t xml:space="preserve"> </w:t>
      </w:r>
      <w:r>
        <w:t xml:space="preserve">holding shares between 10% and 25%.</w:t>
      </w:r>
      <w:r>
        <w:br/>
      </w:r>
      <w:r>
        <w:t xml:space="preserve">Table 4: Rough estimate of flows from shareholdings between 10% and 25%</w:t>
      </w:r>
    </w:p>
    <w:p>
      <w:pPr>
        <w:pStyle w:val="SourceCode"/>
      </w:pPr>
      <w:r>
        <w:rPr>
          <w:rStyle w:val="VerbatimChar"/>
        </w:rPr>
        <w:t xml:space="preserve">Royalties 2)</w:t>
      </w:r>
    </w:p>
    <w:p>
      <w:pPr>
        <w:pStyle w:val="FirstParagraph"/>
      </w:pPr>
      <w:r>
        <w:t xml:space="preserve">million EUR</w:t>
      </w:r>
      <w:r>
        <w:t xml:space="preserve"> </w:t>
      </w:r>
      <w:r>
        <w:t xml:space="preserve">1 Income flows (charge for use of intell. property)</w:t>
      </w:r>
      <w:r>
        <w:t xml:space="preserve"> </w:t>
      </w:r>
      <w:r>
        <w:t xml:space="preserve">70,216</w:t>
      </w:r>
    </w:p>
    <w:p>
      <w:pPr>
        <w:pStyle w:val="BodyText"/>
      </w:pPr>
      <w:r>
        <w:t xml:space="preserve">2 Refundable tax relief</w:t>
      </w:r>
      <w:r>
        <w:t xml:space="preserve"> </w:t>
      </w:r>
      <w:r>
        <w:t xml:space="preserve">11,951</w:t>
      </w:r>
    </w:p>
    <w:p>
      <w:pPr>
        <w:pStyle w:val="BodyText"/>
      </w:pPr>
      <w:r>
        <w:t xml:space="preserve">3 Implicit rate of WHT relief Royalties</w:t>
      </w:r>
      <w:r>
        <w:t xml:space="preserve"> </w:t>
      </w:r>
      <w:r>
        <w:t xml:space="preserve">17.0%</w:t>
      </w:r>
      <w:r>
        <w:t xml:space="preserve"> </w:t>
      </w:r>
      <w:r>
        <w:t xml:space="preserve">Cost estimate</w:t>
      </w:r>
      <w:r>
        <w:t xml:space="preserve"> </w:t>
      </w:r>
      <w:r>
        <w:t xml:space="preserve">5 Foregone tax relief (investors not claiming)</w:t>
      </w:r>
      <w:r>
        <w:t xml:space="preserve"> </w:t>
      </w:r>
      <w:r>
        <w:t xml:space="preserve">1,195</w:t>
      </w:r>
    </w:p>
    <w:p>
      <w:pPr>
        <w:pStyle w:val="BodyText"/>
      </w:pPr>
      <w:r>
        <w:t xml:space="preserve">6 Opportunity costs of delayed claims and payments of tax refund (+1 year)</w:t>
      </w:r>
      <w:r>
        <w:t xml:space="preserve"> </w:t>
      </w:r>
      <w:r>
        <w:t xml:space="preserve">261</w:t>
      </w:r>
    </w:p>
    <w:p>
      <w:pPr>
        <w:pStyle w:val="BodyText"/>
      </w:pPr>
      <w:r>
        <w:t xml:space="preserve">7 Incurred costs (paperwork etc.)</w:t>
      </w:r>
      <w:r>
        <w:t xml:space="preserve"> </w:t>
      </w:r>
      <w:r>
        <w:t xml:space="preserve">239</w:t>
      </w:r>
    </w:p>
    <w:p>
      <w:pPr>
        <w:pStyle w:val="Compact"/>
        <w:numPr>
          <w:ilvl w:val="0"/>
          <w:numId w:val="1013"/>
        </w:numPr>
      </w:pPr>
      <w:r>
        <w:t xml:space="preserve">Estimation based on EStat Balance of Payment royalty flows (charges for the use of intell. property)</w:t>
      </w:r>
      <w:r>
        <w:t xml:space="preserve"> </w:t>
      </w:r>
      <w:r>
        <w:t xml:space="preserve">Total cost relief estimate (Interest, Dividends, Royalties)</w:t>
      </w:r>
      <w:r>
        <w:t xml:space="preserve"> </w:t>
      </w:r>
      <w:r>
        <w:t xml:space="preserve">1 Foregone tax relief (investors not claiming)</w:t>
      </w:r>
      <w:r>
        <w:t xml:space="preserve"> </w:t>
      </w:r>
      <w:r>
        <w:t xml:space="preserve">3,767</w:t>
      </w:r>
    </w:p>
    <w:p>
      <w:pPr>
        <w:pStyle w:val="FirstParagraph"/>
      </w:pPr>
      <w:r>
        <w:t xml:space="preserve">2 Opportunity costs of delayed claims and payments of tax refund (+1 year)</w:t>
      </w:r>
      <w:r>
        <w:t xml:space="preserve"> </w:t>
      </w:r>
      <w:r>
        <w:t xml:space="preserve">821</w:t>
      </w:r>
    </w:p>
    <w:p>
      <w:pPr>
        <w:pStyle w:val="BodyText"/>
      </w:pPr>
      <w:r>
        <w:t xml:space="preserve">3 Incurred costs (paperwork etc.)</w:t>
      </w:r>
      <w:r>
        <w:t xml:space="preserve"> </w:t>
      </w:r>
      <w:r>
        <w:t xml:space="preserve">753</w:t>
      </w:r>
    </w:p>
    <w:p>
      <w:pPr>
        <w:pStyle w:val="BodyText"/>
      </w:pPr>
      <w:r>
        <w:t xml:space="preserve">1 EU-located shareholders with subsidiaries in the EU (Orbis)</w:t>
      </w:r>
      <w:r>
        <w:t xml:space="preserve"> </w:t>
      </w:r>
      <w:r>
        <w:t xml:space="preserve">100%</w:t>
      </w:r>
      <w:r>
        <w:t xml:space="preserve"> </w:t>
      </w:r>
      <w:r>
        <w:t xml:space="preserve">2 … with a share below 10%</w:t>
      </w:r>
      <w:r>
        <w:t xml:space="preserve"> </w:t>
      </w:r>
      <w:r>
        <w:t xml:space="preserve">10%</w:t>
      </w:r>
      <w:r>
        <w:t xml:space="preserve"> </w:t>
      </w:r>
      <w:r>
        <w:t xml:space="preserve">3 … with a share below 25%</w:t>
      </w:r>
      <w:r>
        <w:t xml:space="preserve"> </w:t>
      </w:r>
      <w:r>
        <w:t xml:space="preserve">17%</w:t>
      </w:r>
      <w:r>
        <w:t xml:space="preserve"> </w:t>
      </w:r>
      <w:r>
        <w:t xml:space="preserve">4 -&gt;… with a share between 10% and 25%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A query run on the company level database Orbis shows that the percentage of EU-located</w:t>
      </w:r>
      <w:r>
        <w:t xml:space="preserve"> </w:t>
      </w:r>
      <w:r>
        <w:t xml:space="preserve">shareholders holding less than 10% shares in EU-located subsidiaries is 10% (Table 4). For a share</w:t>
      </w:r>
      <w:r>
        <w:t xml:space="preserve"> </w:t>
      </w:r>
      <w:r>
        <w:t xml:space="preserve">of at least 25% the percentage is 17%. Aligning the holding requirement for interest and royalty</w:t>
      </w:r>
      <w:r>
        <w:t xml:space="preserve"> </w:t>
      </w:r>
      <w:r>
        <w:t xml:space="preserve">payments to the one stipulated in the PSD for dividends would thus affect about 7% of interest and</w:t>
      </w:r>
      <w:r>
        <w:t xml:space="preserve"> </w:t>
      </w:r>
      <w:r>
        <w:t xml:space="preserve">royalty payments, as those are the estimated shares of companies with holdings between 10% and</w:t>
      </w:r>
      <w:r>
        <w:t xml:space="preserve"> </w:t>
      </w:r>
      <w:r>
        <w:t xml:space="preserve">25%. In other words, Option 1B would ‘free’ 7% of royalty and interest payments from a</w:t>
      </w:r>
      <w:r>
        <w:t xml:space="preserve"> </w:t>
      </w:r>
      <w:r>
        <w:t xml:space="preserve">withholding tax, while Option 1A would free 17% of royalty and interest payments from a</w:t>
      </w:r>
      <w:r>
        <w:t xml:space="preserve"> </w:t>
      </w:r>
      <w:r>
        <w:t xml:space="preserve">withholding tax. The ratio between savings for royalties and interest payments between Option B</w:t>
      </w:r>
      <w:r>
        <w:t xml:space="preserve"> </w:t>
      </w:r>
      <w:r>
        <w:t xml:space="preserve">and Option A is therefore 7%/17%. With this assumption, lowering the IRD requirement could</w:t>
      </w:r>
      <w:r>
        <w:t xml:space="preserve"> </w:t>
      </w:r>
      <w:r>
        <w:t xml:space="preserve">result in cost savings of about EUR 1.5 billion per year. This is shown in Table 5.</w:t>
      </w:r>
      <w:r>
        <w:br/>
      </w:r>
      <w:r>
        <w:t xml:space="preserve">Table 5: Cost estimate Option 1B (million EUR)</w:t>
      </w:r>
    </w:p>
    <w:p>
      <w:pPr>
        <w:pStyle w:val="BodyText"/>
      </w:pPr>
      <w:r>
        <w:t xml:space="preserve">Caveat for estimates of both options</w:t>
      </w:r>
      <w:r>
        <w:t xml:space="preserve"> </w:t>
      </w:r>
      <w:r>
        <w:t xml:space="preserve">As an outcome of the approaches explained in detail above, the estimated cost savings of</w:t>
      </w:r>
      <w:r>
        <w:t xml:space="preserve"> </w:t>
      </w:r>
      <w:r>
        <w:t xml:space="preserve">exempting intra-EU interest, royalty and dividend payments from WHT amount to about EUR 5.34</w:t>
      </w:r>
      <w:r>
        <w:t xml:space="preserve"> </w:t>
      </w:r>
      <w:r>
        <w:t xml:space="preserve">billion per year (Option 1A) and EUR 1.5 billion (Option 1B). There are, however, two</w:t>
      </w:r>
      <w:r>
        <w:t xml:space="preserve"> </w:t>
      </w:r>
      <w:r>
        <w:t xml:space="preserve">uncertainties linked to these estimates that should be taken into consideration:</w:t>
      </w:r>
      <w:r>
        <w:br/>
      </w:r>
      <w:r>
        <w:t xml:space="preserve">• Estimates could be adjusted downwards because they are based on statistics about portfolio</w:t>
      </w:r>
      <w:r>
        <w:t xml:space="preserve"> </w:t>
      </w:r>
      <w:r>
        <w:t xml:space="preserve">investment positions, which inevitably include individuals as investors. It is not possible to</w:t>
      </w:r>
      <w:r>
        <w:t xml:space="preserve"> </w:t>
      </w:r>
      <w:r>
        <w:t xml:space="preserve">estimate with exactitude how investment by individuals compares to portfolio investment by</w:t>
      </w:r>
      <w:r>
        <w:t xml:space="preserve"> </w:t>
      </w:r>
      <w:r>
        <w:t xml:space="preserve">companies. Based on the limited statistics, however, it may be around 40%.125 However, the</w:t>
      </w:r>
      <w:r>
        <w:t xml:space="preserve"> </w:t>
      </w:r>
      <w:r>
        <w:t xml:space="preserve">share in the actual investment volumes held by private individuals, as opposed to other</w:t>
      </w:r>
      <w:r>
        <w:t xml:space="preserve"> </w:t>
      </w:r>
      <w:r>
        <w:t xml:space="preserve">investors, is likely to be lower. On this basis, the statistics on portfolio investments are deemed</w:t>
      </w:r>
      <w:r>
        <w:t xml:space="preserve"> </w:t>
      </w:r>
      <w:r>
        <w:t xml:space="preserve">to provide a reliable source of information for the purposes of this analysis.</w:t>
      </w:r>
      <w:r>
        <w:t xml:space="preserve"> </w:t>
      </w:r>
      <w:r>
        <w:t xml:space="preserve">• On the other hand, estimates could be adjusted upwards because they do not include the</w:t>
      </w:r>
      <w:r>
        <w:t xml:space="preserve"> </w:t>
      </w:r>
      <w:r>
        <w:t xml:space="preserve">savings of compliance costs incurred by investors that hold larger shares (non-portfolio</w:t>
      </w:r>
      <w:r>
        <w:t xml:space="preserve"> </w:t>
      </w:r>
      <w:r>
        <w:t xml:space="preserve">investment) today, i.e., investment that already falls into the scope of the IRD and PSD,</w:t>
      </w:r>
      <w:r>
        <w:t xml:space="preserve"> </w:t>
      </w:r>
      <w:r>
        <w:t xml:space="preserve">respectively. These costs chiefly involve compliance with the procedures for proving</w:t>
      </w:r>
      <w:r>
        <w:t xml:space="preserve"> </w:t>
      </w:r>
      <w:r>
        <w:t xml:space="preserve">entitlement to the benefits of the IRD and PSD. Albeit to a possibly a lesser extent, the measure</w:t>
      </w:r>
      <w:r>
        <w:t xml:space="preserve"> </w:t>
      </w:r>
      <w:r>
        <w:t xml:space="preserve">leads to cost savings here too. This is because the measure results in eliminating upfront</w:t>
      </w:r>
      <w:r>
        <w:t xml:space="preserve"> </w:t>
      </w:r>
      <w:r>
        <w:t xml:space="preserve">procedures ahead of payments of interest, royalties and dividends; and this simplification will</w:t>
      </w:r>
      <w:r>
        <w:t xml:space="preserve"> </w:t>
      </w:r>
      <w:r>
        <w:t xml:space="preserve">apply to all such payments, regardless of whether they are linked to portfolio or direct</w:t>
      </w:r>
      <w:r>
        <w:t xml:space="preserve"> </w:t>
      </w:r>
      <w:r>
        <w:t xml:space="preserve">investment. The paying company would thus no longer have to assess whether the conditions</w:t>
      </w:r>
      <w:r>
        <w:t xml:space="preserve"> </w:t>
      </w:r>
      <w:r>
        <w:t xml:space="preserve">to benefit from the exemption are fulfilled by the beneficiary.</w:t>
      </w:r>
    </w:p>
    <w:p>
      <w:pPr>
        <w:pStyle w:val="BodyText"/>
      </w:pPr>
      <w:r>
        <w:t xml:space="preserve">125 Coordinated Portfolio Investment Survey (CPIS) Survey Guide, Second Edition (p. 96 for Belgium).</w:t>
      </w:r>
      <w:r>
        <w:t xml:space="preserve"> </w:t>
      </w:r>
      <w:r>
        <w:t xml:space="preserve">1 Tax relief from full exemption for interest and royalties (Option 1A without dividends)</w:t>
      </w:r>
      <w:r>
        <w:t xml:space="preserve"> </w:t>
      </w:r>
      <w:r>
        <w:t xml:space="preserve">(Tables 1 and 2 without dividends)</w:t>
      </w:r>
      <w:r>
        <w:t xml:space="preserve"> </w:t>
      </w:r>
      <w:r>
        <w:t xml:space="preserve">3,607</w:t>
      </w:r>
    </w:p>
    <w:p>
      <w:pPr>
        <w:pStyle w:val="BodyText"/>
      </w:pPr>
      <w:r>
        <w:t xml:space="preserve">2 Tax relief from aligning IRD with PSD holding requirement of 10% (Option 1B)</w:t>
      </w:r>
      <w:r>
        <w:t xml:space="preserve"> </w:t>
      </w:r>
      <w:r>
        <w:t xml:space="preserve">(= row 1 x 7 / 17)</w:t>
      </w:r>
      <w:r>
        <w:t xml:space="preserve"> </w:t>
      </w:r>
      <w:r>
        <w:t xml:space="preserve">1,489</w:t>
      </w:r>
    </w:p>
    <w:p>
      <w:pPr>
        <w:pStyle w:val="Compact"/>
        <w:numPr>
          <w:ilvl w:val="0"/>
          <w:numId w:val="1014"/>
        </w:numPr>
      </w:pPr>
      <w:r>
        <w:t xml:space="preserve">Analysis of options: CFC Rules</w:t>
      </w:r>
      <w:r>
        <w:t xml:space="preserve"> </w:t>
      </w:r>
      <w:r>
        <w:t xml:space="preserve">The options for which the methodological and analytical approach is detailed herein are analysed in</w:t>
      </w:r>
      <w:r>
        <w:t xml:space="preserve"> </w:t>
      </w:r>
      <w:r>
        <w:t xml:space="preserve">Section 6.2.2. The purpose is to estimate the reduction in compliance costs through better aligning</w:t>
      </w:r>
      <w:r>
        <w:t xml:space="preserve"> </w:t>
      </w:r>
      <w:r>
        <w:t xml:space="preserve">CFC-rules for Pillar 2 companies.</w:t>
      </w:r>
      <w:r>
        <w:t xml:space="preserve"> </w:t>
      </w:r>
      <w:r>
        <w:t xml:space="preserve">Today’s potential economic double taxation</w:t>
      </w:r>
      <w:r>
        <w:t xml:space="preserve"> </w:t>
      </w:r>
      <w:r>
        <w:t xml:space="preserve">As the legal framework and applicable tax rules stand today, there is an assessed partial overlap</w:t>
      </w:r>
      <w:r>
        <w:t xml:space="preserve"> </w:t>
      </w:r>
      <w:r>
        <w:t xml:space="preserve">between CFC and Pillar 2 rules, which potentially leads to instances of economic double taxation.</w:t>
      </w:r>
      <w:r>
        <w:t xml:space="preserve"> </w:t>
      </w:r>
      <w:r>
        <w:t xml:space="preserve">These overlaps are outlined in the table below (see row 1). A shareholder-subsidiary pair may be</w:t>
      </w:r>
      <w:r>
        <w:t xml:space="preserve"> </w:t>
      </w:r>
      <w:r>
        <w:t xml:space="preserve">subject to Pillar 2 either because the subsidiary is located in a jurisdiction that applies top-up taxes</w:t>
      </w:r>
      <w:r>
        <w:t xml:space="preserve"> </w:t>
      </w:r>
      <w:r>
        <w:t xml:space="preserve">to companies in its territory (QDMTT, first column) and/or the shareholder in a jurisdiction that</w:t>
      </w:r>
      <w:r>
        <w:t xml:space="preserve"> </w:t>
      </w:r>
      <w:r>
        <w:t xml:space="preserve">includes income in other low-taxed jurisdiction when calculating the minimum tax (i.e., Income</w:t>
      </w:r>
      <w:r>
        <w:t xml:space="preserve"> </w:t>
      </w:r>
      <w:r>
        <w:t xml:space="preserve">Inclusion Rule - IIR, second column). Overlaps with CFC-rules can be particularly significant in</w:t>
      </w:r>
      <w:r>
        <w:t xml:space="preserve"> </w:t>
      </w:r>
      <w:r>
        <w:t xml:space="preserve">cases where subsidiaries fall under QDMTT while their shareholders need to apply CFC legislation,</w:t>
      </w:r>
      <w:r>
        <w:t xml:space="preserve"> </w:t>
      </w:r>
      <w:r>
        <w:t xml:space="preserve">see first column. Today, as QDMTT does not account for CFC, economic double taxation may</w:t>
      </w:r>
      <w:r>
        <w:t xml:space="preserve"> </w:t>
      </w:r>
      <w:r>
        <w:t xml:space="preserve">occur in the sense that the group pays both the CFC tax charge and QDMTT, considering that not</w:t>
      </w:r>
      <w:r>
        <w:t xml:space="preserve"> </w:t>
      </w:r>
      <w:r>
        <w:t xml:space="preserve">all member States allow for crediting the latter against the former. By contrast, top-up taxes under</w:t>
      </w:r>
      <w:r>
        <w:t xml:space="preserve"> </w:t>
      </w:r>
      <w:r>
        <w:t xml:space="preserve">IIR do take CFC taxes into account. That is, companies pay either the CFC or the Pillar 2 top-up,</w:t>
      </w:r>
      <w:r>
        <w:t xml:space="preserve"> </w:t>
      </w:r>
      <w:r>
        <w:t xml:space="preserve">whatever higher. Note, however, that US-headquartered groups are taxed only domestically</w:t>
      </w:r>
      <w:r>
        <w:t xml:space="preserve"> </w:t>
      </w:r>
      <w:r>
        <w:t xml:space="preserve">(QDMTT), but not under IIR, in the EU.</w:t>
      </w:r>
      <w:r>
        <w:t xml:space="preserve"> </w:t>
      </w:r>
      <w:r>
        <w:t xml:space="preserve">Table 6: Impact on EU shareholding entities of today’s situation and after applying two options</w:t>
      </w:r>
    </w:p>
    <w:p>
      <w:pPr>
        <w:pStyle w:val="FirstParagraph"/>
      </w:pPr>
      <w:r>
        <w:t xml:space="preserve">Tax relief = positive</w:t>
      </w:r>
      <w:r>
        <w:t xml:space="preserve"> </w:t>
      </w:r>
      <w:r>
        <w:t xml:space="preserve">Two options are assessed accordingly, explained in detail as follows:</w:t>
      </w:r>
      <w:r>
        <w:br/>
      </w:r>
      <w:r>
        <w:t xml:space="preserve">On carving out Pillar 2 companies from CFC rules (Option A): MNEs whose CFCs are subject to</w:t>
      </w:r>
      <w:r>
        <w:t xml:space="preserve"> </w:t>
      </w:r>
      <w:r>
        <w:t xml:space="preserve">Pillar 2 are carved out from CFC rules. Accordingly, for US-headquartered MNEs, this carve-out is</w:t>
      </w:r>
      <w:r>
        <w:t xml:space="preserve"> </w:t>
      </w:r>
      <w:r>
        <w:t xml:space="preserve">only granted to shareholders whose CFC is subject to QDMTT. In other words, only the Pillar 2</w:t>
      </w:r>
      <w:r>
        <w:t xml:space="preserve"> </w:t>
      </w:r>
      <w:r>
        <w:t xml:space="preserve">QDMTT will be paid by all MNEs subject to Pillar 2, see row 2. Companies would namely save the</w:t>
      </w:r>
      <w:r>
        <w:t xml:space="preserve"> </w:t>
      </w:r>
      <w:r>
        <w:t xml:space="preserve">CFC tax charges in case they are subject to QDMTT, see row 4, column 2.</w:t>
      </w:r>
      <w:r>
        <w:br/>
      </w:r>
      <w:r>
        <w:t xml:space="preserve">On including QDMTT in the CFC calculation (Option B): Rather than carving out Pillar 2 MNEs</w:t>
      </w:r>
      <w:r>
        <w:t xml:space="preserve"> </w:t>
      </w:r>
      <w:r>
        <w:t xml:space="preserve">from CFC rules, Member States would take into account the QDMTT liability to determine whether</w:t>
      </w:r>
      <w:r>
        <w:t xml:space="preserve"> </w:t>
      </w:r>
      <w:r>
        <w:t xml:space="preserve">Taxes paid…</w:t>
      </w:r>
      <w:r>
        <w:t xml:space="preserve"> </w:t>
      </w:r>
      <w:r>
        <w:t xml:space="preserve">CFC, QDMTT (with or without</w:t>
      </w:r>
      <w:r>
        <w:t xml:space="preserve"> </w:t>
      </w:r>
      <w:r>
        <w:t xml:space="preserve">IIR)</w:t>
      </w:r>
      <w:r>
        <w:t xml:space="preserve"> </w:t>
      </w:r>
      <w:r>
        <w:t xml:space="preserve">CFC, IIR (no QDMTT) and</w:t>
      </w:r>
      <w:r>
        <w:t xml:space="preserve"> </w:t>
      </w:r>
      <w:r>
        <w:t xml:space="preserve">Ultimate Parent is not</w:t>
      </w:r>
      <w:r>
        <w:t xml:space="preserve"> </w:t>
      </w:r>
      <w:r>
        <w:t xml:space="preserve">located in the US</w:t>
      </w:r>
      <w:r>
        <w:t xml:space="preserve"> </w:t>
      </w:r>
      <w:r>
        <w:t xml:space="preserve">1</w:t>
      </w:r>
      <w:r>
        <w:t xml:space="preserve"> </w:t>
      </w:r>
      <w:r>
        <w:t xml:space="preserve">.. today</w:t>
      </w:r>
      <w:r>
        <w:t xml:space="preserve"> </w:t>
      </w:r>
      <w:r>
        <w:t xml:space="preserve">P2 topup + CFC-topup</w:t>
      </w:r>
      <w:r>
        <w:t xml:space="preserve"> </w:t>
      </w:r>
      <w:r>
        <w:t xml:space="preserve">max(P2-topup, CFC topup)</w:t>
      </w:r>
      <w:r>
        <w:t xml:space="preserve"> </w:t>
      </w:r>
      <w:r>
        <w:t xml:space="preserve">2</w:t>
      </w:r>
      <w:r>
        <w:t xml:space="preserve"> </w:t>
      </w:r>
      <w:r>
        <w:t xml:space="preserve">…under Opt A</w:t>
      </w:r>
      <w:r>
        <w:t xml:space="preserve"> </w:t>
      </w:r>
      <w:r>
        <w:t xml:space="preserve">P2-topup</w:t>
      </w:r>
      <w:r>
        <w:t xml:space="preserve"> </w:t>
      </w:r>
      <w:r>
        <w:t xml:space="preserve">P2-topup</w:t>
      </w:r>
      <w:r>
        <w:t xml:space="preserve"> </w:t>
      </w:r>
      <w:r>
        <w:t xml:space="preserve">3</w:t>
      </w:r>
      <w:r>
        <w:t xml:space="preserve"> </w:t>
      </w:r>
      <w:r>
        <w:t xml:space="preserve">…under Opt B</w:t>
      </w:r>
      <w:r>
        <w:t xml:space="preserve"> </w:t>
      </w:r>
      <w:r>
        <w:t xml:space="preserve">max(P2 topup, CFC topup)</w:t>
      </w:r>
      <w:r>
        <w:t xml:space="preserve"> </w:t>
      </w:r>
      <w:r>
        <w:t xml:space="preserve">max(P2 topup, CFC topup)</w:t>
      </w:r>
      <w:r>
        <w:t xml:space="preserve"> </w:t>
      </w:r>
      <w:r>
        <w:t xml:space="preserve">Difference (=impact)</w:t>
      </w:r>
      <w:r>
        <w:t xml:space="preserve"> </w:t>
      </w:r>
      <w:r>
        <w:t xml:space="preserve">4</w:t>
      </w:r>
      <w:r>
        <w:t xml:space="preserve"> </w:t>
      </w:r>
      <w:r>
        <w:t xml:space="preserve">… Opt A</w:t>
      </w:r>
      <w:r>
        <w:t xml:space="preserve"> </w:t>
      </w:r>
      <w:r>
        <w:t xml:space="preserve">CFC-topup</w:t>
      </w:r>
      <w:r>
        <w:t xml:space="preserve"> </w:t>
      </w:r>
      <w:r>
        <w:t xml:space="preserve">max(0, CFC topup -</w:t>
      </w:r>
      <w:r>
        <w:br/>
      </w:r>
      <w:r>
        <w:t xml:space="preserve">P2-topup)</w:t>
      </w:r>
      <w:r>
        <w:br/>
      </w:r>
      <w:r>
        <w:t xml:space="preserve">P2 topup + CFC-topup</w:t>
      </w:r>
      <w:r>
        <w:br/>
      </w:r>
      <w:r>
        <w:t xml:space="preserve">- max(P2 topup, CFC topup)</w:t>
      </w:r>
      <w:r>
        <w:t xml:space="preserve"> </w:t>
      </w:r>
      <w:r>
        <w:t xml:space="preserve">… Opt B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a foreign controlled subsidiary is low-taxed, therefore a CFC, and, consequently, CFC rules are</w:t>
      </w:r>
      <w:r>
        <w:t xml:space="preserve"> </w:t>
      </w:r>
      <w:r>
        <w:t xml:space="preserve">triggered. In case that the CFC tax rate in a Member State is higher than 15% (which is achieved</w:t>
      </w:r>
      <w:r>
        <w:t xml:space="preserve"> </w:t>
      </w:r>
      <w:r>
        <w:t xml:space="preserve">through the QDMTT), the CFC tax charge would apply, and credit would be provided for the</w:t>
      </w:r>
      <w:r>
        <w:t xml:space="preserve"> </w:t>
      </w:r>
      <w:r>
        <w:t xml:space="preserve">QDMTT (see row 5 of the table above). The outcome indicates that tax charges saved by</w:t>
      </w:r>
      <w:r>
        <w:t xml:space="preserve"> </w:t>
      </w:r>
      <w:r>
        <w:t xml:space="preserve">companies under this scenario are lower than under Option A.</w:t>
      </w:r>
      <w:r>
        <w:br/>
      </w:r>
      <w:r>
        <w:t xml:space="preserve">4. Analysis of options: Interest Limitation Rule (ILR)</w:t>
      </w:r>
      <w:r>
        <w:t xml:space="preserve"> </w:t>
      </w:r>
      <w:r>
        <w:t xml:space="preserve">The basis for the economic analysis and outcomes explained in Section 6.2 are set out in the sub-</w:t>
      </w:r>
      <w:r>
        <w:t xml:space="preserve"> </w:t>
      </w:r>
      <w:r>
        <w:t xml:space="preserve">sections below.</w:t>
      </w:r>
      <w:r>
        <w:br/>
      </w:r>
      <w:r>
        <w:t xml:space="preserve">To recall, Article 4 of the ATAD introduces an Interest Limitation Rule in the EU, which restricts</w:t>
      </w:r>
      <w:r>
        <w:t xml:space="preserve"> </w:t>
      </w:r>
      <w:r>
        <w:t xml:space="preserve">the deductibility of a company’s interest expenses. Under the Interest Limitation Rule, businesses</w:t>
      </w:r>
      <w:r>
        <w:t xml:space="preserve"> </w:t>
      </w:r>
      <w:r>
        <w:t xml:space="preserve">are generally entitled to deduct net borrowing costs, i.e., net interest expenses, up to 30% of their</w:t>
      </w:r>
      <w:r>
        <w:t xml:space="preserve"> </w:t>
      </w:r>
      <w:r>
        <w:t xml:space="preserve">earnings before interest, tax, depreciation and amortisation (so-called ‘EBITDA threshold’). Net</w:t>
      </w:r>
      <w:r>
        <w:t xml:space="preserve"> </w:t>
      </w:r>
      <w:r>
        <w:t xml:space="preserve">borrowing costs below an optional threshold of EUR 3 million per year can still be deducted</w:t>
      </w:r>
      <w:r>
        <w:t xml:space="preserve"> </w:t>
      </w:r>
      <w:r>
        <w:t xml:space="preserve">without limit (de minimis). The safe harbour aims to exempt SMEs from the scope of the Interest</w:t>
      </w:r>
      <w:r>
        <w:t xml:space="preserve"> </w:t>
      </w:r>
      <w:r>
        <w:t xml:space="preserve">Limitation Rule. This is important because equity-funding is less of an option for small enterprises,</w:t>
      </w:r>
      <w:r>
        <w:t xml:space="preserve"> </w:t>
      </w:r>
      <w:r>
        <w:t xml:space="preserve">and they are therefore heavily reliant on loans to fund their activities. These parameters are to be</w:t>
      </w:r>
      <w:r>
        <w:t xml:space="preserve"> </w:t>
      </w:r>
      <w:r>
        <w:t xml:space="preserve">seen as the minimum protection against profit shifting and base erosion. Member States can</w:t>
      </w:r>
      <w:r>
        <w:t xml:space="preserve"> </w:t>
      </w:r>
      <w:r>
        <w:t xml:space="preserve">implement stricter rules. This section will demonstrate that SMEs are currently protected very</w:t>
      </w:r>
      <w:r>
        <w:t xml:space="preserve"> </w:t>
      </w:r>
      <w:r>
        <w:t xml:space="preserve">effectively from limitations in interest deduction. Yet the new measures will improve protection</w:t>
      </w:r>
      <w:r>
        <w:t xml:space="preserve"> </w:t>
      </w:r>
      <w:r>
        <w:t xml:space="preserve">even more.</w:t>
      </w:r>
      <w:r>
        <w:br/>
      </w:r>
      <w:r>
        <w:t xml:space="preserve">4.1 Carving out SMEs (mandatory de minimis of EUR 3 million)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20 Member States have implemented a EUR 3 million de minimis or equivalent rule.126 Six</w:t>
      </w:r>
      <w:r>
        <w:t xml:space="preserve"> </w:t>
      </w:r>
      <w:r>
        <w:t xml:space="preserve">Member States have opted for a lower threshold of up to EUR 1 million so that the number of firms</w:t>
      </w:r>
      <w:r>
        <w:t xml:space="preserve"> </w:t>
      </w:r>
      <w:r>
        <w:t xml:space="preserve">protected from the ILR may be lower. These include the Netherlands, Poland, Portugal, Romania,</w:t>
      </w:r>
      <w:r>
        <w:t xml:space="preserve"> </w:t>
      </w:r>
      <w:r>
        <w:t xml:space="preserve">Spain and Sweden. Of those, some have other instruments in place, especially the possibility of an</w:t>
      </w:r>
      <w:r>
        <w:t xml:space="preserve"> </w:t>
      </w:r>
      <w:r>
        <w:t xml:space="preserve">indefinite carry-forward of interest expenses not deductible in a given year due to ILR. Non-</w:t>
      </w:r>
      <w:r>
        <w:t xml:space="preserve"> </w:t>
      </w:r>
      <w:r>
        <w:t xml:space="preserve">allowed deductions can thus be indefinitely deferred to future years. This is notably the case in the</w:t>
      </w:r>
      <w:r>
        <w:t xml:space="preserve"> </w:t>
      </w:r>
      <w:r>
        <w:t xml:space="preserve">Netherlands and Spain. Italy has no de minimis threshold. Yet it also has significant protective tools</w:t>
      </w:r>
      <w:r>
        <w:t xml:space="preserve"> </w:t>
      </w:r>
      <w:r>
        <w:t xml:space="preserve">in place that alleviate the impact of ILR for small businesses or exclude them from ILR altogether.</w:t>
      </w:r>
      <w:r>
        <w:t xml:space="preserve"> </w:t>
      </w:r>
      <w:r>
        <w:t xml:space="preserve">Non-realised deductions and non-utilized deduction capacities127 can be carried forward. Most</w:t>
      </w:r>
      <w:r>
        <w:t xml:space="preserve"> </w:t>
      </w:r>
      <w:r>
        <w:t xml:space="preserve">importantly, sole traders and partnerships (società di persone) are explicitly excluded from the</w:t>
      </w:r>
      <w:r>
        <w:t xml:space="preserve"> </w:t>
      </w:r>
      <w:r>
        <w:t xml:space="preserve">scope of the ILR (Art. 96 of the Italian Income Tax Code - TUIR). This would exclude almost 80%</w:t>
      </w:r>
      <w:r>
        <w:t xml:space="preserve"> </w:t>
      </w:r>
      <w:r>
        <w:t xml:space="preserve">of all companies in Italy.128</w:t>
      </w:r>
      <w:r>
        <w:br/>
      </w:r>
      <w:r>
        <w:t xml:space="preserve">We estimate the share of SMEs that today do not see any limitation from interest deduction</w:t>
      </w:r>
      <w:r>
        <w:t xml:space="preserve"> </w:t>
      </w:r>
      <w:r>
        <w:t xml:space="preserve">limitation, and how this share would change after implementing a de minimis of 3 EUR million in</w:t>
      </w:r>
      <w:r>
        <w:t xml:space="preserve"> </w:t>
      </w:r>
      <w:r>
        <w:t xml:space="preserve">all Member States taking as the hypothesis that this would become mandatory. We simulate the</w:t>
      </w:r>
    </w:p>
    <w:p>
      <w:pPr>
        <w:pStyle w:val="BodyText"/>
      </w:pPr>
      <w:r>
        <w:t xml:space="preserve">126 Study prepared for the European Commission to support an evaluation of the Anti-tax Avoidance Directive (ATAD)</w:t>
      </w:r>
      <w:r>
        <w:t xml:space="preserve"> </w:t>
      </w:r>
      <w:r>
        <w:t xml:space="preserve">- Final Report (2025).</w:t>
      </w:r>
      <w:r>
        <w:t xml:space="preserve"> </w:t>
      </w:r>
      <w:r>
        <w:t xml:space="preserve">127 In a given year, interest expenses may stay below the 30% of EBITDA threshold, so that there is unused capacity for</w:t>
      </w:r>
      <w:r>
        <w:t xml:space="preserve"> </w:t>
      </w:r>
      <w:r>
        <w:t xml:space="preserve">deduction (i.e., 30% of EBITDA – interest expense).</w:t>
      </w:r>
      <w:r>
        <w:br/>
      </w:r>
      <w:r>
        <w:t xml:space="preserve">128 ZEW (2023), Familienunternehmen in Deutschland und Italien Zur Bedeutung des Unternehmenstyps im Vergleich</w:t>
      </w:r>
      <w:r>
        <w:t xml:space="preserve"> </w:t>
      </w:r>
      <w:r>
        <w:t xml:space="preserve">mit ausgewählten europäischen Staaten, Stiftung Familienunternehmen, München, 2023. See p. 38.</w:t>
      </w:r>
    </w:p>
    <w:p>
      <w:pPr>
        <w:pStyle w:val="BodyText"/>
      </w:pPr>
      <w:r>
        <w:t xml:space="preserve">current ILR rules in EU Member States on an Orbis sample of 1.8 million unconsolidated accounts</w:t>
      </w:r>
      <w:r>
        <w:t xml:space="preserve"> </w:t>
      </w:r>
      <w:r>
        <w:t xml:space="preserve">from 2024 with a positive taxable profit. The vast majority of these accounts are from SMEs.129</w:t>
      </w:r>
      <w:r>
        <w:t xml:space="preserve"> </w:t>
      </w:r>
      <w:r>
        <w:t xml:space="preserve">The following information and assumptions about the implementation of the Interest Limitation</w:t>
      </w:r>
      <w:r>
        <w:t xml:space="preserve"> </w:t>
      </w:r>
      <w:r>
        <w:t xml:space="preserve">Rule in Member States is taken on board for the simulation:</w:t>
      </w:r>
      <w:r>
        <w:t xml:space="preserve"> </w:t>
      </w:r>
      <w:r>
        <w:t xml:space="preserve">• The EBITDA-threshold is 30% for all EU Member States but Finland (25%) and the</w:t>
      </w:r>
      <w:r>
        <w:t xml:space="preserve"> </w:t>
      </w:r>
      <w:r>
        <w:t xml:space="preserve">Netherlands (24.5%).</w:t>
      </w:r>
      <w:r>
        <w:t xml:space="preserve"> </w:t>
      </w:r>
      <w:r>
        <w:t xml:space="preserve">• The de minimis threshold is set at EUR 3 million in all Member States but the following</w:t>
      </w:r>
      <w:r>
        <w:t xml:space="preserve"> </w:t>
      </w:r>
      <w:r>
        <w:t xml:space="preserve">seven: the Netherlands, Portugal, Romania, Spain (all EUR 1 million), Poland (EUR 0.7</w:t>
      </w:r>
      <w:r>
        <w:t xml:space="preserve"> </w:t>
      </w:r>
      <w:r>
        <w:t xml:space="preserve">million), Sweden (EUR 0.44 million) and Italy (nil).</w:t>
      </w:r>
      <w:r>
        <w:t xml:space="preserve"> </w:t>
      </w:r>
      <w:r>
        <w:t xml:space="preserve">• The stand-alone exemption of ATAD Article 4 (3) (b) is implemented in all Member States</w:t>
      </w:r>
      <w:r>
        <w:t xml:space="preserve"> </w:t>
      </w:r>
      <w:r>
        <w:t xml:space="preserve">but Bulgaria, Czechia, Denmark, Greece, Italy, Latvia, the Netherlands, Poland, Portugal,</w:t>
      </w:r>
      <w:r>
        <w:t xml:space="preserve"> </w:t>
      </w:r>
      <w:r>
        <w:t xml:space="preserve">Sweden and Croatia.</w:t>
      </w:r>
      <w:r>
        <w:t xml:space="preserve"> </w:t>
      </w:r>
      <w:r>
        <w:t xml:space="preserve">• A company is considered standalone if a consolidated account does not exist and the</w:t>
      </w:r>
      <w:r>
        <w:t xml:space="preserve"> </w:t>
      </w:r>
      <w:r>
        <w:t xml:space="preserve">company is its own global ultimate owner. If there is no global owner given in the data for a</w:t>
      </w:r>
      <w:r>
        <w:t xml:space="preserve"> </w:t>
      </w:r>
      <w:r>
        <w:t xml:space="preserve">company it is also considered standalone.</w:t>
      </w:r>
      <w:r>
        <w:br/>
      </w:r>
      <w:r>
        <w:t xml:space="preserve">• The initiative will abolish the stand-alone exemption as it is deemed no longer necessary,</w:t>
      </w:r>
      <w:r>
        <w:t xml:space="preserve"> </w:t>
      </w:r>
      <w:r>
        <w:t xml:space="preserve">given that standalone companies will be effectively protected through the carve-out of</w:t>
      </w:r>
      <w:r>
        <w:t xml:space="preserve"> </w:t>
      </w:r>
      <w:r>
        <w:t xml:space="preserve">SMEs and of low-risk loans from the Interest Limitation Rule (Section 6.2.4.4).</w:t>
      </w:r>
      <w:r>
        <w:t xml:space="preserve"> </w:t>
      </w:r>
      <w:r>
        <w:t xml:space="preserve">• Not being able to deduct interest expenses due to the Interest Limitation Rule increases the</w:t>
      </w:r>
      <w:r>
        <w:t xml:space="preserve"> </w:t>
      </w:r>
      <w:r>
        <w:t xml:space="preserve">amount of corporate taxes a company must pay. This effect is calculated by multiplying the</w:t>
      </w:r>
      <w:r>
        <w:t xml:space="preserve"> </w:t>
      </w:r>
      <w:r>
        <w:t xml:space="preserve">non-deductible part of interest expenses by the national statutory Corporate Income Tax rate</w:t>
      </w:r>
      <w:r>
        <w:t xml:space="preserve"> </w:t>
      </w:r>
      <w:r>
        <w:t xml:space="preserve">of the Member State where the respective company is resident.</w:t>
      </w:r>
      <w:r>
        <w:br/>
      </w:r>
      <w:r>
        <w:t xml:space="preserve">• Our approach includes the group approach for taxpayer qualification following Art. 4(1) (b)</w:t>
      </w:r>
      <w:r>
        <w:t xml:space="preserve"> </w:t>
      </w:r>
      <w:r>
        <w:t xml:space="preserve">of ATAD: Member States may allow to calculate interest expenses and EBITDA at the level</w:t>
      </w:r>
      <w:r>
        <w:t xml:space="preserve"> </w:t>
      </w:r>
      <w:r>
        <w:t xml:space="preserve">of the group (i.e., for group members on their respective territory) rather than for each entity</w:t>
      </w:r>
      <w:r>
        <w:t xml:space="preserve"> </w:t>
      </w:r>
      <w:r>
        <w:t xml:space="preserve">separately. This rule is currently implemented in all but the following nine Member States:</w:t>
      </w:r>
      <w:r>
        <w:t xml:space="preserve"> </w:t>
      </w:r>
      <w:r>
        <w:t xml:space="preserve">Bulgaria, Croatia, Czechia, Cyprus, Finland, Greece, Latvia, Slovakia and Sweden.130</w:t>
      </w:r>
      <w:r>
        <w:br/>
      </w:r>
      <w:r>
        <w:t xml:space="preserve">• Italy excludes sole traders and partnerships from the scope of the ILR. Those are taken out</w:t>
      </w:r>
      <w:r>
        <w:t xml:space="preserve"> </w:t>
      </w:r>
      <w:r>
        <w:t xml:space="preserve">of the sample.</w:t>
      </w:r>
      <w:r>
        <w:t xml:space="preserve"> </w:t>
      </w:r>
      <w:r>
        <w:t xml:space="preserve">• Increasing the de minimis threshold will reduce the amount of corporate tax revenues as</w:t>
      </w:r>
      <w:r>
        <w:t xml:space="preserve"> </w:t>
      </w:r>
      <w:r>
        <w:t xml:space="preserve">more companies will be exempt. However, this effect is significantly reduced by existing</w:t>
      </w:r>
      <w:r>
        <w:t xml:space="preserve"> </w:t>
      </w:r>
      <w:r>
        <w:t xml:space="preserve">loss carry-forward mechanisms: Interest expense deduction may be limited in a given year.</w:t>
      </w:r>
      <w:r>
        <w:t xml:space="preserve"> </w:t>
      </w:r>
      <w:r>
        <w:t xml:space="preserve">Yet those mechanisms would allow deduction in a later year so that these costs are not ‘lost’</w:t>
      </w:r>
      <w:r>
        <w:t xml:space="preserve"> </w:t>
      </w:r>
      <w:r>
        <w:t xml:space="preserve">for deduction. As a result, the effect of a higher de minimis on the deductible amount would</w:t>
      </w:r>
      <w:r>
        <w:t xml:space="preserve"> </w:t>
      </w:r>
      <w:r>
        <w:t xml:space="preserve">be cushioned. Based on the Joint Research Centre’s corporate microsimulation model</w:t>
      </w:r>
      <w:r>
        <w:t xml:space="preserve"> </w:t>
      </w:r>
      <w:r>
        <w:t xml:space="preserve">DiRECT 131, the effect of implementing a mandatory de minimis threshold of EUR 3</w:t>
      </w:r>
      <w:r>
        <w:t xml:space="preserve"> </w:t>
      </w:r>
      <w:r>
        <w:t xml:space="preserve">million in all Member States on tax revenue losses could be reduced by about 30% if we</w:t>
      </w:r>
      <w:r>
        <w:t xml:space="preserve"> </w:t>
      </w:r>
      <w:r>
        <w:t xml:space="preserve">allow in the model that losses can be carried forward.</w:t>
      </w:r>
    </w:p>
    <w:p>
      <w:pPr>
        <w:pStyle w:val="BodyText"/>
      </w:pPr>
      <w:r>
        <w:t xml:space="preserve">129 95% of these accounts are small and medium sized in the sense that their net turnover has been below EUR 50</w:t>
      </w:r>
      <w:r>
        <w:t xml:space="preserve"> </w:t>
      </w:r>
      <w:r>
        <w:t xml:space="preserve">million that year.</w:t>
      </w:r>
      <w:r>
        <w:t xml:space="preserve"> </w:t>
      </w:r>
      <w:r>
        <w:t xml:space="preserve">130 Deloitte (2023), Implementation of the EU Anti-Tax Avoidance Directive | Tax</w:t>
      </w:r>
      <w:r>
        <w:t xml:space="preserve"> </w:t>
      </w:r>
      <w:r>
        <w:t xml:space="preserve">131 For an overview: Corporate tax microsimulation model (DiRECT) - Joint Research Centre.</w:t>
      </w:r>
    </w:p>
    <w:p>
      <w:pPr>
        <w:pStyle w:val="BodyText"/>
      </w:pPr>
      <w:r>
        <w:t xml:space="preserve">With this information, for the EU as a whole, about 96% of the unconsolidated accounts in the</w:t>
      </w:r>
      <w:r>
        <w:t xml:space="preserve"> </w:t>
      </w:r>
      <w:r>
        <w:t xml:space="preserve">sample do not see any limitation in interest deduction. In reality, that share is likely higher, given</w:t>
      </w:r>
      <w:r>
        <w:t xml:space="preserve"> </w:t>
      </w:r>
      <w:r>
        <w:t xml:space="preserve">that small entities are underrepresented in Orbis. 132</w:t>
      </w:r>
      <w:r>
        <w:br/>
      </w:r>
      <w:r>
        <w:t xml:space="preserve">Implementing in all Member States a common and mandatory de minimis of EUR 3 million in the</w:t>
      </w:r>
      <w:r>
        <w:t xml:space="preserve"> </w:t>
      </w:r>
      <w:r>
        <w:t xml:space="preserve">same model will increase that share of companies not impacted by the Interest Limitation Rule</w:t>
      </w:r>
      <w:r>
        <w:t xml:space="preserve"> </w:t>
      </w:r>
      <w:r>
        <w:t xml:space="preserve">from 96% to above 99%. The number of unconsolidated accounts impacted by the rule in the</w:t>
      </w:r>
      <w:r>
        <w:t xml:space="preserve"> </w:t>
      </w:r>
      <w:r>
        <w:t xml:space="preserve">sample will decline considerably, from 75,000 before to only about 12,000 after implementing the</w:t>
      </w:r>
      <w:r>
        <w:t xml:space="preserve"> </w:t>
      </w:r>
      <w:r>
        <w:t xml:space="preserve">new de minimis. In other words, about 63,000 companies (mainly SMEs) so far dealing with</w:t>
      </w:r>
      <w:r>
        <w:t xml:space="preserve"> </w:t>
      </w:r>
      <w:r>
        <w:t xml:space="preserve">interest deduction limitations will in the future be carved out. This information will be used to</w:t>
      </w:r>
      <w:r>
        <w:t xml:space="preserve"> </w:t>
      </w:r>
      <w:r>
        <w:t xml:space="preserve">estimate compliance cost reductions for SMEs in Section 6.2.4.1.</w:t>
      </w:r>
      <w:r>
        <w:br/>
      </w:r>
      <w:r>
        <w:t xml:space="preserve">For the Orbis sample, EU corporate tax savings for SMEs could amount to EUR 900 million.</w:t>
      </w:r>
      <w:r>
        <w:t xml:space="preserve"> </w:t>
      </w:r>
      <w:r>
        <w:t xml:space="preserve">These effects affect those Member States where the current de minimis threshold is lower than the</w:t>
      </w:r>
      <w:r>
        <w:t xml:space="preserve"> </w:t>
      </w:r>
      <w:r>
        <w:t xml:space="preserve">current ATAD-ceiling of EUR 3 million or where no de minimis is implemented.</w:t>
      </w:r>
      <w:r>
        <w:t xml:space="preserve"> </w:t>
      </w:r>
      <w:r>
        <w:t xml:space="preserve">Orbis does not cover the entire firm population. That is, all estimates provided here are lower</w:t>
      </w:r>
      <w:r>
        <w:t xml:space="preserve"> </w:t>
      </w:r>
      <w:r>
        <w:t xml:space="preserve">bound. This holds especially for the 63,000 companies that will no longer be limited in their</w:t>
      </w:r>
      <w:r>
        <w:t xml:space="preserve"> </w:t>
      </w:r>
      <w:r>
        <w:t xml:space="preserve">interest deduction as the de minimis of EUR 3 million would become mandatory in all Member</w:t>
      </w:r>
      <w:r>
        <w:t xml:space="preserve"> </w:t>
      </w:r>
      <w:r>
        <w:t xml:space="preserve">States. Given the underrepresentation, especially of small entities in Orbis, the ‘true’ effect is likely</w:t>
      </w:r>
      <w:r>
        <w:t xml:space="preserve"> </w:t>
      </w:r>
      <w:r>
        <w:t xml:space="preserve">higher than expressed through this number. However, the estimated impact on corporate tax savings</w:t>
      </w:r>
      <w:r>
        <w:t xml:space="preserve"> </w:t>
      </w:r>
      <w:r>
        <w:t xml:space="preserve">of EUR 900 million is likely less biased through coverage issues in Orbis. This is because small</w:t>
      </w:r>
      <w:r>
        <w:t xml:space="preserve"> </w:t>
      </w:r>
      <w:r>
        <w:t xml:space="preserve">entities contribute very little to the aggregate volume of interest expenses and earnings. For</w:t>
      </w:r>
      <w:r>
        <w:t xml:space="preserve"> </w:t>
      </w:r>
      <w:r>
        <w:t xml:space="preserve">example, excluding the smallest 50% of observations does not significantly alter the estimated</w:t>
      </w:r>
      <w:r>
        <w:t xml:space="preserve"> </w:t>
      </w:r>
      <w:r>
        <w:t xml:space="preserve">effect on corporate tax savings.</w:t>
      </w:r>
      <w:r>
        <w:t xml:space="preserve"> </w:t>
      </w:r>
      <w:r>
        <w:t xml:space="preserve">Conclusion: While the current Interest Limitation Rules already protects EU SMEs very well from</w:t>
      </w:r>
      <w:r>
        <w:t xml:space="preserve"> </w:t>
      </w:r>
      <w:r>
        <w:t xml:space="preserve">being impacted by the ILR, making the de minimis of EUR 3 million mandatory in all Member</w:t>
      </w:r>
      <w:r>
        <w:t xml:space="preserve"> </w:t>
      </w:r>
      <w:r>
        <w:t xml:space="preserve">States will further improve the level of protection, while ensuring a level playing and consistent</w:t>
      </w:r>
      <w:r>
        <w:t xml:space="preserve"> </w:t>
      </w:r>
      <w:r>
        <w:t xml:space="preserve">approach towards companies across all EU Member States.</w:t>
      </w:r>
      <w:r>
        <w:t xml:space="preserve"> </w:t>
      </w:r>
      <w:r>
        <w:t xml:space="preserve">Impact on public finances</w:t>
      </w:r>
      <w:r>
        <w:t xml:space="preserve"> </w:t>
      </w:r>
      <w:r>
        <w:t xml:space="preserve">The previous analysis showed that companies will save corporate tax expenditure of around EUR</w:t>
      </w:r>
      <w:r>
        <w:br/>
      </w:r>
      <w:r>
        <w:t xml:space="preserve">900 million, which constitutes the impact on public finances. If the threshold were aligned across</w:t>
      </w:r>
      <w:r>
        <w:t xml:space="preserve"> </w:t>
      </w:r>
      <w:r>
        <w:t xml:space="preserve">all Member States, that impact would be sustained in those Member States which do not currently</w:t>
      </w:r>
      <w:r>
        <w:t xml:space="preserve"> </w:t>
      </w:r>
      <w:r>
        <w:t xml:space="preserve">implement the EUR 3 million de minimis.</w:t>
      </w:r>
      <w:r>
        <w:br/>
      </w:r>
      <w:r>
        <w:t xml:space="preserve">4.2 Carving out low-risk third-party interest payments</w:t>
      </w:r>
      <w:r>
        <w:t xml:space="preserve"> </w:t>
      </w:r>
      <w:r>
        <w:t xml:space="preserve">Impact on companies</w:t>
      </w:r>
      <w:r>
        <w:t xml:space="preserve"> </w:t>
      </w:r>
      <w:r>
        <w:t xml:space="preserve">The prime purpose of the ATAD Interest Limitation Rules is to prevent MNEs from exploiting</w:t>
      </w:r>
      <w:r>
        <w:t xml:space="preserve"> </w:t>
      </w:r>
      <w:r>
        <w:t xml:space="preserve">interest payments as a means of shifting profits. While ensuring this, the rationale for setting the</w:t>
      </w:r>
      <w:r>
        <w:t xml:space="preserve"> </w:t>
      </w:r>
      <w:r>
        <w:t xml:space="preserve">EBITDA threshold to 30% in Council Directive 2016/1164 was to ensure that most businesses</w:t>
      </w:r>
      <w:r>
        <w:t xml:space="preserve"> </w:t>
      </w:r>
      <w:r>
        <w:t xml:space="preserve">would not be limited in deducting their third-party interest payments from their tax base. This is</w:t>
      </w:r>
    </w:p>
    <w:p>
      <w:pPr>
        <w:pStyle w:val="BodyText"/>
      </w:pPr>
      <w:r>
        <w:t xml:space="preserve">132 See, for example, Kameli-Özcan et al (2024), How to Construct Nationally Representative Firm-Level Data from the</w:t>
      </w:r>
      <w:r>
        <w:t xml:space="preserve"> </w:t>
      </w:r>
      <w:r>
        <w:t xml:space="preserve">Orbis Global Database: New Facts on SMEs and Aggregate Implications for Industry Concentration, American</w:t>
      </w:r>
      <w:r>
        <w:t xml:space="preserve"> </w:t>
      </w:r>
      <w:r>
        <w:t xml:space="preserve">Economic Journal: Macroeconomics 2024, 16(2): 353–374; Bajgar et al (2020), Coverage and representativeness of</w:t>
      </w:r>
      <w:r>
        <w:t xml:space="preserve"> </w:t>
      </w:r>
      <w:r>
        <w:t xml:space="preserve">Orbis data, OECD Science, Technology and Industry Working Papers 2020/06.</w:t>
      </w:r>
    </w:p>
    <w:p>
      <w:pPr>
        <w:pStyle w:val="BodyText"/>
      </w:pPr>
      <w:r>
        <w:t xml:space="preserve">important in the context of MNE groups: these are payments from parties that have no association</w:t>
      </w:r>
      <w:r>
        <w:t xml:space="preserve"> </w:t>
      </w:r>
      <w:r>
        <w:t xml:space="preserve">with the borrower, either as members of the same MNE group or because of common control</w:t>
      </w:r>
      <w:r>
        <w:t xml:space="preserve"> </w:t>
      </w:r>
      <w:r>
        <w:t xml:space="preserve">(without being part of the same consolidated financial accounts). An OECD study of 2015133 found</w:t>
      </w:r>
      <w:r>
        <w:t xml:space="preserve"> </w:t>
      </w:r>
      <w:r>
        <w:t xml:space="preserve">that the share of publicly traded groups able to deduct all their net third-party interest expenses was</w:t>
      </w:r>
      <w:r>
        <w:t xml:space="preserve"> </w:t>
      </w:r>
      <w:r>
        <w:t xml:space="preserve">87% if the ratio to EBITDA were fixed at 30%. This is shown in the chart which displays the</w:t>
      </w:r>
      <w:r>
        <w:t xml:space="preserve"> </w:t>
      </w:r>
      <w:r>
        <w:t xml:space="preserve">percentage of these groups who, as a matter of principle, are able to fully deduct their third-party</w:t>
      </w:r>
      <w:r>
        <w:t xml:space="preserve"> </w:t>
      </w:r>
      <w:r>
        <w:t xml:space="preserve">interest payments for alternative EBITDA thresholds. This percentage obviously depends on the</w:t>
      </w:r>
      <w:r>
        <w:t xml:space="preserve"> </w:t>
      </w:r>
      <w:r>
        <w:t xml:space="preserve">level of the EBITDA threshold. The green-dotted line is the original 2015 OECD estimate.</w:t>
      </w:r>
      <w:r>
        <w:br/>
      </w:r>
      <w:r>
        <w:t xml:space="preserve">Figure 1: Alternative parameters. Impact on the share of groups able to deduct their third-party</w:t>
      </w:r>
      <w:r>
        <w:t xml:space="preserve"> </w:t>
      </w:r>
      <w:r>
        <w:t xml:space="preserve">interest payments</w:t>
      </w:r>
    </w:p>
    <w:p>
      <w:pPr>
        <w:pStyle w:val="BodyText"/>
      </w:pPr>
      <w:r>
        <w:t xml:space="preserve">The OECD analysis at the time used publicly traded multinational groups’ consolidated financial</w:t>
      </w:r>
      <w:r>
        <w:t xml:space="preserve"> </w:t>
      </w:r>
      <w:r>
        <w:t xml:space="preserve">accounts from years 2009-2013; the analysis has now been updated for the purposes of this</w:t>
      </w:r>
      <w:r>
        <w:t xml:space="preserve"> </w:t>
      </w:r>
      <w:r>
        <w:t xml:space="preserve">Omnibus on Taxation for the year 2024, using the firm database Orbis. To replicate the OECD</w:t>
      </w:r>
      <w:r>
        <w:t xml:space="preserve"> </w:t>
      </w:r>
      <w:r>
        <w:t xml:space="preserve">analysis, the current analysis draws on a sample of about 3,500 consolidated accounts for listed</w:t>
      </w:r>
      <w:r>
        <w:t xml:space="preserve"> </w:t>
      </w:r>
      <w:r>
        <w:t xml:space="preserve">groups for year 2024. These accounts contain information about EBITDA and the level of interest</w:t>
      </w:r>
      <w:r>
        <w:t xml:space="preserve"> </w:t>
      </w:r>
      <w:r>
        <w:t xml:space="preserve">payments which – given that the analysis is based on consolidated accounts – should net out group-</w:t>
      </w:r>
      <w:r>
        <w:t xml:space="preserve"> </w:t>
      </w:r>
      <w:r>
        <w:t xml:space="preserve">internal interest payments and, in this way, include third-party payments only. Only accounts with</w:t>
      </w:r>
      <w:r>
        <w:t xml:space="preserve"> </w:t>
      </w:r>
      <w:r>
        <w:t xml:space="preserve">positive EBITDA are considered.</w:t>
      </w:r>
      <w:r>
        <w:br/>
      </w:r>
      <w:r>
        <w:t xml:space="preserve">For an EBITDA-threshold of 15% or higher, findings closely match the original OECD estimate as</w:t>
      </w:r>
      <w:r>
        <w:t xml:space="preserve"> </w:t>
      </w:r>
      <w:r>
        <w:t xml:space="preserve">can be seen in the Chart. The line shows the share of groups which today should be able to fully</w:t>
      </w:r>
      <w:r>
        <w:t xml:space="preserve"> </w:t>
      </w:r>
      <w:r>
        <w:t xml:space="preserve">deduct their third-party interest expenses, assuming the de minimis at EUR 3 million (as in ATAD).</w:t>
      </w:r>
      <w:r>
        <w:t xml:space="preserve"> </w:t>
      </w:r>
      <w:r>
        <w:t xml:space="preserve">It shows that at the ATAD-threshold of 30% of EBITDA, the share of groups who, as a matter of</w:t>
      </w:r>
      <w:r>
        <w:t xml:space="preserve"> </w:t>
      </w:r>
      <w:r>
        <w:t xml:space="preserve">principal, are able to deduct their third-party interest payments without limitation is 86%.</w:t>
      </w:r>
    </w:p>
    <w:p>
      <w:pPr>
        <w:pStyle w:val="BodyText"/>
      </w:pPr>
      <w:r>
        <w:t xml:space="preserve">133 Limiting Base Erosion Involving Interest Deductions and Other Financial Payments, Action 4 - 2015 Final Report |</w:t>
      </w:r>
      <w:r>
        <w:t xml:space="preserve"> </w:t>
      </w:r>
      <w:r>
        <w:t xml:space="preserve">OECD.</w:t>
      </w:r>
      <w:r>
        <w:t xml:space="preserve"> </w:t>
      </w:r>
      <w:r>
        <w:t xml:space="preserve">Taxud calculations based on Orbis; Consolidated accounts with positive EBITDA</w:t>
      </w:r>
      <w:r>
        <w:t xml:space="preserve"> </w:t>
      </w:r>
      <w:r>
        <w:t xml:space="preserve">Percent of listed groups in principle able to fully deduct their third-party interest payments</w:t>
      </w:r>
      <w:r>
        <w:t xml:space="preserve"> </w:t>
      </w:r>
      <w:r>
        <w:t xml:space="preserve">55%</w:t>
      </w:r>
      <w:r>
        <w:t xml:space="preserve"> </w:t>
      </w:r>
      <w:r>
        <w:t xml:space="preserve">60%</w:t>
      </w:r>
      <w:r>
        <w:t xml:space="preserve"> </w:t>
      </w:r>
      <w:r>
        <w:t xml:space="preserve">65%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90%</w:t>
      </w:r>
      <w:r>
        <w:t xml:space="preserve"> </w:t>
      </w:r>
      <w:r>
        <w:t xml:space="preserve">95%</w:t>
      </w:r>
      <w:r>
        <w:t xml:space="preserve"> </w:t>
      </w:r>
      <w:r>
        <w:t xml:space="preserve">100%</w:t>
      </w:r>
      <w:r>
        <w:t xml:space="preserve"> </w:t>
      </w:r>
      <w:r>
        <w:t xml:space="preserve">OECD (2015) for 2009-13</w:t>
      </w:r>
      <w:r>
        <w:t xml:space="preserve"> </w:t>
      </w:r>
      <w:r>
        <w:t xml:space="preserve">2024 with deminimis 3 mln (Orbis)</w:t>
      </w:r>
      <w:r>
        <w:t xml:space="preserve"> </w:t>
      </w:r>
      <w:r>
        <w:t xml:space="preserve">Threshold (% of EBITDA)</w:t>
      </w:r>
    </w:p>
    <w:p>
      <w:pPr>
        <w:pStyle w:val="BodyText"/>
      </w:pPr>
      <w:r>
        <w:t xml:space="preserve">The reality is, however, that both the EUR 3 million de minimis threshold and the 30% EBITDA</w:t>
      </w:r>
      <w:r>
        <w:t xml:space="preserve"> </w:t>
      </w:r>
      <w:r>
        <w:t xml:space="preserve">threshold are currently a minimum standard in the ATAD. The thresholds have been implemented</w:t>
      </w:r>
      <w:r>
        <w:t xml:space="preserve"> </w:t>
      </w:r>
      <w:r>
        <w:t xml:space="preserve">more stringently in some Member States (see previous section). Taking into account how the</w:t>
      </w:r>
      <w:r>
        <w:t xml:space="preserve"> </w:t>
      </w:r>
      <w:r>
        <w:t xml:space="preserve">respective de minimis and EBITDA thresholds are effectively applied in Member States, the</w:t>
      </w:r>
      <w:r>
        <w:t xml:space="preserve"> </w:t>
      </w:r>
      <w:r>
        <w:t xml:space="preserve">analysis shows that currently only about 83% of groups in the Orbis sample end up having their</w:t>
      </w:r>
      <w:r>
        <w:t xml:space="preserve"> </w:t>
      </w:r>
      <w:r>
        <w:t xml:space="preserve">interest fully deductible. This represents an important difference from the 86% that was originally</w:t>
      </w:r>
      <w:r>
        <w:t xml:space="preserve"> </w:t>
      </w:r>
      <w:r>
        <w:t xml:space="preserve">targeted in the OECD analysis or the 86% if thresholds were applied as in ATAD across the EU-27.</w:t>
      </w:r>
      <w:r>
        <w:br/>
      </w:r>
      <w:r>
        <w:t xml:space="preserve">For the purposes of this analysis, we assume that 83% is the share of groups whose third-party</w:t>
      </w:r>
      <w:r>
        <w:t xml:space="preserve"> </w:t>
      </w:r>
      <w:r>
        <w:t xml:space="preserve">interest payments remain fully deductible today (as explained in the previous section), this means</w:t>
      </w:r>
      <w:r>
        <w:t xml:space="preserve"> </w:t>
      </w:r>
      <w:r>
        <w:t xml:space="preserve">that 17% of groups in the sample are not able to (fully) deduct their interest expenses. However, not</w:t>
      </w:r>
      <w:r>
        <w:t xml:space="preserve"> </w:t>
      </w:r>
      <w:r>
        <w:t xml:space="preserve">all of these 17% of groups are being carved out under the proposed measure because not all of the</w:t>
      </w:r>
      <w:r>
        <w:t xml:space="preserve"> </w:t>
      </w:r>
      <w:r>
        <w:t xml:space="preserve">corresponding third-party interest expenses stem from low-risk loans.</w:t>
      </w:r>
      <w:r>
        <w:br/>
      </w:r>
      <w:r>
        <w:t xml:space="preserve">There is strong empirical evidence that group members often take third-party loans and then lend</w:t>
      </w:r>
      <w:r>
        <w:t xml:space="preserve"> </w:t>
      </w:r>
      <w:r>
        <w:t xml:space="preserve">on to other group members. More generally, group members may engage in structured</w:t>
      </w:r>
      <w:r>
        <w:t xml:space="preserve"> </w:t>
      </w:r>
      <w:r>
        <w:t xml:space="preserve">arrangements whereby the group in its entirety would gain an advantage, often in the form of tax</w:t>
      </w:r>
      <w:r>
        <w:t xml:space="preserve"> </w:t>
      </w:r>
      <w:r>
        <w:t xml:space="preserve">savings.134 An inter-company loan could, for example, consist of “inflated” interest payments to</w:t>
      </w:r>
      <w:r>
        <w:t xml:space="preserve"> </w:t>
      </w:r>
      <w:r>
        <w:t xml:space="preserve">other members of the same group in low-tax jurisdictions, with the effect of shifting part of the</w:t>
      </w:r>
      <w:r>
        <w:t xml:space="preserve"> </w:t>
      </w:r>
      <w:r>
        <w:t xml:space="preserve">group’s tax base thereto. Indeed, it was found that inter-company loans actually react to tax-rate</w:t>
      </w:r>
      <w:r>
        <w:t xml:space="preserve"> </w:t>
      </w:r>
      <w:r>
        <w:t xml:space="preserve">differences within the MNE.135 To prevent this practice, a restrictive definition of third-party loans</w:t>
      </w:r>
      <w:r>
        <w:t xml:space="preserve"> </w:t>
      </w:r>
      <w:r>
        <w:t xml:space="preserve">would be introduced under this option, to make sure that the entity taking out the loan will use the</w:t>
      </w:r>
      <w:r>
        <w:t xml:space="preserve"> </w:t>
      </w:r>
      <w:r>
        <w:t xml:space="preserve">debt to finance its own activities, with no possibility of on-lending within the group (see Section</w:t>
      </w:r>
      <w:r>
        <w:t xml:space="preserve"> </w:t>
      </w:r>
      <w:r>
        <w:t xml:space="preserve">5.2.4.4).</w:t>
      </w:r>
      <w:r>
        <w:br/>
      </w:r>
      <w:r>
        <w:t xml:space="preserve">Interest payments shown in the consolidated accounts from Orbis used to analyse the effect of this</w:t>
      </w:r>
      <w:r>
        <w:t xml:space="preserve"> </w:t>
      </w:r>
      <w:r>
        <w:t xml:space="preserve">carve-out contain external loans from a third party, but would not accurately capture any on-lending</w:t>
      </w:r>
      <w:r>
        <w:t xml:space="preserve"> </w:t>
      </w:r>
      <w:r>
        <w:t xml:space="preserve">to other group members. The consolidated account of the group illustrated in Figure 2 will show the</w:t>
      </w:r>
      <w:r>
        <w:t xml:space="preserve"> </w:t>
      </w:r>
      <w:r>
        <w:t xml:space="preserve">interest payments from a third-party loan, irrespective of whether this loan is lent on into the group</w:t>
      </w:r>
      <w:r>
        <w:t xml:space="preserve"> </w:t>
      </w:r>
      <w:r>
        <w:t xml:space="preserve">by Entity 2 (right chart) or directly channelled to the ultimate borrower, Entity 1 (left chart).</w:t>
      </w:r>
      <w:r>
        <w:br/>
      </w:r>
      <w:r>
        <w:t xml:space="preserve">Figure 2: Direct and on-lent third-party loans from an MNE perspective</w:t>
      </w:r>
      <w:r>
        <w:t xml:space="preserve"> </w:t>
      </w:r>
      <w:r>
        <w:t xml:space="preserve">Direct loan (low-risk)</w:t>
      </w:r>
    </w:p>
    <w:p>
      <w:pPr>
        <w:pStyle w:val="SourceCode"/>
      </w:pPr>
      <w:r>
        <w:rPr>
          <w:rStyle w:val="VerbatimChar"/>
        </w:rPr>
        <w:t xml:space="preserve">        Loan lent on (‘risky’) </w:t>
      </w:r>
      <w:r>
        <w:br/>
      </w:r>
      <w:r>
        <w:rPr>
          <w:rStyle w:val="VerbatimChar"/>
        </w:rPr>
        <w:t xml:space="preserve">       </w:t>
      </w:r>
    </w:p>
    <w:p>
      <w:pPr>
        <w:pStyle w:val="FirstParagraph"/>
      </w:pPr>
      <w:r>
        <w:t xml:space="preserve">Taxud illustration</w:t>
      </w:r>
    </w:p>
    <w:p>
      <w:pPr>
        <w:pStyle w:val="BodyText"/>
      </w:pPr>
      <w:r>
        <w:t xml:space="preserve">134 Limiting Base Erosion Involving Interest Deductions and Other Financial Payments, Action 4 - 2015 Final Report |</w:t>
      </w:r>
      <w:r>
        <w:t xml:space="preserve"> </w:t>
      </w:r>
      <w:r>
        <w:t xml:space="preserve">OECD (p. 74).</w:t>
      </w:r>
      <w:r>
        <w:t xml:space="preserve"> </w:t>
      </w:r>
      <w:r>
        <w:t xml:space="preserve">135 For example: Buettner and Wamser (2007), Intercompany loans and profit shifting: evidence from company-level</w:t>
      </w:r>
      <w:r>
        <w:t xml:space="preserve"> </w:t>
      </w:r>
      <w:r>
        <w:t xml:space="preserve">data; Desai et al (2003), A Multinational Perspective on Capital Structure Choice and Internal Capital Markets | NBER.</w:t>
      </w:r>
      <w:r>
        <w:t xml:space="preserve"> </w:t>
      </w:r>
      <w:r>
        <w:t xml:space="preserve">MNE group</w:t>
      </w:r>
      <w:r>
        <w:t xml:space="preserve"> </w:t>
      </w:r>
      <w:r>
        <w:t xml:space="preserve">Third party</w:t>
      </w:r>
      <w:r>
        <w:t xml:space="preserve"> </w:t>
      </w:r>
      <w:r>
        <w:t xml:space="preserve">loan: 100</w:t>
      </w:r>
      <w:r>
        <w:t xml:space="preserve"> </w:t>
      </w:r>
      <w:r>
        <w:t xml:space="preserve">Entity 1</w:t>
      </w:r>
      <w:r>
        <w:t xml:space="preserve"> </w:t>
      </w:r>
      <w:r>
        <w:t xml:space="preserve">Entity 2</w:t>
      </w:r>
      <w:r>
        <w:t xml:space="preserve"> </w:t>
      </w:r>
      <w:r>
        <w:t xml:space="preserve">MNE group</w:t>
      </w:r>
      <w:r>
        <w:t xml:space="preserve"> </w:t>
      </w:r>
      <w:r>
        <w:t xml:space="preserve">Third party</w:t>
      </w:r>
      <w:r>
        <w:t xml:space="preserve"> </w:t>
      </w:r>
      <w:r>
        <w:t xml:space="preserve">loan: 100</w:t>
      </w:r>
      <w:r>
        <w:t xml:space="preserve"> </w:t>
      </w:r>
      <w:r>
        <w:t xml:space="preserve">Entity 1</w:t>
      </w:r>
      <w:r>
        <w:t xml:space="preserve"> </w:t>
      </w:r>
      <w:r>
        <w:t xml:space="preserve">Entity 2</w:t>
      </w:r>
      <w:r>
        <w:t xml:space="preserve"> </w:t>
      </w:r>
      <w:r>
        <w:t xml:space="preserve">loan lent on: 100</w:t>
      </w:r>
    </w:p>
    <w:p>
      <w:pPr>
        <w:pStyle w:val="BodyText"/>
      </w:pPr>
      <w:r>
        <w:t xml:space="preserve">Only the (‘risky’) on-lending scenario is problematic and would therefore be excluded in the future.</w:t>
      </w:r>
      <w:r>
        <w:t xml:space="preserve"> </w:t>
      </w:r>
      <w:r>
        <w:t xml:space="preserve">The carve-out would affect only low-risk loans. In the absence of accurate statistics about the exact</w:t>
      </w:r>
      <w:r>
        <w:t xml:space="preserve"> </w:t>
      </w:r>
      <w:r>
        <w:t xml:space="preserve">extent of on-lending relative to the entire stock of third-party loans, the analysis assumes an on-</w:t>
      </w:r>
      <w:r>
        <w:t xml:space="preserve"> </w:t>
      </w:r>
      <w:r>
        <w:t xml:space="preserve">lending probability of 50% (i.e., a 50% share of ‘risky’ loans on average).</w:t>
      </w:r>
      <w:r>
        <w:t xml:space="preserve"> </w:t>
      </w:r>
      <w:r>
        <w:t xml:space="preserve">The main motivation for MNEs to on-lend loans into the group may be to avoid taxes. In that case</w:t>
      </w:r>
      <w:r>
        <w:t xml:space="preserve"> </w:t>
      </w:r>
      <w:r>
        <w:t xml:space="preserve">it is fair to assume that loans so far lent on via Entity 2 will, after the exclusion of on-lending, not</w:t>
      </w:r>
      <w:r>
        <w:t xml:space="preserve"> </w:t>
      </w:r>
      <w:r>
        <w:t xml:space="preserve">be taken any longer in the future as the group would not be able to avoid taxes via on-lending any</w:t>
      </w:r>
      <w:r>
        <w:t xml:space="preserve"> </w:t>
      </w:r>
      <w:r>
        <w:t xml:space="preserve">more. The other 50% of (low-risk) loans will be carved out through the initiative. We thus assume</w:t>
      </w:r>
      <w:r>
        <w:t xml:space="preserve"> </w:t>
      </w:r>
      <w:r>
        <w:t xml:space="preserve">that the share of groups which see limitations in their interest deduction due to the ILR – today 17%</w:t>
      </w:r>
      <w:r>
        <w:t xml:space="preserve"> </w:t>
      </w:r>
      <w:r>
        <w:t xml:space="preserve">– will be half that share (8.5%) in the future due to the carve-out of low-risk loans. This</w:t>
      </w:r>
      <w:r>
        <w:t xml:space="preserve"> </w:t>
      </w:r>
      <w:r>
        <w:t xml:space="preserve">information will be used to calculate compliance cost savings in Section 6.2.4.4.</w:t>
      </w:r>
      <w:r>
        <w:br/>
      </w:r>
      <w:r>
        <w:t xml:space="preserve">Impact on public finances</w:t>
      </w:r>
      <w:r>
        <w:t xml:space="preserve"> </w:t>
      </w:r>
      <w:r>
        <w:t xml:space="preserve">We apply the assumption of a 50% on-lending probability for third party loans. 50% of loans taken</w:t>
      </w:r>
      <w:r>
        <w:t xml:space="preserve"> </w:t>
      </w:r>
      <w:r>
        <w:t xml:space="preserve">by MNEs today could therefore be classified as ‘risky’ as they may be used for tax avoidance</w:t>
      </w:r>
      <w:r>
        <w:t xml:space="preserve"> </w:t>
      </w:r>
      <w:r>
        <w:t xml:space="preserve">purposes through on-lending into the group. It was further assumed that, due to the exclusion of on-</w:t>
      </w:r>
      <w:r>
        <w:t xml:space="preserve"> </w:t>
      </w:r>
      <w:r>
        <w:t xml:space="preserve">lending in the future, firms would not have an incentive to lend these ‘risky’ loans from third</w:t>
      </w:r>
      <w:r>
        <w:t xml:space="preserve"> </w:t>
      </w:r>
      <w:r>
        <w:t xml:space="preserve">parties and would thus not take the corresponding loans anymore.</w:t>
      </w:r>
      <w:r>
        <w:t xml:space="preserve"> </w:t>
      </w:r>
      <w:r>
        <w:t xml:space="preserve">Under these assumptions the budgetary effect could be neutral: interest expenses stemming from</w:t>
      </w:r>
      <w:r>
        <w:t xml:space="preserve"> </w:t>
      </w:r>
      <w:r>
        <w:t xml:space="preserve">half of MNEs’ third-party loans would no longer be deducted from the tax base, and no longer used</w:t>
      </w:r>
      <w:r>
        <w:t xml:space="preserve"> </w:t>
      </w:r>
      <w:r>
        <w:t xml:space="preserve">for tax avoidance, generating additional tax revenue. The other (low risk) half, however, will be</w:t>
      </w:r>
      <w:r>
        <w:t xml:space="preserve"> </w:t>
      </w:r>
      <w:r>
        <w:t xml:space="preserve">carved out from ILR and will therefore become immediately deductible from the tax base.</w:t>
      </w:r>
    </w:p>
    <w:p>
      <w:pPr>
        <w:pStyle w:val="Compact"/>
        <w:numPr>
          <w:ilvl w:val="0"/>
          <w:numId w:val="1015"/>
        </w:numPr>
      </w:pPr>
      <w:r>
        <w:t xml:space="preserve">Simulating the long-term economic impacts of the measures with CORTAX</w:t>
      </w:r>
      <w:r>
        <w:t xml:space="preserve"> </w:t>
      </w:r>
      <w:r>
        <w:t xml:space="preserve">5.1 Modelling tax exemption for interest, royalty and dividend payments and lowering of</w:t>
      </w:r>
      <w:r>
        <w:t xml:space="preserve"> </w:t>
      </w:r>
      <w:r>
        <w:t xml:space="preserve">compliance costs</w:t>
      </w:r>
      <w:r>
        <w:t xml:space="preserve"> </w:t>
      </w:r>
      <w:r>
        <w:t xml:space="preserve">The tax exemption is approximated by translating the estimated foregone tax revenue from intra-</w:t>
      </w:r>
      <w:r>
        <w:t xml:space="preserve"> </w:t>
      </w:r>
      <w:r>
        <w:t xml:space="preserve">EU withholding taxes into an equivalent reduction in the tax rates that exist in the model. Since the</w:t>
      </w:r>
      <w:r>
        <w:t xml:space="preserve"> </w:t>
      </w:r>
      <w:r>
        <w:t xml:space="preserve">model does not explicitly include withholding taxes on cross-border payments between companies,</w:t>
      </w:r>
      <w:r>
        <w:t xml:space="preserve"> </w:t>
      </w:r>
      <w:r>
        <w:t xml:space="preserve">the policy reform is approximated by lowering the tax rates applied to interest and dividend</w:t>
      </w:r>
      <w:r>
        <w:t xml:space="preserve"> </w:t>
      </w:r>
      <w:r>
        <w:t xml:space="preserve">income.</w:t>
      </w:r>
      <w:r>
        <w:t xml:space="preserve"> </w:t>
      </w:r>
      <w:r>
        <w:t xml:space="preserve">To do this, first the amount of tax revenue currently associated with interest and dividend flows</w:t>
      </w:r>
      <w:r>
        <w:t xml:space="preserve"> </w:t>
      </w:r>
      <w:r>
        <w:t xml:space="preserve">received by corporations is approximated. National accounts data on these income flows are used,</w:t>
      </w:r>
      <w:r>
        <w:t xml:space="preserve"> </w:t>
      </w:r>
      <w:r>
        <w:t xml:space="preserve">and it is assumed that most inter-corporate dividends are already exempt, so only a small share of</w:t>
      </w:r>
      <w:r>
        <w:t xml:space="preserve"> </w:t>
      </w:r>
      <w:r>
        <w:t xml:space="preserve">dividends remains taxable (10%). Applying corporate income tax rates to interest and the remaining</w:t>
      </w:r>
      <w:r>
        <w:t xml:space="preserve"> </w:t>
      </w:r>
      <w:r>
        <w:t xml:space="preserve">dividend income provides an estimate of the revenue generated from these capital income flows.</w:t>
      </w:r>
      <w:r>
        <w:t xml:space="preserve"> </w:t>
      </w:r>
      <w:r>
        <w:t xml:space="preserve">This revenue is then compared with the estimated foregone tax revenue resulting from the</w:t>
      </w:r>
      <w:r>
        <w:t xml:space="preserve"> </w:t>
      </w:r>
      <w:r>
        <w:t xml:space="preserve">abolishment of intra-EU withholding taxes. Expressing the foregone withholding tax revenue as a</w:t>
      </w:r>
      <w:r>
        <w:t xml:space="preserve"> </w:t>
      </w:r>
      <w:r>
        <w:t xml:space="preserve">share of the broader revenue from interest and dividend taxation yields a percentage that reflects the</w:t>
      </w:r>
      <w:r>
        <w:t xml:space="preserve"> </w:t>
      </w:r>
      <w:r>
        <w:t xml:space="preserve">relative importance of withholding taxes within capital income taxation.</w:t>
      </w:r>
    </w:p>
    <w:p>
      <w:pPr>
        <w:pStyle w:val="FirstParagraph"/>
      </w:pPr>
      <w:r>
        <w:t xml:space="preserve">Finally, the reform is approximated as a proportional cut in the tax rates applied to interest and</w:t>
      </w:r>
      <w:r>
        <w:t xml:space="preserve"> </w:t>
      </w:r>
      <w:r>
        <w:t xml:space="preserve">dividend income equal to this percentage, so that the reduction in tax revenue in the model</w:t>
      </w:r>
      <w:r>
        <w:t xml:space="preserve"> </w:t>
      </w:r>
      <w:r>
        <w:t xml:space="preserve">corresponds approximately to the revenue loss that would occur if withholding taxes were</w:t>
      </w:r>
      <w:r>
        <w:t xml:space="preserve"> </w:t>
      </w:r>
      <w:r>
        <w:t xml:space="preserve">abolished. In the calibration, this corresponds to a reduction of 0.83% in the tax rate on interest</w:t>
      </w:r>
      <w:r>
        <w:t xml:space="preserve"> </w:t>
      </w:r>
      <w:r>
        <w:t xml:space="preserve">income and 6.48% in the tax rate on dividend income.</w:t>
      </w:r>
      <w:r>
        <w:t xml:space="preserve"> </w:t>
      </w:r>
      <w:r>
        <w:t xml:space="preserve">The reduction of compliance costs is introduced via targeted savings for cross-border businesses</w:t>
      </w:r>
      <w:r>
        <w:t xml:space="preserve"> </w:t>
      </w:r>
      <w:r>
        <w:t xml:space="preserve">(from MNE headquarters to subsidiaries).</w:t>
      </w:r>
      <w:r>
        <w:t xml:space="preserve"> </w:t>
      </w:r>
      <w:r>
        <w:t xml:space="preserve">5.2 Modelling of immediate expensing of acquired tangible R&amp;D assets</w:t>
      </w:r>
      <w:r>
        <w:t xml:space="preserve"> </w:t>
      </w:r>
      <w:r>
        <w:t xml:space="preserve">The reform introduces direct expensing for R&amp;D-related tangible assets such as plant, machinery,</w:t>
      </w:r>
      <w:r>
        <w:t xml:space="preserve"> </w:t>
      </w:r>
      <w:r>
        <w:t xml:space="preserve">and buildings used for R&amp;D activities. Since CORTAX does not explicitly model R&amp;D investment</w:t>
      </w:r>
      <w:r>
        <w:t xml:space="preserve"> </w:t>
      </w:r>
      <w:r>
        <w:t xml:space="preserve">separately or allow a distinct depreciation regime for such assets, the reform is approximated by</w:t>
      </w:r>
      <w:r>
        <w:t xml:space="preserve"> </w:t>
      </w:r>
      <w:r>
        <w:t xml:space="preserve">modifying the depreciation parameters applied to the corresponding share of the capital stock.</w:t>
      </w:r>
      <w:r>
        <w:t xml:space="preserve"> </w:t>
      </w:r>
      <w:r>
        <w:t xml:space="preserve">First, the share of total assets corresponding to R&amp;D-related tangible assets is estimated. This share</w:t>
      </w:r>
      <w:r>
        <w:t xml:space="preserve"> </w:t>
      </w:r>
      <w:r>
        <w:t xml:space="preserve">is constructed by combining three components: the proportion of R&amp;D expenditure on tangible</w:t>
      </w:r>
      <w:r>
        <w:t xml:space="preserve"> </w:t>
      </w:r>
      <w:r>
        <w:t xml:space="preserve">assets relative to total capitalisable R&amp;D expenditure (based on the JRC Dashboard of Innovative</w:t>
      </w:r>
      <w:r>
        <w:t xml:space="preserve"> </w:t>
      </w:r>
      <w:r>
        <w:t xml:space="preserve">Companies), the ratio of R&amp;D capital assets to total fixed assets (from Eurostat capital stock data),</w:t>
      </w:r>
      <w:r>
        <w:t xml:space="preserve"> </w:t>
      </w:r>
      <w:r>
        <w:t xml:space="preserve">and the ratio of fixed assets to total assets used in the model calibration. Multiplying these three</w:t>
      </w:r>
      <w:r>
        <w:t xml:space="preserve"> </w:t>
      </w:r>
      <w:r>
        <w:t xml:space="preserve">elements yields an estimate of the share of total assets that corresponds to tangible assets used for</w:t>
      </w:r>
      <w:r>
        <w:t xml:space="preserve"> </w:t>
      </w:r>
      <w:r>
        <w:t xml:space="preserve">R&amp;D.</w:t>
      </w:r>
      <w:r>
        <w:t xml:space="preserve"> </w:t>
      </w:r>
      <w:r>
        <w:t xml:space="preserve">In the model, the tax treatment of investment is represented through two depreciation components:</w:t>
      </w:r>
      <w:r>
        <w:t xml:space="preserve"> </w:t>
      </w:r>
      <w:r>
        <w:t xml:space="preserve">an immediate deduction in the first year and the net present value (NPV) of deductions in</w:t>
      </w:r>
      <w:r>
        <w:t xml:space="preserve"> </w:t>
      </w:r>
      <w:r>
        <w:t xml:space="preserve">subsequent years. To approximate direct expensing for the estimated share of R&amp;D tangible assets,</w:t>
      </w:r>
      <w:r>
        <w:t xml:space="preserve"> </w:t>
      </w:r>
      <w:r>
        <w:t xml:space="preserve">the depreciation structure is adjusted by shifting part of the depreciation allowances from future</w:t>
      </w:r>
      <w:r>
        <w:t xml:space="preserve"> </w:t>
      </w:r>
      <w:r>
        <w:t xml:space="preserve">years to the first year. Specifically, the NPV of depreciation allowances in later years is reduced in</w:t>
      </w:r>
      <w:r>
        <w:t xml:space="preserve"> </w:t>
      </w:r>
      <w:r>
        <w:t xml:space="preserve">proportion to the estimated share of R&amp;D assets, while the immediate expensing component is</w:t>
      </w:r>
      <w:r>
        <w:t xml:space="preserve"> </w:t>
      </w:r>
      <w:r>
        <w:t xml:space="preserve">increased accordingly.</w:t>
      </w:r>
      <w:r>
        <w:t xml:space="preserve"> </w:t>
      </w:r>
      <w:r>
        <w:t xml:space="preserve">This adjustment preserves the overall magnitude of depreciation allowances while bringing forward</w:t>
      </w:r>
      <w:r>
        <w:t xml:space="preserve"> </w:t>
      </w:r>
      <w:r>
        <w:t xml:space="preserve">part of the deductions to the first year, thereby generating accelerated depreciation for the relevant</w:t>
      </w:r>
      <w:r>
        <w:t xml:space="preserve"> </w:t>
      </w:r>
      <w:r>
        <w:t xml:space="preserve">share of capital. The resulting country-specific depreciation parameters constitute the policy shock</w:t>
      </w:r>
      <w:r>
        <w:t xml:space="preserve"> </w:t>
      </w:r>
      <w:r>
        <w:t xml:space="preserve">introduced into the model.</w:t>
      </w:r>
    </w:p>
    <w:p>
      <w:pPr>
        <w:pStyle w:val="BodyText"/>
      </w:pPr>
      <w:r>
        <w:t xml:space="preserve">ANNEX 5: COMPETITIVENESS CHECK</w:t>
      </w:r>
      <w:r>
        <w:br/>
      </w:r>
      <w:r>
        <w:t xml:space="preserve">Overview of the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Chapters 5, 6, 7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Chapters 5, 6, 7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Chapters 5, 6, 7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Chapters 5, 6, 7</w:t>
      </w:r>
    </w:p>
    <w:p>
      <w:pPr>
        <w:pStyle w:val="BodyText"/>
      </w:pPr>
      <w:r>
        <w:t xml:space="preserve">Synthetic assessment</w:t>
      </w:r>
      <w:r>
        <w:br/>
      </w:r>
      <w:r>
        <w:t xml:space="preserve">The preferred option is expected to have an overall positive effect on competitiveness. By reducing</w:t>
      </w:r>
      <w:r>
        <w:t xml:space="preserve"> </w:t>
      </w:r>
      <w:r>
        <w:t xml:space="preserve">unnecessary tax compliance and reporting burdens, clarifying concepts and terminology, and</w:t>
      </w:r>
      <w:r>
        <w:t xml:space="preserve"> </w:t>
      </w:r>
      <w:r>
        <w:t xml:space="preserve">replacing overlapping or divergent national approaches with a more coherent EU framework while</w:t>
      </w:r>
      <w:r>
        <w:t xml:space="preserve"> </w:t>
      </w:r>
      <w:r>
        <w:t xml:space="preserve">maintaining high tax standards, the initiative should lower compliance and administrative costs,</w:t>
      </w:r>
      <w:r>
        <w:t xml:space="preserve"> </w:t>
      </w:r>
      <w:r>
        <w:t xml:space="preserve">improve legal certainty and remove some continued tax barriers for cross-border business activity</w:t>
      </w:r>
      <w:r>
        <w:t xml:space="preserve"> </w:t>
      </w:r>
      <w:r>
        <w:t xml:space="preserve">in the internal market. These effects are expected to strengthen cost competitiveness, support</w:t>
      </w:r>
      <w:r>
        <w:t xml:space="preserve"> </w:t>
      </w:r>
      <w:r>
        <w:t xml:space="preserve">investment decisions, and foster a more innovation-friendly and resilient business environment in</w:t>
      </w:r>
      <w:r>
        <w:t xml:space="preserve"> </w:t>
      </w:r>
      <w:r>
        <w:t xml:space="preserve">the Union.</w:t>
      </w:r>
      <w:r>
        <w:br/>
      </w:r>
      <w:r>
        <w:t xml:space="preserve">Competitive position of the most affected sectors</w:t>
      </w:r>
      <w:r>
        <w:t xml:space="preserve"> </w:t>
      </w:r>
      <w:r>
        <w:t xml:space="preserve">In principle, the Omnibus on Taxation is not sector-specific in nature but horizontal, as it seeks to</w:t>
      </w:r>
      <w:r>
        <w:t xml:space="preserve"> </w:t>
      </w:r>
      <w:r>
        <w:t xml:space="preserve">streamline and clarify the EU framework for direct taxation across the internal market. The most</w:t>
      </w:r>
      <w:r>
        <w:t xml:space="preserve"> </w:t>
      </w:r>
      <w:r>
        <w:t xml:space="preserve">directly affected sectors are likely to be those with the greatest exposure to cross-border group</w:t>
      </w:r>
      <w:r>
        <w:t xml:space="preserve"> </w:t>
      </w:r>
      <w:r>
        <w:t xml:space="preserve">structures and transactions covered by the Directives in scope, notably sectors featuring significant</w:t>
      </w:r>
      <w:r>
        <w:t xml:space="preserve"> </w:t>
      </w:r>
      <w:r>
        <w:t xml:space="preserve">intra-group financing, royalty payments, reorganisations or frequency in tax disputes. Furthermore,</w:t>
      </w:r>
      <w:r>
        <w:t xml:space="preserve"> </w:t>
      </w:r>
      <w:r>
        <w:t xml:space="preserve">large MNEs which are subject to the additional compliance burden and requirements related to the</w:t>
      </w:r>
      <w:r>
        <w:t xml:space="preserve"> </w:t>
      </w:r>
      <w:r>
        <w:t xml:space="preserve">EU Pillar 2 Directive, will benefit in particular under the preferred options, e.g., the carveout from</w:t>
      </w:r>
      <w:r>
        <w:t xml:space="preserve"> </w:t>
      </w:r>
      <w:r>
        <w:t xml:space="preserve">CFC rules in light of Pillar 2. In addition, some sectors benefit from targeted measures: the defence</w:t>
      </w:r>
      <w:r>
        <w:t xml:space="preserve"> </w:t>
      </w:r>
      <w:r>
        <w:t xml:space="preserve">sector, for example, will be alleviated from the interest limitation rule, as well as, optionally, other</w:t>
      </w:r>
      <w:r>
        <w:t xml:space="preserve"> </w:t>
      </w:r>
      <w:r>
        <w:t xml:space="preserve">sectors, such as social housing.</w:t>
      </w:r>
    </w:p>
    <w:p>
      <w:pPr>
        <w:pStyle w:val="BodyText"/>
      </w:pP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The initiative is relevant for SMEs because tax-compliance burdens fall proportionately more</w:t>
      </w:r>
      <w:r>
        <w:t xml:space="preserve"> </w:t>
      </w:r>
      <w:r>
        <w:t xml:space="preserve">heavily on smaller businesses and this Omnibus on Taxation aims to specifically exempt</w:t>
      </w:r>
      <w:r>
        <w:t xml:space="preserve"> </w:t>
      </w:r>
      <w:r>
        <w:t xml:space="preserve">SMEs from some EU tax obligations in a targeted manner. Also more generally, greater</w:t>
      </w:r>
      <w:r>
        <w:t xml:space="preserve"> </w:t>
      </w:r>
      <w:r>
        <w:t xml:space="preserve">clarity, fewer overlaps, and more coherent EU rules can materially reduce legal, advisory, and</w:t>
      </w:r>
      <w:r>
        <w:t xml:space="preserve"> </w:t>
      </w:r>
      <w:r>
        <w:t xml:space="preserve">administrative costs, which often represent a significant for SMEs to engage in cross-border</w:t>
      </w:r>
      <w:r>
        <w:t xml:space="preserve"> </w:t>
      </w:r>
      <w:r>
        <w:t xml:space="preserve">activity. The direct effects are expected to be the strongest for small and medium-sized</w:t>
      </w:r>
      <w:r>
        <w:t xml:space="preserve"> </w:t>
      </w:r>
      <w:r>
        <w:t xml:space="preserve">enterprises with foreign subsidiaries or high reliance on debt financing The Omnibus on</w:t>
      </w:r>
      <w:r>
        <w:t xml:space="preserve"> </w:t>
      </w:r>
      <w:r>
        <w:t xml:space="preserve">Taxation is designed so that simplification is real for SMEs in practice, especially by</w:t>
      </w:r>
      <w:r>
        <w:t xml:space="preserve"> </w:t>
      </w:r>
      <w:r>
        <w:t xml:space="preserve">providing full carveouts where possible, but also through clearer EU tax terminology and</w:t>
      </w:r>
      <w:r>
        <w:t xml:space="preserve"> </w:t>
      </w:r>
      <w:r>
        <w:t xml:space="preserve">mechanisms, and the elimination of national processes for some cross-border payments.</w:t>
      </w:r>
    </w:p>
    <w:p>
      <w:pPr>
        <w:numPr>
          <w:ilvl w:val="0"/>
          <w:numId w:val="1016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(Yes/No) In which sectors?</w:t>
      </w:r>
      <w:r>
        <w:t xml:space="preserve"> </w:t>
      </w:r>
      <w:r>
        <w:t xml:space="preserve">Yes, all sectors.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In the Orbis company database, the number of SMEs affected by the EU direct tax acquis</w:t>
      </w:r>
      <w:r>
        <w:t xml:space="preserve"> </w:t>
      </w:r>
      <w:r>
        <w:t xml:space="preserve">under this Omnibus on Taxation (SMEs with cross-border subsidiaries) is estimated at 55 000.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n/a</w:t>
      </w:r>
      <w:r>
        <w:t xml:space="preserve"> </w:t>
      </w:r>
      <w:r>
        <w:t xml:space="preserve">Are SMEs indirectly affected? (Yes/No) In which sectors? What is the estimated number</w:t>
      </w:r>
      <w:r>
        <w:t xml:space="preserve"> </w:t>
      </w:r>
      <w:r>
        <w:t xml:space="preserve">of indirectly affected SMEs and employees?</w:t>
      </w:r>
      <w:r>
        <w:t xml:space="preserve"> </w:t>
      </w:r>
      <w:r>
        <w:t xml:space="preserve">SMEs are directly affected.</w:t>
      </w:r>
    </w:p>
    <w:p>
      <w:pPr>
        <w:numPr>
          <w:ilvl w:val="0"/>
          <w:numId w:val="1016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SME interests were considered mainly through engagement with representative business</w:t>
      </w:r>
      <w:r>
        <w:t xml:space="preserve"> </w:t>
      </w:r>
      <w:r>
        <w:t xml:space="preserve">associations, which aggregate and articulate the views of their SME constituencies. This</w:t>
      </w:r>
      <w:r>
        <w:t xml:space="preserve"> </w:t>
      </w:r>
      <w:r>
        <w:t xml:space="preserve">channel provided a pragmatic and proportionate means of integrating SME-relevant concerns</w:t>
      </w:r>
      <w:r>
        <w:t xml:space="preserve"> </w:t>
      </w:r>
      <w:r>
        <w:t xml:space="preserve">and practical insights into the assessment, complemented by other available evidence.</w:t>
      </w:r>
      <w:r>
        <w:t xml:space="preserve"> </w:t>
      </w:r>
      <w:r>
        <w:t xml:space="preserve">Are SMEs’ views different from those of large businesses? (Yes/No)</w:t>
      </w:r>
    </w:p>
    <w:p>
      <w:pPr>
        <w:pStyle w:val="FirstParagraph"/>
      </w:pPr>
      <w:r>
        <w:t xml:space="preserve">Yes. As regards SMEs, business associations argue that tax compliance costs are a significant</w:t>
      </w:r>
      <w:r>
        <w:t xml:space="preserve"> </w:t>
      </w:r>
      <w:r>
        <w:t xml:space="preserve">hurdle for smaller businesses to enter cross-border markets, while in any case they are less</w:t>
      </w:r>
      <w:r>
        <w:t xml:space="preserve"> </w:t>
      </w:r>
      <w:r>
        <w:t xml:space="preserve">concerned by the EU tax protections, as they often do not even have sufficient size or the type</w:t>
      </w:r>
      <w:r>
        <w:t xml:space="preserve"> </w:t>
      </w:r>
      <w:r>
        <w:t xml:space="preserve">of structure or cross-border footprint, to use the tax planning strategies, compared to larger</w:t>
      </w:r>
      <w:r>
        <w:t xml:space="preserve"> </w:t>
      </w:r>
      <w:r>
        <w:t xml:space="preserve">enterprises which are more internationally active.</w:t>
      </w:r>
    </w:p>
    <w:p>
      <w:pPr>
        <w:pStyle w:val="Compact"/>
        <w:numPr>
          <w:ilvl w:val="0"/>
          <w:numId w:val="1017"/>
        </w:numPr>
      </w:pPr>
      <w:r>
        <w:t xml:space="preserve">ASSESSMENT OF IMPACTS ON SMES136</w:t>
      </w:r>
      <w:r>
        <w:t xml:space="preserve"> </w:t>
      </w:r>
      <w:r>
        <w:t xml:space="preserve">What are the estimated direct costs for SMEs of the preferred policy option?</w:t>
      </w:r>
      <w:r>
        <w:br/>
      </w:r>
      <w:r>
        <w:t xml:space="preserve">Qualitative assessment</w:t>
      </w:r>
      <w:r>
        <w:t xml:space="preserve"> </w:t>
      </w:r>
      <w:r>
        <w:t xml:space="preserve">The initiative should bring no or very limited direct costs for SMEs. Like all companies, SMEs may</w:t>
      </w:r>
      <w:r>
        <w:t xml:space="preserve"> </w:t>
      </w:r>
      <w:r>
        <w:t xml:space="preserve">need to acquaint with some of the simplified rules and clarifications, but the Omnibus on Taxation</w:t>
      </w:r>
      <w:r>
        <w:t xml:space="preserve"> </w:t>
      </w:r>
      <w:r>
        <w:t xml:space="preserve">mainly brings exemptions regarding SMEs. Thanks to the explicit carve-out in favour of SMEs from</w:t>
      </w:r>
      <w:r>
        <w:t xml:space="preserve"> </w:t>
      </w:r>
      <w:r>
        <w:t xml:space="preserve">the CFC rules and de facto exclusion from the interest limitation rule, SMEs will not be concerned by</w:t>
      </w:r>
      <w:r>
        <w:t xml:space="preserve"> </w:t>
      </w:r>
      <w:r>
        <w:t xml:space="preserve">the mandatory application (and therefore legislative change with a one-off cost) of Model A under</w:t>
      </w:r>
      <w:r>
        <w:t xml:space="preserve"> </w:t>
      </w:r>
      <w:r>
        <w:t xml:space="preserve">CFC, nor by the mandatory application of the existing options for the interest limitation rule.</w:t>
      </w:r>
      <w:r>
        <w:br/>
      </w:r>
      <w:r>
        <w:t xml:space="preserve">Quantitative assessment</w:t>
      </w:r>
    </w:p>
    <w:p>
      <w:pPr>
        <w:pStyle w:val="FirstParagraph"/>
      </w:pPr>
      <w:r>
        <w:t xml:space="preserve">What are the estimated direct benefits/cost savings for SMEs of the preferred policy option137?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In principle, any impact of the policy options will not differ between large companies and SMEs. In</w:t>
      </w:r>
      <w:r>
        <w:t xml:space="preserve"> </w:t>
      </w:r>
      <w:r>
        <w:t xml:space="preserve">addition, the Omnibus on Taxation includes measures in favour of SMEs: a targeted carveout from the</w:t>
      </w:r>
      <w:r>
        <w:t xml:space="preserve"> </w:t>
      </w:r>
      <w:r>
        <w:t xml:space="preserve">CFC rules and a de facto exclusion from the interest limitation rule of the ATAD.</w:t>
      </w:r>
      <w:r>
        <w:br/>
      </w:r>
      <w:r>
        <w:t xml:space="preserve">Quantitative assessment</w:t>
      </w:r>
      <w:r>
        <w:t xml:space="preserve"> </w:t>
      </w:r>
      <w:r>
        <w:t xml:space="preserve">SMEs in line with the Commission objective to prioritise burden reduction for SMEs (35%, compared</w:t>
      </w:r>
      <w:r>
        <w:t xml:space="preserve"> </w:t>
      </w:r>
      <w:r>
        <w:t xml:space="preserve">to 25% generally), the specific exemption of SMEs from CFC rules and the de facto carve-out from</w:t>
      </w:r>
      <w:r>
        <w:t xml:space="preserve"> </w:t>
      </w:r>
      <w:r>
        <w:t xml:space="preserve">the interest limitation rule are estimated to bring additional cost savings of around EUR 90 million per</w:t>
      </w:r>
      <w:r>
        <w:t xml:space="preserve"> </w:t>
      </w:r>
      <w:r>
        <w:t xml:space="preserve">year respectively EUR 33 million per year, on top of the general cost savings from the other</w:t>
      </w:r>
      <w:r>
        <w:t xml:space="preserve"> </w:t>
      </w:r>
      <w:r>
        <w:t xml:space="preserve">simplification measures, which will benefit both SMEs and larger businesses.</w:t>
      </w:r>
      <w:r>
        <w:br/>
      </w:r>
      <w:r>
        <w:t xml:space="preserve">What are the indirect impacts of this initiative on SMEs? (Fill in only if step 1 flags indirect</w:t>
      </w:r>
      <w:r>
        <w:t xml:space="preserve"> </w:t>
      </w:r>
      <w:r>
        <w:t xml:space="preserve">impacts)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8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(Yes/No)</w:t>
      </w:r>
    </w:p>
    <w:p>
      <w:pPr>
        <w:pStyle w:val="FirstParagraph"/>
      </w:pPr>
      <w:r>
        <w:t xml:space="preserve">136 The costs and benefits data in this annex are consistent with the data in annex 3. The preferred option includes the</w:t>
      </w:r>
      <w:r>
        <w:t xml:space="preserve"> </w:t>
      </w:r>
      <w:r>
        <w:t xml:space="preserve">mitigating measures listed in Section 4.</w:t>
      </w:r>
      <w:r>
        <w:br/>
      </w:r>
      <w:r>
        <w:t xml:space="preserve">137 The direct benefits for SMEs can also be cost savings.</w:t>
      </w:r>
    </w:p>
    <w:p>
      <w:pPr>
        <w:pStyle w:val="BodyText"/>
      </w:pPr>
      <w:r>
        <w:t xml:space="preserve">If yes, are there any specific subgroups of SMEs more exposed than others?</w:t>
      </w:r>
      <w:r>
        <w:t xml:space="preserve"> </w:t>
      </w:r>
      <w:r>
        <w:t xml:space="preserve">SMEs are disproportionately affected compared to large companies under the baseline</w:t>
      </w:r>
      <w:r>
        <w:t xml:space="preserve"> </w:t>
      </w:r>
      <w:r>
        <w:t xml:space="preserve">scenario because SMEs currently bear higher tax compliance costs in proportion to their size.</w:t>
      </w:r>
      <w:r>
        <w:t xml:space="preserve"> </w:t>
      </w:r>
      <w:r>
        <w:t xml:space="preserve">To address this issue in the area of EU direct tax legislation, the Omnibus on Taxation</w:t>
      </w:r>
      <w:r>
        <w:t xml:space="preserve"> </w:t>
      </w:r>
      <w:r>
        <w:t xml:space="preserve">proposes explicit and de facto exclusions in favour of SMEs. The Omnibus on Taxation</w:t>
      </w:r>
      <w:r>
        <w:t xml:space="preserve"> </w:t>
      </w:r>
      <w:r>
        <w:t xml:space="preserve">should consequently particularly benefit SMEs, thereby minimising any negative impacts</w:t>
      </w:r>
      <w:r>
        <w:t xml:space="preserve"> </w:t>
      </w:r>
      <w:r>
        <w:t xml:space="preserve">thereon.</w:t>
      </w:r>
      <w:r>
        <w:br/>
      </w:r>
      <w:r>
        <w:t xml:space="preserve">Have mitigating measures been included in the preferred option/proposal? (Yes/No)</w:t>
      </w:r>
      <w:r>
        <w:br/>
      </w:r>
      <w:r>
        <w:t xml:space="preserve">As mentioned, the proposal includes measures specifically to alleviate compliance burdens for</w:t>
      </w:r>
      <w:r>
        <w:t xml:space="preserve"> </w:t>
      </w:r>
      <w:r>
        <w:t xml:space="preserve">SMEs.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</w:t>
      </w:r>
      <w:r>
        <w:t xml:space="preserve"> </w:t>
      </w:r>
      <w:r>
        <w:t xml:space="preserve">for SMEs?</w:t>
      </w:r>
      <w:r>
        <w:t xml:space="preserve"> </w:t>
      </w:r>
      <w:r>
        <w:t xml:space="preserve">The proposal includes specific exemptions for SMEs in two areas, estimated to bring</w:t>
      </w:r>
      <w:r>
        <w:t xml:space="preserve"> </w:t>
      </w:r>
      <w:r>
        <w:t xml:space="preserve">additional cost savings for SMEs of around EUR 90 million per year respectively EUR 33</w:t>
      </w:r>
      <w:r>
        <w:t xml:space="preserve"> </w:t>
      </w:r>
      <w:r>
        <w:t xml:space="preserve">million per year. This will contribute to the 35% burden reduction target for SMEs.</w:t>
      </w:r>
    </w:p>
    <w:p>
      <w:pPr>
        <w:pStyle w:val="BodyText"/>
      </w:pPr>
      <w:r>
        <w:t xml:space="preserve">ANNEX 7: TIMELINE OF EU DIRECTIVES IN DIRECT TAXATION</w:t>
      </w:r>
      <w:r>
        <w:t xml:space="preserve"> </w:t>
      </w:r>
      <w:r>
        <w:t xml:space="preserve">Over the last 35 years, the EU has adopted a relatively limited but highly influential body of</w:t>
      </w:r>
      <w:r>
        <w:t xml:space="preserve"> </w:t>
      </w:r>
      <w:r>
        <w:t xml:space="preserve">legislation in the field of direct taxation, mainly targeting:</w:t>
      </w:r>
      <w:r>
        <w:t xml:space="preserve"> </w:t>
      </w:r>
      <w:r>
        <w:t xml:space="preserve">•</w:t>
      </w:r>
      <w:r>
        <w:t xml:space="preserve"> </w:t>
      </w:r>
      <w:r>
        <w:t xml:space="preserve">corporate taxation,</w:t>
      </w:r>
      <w:r>
        <w:br/>
      </w:r>
      <w:r>
        <w:t xml:space="preserve">•</w:t>
      </w:r>
      <w:r>
        <w:t xml:space="preserve"> </w:t>
      </w:r>
      <w:r>
        <w:t xml:space="preserve">cross-border restructuring,</w:t>
      </w:r>
      <w:r>
        <w:br/>
      </w:r>
      <w:r>
        <w:t xml:space="preserve">•</w:t>
      </w:r>
      <w:r>
        <w:t xml:space="preserve"> </w:t>
      </w:r>
      <w:r>
        <w:t xml:space="preserve">anti-tax avoidance,</w:t>
      </w:r>
      <w:r>
        <w:br/>
      </w:r>
      <w:r>
        <w:t xml:space="preserve">•</w:t>
      </w:r>
      <w:r>
        <w:t xml:space="preserve"> </w:t>
      </w:r>
      <w:r>
        <w:t xml:space="preserve">administrative cooperation, and</w:t>
      </w:r>
      <w:r>
        <w:br/>
      </w:r>
      <w:r>
        <w:t xml:space="preserve">•</w:t>
      </w:r>
      <w:r>
        <w:t xml:space="preserve"> </w:t>
      </w:r>
      <w:r>
        <w:t xml:space="preserve">dispute resolution.</w:t>
      </w:r>
      <w:r>
        <w:br/>
      </w:r>
      <w:r>
        <w:t xml:space="preserve">Below is a chronological timeline of the principal directives (excluding administrative corporation)</w:t>
      </w:r>
      <w:r>
        <w:t xml:space="preserve"> </w:t>
      </w:r>
      <w:r>
        <w:t xml:space="preserve">that has been adopted within the area of direct taxation.</w:t>
      </w:r>
      <w:r>
        <w:t xml:space="preserve"> </w:t>
      </w:r>
      <w:r>
        <w:t xml:space="preserve">Figure 11: Timeline of EU direct taxation directives</w:t>
      </w:r>
    </w:p>
    <w:p>
      <w:pPr>
        <w:pStyle w:val="BodyText"/>
      </w:pPr>
      <w:r>
        <w:t xml:space="preserve">1990 — First Generation of Corporate Tax Directives</w:t>
      </w:r>
      <w:r>
        <w:t xml:space="preserve"> </w:t>
      </w:r>
      <w:r>
        <w:t xml:space="preserve">Parent-Subsidiary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90/435/EEC</w:t>
      </w:r>
      <w:r>
        <w:br/>
      </w:r>
      <w:r>
        <w:t xml:space="preserve">•</w:t>
      </w:r>
      <w:r>
        <w:t xml:space="preserve"> </w:t>
      </w:r>
      <w:r>
        <w:t xml:space="preserve">Eliminated withholding taxes and double taxation on profit distributions between associated</w:t>
      </w:r>
      <w:r>
        <w:t xml:space="preserve"> </w:t>
      </w:r>
      <w:r>
        <w:t xml:space="preserve">companies in different Member States.</w:t>
      </w:r>
      <w:r>
        <w:br/>
      </w:r>
      <w:r>
        <w:t xml:space="preserve">•</w:t>
      </w:r>
      <w:r>
        <w:t xml:space="preserve"> </w:t>
      </w:r>
      <w:r>
        <w:t xml:space="preserve">Later recast as Directive 2011/96/EU.</w:t>
      </w:r>
      <w:r>
        <w:br/>
      </w:r>
      <w:r>
        <w:t xml:space="preserve">Merger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90/434/EEC</w:t>
      </w:r>
      <w:r>
        <w:br/>
      </w:r>
      <w:r>
        <w:t xml:space="preserve">•</w:t>
      </w:r>
      <w:r>
        <w:t xml:space="preserve"> </w:t>
      </w:r>
      <w:r>
        <w:t xml:space="preserve">Introduced tax neutrality for cross-border mergers, divisions, transfers of assets, and</w:t>
      </w:r>
      <w:r>
        <w:t xml:space="preserve"> </w:t>
      </w:r>
      <w:r>
        <w:t xml:space="preserve">exchanges of shares.</w:t>
      </w:r>
      <w:r>
        <w:br/>
      </w:r>
      <w:r>
        <w:t xml:space="preserve">•</w:t>
      </w:r>
      <w:r>
        <w:t xml:space="preserve"> </w:t>
      </w:r>
      <w:r>
        <w:t xml:space="preserve">Later recast as Directive 2009/133/EC.</w:t>
      </w:r>
    </w:p>
    <w:p>
      <w:pPr>
        <w:pStyle w:val="BodyText"/>
      </w:pPr>
      <w:r>
        <w:t xml:space="preserve">2003 — Taxation of Savings and Interest</w:t>
      </w:r>
      <w:r>
        <w:t xml:space="preserve"> </w:t>
      </w:r>
      <w:r>
        <w:t xml:space="preserve">Interest and Royalties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2003/49/EC</w:t>
      </w:r>
      <w:r>
        <w:br/>
      </w:r>
      <w:r>
        <w:t xml:space="preserve">•</w:t>
      </w:r>
      <w:r>
        <w:t xml:space="preserve"> </w:t>
      </w:r>
      <w:r>
        <w:t xml:space="preserve">Abolished withholding taxes on cross-border interest and royalty payments between</w:t>
      </w:r>
      <w:r>
        <w:t xml:space="preserve"> </w:t>
      </w:r>
      <w:r>
        <w:t xml:space="preserve">associated companies.</w:t>
      </w:r>
    </w:p>
    <w:p>
      <w:pPr>
        <w:pStyle w:val="BodyText"/>
      </w:pPr>
      <w:r>
        <w:t xml:space="preserve">2011 — Recast</w:t>
      </w:r>
      <w:r>
        <w:t xml:space="preserve"> </w:t>
      </w:r>
      <w:r>
        <w:t xml:space="preserve">Recast Parent-Subsidiary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2011/96/EU</w:t>
      </w:r>
      <w:r>
        <w:br/>
      </w:r>
      <w:r>
        <w:t xml:space="preserve">•</w:t>
      </w:r>
      <w:r>
        <w:t xml:space="preserve"> </w:t>
      </w:r>
      <w:r>
        <w:t xml:space="preserve">Consolidated and modernized the 1990 directive.</w:t>
      </w:r>
    </w:p>
    <w:p>
      <w:pPr>
        <w:pStyle w:val="BodyText"/>
      </w:pPr>
      <w:r>
        <w:t xml:space="preserve">2014–2015 — Anti-Abuse Measures</w:t>
      </w:r>
      <w:r>
        <w:t xml:space="preserve"> </w:t>
      </w:r>
      <w:r>
        <w:t xml:space="preserve">Amendment to Parent-Subsidiary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2014/86/EU</w:t>
      </w:r>
      <w:r>
        <w:br/>
      </w:r>
      <w:r>
        <w:t xml:space="preserve">•</w:t>
      </w:r>
      <w:r>
        <w:t xml:space="preserve"> </w:t>
      </w:r>
      <w:r>
        <w:t xml:space="preserve">Addressed hybrid loan mismatches.</w:t>
      </w:r>
      <w:r>
        <w:br/>
      </w:r>
      <w:r>
        <w:t xml:space="preserve">•</w:t>
      </w:r>
      <w:r>
        <w:t xml:space="preserve"> </w:t>
      </w:r>
      <w:r>
        <w:t xml:space="preserve">Directive 2015/121/EU</w:t>
      </w:r>
      <w:r>
        <w:br/>
      </w:r>
      <w:r>
        <w:t xml:space="preserve">•</w:t>
      </w:r>
      <w:r>
        <w:t xml:space="preserve"> </w:t>
      </w:r>
      <w:r>
        <w:t xml:space="preserve">Added a mandatory anti-abuse rule to the Parent-Subsidiary Directive.</w:t>
      </w:r>
    </w:p>
    <w:p>
      <w:pPr>
        <w:pStyle w:val="BodyText"/>
      </w:pPr>
      <w:r>
        <w:t xml:space="preserve">2016 — Anti-Tax Avoidance Package</w:t>
      </w:r>
      <w:r>
        <w:t xml:space="preserve"> </w:t>
      </w:r>
      <w:r>
        <w:t xml:space="preserve">Anti-Tax Avoidance Directive (ATAD I)</w:t>
      </w:r>
      <w:r>
        <w:t xml:space="preserve"> </w:t>
      </w:r>
      <w:r>
        <w:t xml:space="preserve">•</w:t>
      </w:r>
      <w:r>
        <w:t xml:space="preserve"> </w:t>
      </w:r>
      <w:r>
        <w:t xml:space="preserve">Directive (EU) 2016/1164</w:t>
      </w:r>
      <w:r>
        <w:br/>
      </w:r>
      <w:r>
        <w:t xml:space="preserve">•</w:t>
      </w:r>
      <w:r>
        <w:t xml:space="preserve"> </w:t>
      </w:r>
      <w:r>
        <w:t xml:space="preserve">Introduced:</w:t>
      </w:r>
      <w:r>
        <w:br/>
      </w:r>
      <w:r>
        <w:t xml:space="preserve">o interest limitation rules,</w:t>
      </w:r>
      <w:r>
        <w:br/>
      </w:r>
      <w:r>
        <w:t xml:space="preserve">o exit taxation,</w:t>
      </w:r>
      <w:r>
        <w:br/>
      </w:r>
      <w:r>
        <w:t xml:space="preserve">o GAAR,</w:t>
      </w:r>
      <w:r>
        <w:br/>
      </w:r>
      <w:r>
        <w:t xml:space="preserve">o controlled foreign company (CFC) rules,</w:t>
      </w:r>
      <w:r>
        <w:br/>
      </w:r>
      <w:r>
        <w:t xml:space="preserve">o hybrid mismatch rules.</w:t>
      </w:r>
    </w:p>
    <w:p>
      <w:pPr>
        <w:pStyle w:val="BodyText"/>
      </w:pPr>
      <w:r>
        <w:t xml:space="preserve">ATAD II</w:t>
      </w:r>
      <w:r>
        <w:t xml:space="preserve"> </w:t>
      </w:r>
      <w:r>
        <w:t xml:space="preserve">•</w:t>
      </w:r>
      <w:r>
        <w:t xml:space="preserve"> </w:t>
      </w:r>
      <w:r>
        <w:t xml:space="preserve">Directive (EU) 2017/952</w:t>
      </w:r>
      <w:r>
        <w:br/>
      </w:r>
      <w:r>
        <w:t xml:space="preserve">•</w:t>
      </w:r>
      <w:r>
        <w:t xml:space="preserve"> </w:t>
      </w:r>
      <w:r>
        <w:t xml:space="preserve">Extended hybrid mismatch rules to third countries.</w:t>
      </w:r>
    </w:p>
    <w:p>
      <w:pPr>
        <w:pStyle w:val="BodyText"/>
      </w:pPr>
      <w:r>
        <w:t xml:space="preserve">2017 — Tax Dispute Resolution</w:t>
      </w:r>
      <w:r>
        <w:t xml:space="preserve"> </w:t>
      </w:r>
      <w:r>
        <w:t xml:space="preserve">Tax Dispute Resolution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(EU) 2017/1852</w:t>
      </w:r>
      <w:r>
        <w:br/>
      </w:r>
      <w:r>
        <w:t xml:space="preserve">•</w:t>
      </w:r>
      <w:r>
        <w:t xml:space="preserve"> </w:t>
      </w:r>
      <w:r>
        <w:t xml:space="preserve">Improved mechanisms for resolving double taxation disputes within the EU.</w:t>
      </w:r>
    </w:p>
    <w:p>
      <w:pPr>
        <w:pStyle w:val="BodyText"/>
      </w:pPr>
      <w:r>
        <w:t xml:space="preserve">2022 — Global Minimum Tax</w:t>
      </w:r>
      <w:r>
        <w:br/>
      </w:r>
      <w:r>
        <w:t xml:space="preserve">Pillar 2 / Minimum Tax Directive</w:t>
      </w:r>
      <w:r>
        <w:t xml:space="preserve"> </w:t>
      </w:r>
      <w:r>
        <w:t xml:space="preserve">•</w:t>
      </w:r>
      <w:r>
        <w:t xml:space="preserve"> </w:t>
      </w:r>
      <w:r>
        <w:t xml:space="preserve">Directive (EU) 2022/2523</w:t>
      </w:r>
      <w:r>
        <w:br/>
      </w:r>
      <w:r>
        <w:t xml:space="preserve">•</w:t>
      </w:r>
      <w:r>
        <w:t xml:space="preserve"> </w:t>
      </w:r>
      <w:r>
        <w:t xml:space="preserve">Implemented the OECD global minimum effective tax rate of 15% for large multinational</w:t>
      </w:r>
      <w:r>
        <w:t xml:space="preserve"> </w:t>
      </w:r>
      <w:r>
        <w:t xml:space="preserve">groups.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2026-07-31T16:48:47Z</dcterms:created>
  <dcterms:modified xsi:type="dcterms:W3CDTF">2026-07-31T16:48:47Z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