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24.6.2026</w:t>
      </w:r>
      <w:r>
        <w:br/>
      </w:r>
      <w:r>
        <w:t xml:space="preserve">SWD(2026) 570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 1-7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on the European Union Agency for Criminal Justice Cooperation (Eurojust) and</w:t>
      </w:r>
      <w:r>
        <w:t xml:space="preserve"> </w:t>
      </w:r>
      <w:r>
        <w:t xml:space="preserve">repealing Regulation (EU) 2018/1727</w:t>
      </w:r>
      <w:r>
        <w:t xml:space="preserve"> </w:t>
      </w:r>
      <w:r>
        <w:t xml:space="preserve">{COM(2026) 570 final} - {SEC(2026) 570 final} - {SWD(2026) 571 final} -</w:t>
      </w:r>
      <w:r>
        <w:t xml:space="preserve"> </w:t>
      </w:r>
      <w:r>
        <w:t xml:space="preserve">{SWD(2026) 572 final} - {SWD(2026) 573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………………………………………………………………………………….. 2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………………………………………………………….. 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………………………………………………………………………………………….. 2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…………………………………………………………………………………………… 3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………………………………………………………………………………. 7</w:t>
      </w:r>
      <w:r>
        <w:t xml:space="preserve"> </w:t>
      </w:r>
      <w:r>
        <w:t xml:space="preserve">ANNEX 2: STAKEHOLDER CONSULTATION (SYNOPSIS REPORT) …………………………………………… 9</w:t>
      </w:r>
      <w:r>
        <w:t xml:space="preserve"> </w:t>
      </w:r>
      <w:r>
        <w:t xml:space="preserve">1.</w:t>
      </w:r>
      <w:r>
        <w:br/>
      </w:r>
      <w:r>
        <w:t xml:space="preserve">INTRODUCTION ………………………………………………………………………………………………………………… 9</w:t>
      </w:r>
      <w:r>
        <w:t xml:space="preserve"> </w:t>
      </w:r>
      <w:r>
        <w:t xml:space="preserve">2.</w:t>
      </w:r>
      <w:r>
        <w:br/>
      </w:r>
      <w:r>
        <w:t xml:space="preserve">CONSULTATION STRATEGY …………………………………………………………………………………………….. 9</w:t>
      </w:r>
      <w:r>
        <w:t xml:space="preserve"> </w:t>
      </w:r>
      <w:r>
        <w:t xml:space="preserve">3.</w:t>
      </w:r>
      <w:r>
        <w:br/>
      </w:r>
      <w:r>
        <w:t xml:space="preserve">CONSULTATION ACTIVITIES ……………………………………………………………………………………………. 9</w:t>
      </w:r>
      <w:r>
        <w:t xml:space="preserve"> </w:t>
      </w:r>
      <w:r>
        <w:t xml:space="preserve">ANNEX 3: WHO IS AFFECTED BY THE INITIATIVE AND HOW? ……………………………………………… 20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 20</w:t>
      </w:r>
      <w:r>
        <w:t xml:space="preserve"> </w:t>
      </w:r>
      <w:r>
        <w:t xml:space="preserve">ANNEX 4: ANALYTICAL METHODS ………………………………………………………………………………………… 54</w:t>
      </w:r>
      <w:r>
        <w:t xml:space="preserve"> </w:t>
      </w:r>
      <w:r>
        <w:t xml:space="preserve">1.</w:t>
      </w:r>
      <w:r>
        <w:t xml:space="preserve"> </w:t>
      </w:r>
      <w:r>
        <w:t xml:space="preserve">GENERAL APPROACH……………………………………………………………………………………………………… 54</w:t>
      </w:r>
      <w:r>
        <w:t xml:space="preserve"> </w:t>
      </w:r>
      <w:r>
        <w:t xml:space="preserve">2.</w:t>
      </w:r>
      <w:r>
        <w:t xml:space="preserve"> </w:t>
      </w:r>
      <w:r>
        <w:t xml:space="preserve">SUPPORT STUDY……………………………………………………………………………………………………………… 54</w:t>
      </w:r>
      <w:r>
        <w:t xml:space="preserve"> </w:t>
      </w:r>
      <w:r>
        <w:t xml:space="preserve">2.1. Study requirements and timeline …………………………………………………………… 54</w:t>
      </w:r>
      <w:r>
        <w:t xml:space="preserve"> </w:t>
      </w:r>
      <w:r>
        <w:t xml:space="preserve">2.2. Approach and data collection ……………………………………………………………….. 55</w:t>
      </w:r>
      <w:r>
        <w:t xml:space="preserve"> </w:t>
      </w:r>
      <w:r>
        <w:t xml:space="preserve">2.3. Challenges and limitations……………………………………………………………………. 55</w:t>
      </w:r>
      <w:r>
        <w:t xml:space="preserve"> </w:t>
      </w:r>
      <w:r>
        <w:t xml:space="preserve">3.</w:t>
      </w:r>
      <w:r>
        <w:t xml:space="preserve"> </w:t>
      </w:r>
      <w:r>
        <w:t xml:space="preserve">IDENTIFICATION AND ASSESSMENT OF IMPACTS ……………………………………………………….. 56</w:t>
      </w:r>
      <w:r>
        <w:t xml:space="preserve"> </w:t>
      </w:r>
      <w:r>
        <w:t xml:space="preserve">3.1. Identification of impacts ………………………………………………………………………. 56</w:t>
      </w:r>
      <w:r>
        <w:t xml:space="preserve"> </w:t>
      </w:r>
      <w:r>
        <w:t xml:space="preserve">3.2. Assessing impacts ……………………………………………………………………………….. 56</w:t>
      </w:r>
      <w:r>
        <w:t xml:space="preserve"> </w:t>
      </w:r>
      <w:r>
        <w:t xml:space="preserve">3.3. Scores per measure ……………………………………………………………………………… 60</w:t>
      </w:r>
      <w:r>
        <w:t xml:space="preserve"> </w:t>
      </w:r>
      <w:r>
        <w:t xml:space="preserve">3.4. Aggregated scores per option ……………………………………………………………….. 66</w:t>
      </w:r>
      <w:r>
        <w:t xml:space="preserve"> </w:t>
      </w:r>
      <w:r>
        <w:t xml:space="preserve">ANNEX 5: COMPETITIVENESS CHECK ……………………………………………………………………………………. 68</w:t>
      </w:r>
      <w:r>
        <w:t xml:space="preserve"> </w:t>
      </w:r>
      <w:r>
        <w:t xml:space="preserve">ANNEX 6: SME CHECK …………………………………………………………………………………………………………….. 69</w:t>
      </w:r>
      <w:r>
        <w:t xml:space="preserve"> </w:t>
      </w:r>
      <w:r>
        <w:t xml:space="preserve">ANNEX 7: ADDITIONAL INFORMATION SUPPORTING THE IMPACT ASSESSMENT ……………… 70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 70</w:t>
      </w:r>
      <w:r>
        <w:t xml:space="preserve"> </w:t>
      </w:r>
      <w:r>
        <w:t xml:space="preserve">2.</w:t>
      </w:r>
      <w:r>
        <w:t xml:space="preserve"> </w:t>
      </w:r>
      <w:r>
        <w:t xml:space="preserve">EVOLUTION OF THE BROADER EUROPEAN JUDICIAL LEGAL FRAMEWORK ……………… 70</w:t>
      </w:r>
      <w:r>
        <w:t xml:space="preserve"> </w:t>
      </w:r>
      <w:r>
        <w:t xml:space="preserve">3.</w:t>
      </w:r>
      <w:r>
        <w:br/>
      </w:r>
      <w:r>
        <w:t xml:space="preserve">PRESENTATION OF THE CURRENT LEGAL FRAMEWORK (REGULATION (EU)</w:t>
      </w:r>
      <w:r>
        <w:t xml:space="preserve"> </w:t>
      </w:r>
      <w:r>
        <w:t xml:space="preserve">2018/1727 ON EUROJUST) ………………………………………………………………………………………………… 72</w:t>
      </w:r>
      <w:r>
        <w:t xml:space="preserve"> </w:t>
      </w:r>
      <w:r>
        <w:t xml:space="preserve">4.</w:t>
      </w:r>
      <w:r>
        <w:t xml:space="preserve"> </w:t>
      </w:r>
      <w:r>
        <w:t xml:space="preserve">ENSURING FULL COMPLIANCE WITH FUNDAMENTAL RIGHTS …………………………………… 75</w:t>
      </w:r>
      <w:r>
        <w:t xml:space="preserve"> </w:t>
      </w:r>
      <w:r>
        <w:t xml:space="preserve">5.</w:t>
      </w:r>
      <w:r>
        <w:t xml:space="preserve"> </w:t>
      </w:r>
      <w:r>
        <w:t xml:space="preserve">LEGAL INSTRUMENTS AND STRATEGIES INCLUDING A ROLE FOR EUROJUST …………. 77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This Impact Assessment Report was prepared by Directorate A “Justice policies” of the</w:t>
      </w:r>
      <w:r>
        <w:t xml:space="preserve"> </w:t>
      </w:r>
      <w:r>
        <w:t xml:space="preserve">Directorate General “Justice and Consumers” (DG JUST).</w:t>
      </w:r>
      <w:r>
        <w:br/>
      </w:r>
      <w:r>
        <w:t xml:space="preserve">The Decide Planning reference is PLAN/2023/2880 and the Decide fiche was validated on</w:t>
      </w:r>
      <w:r>
        <w:t xml:space="preserve"> </w:t>
      </w:r>
      <w:r>
        <w:t xml:space="preserve">2 July 2025.</w:t>
      </w:r>
      <w:r>
        <w:t xml:space="preserve"> </w:t>
      </w:r>
      <w:r>
        <w:t xml:space="preserve">The initiative on revising the Eurojust’s mandate was included in the 2026 Commission</w:t>
      </w:r>
      <w:r>
        <w:t xml:space="preserve"> </w:t>
      </w:r>
      <w:r>
        <w:t xml:space="preserve">Work Programme published on 21 October 2025 and had been announced by European</w:t>
      </w:r>
      <w:r>
        <w:t xml:space="preserve"> </w:t>
      </w:r>
      <w:r>
        <w:t xml:space="preserve">Internal Security Strategy (</w:t>
      </w:r>
      <w:r>
        <w:t xml:space="preserve">“ProtectEU Strategy”</w:t>
      </w:r>
      <w:r>
        <w:t xml:space="preserve">) presented on 1 April 2025.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Chronology of the impact assessment:</w:t>
      </w:r>
      <w:r>
        <w:t xml:space="preserve"> </w:t>
      </w:r>
      <w:r>
        <w:t xml:space="preserve">September to November 2025: informal/internal brainstorming (JUST, HOME, LS, BUDG,</w:t>
      </w:r>
      <w:r>
        <w:t xml:space="preserve"> </w:t>
      </w:r>
      <w:r>
        <w:t xml:space="preserve">SG, Eurojust’s College and staff)</w:t>
      </w:r>
      <w:r>
        <w:t xml:space="preserve"> </w:t>
      </w:r>
      <w:r>
        <w:t xml:space="preserve">The work on the impact assessment began with a call for evidence, lasting from 28 October</w:t>
      </w:r>
      <w:r>
        <w:t xml:space="preserve"> </w:t>
      </w:r>
      <w:r>
        <w:t xml:space="preserve">2025 to 3 December 2025. In total, 42 responses were received.</w:t>
      </w:r>
      <w:r>
        <w:t xml:space="preserve"> </w:t>
      </w:r>
      <w:r>
        <w:t xml:space="preserve">On 2 December 2025, the open public consultation was launched. The consultation lasted</w:t>
      </w:r>
      <w:r>
        <w:t xml:space="preserve"> </w:t>
      </w:r>
      <w:r>
        <w:t xml:space="preserve">until 24 February 2026. In total, 20 responses were received.</w:t>
      </w:r>
      <w:r>
        <w:t xml:space="preserve"> </w:t>
      </w:r>
      <w:r>
        <w:t xml:space="preserve">Three Inter-Service Steering Group (ISSG) meetings were held in 2025 and 2026. The ISSG</w:t>
      </w:r>
      <w:r>
        <w:t xml:space="preserve"> </w:t>
      </w:r>
      <w:r>
        <w:t xml:space="preserve">consisted of representatives from various Directorates-General of the Commission: HOME,</w:t>
      </w:r>
      <w:r>
        <w:t xml:space="preserve"> </w:t>
      </w:r>
      <w:r>
        <w:t xml:space="preserve">ECFIN, BUDG, OLAF, INPA, DIGIT, MENA, EEAS, JRC, ENEST, HR, DGT and SJ. The</w:t>
      </w:r>
      <w:r>
        <w:t xml:space="preserve"> </w:t>
      </w:r>
      <w:r>
        <w:t xml:space="preserve">ISSG met on 13 November 2025, 9 January 2026 and on 23 March 2026. The meetings were</w:t>
      </w:r>
      <w:r>
        <w:t xml:space="preserve"> </w:t>
      </w:r>
      <w:r>
        <w:t xml:space="preserve">chaired by DG JUST (the last one co-chaired with SG).</w:t>
      </w:r>
      <w:r>
        <w:t xml:space="preserve"> </w:t>
      </w:r>
      <w:r>
        <w:t xml:space="preserve">The contributions of the members of the Steering Group have been taken into account in the</w:t>
      </w:r>
      <w:r>
        <w:t xml:space="preserve"> </w:t>
      </w:r>
      <w:r>
        <w:t xml:space="preserve">content and shape of this impact assessment.</w:t>
      </w:r>
      <w:r>
        <w:t xml:space="preserve"> </w:t>
      </w:r>
      <w:r>
        <w:t xml:space="preserve">The first draft of the Impact Assessment was sent to the ISG on 17 March 2026 (on 11 March</w:t>
      </w:r>
      <w:r>
        <w:t xml:space="preserve"> </w:t>
      </w:r>
      <w:r>
        <w:t xml:space="preserve">regarding chapters 1 to 5).</w:t>
      </w:r>
      <w:r>
        <w:t xml:space="preserve"> </w:t>
      </w:r>
      <w:r>
        <w:t xml:space="preserve">A consultation meeting took place on 22 October 2025 with the Criminal Law Expert Group.</w:t>
      </w:r>
      <w:r>
        <w:br/>
      </w:r>
      <w:r>
        <w:t xml:space="preserve">The support study on the cost and benefits of the assessed policy options was launched on 9</w:t>
      </w:r>
      <w:r>
        <w:t xml:space="preserve"> </w:t>
      </w:r>
      <w:r>
        <w:t xml:space="preserve">December 2025 (Kick off meeting with the external contractor).</w:t>
      </w:r>
      <w:r>
        <w:t xml:space="preserve"> </w:t>
      </w:r>
      <w:r>
        <w:t xml:space="preserve">The revision has been presented and discussed at both technical and political levels with the</w:t>
      </w:r>
      <w:r>
        <w:t xml:space="preserve"> </w:t>
      </w:r>
      <w:r>
        <w:t xml:space="preserve">Council, the European Parliament and national parliaments.</w:t>
      </w:r>
      <w:r>
        <w:br/>
      </w:r>
      <w:r>
        <w:t xml:space="preserve">− With experts and representatives of Member States - at the COPEN General Matters</w:t>
      </w:r>
      <w:r>
        <w:t xml:space="preserve"> </w:t>
      </w:r>
      <w:r>
        <w:t xml:space="preserve">of 15 September 2025, at the end of which 7 Member States sent a written</w:t>
      </w:r>
      <w:r>
        <w:t xml:space="preserve"> </w:t>
      </w:r>
      <w:r>
        <w:t xml:space="preserve">contribution. A second time, in the COPEN General Matters of 15 December 2025.</w:t>
      </w:r>
      <w:r>
        <w:t xml:space="preserve"> </w:t>
      </w:r>
      <w:r>
        <w:t xml:space="preserve">− In addition, the Danish Presidency of the EU Council organised a first policy debate</w:t>
      </w:r>
      <w:r>
        <w:t xml:space="preserve"> </w:t>
      </w:r>
      <w:r>
        <w:t xml:space="preserve">at the Council of Ministers of Justice on 13 October 2025. A state of play has been</w:t>
      </w:r>
      <w:r>
        <w:t xml:space="preserve"> </w:t>
      </w:r>
      <w:r>
        <w:t xml:space="preserve">presented in AOB at the Council on 6 March 2026, under the Cypriot Presidency.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− A non-paper has been diffused on 2 February 2026 by 4 Member States (FR, DE, BE</w:t>
      </w:r>
      <w:r>
        <w:t xml:space="preserve"> </w:t>
      </w:r>
      <w:r>
        <w:t xml:space="preserve">and AT). Bilateral meetings at ministerial and technical levels have been led with</w:t>
      </w:r>
      <w:r>
        <w:t xml:space="preserve"> </w:t>
      </w:r>
      <w:r>
        <w:t xml:space="preserve">many countries.</w:t>
      </w:r>
      <w:r>
        <w:t xml:space="preserve"> </w:t>
      </w:r>
      <w:r>
        <w:t xml:space="preserve">− The project has also been discussed with the European Parliament and Members from</w:t>
      </w:r>
      <w:r>
        <w:t xml:space="preserve"> </w:t>
      </w:r>
      <w:r>
        <w:t xml:space="preserve">national Parliaments (at the ICM - Inter Parliamentary Committee Meeting – on the</w:t>
      </w:r>
      <w:r>
        <w:t xml:space="preserve"> </w:t>
      </w:r>
      <w:r>
        <w:t xml:space="preserve">evaluation of Eurojust activities on 20 November 2025).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3.1.</w:t>
      </w:r>
      <w:r>
        <w:t xml:space="preserve"> </w:t>
      </w:r>
      <w:r>
        <w:t xml:space="preserve">First meeting - upstream</w:t>
      </w:r>
      <w:r>
        <w:t xml:space="preserve"> </w:t>
      </w:r>
      <w:r>
        <w:t xml:space="preserve">An “upstream meeting” with the RSB was organized on 24 November 2025.</w:t>
      </w:r>
      <w:r>
        <w:t xml:space="preserve"> </w:t>
      </w:r>
      <w:r>
        <w:t xml:space="preserve">The main questions raised by the RSB were the following:</w:t>
      </w:r>
      <w:r>
        <w:t xml:space="preserve"> </w:t>
      </w:r>
      <w:r>
        <w:t xml:space="preserve">•</w:t>
      </w:r>
      <w:r>
        <w:t xml:space="preserve"> </w:t>
      </w:r>
      <w:r>
        <w:t xml:space="preserve">With the Ukraine War being identified as a new challenge, are there any additional</w:t>
      </w:r>
      <w:r>
        <w:t xml:space="preserve"> </w:t>
      </w:r>
      <w:r>
        <w:t xml:space="preserve">new general challenges to be considered?</w:t>
      </w:r>
      <w:r>
        <w:t xml:space="preserve"> </w:t>
      </w:r>
      <w:r>
        <w:t xml:space="preserve">•</w:t>
      </w:r>
      <w:r>
        <w:t xml:space="preserve"> </w:t>
      </w:r>
      <w:r>
        <w:t xml:space="preserve">What is the root cause concerning the poor filtering of cases and the varied</w:t>
      </w:r>
      <w:r>
        <w:t xml:space="preserve"> </w:t>
      </w:r>
      <w:r>
        <w:t xml:space="preserve">implementation of the regulation by Member States?</w:t>
      </w:r>
      <w:r>
        <w:t xml:space="preserve"> </w:t>
      </w:r>
      <w:r>
        <w:t xml:space="preserve">•</w:t>
      </w:r>
      <w:r>
        <w:t xml:space="preserve"> </w:t>
      </w:r>
      <w:r>
        <w:t xml:space="preserve">What is the data gap concerning the problems of Eurojust’s governance and decision-</w:t>
      </w:r>
      <w:r>
        <w:t xml:space="preserve"> </w:t>
      </w:r>
      <w:r>
        <w:t xml:space="preserve">making, and can it be compensated?</w:t>
      </w:r>
      <w:r>
        <w:t xml:space="preserve"> </w:t>
      </w:r>
      <w:r>
        <w:t xml:space="preserve">•</w:t>
      </w:r>
      <w:r>
        <w:t xml:space="preserve"> </w:t>
      </w:r>
      <w:r>
        <w:t xml:space="preserve">What is additionally needed to tackle the current phenomenon of more sophisticated</w:t>
      </w:r>
      <w:r>
        <w:t xml:space="preserve"> </w:t>
      </w:r>
      <w:r>
        <w:t xml:space="preserve">crimes?</w:t>
      </w:r>
      <w:r>
        <w:t xml:space="preserve"> </w:t>
      </w:r>
      <w:r>
        <w:t xml:space="preserve">•</w:t>
      </w:r>
      <w:r>
        <w:t xml:space="preserve"> </w:t>
      </w:r>
      <w:r>
        <w:t xml:space="preserve">Are there significant issues stemming from interoperability and might that be the</w:t>
      </w:r>
      <w:r>
        <w:t xml:space="preserve"> </w:t>
      </w:r>
      <w:r>
        <w:t xml:space="preserve">cause of systems not being compatible? Does this cause a lack of cooperation?</w:t>
      </w:r>
    </w:p>
    <w:p>
      <w:pPr>
        <w:pStyle w:val="BodyText"/>
      </w:pPr>
      <w:r>
        <w:t xml:space="preserve">The main points that were raised during the meeting were:</w:t>
      </w:r>
      <w:r>
        <w:t xml:space="preserve"> </w:t>
      </w:r>
      <w:r>
        <w:t xml:space="preserve">•</w:t>
      </w:r>
      <w:r>
        <w:t xml:space="preserve"> </w:t>
      </w:r>
      <w:r>
        <w:t xml:space="preserve">Objectives and measures should be made smarter/further operationalized;</w:t>
      </w:r>
      <w:r>
        <w:t xml:space="preserve"> </w:t>
      </w:r>
      <w:r>
        <w:t xml:space="preserve">•</w:t>
      </w:r>
      <w:r>
        <w:t xml:space="preserve"> </w:t>
      </w:r>
      <w:r>
        <w:t xml:space="preserve">The new needs of Member States should be clearly identified to boost proactivity;</w:t>
      </w:r>
      <w:r>
        <w:t xml:space="preserve"> </w:t>
      </w:r>
      <w:r>
        <w:t xml:space="preserve">•</w:t>
      </w:r>
      <w:r>
        <w:t xml:space="preserve"> </w:t>
      </w:r>
      <w:r>
        <w:t xml:space="preserve">Type of information shared with other JHA Cooperations should be identified;</w:t>
      </w:r>
      <w:r>
        <w:t xml:space="preserve"> </w:t>
      </w:r>
      <w:r>
        <w:t xml:space="preserve">•</w:t>
      </w:r>
      <w:r>
        <w:t xml:space="preserve"> </w:t>
      </w:r>
      <w:r>
        <w:t xml:space="preserve">The needs for improvement about the international cooperation should be thoroughly</w:t>
      </w:r>
      <w:r>
        <w:t xml:space="preserve"> </w:t>
      </w:r>
      <w:r>
        <w:t xml:space="preserve">assessed;</w:t>
      </w:r>
      <w:r>
        <w:t xml:space="preserve"> </w:t>
      </w:r>
      <w:r>
        <w:t xml:space="preserve">•</w:t>
      </w:r>
      <w:r>
        <w:t xml:space="preserve"> </w:t>
      </w:r>
      <w:r>
        <w:t xml:space="preserve">Problem drivers and root problems should be distinguished more carefully;</w:t>
      </w:r>
      <w:r>
        <w:t xml:space="preserve"> </w:t>
      </w:r>
      <w:r>
        <w:t xml:space="preserve">•</w:t>
      </w:r>
      <w:r>
        <w:t xml:space="preserve"> </w:t>
      </w:r>
      <w:r>
        <w:t xml:space="preserve">The first consequence in the table should be the societal problem at hand;</w:t>
      </w:r>
      <w:r>
        <w:t xml:space="preserve"> </w:t>
      </w:r>
      <w:r>
        <w:t xml:space="preserve">•</w:t>
      </w:r>
      <w:r>
        <w:t xml:space="preserve"> </w:t>
      </w:r>
      <w:r>
        <w:t xml:space="preserve">Evidence is key for the identification of the problem;</w:t>
      </w:r>
      <w:r>
        <w:t xml:space="preserve"> </w:t>
      </w:r>
      <w:r>
        <w:t xml:space="preserve">•</w:t>
      </w:r>
      <w:r>
        <w:t xml:space="preserve"> </w:t>
      </w:r>
      <w:r>
        <w:t xml:space="preserve">There needs to be a mixture of measures of varying intensity. This will shed light on</w:t>
      </w:r>
      <w:r>
        <w:t xml:space="preserve"> </w:t>
      </w:r>
      <w:r>
        <w:t xml:space="preserve">the trade-offs that are inherent to different options, which should all be assessed</w:t>
      </w:r>
      <w:r>
        <w:t xml:space="preserve"> </w:t>
      </w:r>
      <w:r>
        <w:t xml:space="preserve">technically and politically;</w:t>
      </w:r>
      <w:r>
        <w:t xml:space="preserve"> </w:t>
      </w:r>
      <w:r>
        <w:t xml:space="preserve">•</w:t>
      </w:r>
      <w:r>
        <w:t xml:space="preserve"> </w:t>
      </w:r>
      <w:r>
        <w:t xml:space="preserve">The need to assess whether the intervention effectively addresses crime-solving, the</w:t>
      </w:r>
      <w:r>
        <w:t xml:space="preserve"> </w:t>
      </w:r>
      <w:r>
        <w:t xml:space="preserve">current situation must be clarified further, particularly by identifying gaps at the</w:t>
      </w:r>
      <w:r>
        <w:t xml:space="preserve"> </w:t>
      </w:r>
      <w:r>
        <w:t xml:space="preserve">Member State level;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need to specify the precise sources that are backing up the support study and</w:t>
      </w:r>
      <w:r>
        <w:t xml:space="preserve"> </w:t>
      </w:r>
      <w:r>
        <w:t xml:space="preserve">evaluation;</w:t>
      </w:r>
      <w:r>
        <w:t xml:space="preserve"> </w:t>
      </w:r>
      <w:r>
        <w:t xml:space="preserve">•</w:t>
      </w:r>
      <w:r>
        <w:t xml:space="preserve"> </w:t>
      </w:r>
      <w:r>
        <w:t xml:space="preserve">The need to avoid adding “straw options”, unless it is useful and feasible;</w:t>
      </w:r>
      <w:r>
        <w:t xml:space="preserve"> </w:t>
      </w:r>
      <w:r>
        <w:t xml:space="preserve">•</w:t>
      </w:r>
      <w:r>
        <w:t xml:space="preserve"> </w:t>
      </w:r>
      <w:r>
        <w:t xml:space="preserve">The substantive element regarding current criminal phenomena should be justified in</w:t>
      </w:r>
      <w:r>
        <w:t xml:space="preserve"> </w:t>
      </w:r>
      <w:r>
        <w:t xml:space="preserve">a fact-based, and opinion-based manner.</w:t>
      </w:r>
      <w:r>
        <w:t xml:space="preserve"> </w:t>
      </w:r>
      <w:r>
        <w:t xml:space="preserve">3.2.</w:t>
      </w:r>
      <w:r>
        <w:t xml:space="preserve"> </w:t>
      </w:r>
      <w:r>
        <w:t xml:space="preserve">Second meeting – Examination of the draft impact assessment</w:t>
      </w:r>
      <w:r>
        <w:t xml:space="preserve"> </w:t>
      </w:r>
      <w:r>
        <w:t xml:space="preserve">On 1 April 2026, the Directorate-General for Justice and Consumers submitted the draft</w:t>
      </w:r>
      <w:r>
        <w:t xml:space="preserve"> </w:t>
      </w:r>
      <w:r>
        <w:t xml:space="preserve">impact assessment to the Regulatory Scrutiny Board (RSB), including its annexes. The</w:t>
      </w:r>
      <w:r>
        <w:t xml:space="preserve"> </w:t>
      </w:r>
      <w:r>
        <w:t xml:space="preserve">executive summary and the minutes and elements of follow up of the ISSG meeting of 23</w:t>
      </w:r>
      <w:r>
        <w:t xml:space="preserve"> </w:t>
      </w:r>
      <w:r>
        <w:t xml:space="preserve">March were also sent to the RSB.</w:t>
      </w:r>
      <w:r>
        <w:t xml:space="preserve"> </w:t>
      </w:r>
      <w:r>
        <w:t xml:space="preserve">The RSB examined the draft impact assessment on 29 April 2026. The overall opinion of</w:t>
      </w:r>
      <w:r>
        <w:t xml:space="preserve"> </w:t>
      </w:r>
      <w:r>
        <w:t xml:space="preserve">the Regulatory Scrutiny Board was positive with reservations. These reservations were of</w:t>
      </w:r>
      <w:r>
        <w:t xml:space="preserve"> </w:t>
      </w:r>
      <w:r>
        <w:t xml:space="preserve">two kinds:</w:t>
      </w:r>
      <w:r>
        <w:t xml:space="preserve"> </w:t>
      </w:r>
      <w:r>
        <w:t xml:space="preserve">- clarity of the concepts and options presented. -</w:t>
      </w:r>
      <w:r>
        <w:t xml:space="preserve"> </w:t>
      </w:r>
      <w:r>
        <w:t xml:space="preserve">clarity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evaluation</w:t>
      </w:r>
      <w:r>
        <w:t xml:space="preserve"> </w:t>
      </w:r>
      <w:r>
        <w:t xml:space="preserve">methodology used.</w:t>
      </w:r>
      <w:r>
        <w:t xml:space="preserve"> </w:t>
      </w:r>
      <w:r>
        <w:t xml:space="preserve">The responses to these comments are set out in the two tables below:</w:t>
      </w:r>
      <w:r>
        <w:t xml:space="preserve"> </w:t>
      </w:r>
      <w:r>
        <w:t xml:space="preserve">RSB comments – Key issues</w:t>
      </w:r>
      <w:r>
        <w:t xml:space="preserve"> </w:t>
      </w:r>
      <w:r>
        <w:t xml:space="preserve">How RSB comments have been addressed in</w:t>
      </w:r>
      <w:r>
        <w:t xml:space="preserve"> </w:t>
      </w:r>
      <w:r>
        <w:t xml:space="preserve">the IA</w:t>
      </w:r>
    </w:p>
    <w:p>
      <w:pPr>
        <w:pStyle w:val="BodyText"/>
      </w:pPr>
      <w:r>
        <w:t xml:space="preserve">The identification of the problems</w:t>
      </w:r>
      <w:r>
        <w:t xml:space="preserve"> </w:t>
      </w:r>
      <w:r>
        <w:t xml:space="preserve">and their drivers is not sufficiently</w:t>
      </w:r>
      <w:r>
        <w:t xml:space="preserve"> </w:t>
      </w:r>
      <w:r>
        <w:t xml:space="preserve">clear on issues arising from legal</w:t>
      </w:r>
      <w:r>
        <w:t xml:space="preserve"> </w:t>
      </w:r>
      <w:r>
        <w:t xml:space="preserve">obstacles</w:t>
      </w:r>
      <w:r>
        <w:t xml:space="preserve"> </w:t>
      </w:r>
      <w:r>
        <w:t xml:space="preserve">despite</w:t>
      </w:r>
      <w:r>
        <w:t xml:space="preserve"> </w:t>
      </w:r>
      <w:r>
        <w:t xml:space="preserve">recent</w:t>
      </w:r>
      <w:r>
        <w:t xml:space="preserve"> </w:t>
      </w:r>
      <w:r>
        <w:t xml:space="preserve">amendments,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implementation problems.</w:t>
      </w:r>
      <w:r>
        <w:t xml:space="preserve"> </w:t>
      </w:r>
      <w:r>
        <w:t xml:space="preserve">In chapter 2 of the IA, further details have been</w:t>
      </w:r>
      <w:r>
        <w:t xml:space="preserve"> </w:t>
      </w:r>
      <w:r>
        <w:t xml:space="preserve">provided on the problems and their drivers,</w:t>
      </w:r>
      <w:r>
        <w:t xml:space="preserve"> </w:t>
      </w:r>
      <w:r>
        <w:t xml:space="preserve">clarifying in particular that many of the problems</w:t>
      </w:r>
      <w:r>
        <w:t xml:space="preserve"> </w:t>
      </w:r>
      <w:r>
        <w:t xml:space="preserve">stemmed simultaneously from a lack of clarity in</w:t>
      </w:r>
      <w:r>
        <w:t xml:space="preserve"> </w:t>
      </w:r>
      <w:r>
        <w:t xml:space="preserve">the Regulation and from differing types of</w:t>
      </w:r>
      <w:r>
        <w:t xml:space="preserve"> </w:t>
      </w:r>
      <w:r>
        <w:t xml:space="preserve">interpretation and/or implementation among</w:t>
      </w:r>
      <w:r>
        <w:t xml:space="preserve"> </w:t>
      </w:r>
      <w:r>
        <w:t xml:space="preserve">Member States (some of which may be linked to</w:t>
      </w:r>
      <w:r>
        <w:t xml:space="preserve"> </w:t>
      </w:r>
      <w:r>
        <w:t xml:space="preserve">external problem drivers, such as differences in</w:t>
      </w:r>
      <w:r>
        <w:t xml:space="preserve"> </w:t>
      </w:r>
      <w:r>
        <w:t xml:space="preserve">the judicial systems/cultures of Member States).</w:t>
      </w:r>
      <w:r>
        <w:t xml:space="preserve"> </w:t>
      </w:r>
      <w:r>
        <w:t xml:space="preserve">Hence addressing problems stemming from these</w:t>
      </w:r>
      <w:r>
        <w:t xml:space="preserve"> </w:t>
      </w:r>
      <w:r>
        <w:t xml:space="preserve">two types of drivers requires a balance between</w:t>
      </w:r>
      <w:r>
        <w:t xml:space="preserve"> </w:t>
      </w:r>
      <w:r>
        <w:t xml:space="preserve">further specifying concepts/dispelling ambiguities</w:t>
      </w:r>
      <w:r>
        <w:t xml:space="preserve"> </w:t>
      </w:r>
      <w:r>
        <w:t xml:space="preserve">where possible in the Regulation, and keeping in</w:t>
      </w:r>
      <w:r>
        <w:t xml:space="preserve"> </w:t>
      </w:r>
      <w:r>
        <w:t xml:space="preserve">it the flexibility required due to external drivers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differences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judicial</w:t>
      </w:r>
      <w:r>
        <w:t xml:space="preserve"> </w:t>
      </w:r>
      <w:r>
        <w:t xml:space="preserve">systems/cultures of Member States, or to allow for</w:t>
      </w:r>
      <w:r>
        <w:t xml:space="preserve"> </w:t>
      </w:r>
      <w:r>
        <w:t xml:space="preserve">some changes of focus in future (e.g. to adapt to</w:t>
      </w:r>
      <w:r>
        <w:t xml:space="preserve"> </w:t>
      </w:r>
      <w:r>
        <w:t xml:space="preserve">new/fast emerging needs or to possible changing</w:t>
      </w:r>
      <w:r>
        <w:t xml:space="preserve"> </w:t>
      </w:r>
      <w:r>
        <w:t xml:space="preserve">priorities).</w:t>
      </w:r>
    </w:p>
    <w:p>
      <w:pPr>
        <w:pStyle w:val="BodyText"/>
      </w:pPr>
      <w:r>
        <w:t xml:space="preserve">The problems and their drivers, as well as the</w:t>
      </w:r>
      <w:r>
        <w:t xml:space="preserve"> </w:t>
      </w:r>
      <w:r>
        <w:t xml:space="preserve">specific objectives that had been defined in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 are not defined in a</w:t>
      </w:r>
      <w:r>
        <w:t xml:space="preserve"> </w:t>
      </w:r>
      <w:r>
        <w:t xml:space="preserve">SMART manner to allow measuring</w:t>
      </w:r>
      <w:r>
        <w:t xml:space="preserve"> </w:t>
      </w:r>
      <w:r>
        <w:t xml:space="preserve">success through a comprehensive set</w:t>
      </w:r>
      <w:r>
        <w:t xml:space="preserve"> </w:t>
      </w:r>
      <w:r>
        <w:t xml:space="preserve">of key performance indicators.</w:t>
      </w:r>
      <w:r>
        <w:t xml:space="preserve"> </w:t>
      </w:r>
      <w:r>
        <w:t xml:space="preserve">response, were initially too detailed to enable the</w:t>
      </w:r>
      <w:r>
        <w:t xml:space="preserve"> </w:t>
      </w:r>
      <w:r>
        <w:t xml:space="preserve">IA analysis to fit into just 40 to 50 pages.</w:t>
      </w:r>
      <w:r>
        <w:t xml:space="preserve"> </w:t>
      </w:r>
      <w:r>
        <w:t xml:space="preserve">It has been decided to regroup the problems and</w:t>
      </w:r>
      <w:r>
        <w:t xml:space="preserve"> </w:t>
      </w:r>
      <w:r>
        <w:t xml:space="preserve">their drivers into just two main problem sets (with</w:t>
      </w:r>
      <w:r>
        <w:t xml:space="preserve"> </w:t>
      </w:r>
      <w:r>
        <w:t xml:space="preserve">distinct sets of drivers), and so the specific</w:t>
      </w:r>
      <w:r>
        <w:t xml:space="preserve"> </w:t>
      </w:r>
      <w:r>
        <w:t xml:space="preserve">objectives were also regrouped into two sets of</w:t>
      </w:r>
      <w:r>
        <w:t xml:space="preserve"> </w:t>
      </w:r>
      <w:r>
        <w:t xml:space="preserve">objectives. These objectives have been made</w:t>
      </w:r>
      <w:r>
        <w:t xml:space="preserve"> </w:t>
      </w:r>
      <w:r>
        <w:t xml:space="preserve">SMARTer by defining for each of the two specific</w:t>
      </w:r>
      <w:r>
        <w:t xml:space="preserve"> </w:t>
      </w:r>
      <w:r>
        <w:t xml:space="preserve">objectives a set of related (RACER) success</w:t>
      </w:r>
      <w:r>
        <w:t xml:space="preserve"> </w:t>
      </w:r>
      <w:r>
        <w:t xml:space="preserve">criteria (generally reflecting lower-level specific</w:t>
      </w:r>
      <w:r>
        <w:t xml:space="preserve"> </w:t>
      </w:r>
      <w:r>
        <w:t xml:space="preserve">objectives that had been originally defined), with</w:t>
      </w:r>
      <w:r>
        <w:t xml:space="preserve"> </w:t>
      </w:r>
      <w:r>
        <w:t xml:space="preserve">actual targets and timing ambitions.</w:t>
      </w:r>
      <w:r>
        <w:t xml:space="preserve"> </w:t>
      </w:r>
      <w:r>
        <w:t xml:space="preserve">These indicators were previously detailed within</w:t>
      </w:r>
      <w:r>
        <w:t xml:space="preserve"> </w:t>
      </w:r>
      <w:r>
        <w:t xml:space="preserve">chapter 8 (as part of the impacts expected from the</w:t>
      </w:r>
      <w:r>
        <w:t xml:space="preserve"> </w:t>
      </w:r>
      <w:r>
        <w:t xml:space="preserve">full set of the preferred options in each problem</w:t>
      </w:r>
      <w:r>
        <w:t xml:space="preserve"> </w:t>
      </w:r>
      <w:r>
        <w:t xml:space="preserve">area addressed), where they had low visibility.</w:t>
      </w:r>
      <w:r>
        <w:t xml:space="preserve"> </w:t>
      </w:r>
      <w:r>
        <w:t xml:space="preserve">They finally have been moved to chapter 9 (where</w:t>
      </w:r>
      <w:r>
        <w:t xml:space="preserve"> </w:t>
      </w:r>
      <w:r>
        <w:t xml:space="preserve">they rightfully belong) and now appear in further</w:t>
      </w:r>
      <w:r>
        <w:t xml:space="preserve"> </w:t>
      </w:r>
      <w:r>
        <w:t xml:space="preserve">detail as a comprehensive set of key performance</w:t>
      </w:r>
      <w:r>
        <w:t xml:space="preserve"> </w:t>
      </w:r>
      <w:r>
        <w:t xml:space="preserve">indicators (to help measure success), together with</w:t>
      </w:r>
      <w:r>
        <w:t xml:space="preserve"> </w:t>
      </w:r>
      <w:r>
        <w:t xml:space="preserve">a proposed set of operational indicators (and the</w:t>
      </w:r>
      <w:r>
        <w:t xml:space="preserve"> </w:t>
      </w:r>
      <w:r>
        <w:t xml:space="preserve">related RACER criteria) to allow for periodic</w:t>
      </w:r>
      <w:r>
        <w:t xml:space="preserve"> </w:t>
      </w:r>
      <w:r>
        <w:t xml:space="preserve">monitor and assess global progress after 4 years of</w:t>
      </w:r>
      <w:r>
        <w:t xml:space="preserve"> </w:t>
      </w:r>
      <w:r>
        <w:t xml:space="preserve">implementation, as well as facilitate a subsequent</w:t>
      </w:r>
      <w:r>
        <w:t xml:space="preserve"> </w:t>
      </w:r>
      <w:r>
        <w:t xml:space="preserve">full scale evaluation.</w:t>
      </w:r>
      <w:r>
        <w:t xml:space="preserve"> </w:t>
      </w:r>
      <w:r>
        <w:t xml:space="preserve">The analysis of the coherence of measures with</w:t>
      </w:r>
      <w:r>
        <w:t xml:space="preserve"> </w:t>
      </w:r>
      <w:r>
        <w:t xml:space="preserve">recent or ongoing initiatives was enhanced by</w:t>
      </w:r>
      <w:r>
        <w:t xml:space="preserve"> </w:t>
      </w:r>
      <w:r>
        <w:t xml:space="preserve">referring to the follow-up the the ProtectEU and</w:t>
      </w:r>
      <w:r>
        <w:t xml:space="preserve"> </w:t>
      </w:r>
      <w:r>
        <w:t xml:space="preserve">the revision of the Europol mandate as well as the</w:t>
      </w:r>
      <w:r>
        <w:t xml:space="preserve"> </w:t>
      </w:r>
      <w:r>
        <w:t xml:space="preserve">discussions currently held in the context of the</w:t>
      </w:r>
      <w:r>
        <w:t xml:space="preserve"> </w:t>
      </w:r>
      <w:r>
        <w:t xml:space="preserve">AFA review and the upcoming revision of the</w:t>
      </w:r>
      <w:r>
        <w:t xml:space="preserve"> </w:t>
      </w:r>
      <w:r>
        <w:t xml:space="preserve">EPPO and OLAF Regulations (see Changes in</w:t>
      </w:r>
      <w:r>
        <w:t xml:space="preserve"> </w:t>
      </w:r>
      <w:r>
        <w:t xml:space="preserve">chapter 8).</w:t>
      </w:r>
    </w:p>
    <w:p>
      <w:pPr>
        <w:pStyle w:val="BodyText"/>
      </w:pPr>
      <w:r>
        <w:t xml:space="preserve">The impact of the initiative on</w:t>
      </w:r>
      <w:r>
        <w:t xml:space="preserve"> </w:t>
      </w:r>
      <w:r>
        <w:t xml:space="preserve">fundamental rights (use of personal</w:t>
      </w:r>
      <w:r>
        <w:t xml:space="preserve"> </w:t>
      </w:r>
      <w:r>
        <w:t xml:space="preserve">data) is not sufficiently analysed.</w:t>
      </w:r>
      <w:r>
        <w:t xml:space="preserve"> </w:t>
      </w:r>
      <w:r>
        <w:t xml:space="preserve">Within Annex 7 (on additional IA information),</w:t>
      </w:r>
      <w:r>
        <w:t xml:space="preserve"> </w:t>
      </w:r>
      <w:r>
        <w:t xml:space="preserve">impacts of the preferred option on fundamental</w:t>
      </w:r>
      <w:r>
        <w:t xml:space="preserve"> </w:t>
      </w:r>
      <w:r>
        <w:t xml:space="preserve">rights were documented in further details, as part</w:t>
      </w:r>
      <w:r>
        <w:t xml:space="preserve"> </w:t>
      </w:r>
      <w:r>
        <w:t xml:space="preserve">of section 7.3 “Ensuring full compliance with</w:t>
      </w:r>
      <w:r>
        <w:t xml:space="preserve"> </w:t>
      </w:r>
      <w:r>
        <w:t xml:space="preserve">Fundamental Rights”, particularly as regards</w:t>
      </w:r>
      <w:r>
        <w:t xml:space="preserve"> </w:t>
      </w:r>
      <w:r>
        <w:t xml:space="preserve">criminal procedural safeguards and data</w:t>
      </w:r>
      <w:r>
        <w:t xml:space="preserve"> </w:t>
      </w:r>
      <w:r>
        <w:t xml:space="preserve">protection.</w:t>
      </w:r>
      <w:r>
        <w:t xml:space="preserve"> </w:t>
      </w:r>
      <w:r>
        <w:t xml:space="preserve">Related information was also added to the core IA</w:t>
      </w:r>
      <w:r>
        <w:t xml:space="preserve"> </w:t>
      </w:r>
      <w:r>
        <w:t xml:space="preserve">text in section 8.2.4.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RSB comments – Ways of</w:t>
      </w:r>
      <w:r>
        <w:t xml:space="preserve"> </w:t>
      </w:r>
      <w:r>
        <w:t xml:space="preserve">improvements</w:t>
      </w:r>
      <w:r>
        <w:t xml:space="preserve"> </w:t>
      </w:r>
      <w:r>
        <w:t xml:space="preserve">How RSB comments have been addressed in</w:t>
      </w:r>
      <w:r>
        <w:t xml:space="preserve"> </w:t>
      </w:r>
      <w:r>
        <w:t xml:space="preserve">the IA</w:t>
      </w:r>
    </w:p>
    <w:p>
      <w:pPr>
        <w:pStyle w:val="BodyText"/>
      </w:pPr>
      <w:r>
        <w:t xml:space="preserve">Better presentation of the current</w:t>
      </w:r>
      <w:r>
        <w:t xml:space="preserve"> </w:t>
      </w:r>
      <w:r>
        <w:t xml:space="preserve">situation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agency</w:t>
      </w:r>
      <w:r>
        <w:t xml:space="preserve"> </w:t>
      </w:r>
      <w:r>
        <w:t xml:space="preserve">and</w:t>
      </w:r>
      <w:r>
        <w:t xml:space="preserve"> </w:t>
      </w:r>
      <w:r>
        <w:t xml:space="preserve">clarification/illustration of some</w:t>
      </w:r>
      <w:r>
        <w:t xml:space="preserve"> </w:t>
      </w:r>
      <w:r>
        <w:t xml:space="preserve">key elements such as the complex</w:t>
      </w:r>
      <w:r>
        <w:t xml:space="preserve"> </w:t>
      </w:r>
      <w:r>
        <w:t xml:space="preserve">cases and their prioritisation of</w:t>
      </w:r>
      <w:r>
        <w:t xml:space="preserve"> </w:t>
      </w:r>
      <w:r>
        <w:t xml:space="preserve">versus simple files.</w:t>
      </w:r>
      <w:r>
        <w:t xml:space="preserve"> </w:t>
      </w:r>
      <w:r>
        <w:t xml:space="preserve">The current internal functioning of the agency</w:t>
      </w:r>
      <w:r>
        <w:t xml:space="preserve"> </w:t>
      </w:r>
      <w:r>
        <w:t xml:space="preserve">has been more explained, in the main report as in</w:t>
      </w:r>
      <w:r>
        <w:t xml:space="preserve"> </w:t>
      </w:r>
      <w:r>
        <w:t xml:space="preserve">annex 7. The complex case, supposed to fall</w:t>
      </w:r>
      <w:r>
        <w:t xml:space="preserve"> </w:t>
      </w:r>
      <w:r>
        <w:t xml:space="preserve">under the competence of Eurojust, has also been</w:t>
      </w:r>
      <w:r>
        <w:t xml:space="preserve"> </w:t>
      </w:r>
      <w:r>
        <w:t xml:space="preserve">described more in detail and compared to a</w:t>
      </w:r>
      <w:r>
        <w:t xml:space="preserve"> </w:t>
      </w:r>
      <w:r>
        <w:t xml:space="preserve">simple case (EJN competence).</w:t>
      </w:r>
      <w:r>
        <w:t xml:space="preserve"> </w:t>
      </w:r>
      <w:r>
        <w:t xml:space="preserve">A typical example of a complex case – the</w:t>
      </w:r>
      <w:r>
        <w:t xml:space="preserve"> </w:t>
      </w:r>
      <w:r>
        <w:t xml:space="preserve">famous “Encrochat file” – has been added to</w:t>
      </w:r>
      <w:r>
        <w:t xml:space="preserve"> </w:t>
      </w:r>
      <w:r>
        <w:t xml:space="preserve">illustrate the demonstration.</w:t>
      </w:r>
      <w:r>
        <w:t xml:space="preserve"> </w:t>
      </w:r>
      <w:r>
        <w:t xml:space="preserve">Better use of the 2025 evaluation, by</w:t>
      </w:r>
      <w:r>
        <w:t xml:space="preserve"> </w:t>
      </w:r>
      <w:r>
        <w:t xml:space="preserve">including concrete findings and</w:t>
      </w:r>
      <w:r>
        <w:t xml:space="preserve"> </w:t>
      </w:r>
      <w:r>
        <w:t xml:space="preserve">examples in the analysis of the</w:t>
      </w:r>
      <w:r>
        <w:t xml:space="preserve"> </w:t>
      </w:r>
      <w:r>
        <w:t xml:space="preserve">relevant</w:t>
      </w:r>
      <w:r>
        <w:t xml:space="preserve"> </w:t>
      </w:r>
      <w:r>
        <w:t xml:space="preserve">problems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drivers.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problem definition underlining why</w:t>
      </w:r>
      <w:r>
        <w:t xml:space="preserve"> </w:t>
      </w:r>
      <w:r>
        <w:t xml:space="preserve">the amendments of the Eurojust</w:t>
      </w:r>
      <w:r>
        <w:t xml:space="preserve"> </w:t>
      </w:r>
      <w:r>
        <w:t xml:space="preserve">Regulation since 2022 have not been</w:t>
      </w:r>
      <w:r>
        <w:t xml:space="preserve"> </w:t>
      </w:r>
      <w:r>
        <w:t xml:space="preserve">sufficient for Eurojust to address</w:t>
      </w:r>
      <w:r>
        <w:t xml:space="preserve"> </w:t>
      </w:r>
      <w:r>
        <w:t xml:space="preserve">the challenges. Better develop issues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governance</w:t>
      </w:r>
      <w:r>
        <w:t xml:space="preserve"> </w:t>
      </w:r>
      <w:r>
        <w:t xml:space="preserve">and</w:t>
      </w:r>
      <w:r>
        <w:t xml:space="preserve"> </w:t>
      </w:r>
      <w:r>
        <w:t xml:space="preserve">organisational culture and why</w:t>
      </w:r>
      <w:r>
        <w:t xml:space="preserve"> </w:t>
      </w:r>
      <w:r>
        <w:t xml:space="preserve">addressing them requires legislative</w:t>
      </w:r>
      <w:r>
        <w:t xml:space="preserve"> </w:t>
      </w:r>
      <w:r>
        <w:t xml:space="preserve">changes.</w:t>
      </w:r>
      <w:r>
        <w:t xml:space="preserve"> </w:t>
      </w:r>
      <w:r>
        <w:t xml:space="preserve">The nature of the problem driver, whether legal</w:t>
      </w:r>
      <w:r>
        <w:t xml:space="preserve"> </w:t>
      </w:r>
      <w:r>
        <w:t xml:space="preserve">or empirical/practical, has been described for</w:t>
      </w:r>
      <w:r>
        <w:t xml:space="preserve"> </w:t>
      </w:r>
      <w:r>
        <w:t xml:space="preserve">each of them. In addition, further details have</w:t>
      </w:r>
      <w:r>
        <w:t xml:space="preserve"> </w:t>
      </w:r>
      <w:r>
        <w:t xml:space="preserve">been provided on the limited, targeted and</w:t>
      </w:r>
      <w:r>
        <w:t xml:space="preserve"> </w:t>
      </w:r>
      <w:r>
        <w:t xml:space="preserve">circumstantial nature of the three previous</w:t>
      </w:r>
      <w:r>
        <w:t xml:space="preserve"> </w:t>
      </w:r>
      <w:r>
        <w:t xml:space="preserve">revisions of Eurojust’s mandate.</w:t>
      </w:r>
      <w:r>
        <w:t xml:space="preserve"> </w:t>
      </w:r>
      <w:r>
        <w:t xml:space="preserve">Based in particular on the 2025 evaluation report,</w:t>
      </w:r>
      <w:r>
        <w:t xml:space="preserve"> </w:t>
      </w:r>
      <w:r>
        <w:t xml:space="preserve">it has been further demonstrated that the issues</w:t>
      </w:r>
      <w:r>
        <w:t xml:space="preserve"> </w:t>
      </w:r>
      <w:r>
        <w:t xml:space="preserve">regarding the effectiveness of the agency’s</w:t>
      </w:r>
      <w:r>
        <w:t xml:space="preserve"> </w:t>
      </w:r>
      <w:r>
        <w:t xml:space="preserve">governance</w:t>
      </w:r>
      <w:r>
        <w:t xml:space="preserve"> </w:t>
      </w:r>
      <w:r>
        <w:t xml:space="preserve">stem</w:t>
      </w:r>
      <w:r>
        <w:t xml:space="preserve"> </w:t>
      </w:r>
      <w:r>
        <w:t xml:space="preserve">from</w:t>
      </w:r>
      <w:r>
        <w:t xml:space="preserve"> </w:t>
      </w:r>
      <w:r>
        <w:t xml:space="preserve">problems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culture (implementation of the</w:t>
      </w:r>
      <w:r>
        <w:t xml:space="preserve"> </w:t>
      </w:r>
      <w:r>
        <w:t xml:space="preserve">current legal framework) as well as a lack of</w:t>
      </w:r>
      <w:r>
        <w:t xml:space="preserve"> </w:t>
      </w:r>
      <w:r>
        <w:t xml:space="preserve">clarity in the regulation: ultimately, it is</w:t>
      </w:r>
      <w:r>
        <w:t xml:space="preserve"> </w:t>
      </w:r>
      <w:r>
        <w:t xml:space="preserve">explained that a legislative amendment to the</w:t>
      </w:r>
      <w:r>
        <w:t xml:space="preserve"> </w:t>
      </w:r>
      <w:r>
        <w:t xml:space="preserve">institutional framework is the preferred option.</w:t>
      </w:r>
    </w:p>
    <w:p>
      <w:pPr>
        <w:pStyle w:val="BodyText"/>
      </w:pPr>
      <w:r>
        <w:t xml:space="preserve">Make specific and operational</w:t>
      </w:r>
      <w:r>
        <w:t xml:space="preserve"> </w:t>
      </w:r>
      <w:r>
        <w:t xml:space="preserve">objectives SMARTer with related</w:t>
      </w:r>
      <w:r>
        <w:t xml:space="preserve"> </w:t>
      </w:r>
      <w:r>
        <w:t xml:space="preserve">key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adjusted accordingly, fully taking</w:t>
      </w:r>
      <w:r>
        <w:t xml:space="preserve"> </w:t>
      </w:r>
      <w:r>
        <w:t xml:space="preserve">into account digital solutions.</w:t>
      </w:r>
      <w:r>
        <w:t xml:space="preserve"> </w:t>
      </w:r>
      <w:r>
        <w:t xml:space="preserve">Chapter 9 on indicators and monitoring has been</w:t>
      </w:r>
      <w:r>
        <w:t xml:space="preserve"> </w:t>
      </w:r>
      <w:r>
        <w:t xml:space="preserve">redrafted to better present and describe, on the</w:t>
      </w:r>
      <w:r>
        <w:t xml:space="preserve"> </w:t>
      </w:r>
      <w:r>
        <w:t xml:space="preserve">one hand, the measurable indicators of success</w:t>
      </w:r>
      <w:r>
        <w:t xml:space="preserve"> </w:t>
      </w:r>
      <w:r>
        <w:t xml:space="preserve">and the proposed targets and, on the other hand,</w:t>
      </w:r>
      <w:r>
        <w:t xml:space="preserve"> </w:t>
      </w:r>
      <w:r>
        <w:t xml:space="preserve">the operational objectives and related indicators</w:t>
      </w:r>
      <w:r>
        <w:t xml:space="preserve"> </w:t>
      </w:r>
      <w:r>
        <w:t xml:space="preserve">proposed.</w:t>
      </w:r>
      <w:r>
        <w:t xml:space="preserve"> </w:t>
      </w:r>
      <w:r>
        <w:t xml:space="preserve">The RACER indicators are closely linked with</w:t>
      </w:r>
      <w:r>
        <w:t xml:space="preserve"> </w:t>
      </w:r>
      <w:r>
        <w:t xml:space="preserve">the SMART objectives specified in chapter 4.2.</w:t>
      </w:r>
      <w:r>
        <w:t xml:space="preserve"> </w:t>
      </w:r>
      <w:r>
        <w:t xml:space="preserve">(cf previous reply for key issues).</w:t>
      </w:r>
      <w:r>
        <w:t xml:space="preserve"> </w:t>
      </w:r>
      <w:r>
        <w:t xml:space="preserve">Better explain some measure, such</w:t>
      </w:r>
      <w:r>
        <w:t xml:space="preserve"> </w:t>
      </w:r>
      <w:r>
        <w:t xml:space="preserve">as the ones expanding Eurojust’s</w:t>
      </w:r>
      <w:r>
        <w:t xml:space="preserve"> </w:t>
      </w:r>
      <w:r>
        <w:t xml:space="preserve">competences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emerging</w:t>
      </w:r>
      <w:r>
        <w:t xml:space="preserve"> </w:t>
      </w:r>
      <w:r>
        <w:t xml:space="preserve">crimes and enhance the assessment</w:t>
      </w:r>
      <w:r>
        <w:t xml:space="preserve"> </w:t>
      </w:r>
      <w:r>
        <w:t xml:space="preserve">The contextual and legal grounds for expanding</w:t>
      </w:r>
      <w:r>
        <w:t xml:space="preserve"> </w:t>
      </w:r>
      <w:r>
        <w:t xml:space="preserve">Eurojust’s operational powers were set out in</w:t>
      </w:r>
      <w:r>
        <w:t xml:space="preserve"> </w:t>
      </w:r>
      <w:r>
        <w:t xml:space="preserve">Chapter 1 and, in greater detail, in Chapter 5 and</w:t>
      </w:r>
      <w:r>
        <w:t xml:space="preserve"> </w:t>
      </w:r>
      <w:r>
        <w:t xml:space="preserve">subsequent chapters, particularly with regard to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of the policy options, notably as</w:t>
      </w:r>
      <w:r>
        <w:t xml:space="preserve"> </w:t>
      </w:r>
      <w:r>
        <w:t xml:space="preserve">regards fundamental rights, in</w:t>
      </w:r>
      <w:r>
        <w:t xml:space="preserve"> </w:t>
      </w:r>
      <w:r>
        <w:t xml:space="preserve">particular data protection (analysis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associated</w:t>
      </w:r>
      <w:r>
        <w:t xml:space="preserve"> </w:t>
      </w:r>
      <w:r>
        <w:t xml:space="preserve">risks</w:t>
      </w:r>
      <w:r>
        <w:t xml:space="preserve"> </w:t>
      </w:r>
      <w:r>
        <w:t xml:space="preserve">and</w:t>
      </w:r>
      <w:r>
        <w:t xml:space="preserve"> </w:t>
      </w:r>
      <w:r>
        <w:t xml:space="preserve">safeguards envisaged to mitigate</w:t>
      </w:r>
      <w:r>
        <w:t xml:space="preserve"> </w:t>
      </w:r>
      <w:r>
        <w:t xml:space="preserve">them).</w:t>
      </w:r>
      <w:r>
        <w:t xml:space="preserve"> </w:t>
      </w:r>
      <w:r>
        <w:t xml:space="preserve">the analytical and financial aspects of criminal</w:t>
      </w:r>
      <w:r>
        <w:t xml:space="preserve"> </w:t>
      </w:r>
      <w:r>
        <w:t xml:space="preserve">investigations, in order to address new trends in</w:t>
      </w:r>
      <w:r>
        <w:t xml:space="preserve"> </w:t>
      </w:r>
      <w:r>
        <w:t xml:space="preserve">crime.</w:t>
      </w:r>
      <w:r>
        <w:t xml:space="preserve"> </w:t>
      </w:r>
      <w:r>
        <w:t xml:space="preserve">As previously explained (cf previous reply for</w:t>
      </w:r>
      <w:r>
        <w:t xml:space="preserve"> </w:t>
      </w:r>
      <w:r>
        <w:t xml:space="preserve">key issues), impacts of the preferred option on</w:t>
      </w:r>
      <w:r>
        <w:t xml:space="preserve"> </w:t>
      </w:r>
      <w:r>
        <w:t xml:space="preserve">fundamental rights, in particular data protection,</w:t>
      </w:r>
      <w:r>
        <w:t xml:space="preserve"> </w:t>
      </w:r>
      <w:r>
        <w:t xml:space="preserve">were more documented along with the solutions</w:t>
      </w:r>
      <w:r>
        <w:t xml:space="preserve"> </w:t>
      </w:r>
      <w:r>
        <w:t xml:space="preserve">found to eliminate and reduce the risks.</w:t>
      </w:r>
    </w:p>
    <w:p>
      <w:pPr>
        <w:pStyle w:val="BodyText"/>
      </w:pPr>
      <w:r>
        <w:t xml:space="preserve">Strengthen the analysis of the</w:t>
      </w:r>
      <w:r>
        <w:t xml:space="preserve"> </w:t>
      </w:r>
      <w:r>
        <w:t xml:space="preserve">coherence of the measures with</w:t>
      </w:r>
      <w:r>
        <w:t xml:space="preserve"> </w:t>
      </w:r>
      <w:r>
        <w:t xml:space="preserve">recent or ongoing initiatives related</w:t>
      </w:r>
      <w:r>
        <w:t xml:space="preserve"> </w:t>
      </w:r>
      <w:r>
        <w:t xml:space="preserve">to AFA and EU JHA bodies as well</w:t>
      </w:r>
      <w:r>
        <w:t xml:space="preserve"> </w:t>
      </w:r>
      <w:r>
        <w:t xml:space="preserve">as in relation to the EU external</w:t>
      </w:r>
      <w:r>
        <w:t xml:space="preserve"> </w:t>
      </w:r>
      <w:r>
        <w:t xml:space="preserve">policies.</w:t>
      </w:r>
      <w:r>
        <w:t xml:space="preserve"> </w:t>
      </w:r>
      <w:r>
        <w:t xml:space="preserve">The link between the ongoing revision of</w:t>
      </w:r>
      <w:r>
        <w:t xml:space="preserve"> </w:t>
      </w:r>
      <w:r>
        <w:t xml:space="preserve">Eurojust and the incoming AFA review has been</w:t>
      </w:r>
      <w:r>
        <w:t xml:space="preserve"> </w:t>
      </w:r>
      <w:r>
        <w:t xml:space="preserve">better explained. In addition to the presentation</w:t>
      </w:r>
      <w:r>
        <w:t xml:space="preserve"> </w:t>
      </w:r>
      <w:r>
        <w:t xml:space="preserve">of the relevant drivers, policy options and</w:t>
      </w:r>
      <w:r>
        <w:t xml:space="preserve"> </w:t>
      </w:r>
      <w:r>
        <w:t xml:space="preserve">measures related to specific objective 2 have</w:t>
      </w:r>
      <w:r>
        <w:t xml:space="preserve"> </w:t>
      </w:r>
      <w:r>
        <w:t xml:space="preserve">been more deeply analysed through the MCA</w:t>
      </w:r>
      <w:r>
        <w:t xml:space="preserve"> </w:t>
      </w:r>
      <w:r>
        <w:t xml:space="preserve">(multi-criteria assessment) and in particular the</w:t>
      </w:r>
      <w:r>
        <w:t xml:space="preserve"> </w:t>
      </w:r>
      <w:r>
        <w:t xml:space="preserve">consistency with other EU public policies and the</w:t>
      </w:r>
      <w:r>
        <w:t xml:space="preserve"> </w:t>
      </w:r>
      <w:r>
        <w:t xml:space="preserve">external coherence of the EU action.</w:t>
      </w:r>
    </w:p>
    <w:p>
      <w:pPr>
        <w:pStyle w:val="BodyText"/>
      </w:pPr>
      <w:r>
        <w:t xml:space="preserve">Improve the accessibility of the</w:t>
      </w:r>
      <w:r>
        <w:t xml:space="preserve"> </w:t>
      </w:r>
      <w:r>
        <w:t xml:space="preserve">report</w:t>
      </w:r>
      <w:r>
        <w:t xml:space="preserve"> </w:t>
      </w:r>
      <w:r>
        <w:t xml:space="preserve">to</w:t>
      </w:r>
      <w:r>
        <w:t xml:space="preserve"> </w:t>
      </w:r>
      <w:r>
        <w:t xml:space="preserve">non-experts,</w:t>
      </w:r>
      <w:r>
        <w:t xml:space="preserve"> </w:t>
      </w:r>
      <w:r>
        <w:t xml:space="preserve">while</w:t>
      </w:r>
      <w:r>
        <w:t xml:space="preserve"> </w:t>
      </w:r>
      <w:r>
        <w:t xml:space="preserve">keeping it to a reasonable size.</w:t>
      </w:r>
      <w:r>
        <w:t xml:space="preserve"> </w:t>
      </w:r>
      <w:r>
        <w:t xml:space="preserve">The glossary has been updated and all the</w:t>
      </w:r>
      <w:r>
        <w:t xml:space="preserve"> </w:t>
      </w:r>
      <w:r>
        <w:t xml:space="preserve">concepts and references contained in the report</w:t>
      </w:r>
      <w:r>
        <w:t xml:space="preserve"> </w:t>
      </w:r>
      <w:r>
        <w:t xml:space="preserve">(e.g. SIRIUS project, JIT…) have been defined</w:t>
      </w:r>
      <w:r>
        <w:t xml:space="preserve"> </w:t>
      </w:r>
      <w:r>
        <w:t xml:space="preserve">in a summarized and simple way.</w:t>
      </w:r>
      <w:r>
        <w:t xml:space="preserve"> </w:t>
      </w:r>
      <w:r>
        <w:t xml:space="preserve">The final report respects the Better Regulation</w:t>
      </w:r>
      <w:r>
        <w:t xml:space="preserve"> </w:t>
      </w:r>
      <w:r>
        <w:t xml:space="preserve">guidelines related to the average number of pages</w:t>
      </w:r>
      <w:r>
        <w:t xml:space="preserve"> </w:t>
      </w:r>
      <w:r>
        <w:t xml:space="preserve">of an IA (around 50).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A number of inputs and sources of data were used in the preparation of this impact</w:t>
      </w:r>
      <w:r>
        <w:t xml:space="preserve"> </w:t>
      </w:r>
      <w:r>
        <w:t xml:space="preserve">assessment, including the following:</w:t>
      </w:r>
      <w:r>
        <w:t xml:space="preserve"> </w:t>
      </w:r>
      <w:r>
        <w:t xml:space="preserve">•</w:t>
      </w:r>
      <w:r>
        <w:t xml:space="preserve"> </w:t>
      </w:r>
      <w:r>
        <w:t xml:space="preserve">The Evaluation Report on the implementation of the current Regulation published on</w:t>
      </w:r>
      <w:r>
        <w:t xml:space="preserve"> </w:t>
      </w:r>
      <w:r>
        <w:t xml:space="preserve">2 July 2025;</w:t>
      </w:r>
      <w:r>
        <w:t xml:space="preserve"> </w:t>
      </w:r>
      <w:r>
        <w:t xml:space="preserve">•</w:t>
      </w:r>
      <w:r>
        <w:t xml:space="preserve"> </w:t>
      </w:r>
      <w:r>
        <w:t xml:space="preserve">a Call for Evidence closed on 25 November 2025 (42 contributions received);</w:t>
      </w:r>
      <w:r>
        <w:t xml:space="preserve"> </w:t>
      </w:r>
      <w:r>
        <w:t xml:space="preserve">•</w:t>
      </w:r>
      <w:r>
        <w:t xml:space="preserve"> </w:t>
      </w:r>
      <w:r>
        <w:t xml:space="preserve">a Public Consultation published on 2 December and running until 24 February 2026</w:t>
      </w:r>
      <w:r>
        <w:t xml:space="preserve"> </w:t>
      </w:r>
      <w:r>
        <w:t xml:space="preserve">(20 contributions received);</w:t>
      </w:r>
      <w:r>
        <w:t xml:space="preserve"> </w:t>
      </w:r>
      <w:r>
        <w:t xml:space="preserve">•</w:t>
      </w:r>
      <w:r>
        <w:t xml:space="preserve"> </w:t>
      </w:r>
      <w:r>
        <w:t xml:space="preserve">EU case law (especially about power of national judicial authorities to issue MLA</w:t>
      </w:r>
      <w:r>
        <w:t xml:space="preserve"> </w:t>
      </w:r>
      <w:r>
        <w:t xml:space="preserve">requests such as EAW1).</w:t>
      </w:r>
    </w:p>
    <w:p>
      <w:pPr>
        <w:pStyle w:val="BodyText"/>
      </w:pPr>
      <w:r>
        <w:t xml:space="preserve">1 I.e. Joined Cases C-566/19 PPU and C-626/19 PPU 12 December 2019; Joined Cases C-508/18 and C.</w:t>
      </w:r>
      <w:r>
        <w:t xml:space="preserve"> </w:t>
      </w:r>
      <w:r>
        <w:t xml:space="preserve">509/18.CJUE, 27 May 2019.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Informal brainstorming led at the internal level of the Commission (DG JUST, DG</w:t>
      </w:r>
      <w:r>
        <w:t xml:space="preserve"> </w:t>
      </w:r>
      <w:r>
        <w:t xml:space="preserve">HOME, SG, LS…), but also with Eurojust staff and College.</w:t>
      </w:r>
      <w:r>
        <w:t xml:space="preserve"> </w:t>
      </w:r>
      <w:r>
        <w:t xml:space="preserve">•</w:t>
      </w:r>
      <w:r>
        <w:t xml:space="preserve"> </w:t>
      </w:r>
      <w:r>
        <w:t xml:space="preserve">Specific Eurojust’s College meeting on 16 September 2025 and two technical</w:t>
      </w:r>
      <w:r>
        <w:t xml:space="preserve"> </w:t>
      </w:r>
      <w:r>
        <w:t xml:space="preserve">workshops organised on 17 October and 28 November 2025 (vision 2035).</w:t>
      </w:r>
      <w:r>
        <w:t xml:space="preserve"> </w:t>
      </w:r>
      <w:r>
        <w:t xml:space="preserve">•</w:t>
      </w:r>
      <w:r>
        <w:t xml:space="preserve"> </w:t>
      </w:r>
      <w:r>
        <w:t xml:space="preserve">Works of the Consultative forum of the Prosecutors General and Directors of</w:t>
      </w:r>
      <w:r>
        <w:t xml:space="preserve"> </w:t>
      </w:r>
      <w:r>
        <w:t xml:space="preserve">Public Prosecutions of the EU Member States (19th on 2 October 2025 and 20th on</w:t>
      </w:r>
      <w:r>
        <w:t xml:space="preserve"> </w:t>
      </w:r>
      <w:r>
        <w:t xml:space="preserve">19 and 20 March 2026) have been mainly focused on the incoming revision of</w:t>
      </w:r>
      <w:r>
        <w:t xml:space="preserve"> </w:t>
      </w:r>
      <w:r>
        <w:t xml:space="preserve">Eurojust.</w:t>
      </w:r>
      <w:r>
        <w:t xml:space="preserve"> </w:t>
      </w:r>
      <w:r>
        <w:t xml:space="preserve">•</w:t>
      </w:r>
      <w:r>
        <w:t xml:space="preserve"> </w:t>
      </w:r>
      <w:r>
        <w:t xml:space="preserve">Various studies and reports (SOCTA, Road map on drug trafficking etc.) as</w:t>
      </w:r>
      <w:r>
        <w:t xml:space="preserve"> </w:t>
      </w:r>
      <w:r>
        <w:t xml:space="preserve">mentioned in Chapter 1.1</w:t>
      </w:r>
      <w:r>
        <w:t xml:space="preserve"> </w:t>
      </w:r>
      <w:r>
        <w:t xml:space="preserve">•</w:t>
      </w:r>
      <w:r>
        <w:t xml:space="preserve"> </w:t>
      </w:r>
      <w:r>
        <w:t xml:space="preserve">Targeted surveys and consultations of practitioners and national authorities by the</w:t>
      </w:r>
      <w:r>
        <w:t xml:space="preserve"> </w:t>
      </w:r>
      <w:r>
        <w:t xml:space="preserve">contractor from end of January; 429 replies have been received.</w:t>
      </w:r>
      <w:r>
        <w:t xml:space="preserve"> </w:t>
      </w:r>
      <w:r>
        <w:t xml:space="preserve">The data sources are thus essentially public authorities in the EU and its Member States. The</w:t>
      </w:r>
      <w:r>
        <w:t xml:space="preserve"> </w:t>
      </w:r>
      <w:r>
        <w:t xml:space="preserve">quality of this data is therefore high, with the proviso that it covers essentially the activity of</w:t>
      </w:r>
      <w:r>
        <w:t xml:space="preserve"> </w:t>
      </w:r>
      <w:r>
        <w:t xml:space="preserve">judicial cooperation and mutual legal assistance.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</w:t>
      </w:r>
      <w:r>
        <w:br/>
      </w:r>
      <w:r>
        <w:t xml:space="preserve">INTRODUCTION</w:t>
      </w:r>
      <w:r>
        <w:t xml:space="preserve"> </w:t>
      </w:r>
      <w:r>
        <w:t xml:space="preserve">This annex presents the results of the consultation activities carried out in the context of the</w:t>
      </w:r>
      <w:r>
        <w:t xml:space="preserve"> </w:t>
      </w:r>
      <w:r>
        <w:t xml:space="preserve">impact assessment support study for the Regulation (EU) 2018/1727. The report has been</w:t>
      </w:r>
      <w:r>
        <w:t xml:space="preserve"> </w:t>
      </w:r>
      <w:r>
        <w:t xml:space="preserve">prepared in accordance with the requirements set out in the European Commission Better</w:t>
      </w:r>
      <w:r>
        <w:t xml:space="preserve"> </w:t>
      </w:r>
      <w:r>
        <w:t xml:space="preserve">Regulation Toolbox.</w:t>
      </w:r>
      <w:r>
        <w:t xml:space="preserve"> </w:t>
      </w:r>
      <w:r>
        <w:t xml:space="preserve">Its purpose is to provide a qualitative and quantitative analytical overview of the input</w:t>
      </w:r>
      <w:r>
        <w:t xml:space="preserve"> </w:t>
      </w:r>
      <w:r>
        <w:t xml:space="preserve">received from stakeholders through the various consultation tools employed, notably the call</w:t>
      </w:r>
      <w:r>
        <w:t xml:space="preserve"> </w:t>
      </w:r>
      <w:r>
        <w:t xml:space="preserve">for evidence, interviews, the online survey, and the public consultation.</w:t>
      </w:r>
      <w:r>
        <w:br/>
      </w:r>
      <w:r>
        <w:t xml:space="preserve">2.</w:t>
      </w:r>
      <w:r>
        <w:br/>
      </w:r>
      <w:r>
        <w:t xml:space="preserve">CONSULTATION STRATEGY</w:t>
      </w:r>
      <w:r>
        <w:t xml:space="preserve"> </w:t>
      </w:r>
      <w:r>
        <w:t xml:space="preserve">The consultation strategy was designed to ensure that the supporting study captured the</w:t>
      </w:r>
      <w:r>
        <w:t xml:space="preserve"> </w:t>
      </w:r>
      <w:r>
        <w:t xml:space="preserve">perspectives of a broad range of stakeholders, both internal and external to Eurojust. These</w:t>
      </w:r>
      <w:r>
        <w:t xml:space="preserve"> </w:t>
      </w:r>
      <w:r>
        <w:t xml:space="preserve">included Eurojust staff, national desks, national authorities and practitioners, as well as</w:t>
      </w:r>
      <w:r>
        <w:t xml:space="preserve"> </w:t>
      </w:r>
      <w:r>
        <w:t xml:space="preserve">international organisations. In order to assess the potential impact of measures under Special</w:t>
      </w:r>
      <w:r>
        <w:t xml:space="preserve"> </w:t>
      </w:r>
      <w:r>
        <w:t xml:space="preserve">Objective 4, particular attention was also given to stakeholders from third countries,</w:t>
      </w:r>
      <w:r>
        <w:t xml:space="preserve"> </w:t>
      </w:r>
      <w:r>
        <w:t xml:space="preserve">including Liaison Prosecutors and national authorities.</w:t>
      </w:r>
      <w:r>
        <w:br/>
      </w:r>
      <w:r>
        <w:t xml:space="preserve">The consultation strategy built also on information already gathered during the evaluation of</w:t>
      </w:r>
      <w:r>
        <w:t xml:space="preserve"> </w:t>
      </w:r>
      <w:r>
        <w:t xml:space="preserve">the Regulation (EU) 2018/1727, notably in view of possible further legislative</w:t>
      </w:r>
      <w:r>
        <w:t xml:space="preserve"> </w:t>
      </w:r>
      <w:r>
        <w:t xml:space="preserve">developments. The consultations pursued two main objectives: (1) to collect stakeholders’</w:t>
      </w:r>
      <w:r>
        <w:t xml:space="preserve"> </w:t>
      </w:r>
      <w:r>
        <w:t xml:space="preserve">views on possible options to address the problems identified in the evaluation, including</w:t>
      </w:r>
      <w:r>
        <w:t xml:space="preserve"> </w:t>
      </w:r>
      <w:r>
        <w:t xml:space="preserve">feedback on the recommendations stemming from that exercise; and (2) to gather</w:t>
      </w:r>
      <w:r>
        <w:t xml:space="preserve"> </w:t>
      </w:r>
      <w:r>
        <w:t xml:space="preserve">information on additional issues that may not have been identified in the evaluation of the</w:t>
      </w:r>
      <w:r>
        <w:t xml:space="preserve"> </w:t>
      </w:r>
      <w:r>
        <w:t xml:space="preserve">Eurojust Regulation.</w:t>
      </w:r>
      <w:r>
        <w:t xml:space="preserve"> </w:t>
      </w:r>
      <w:r>
        <w:t xml:space="preserve">3.</w:t>
      </w:r>
      <w:r>
        <w:br/>
      </w:r>
      <w:r>
        <w:t xml:space="preserve">CONSULTATION ACTIVITIES</w:t>
      </w:r>
      <w:r>
        <w:t xml:space="preserve"> </w:t>
      </w:r>
      <w:r>
        <w:t xml:space="preserve">Stakeholders were reached through a combination of direct invitations and openly accessible</w:t>
      </w:r>
      <w:r>
        <w:t xml:space="preserve"> </w:t>
      </w:r>
      <w:r>
        <w:t xml:space="preserve">consultations. This section provides an overview of the consultation activities undertaken as</w:t>
      </w:r>
      <w:r>
        <w:t xml:space="preserve"> </w:t>
      </w:r>
      <w:r>
        <w:t xml:space="preserve">part of the study.</w:t>
      </w:r>
      <w:r>
        <w:t xml:space="preserve"> </w:t>
      </w:r>
      <w:r>
        <w:t xml:space="preserve">3.1.</w:t>
      </w:r>
      <w:r>
        <w:br/>
      </w:r>
      <w:r>
        <w:t xml:space="preserve">Public consultation</w:t>
      </w:r>
      <w:r>
        <w:t xml:space="preserve"> </w:t>
      </w:r>
      <w:r>
        <w:t xml:space="preserve">The Commission launched a public consultation in all 24 official EU languages. The</w:t>
      </w:r>
      <w:r>
        <w:t xml:space="preserve"> </w:t>
      </w:r>
      <w:r>
        <w:t xml:space="preserve">consultation was questionnaire-based. The consultation period was twelve weeks (3</w:t>
      </w:r>
      <w:r>
        <w:t xml:space="preserve"> </w:t>
      </w:r>
      <w:r>
        <w:t xml:space="preserve">December 2025 to 24 February 2026) with 20 replies received. Out of these responses, 8</w:t>
      </w:r>
      <w:r>
        <w:t xml:space="preserve"> </w:t>
      </w:r>
      <w:r>
        <w:t xml:space="preserve">were received from public authorities, 9 from stakeholders from EU Member States and</w:t>
      </w:r>
      <w:r>
        <w:t xml:space="preserve"> </w:t>
      </w:r>
      <w:r>
        <w:t xml:space="preserve">three from third countries (Bosnia Herzegovina, North Macedonia and the United States).</w:t>
      </w:r>
      <w:r>
        <w:t xml:space="preserve"> </w:t>
      </w:r>
      <w:r>
        <w:t xml:space="preserve">Most responses were received from Belgian and French stakeholders, with four submissions</w:t>
      </w:r>
      <w:r>
        <w:t xml:space="preserve"> </w:t>
      </w:r>
      <w:r>
        <w:t xml:space="preserve">from each country. The outcome of the open public consultation was analysed by an external</w:t>
      </w:r>
      <w:r>
        <w:t xml:space="preserve"> </w:t>
      </w:r>
      <w:r>
        <w:t xml:space="preserve">contractor. The main points raised by the respondents were the following:</w:t>
      </w:r>
      <w:r>
        <w:t xml:space="preserve"> </w:t>
      </w:r>
      <w:r>
        <w:t xml:space="preserve">•</w:t>
      </w:r>
      <w:r>
        <w:t xml:space="preserve"> </w:t>
      </w:r>
      <w:r>
        <w:t xml:space="preserve">It found that almost all respondents believed Eurojust’s role in addressing serious and</w:t>
      </w:r>
      <w:r>
        <w:t xml:space="preserve"> </w:t>
      </w:r>
      <w:r>
        <w:t xml:space="preserve">organised cross-border crime in the EU to be important, 50% to be very important.</w:t>
      </w:r>
      <w:r>
        <w:t xml:space="preserve"> </w:t>
      </w:r>
      <w:r>
        <w:t xml:space="preserve">•</w:t>
      </w:r>
      <w:r>
        <w:t xml:space="preserve"> </w:t>
      </w:r>
      <w:r>
        <w:t xml:space="preserve">Some participants stressed the need to better consider the perspective of victims</w:t>
      </w:r>
      <w:r>
        <w:t xml:space="preserve"> </w:t>
      </w:r>
      <w:r>
        <w:t xml:space="preserve">and witnesses and to clarify case allocation between Eurojust and the EJN.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Criminal use of the digital space, AI and new technology was, almost unanimously,</w:t>
      </w:r>
      <w:r>
        <w:t xml:space="preserve"> </w:t>
      </w:r>
      <w:r>
        <w:t xml:space="preserve">seen as one of the main challenges that criminal investigations and prosecutions in</w:t>
      </w:r>
      <w:r>
        <w:t xml:space="preserve"> </w:t>
      </w:r>
      <w:r>
        <w:t xml:space="preserve">Europe will face in the coming years.</w:t>
      </w:r>
      <w:r>
        <w:br/>
      </w:r>
      <w:r>
        <w:t xml:space="preserve">3.2.</w:t>
      </w:r>
      <w:r>
        <w:br/>
      </w:r>
      <w:r>
        <w:t xml:space="preserve">Call for evidence</w:t>
      </w:r>
      <w:r>
        <w:t xml:space="preserve"> </w:t>
      </w:r>
      <w:r>
        <w:t xml:space="preserve">Call for Evidence was launched by the Commission and made available on the “Have Your</w:t>
      </w:r>
      <w:r>
        <w:t xml:space="preserve"> </w:t>
      </w:r>
      <w:r>
        <w:t xml:space="preserve">Say” website from 28 October 2025 until 3 December 2025, with 42 replies received.</w:t>
      </w:r>
      <w:r>
        <w:t xml:space="preserve"> </w:t>
      </w:r>
      <w:r>
        <w:t xml:space="preserve">Responses were submitted by members of the general public covering 21 EU countries, of</w:t>
      </w:r>
      <w:r>
        <w:t xml:space="preserve"> </w:t>
      </w:r>
      <w:r>
        <w:t xml:space="preserve">which the majority were stakeholders representing public authorities (22), followed by EU</w:t>
      </w:r>
      <w:r>
        <w:t xml:space="preserve"> </w:t>
      </w:r>
      <w:r>
        <w:t xml:space="preserve">citizens</w:t>
      </w:r>
      <w:r>
        <w:t xml:space="preserve"> </w:t>
      </w:r>
      <w:r>
        <w:t xml:space="preserve">(9).</w:t>
      </w:r>
      <w:r>
        <w:t xml:space="preserve"> </w:t>
      </w:r>
      <w:r>
        <w:t xml:space="preserve">Other</w:t>
      </w:r>
      <w:r>
        <w:t xml:space="preserve"> </w:t>
      </w:r>
      <w:r>
        <w:t xml:space="preserve">respondents</w:t>
      </w:r>
      <w:r>
        <w:t xml:space="preserve"> </w:t>
      </w:r>
      <w:r>
        <w:t xml:space="preserve">included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(3),</w:t>
      </w:r>
      <w:r>
        <w:t xml:space="preserve"> </w:t>
      </w:r>
      <w:r>
        <w:t xml:space="preserve">companies/businesses (3), one environmental organisation, and two NGOs. The main points</w:t>
      </w:r>
      <w:r>
        <w:t xml:space="preserve"> </w:t>
      </w:r>
      <w:r>
        <w:t xml:space="preserve">raised by the stakeholders concerned the European Judicial Network (EJN), Eurojust’s</w:t>
      </w:r>
      <w:r>
        <w:t xml:space="preserve"> </w:t>
      </w:r>
      <w:r>
        <w:t xml:space="preserve">mandate, and governance-related issues.</w:t>
      </w:r>
      <w:r>
        <w:br/>
      </w:r>
      <w:r>
        <w:t xml:space="preserve">•</w:t>
      </w:r>
      <w:r>
        <w:t xml:space="preserve"> </w:t>
      </w:r>
      <w:r>
        <w:t xml:space="preserve">Eurojust and EJN</w:t>
      </w:r>
      <w:r>
        <w:t xml:space="preserve"> </w:t>
      </w:r>
      <w:r>
        <w:t xml:space="preserve">Several stakeholders emphasised that, rather than competing, the EJN and Eurojust</w:t>
      </w:r>
      <w:r>
        <w:t xml:space="preserve"> </w:t>
      </w:r>
      <w:r>
        <w:t xml:space="preserve">complement each other and have distinct roles and highlighted the strengths and added</w:t>
      </w:r>
      <w:r>
        <w:t xml:space="preserve"> </w:t>
      </w:r>
      <w:r>
        <w:t xml:space="preserve">value of the EJN. It was therefore advocated to maintain the EJN’s autonomy,</w:t>
      </w:r>
      <w:r>
        <w:t xml:space="preserve"> </w:t>
      </w:r>
      <w:r>
        <w:t xml:space="preserve">independence, and practitioner-driven nature.</w:t>
      </w:r>
      <w:r>
        <w:t xml:space="preserve"> </w:t>
      </w:r>
      <w:r>
        <w:t xml:space="preserve">However, a recurring issue was the allocation of cases between EJN and Eurojust.</w:t>
      </w:r>
      <w:r>
        <w:t xml:space="preserve"> </w:t>
      </w:r>
      <w:r>
        <w:t xml:space="preserve">While one respondent suggested to not solve this issue by a revision of the Regulation,</w:t>
      </w:r>
      <w:r>
        <w:t xml:space="preserve"> </w:t>
      </w:r>
      <w:r>
        <w:t xml:space="preserve">but instead to just accept, that, unless a case is complicated or a coordination meeting</w:t>
      </w:r>
      <w:r>
        <w:t xml:space="preserve"> </w:t>
      </w:r>
      <w:r>
        <w:t xml:space="preserve">is required, the EJN should handle the case, others were in favour of complementarity</w:t>
      </w:r>
      <w:r>
        <w:t xml:space="preserve"> </w:t>
      </w:r>
      <w:r>
        <w:t xml:space="preserve">and clearer definitions, reflected in the revised Regulation.</w:t>
      </w:r>
      <w:r>
        <w:t xml:space="preserve"> </w:t>
      </w:r>
      <w:r>
        <w:t xml:space="preserve">•</w:t>
      </w:r>
      <w:r>
        <w:t xml:space="preserve"> </w:t>
      </w:r>
      <w:r>
        <w:t xml:space="preserve">Eurojust’s mandate</w:t>
      </w:r>
      <w:r>
        <w:t xml:space="preserve"> </w:t>
      </w:r>
      <w:r>
        <w:t xml:space="preserve">With Eurojust being an essential and effective actor in the fight against cross-border</w:t>
      </w:r>
      <w:r>
        <w:t xml:space="preserve"> </w:t>
      </w:r>
      <w:r>
        <w:t xml:space="preserve">crime, some respondents argued that its mandate should be strengthened by giving</w:t>
      </w:r>
      <w:r>
        <w:t xml:space="preserve"> </w:t>
      </w:r>
      <w:r>
        <w:t xml:space="preserve">it more operational roles. One advocated for equipping Eurojust with criminal</w:t>
      </w:r>
      <w:r>
        <w:t xml:space="preserve"> </w:t>
      </w:r>
      <w:r>
        <w:t xml:space="preserve">analytical capacity, which could contribute to the early detection of crimes.</w:t>
      </w:r>
      <w:r>
        <w:br/>
      </w:r>
      <w:r>
        <w:t xml:space="preserve">On the other hand, it was argued that Eurojust should remain focused on coordinating</w:t>
      </w:r>
      <w:r>
        <w:t xml:space="preserve"> </w:t>
      </w:r>
      <w:r>
        <w:t xml:space="preserve">and facilitating judicial cooperation and should not become more proactive or given</w:t>
      </w:r>
      <w:r>
        <w:t xml:space="preserve"> </w:t>
      </w:r>
      <w:r>
        <w:t xml:space="preserve">“executive powers”.</w:t>
      </w:r>
      <w:r>
        <w:t xml:space="preserve"> </w:t>
      </w:r>
      <w:r>
        <w:t xml:space="preserve">•</w:t>
      </w:r>
      <w:r>
        <w:t xml:space="preserve"> </w:t>
      </w:r>
      <w:r>
        <w:t xml:space="preserve">Prevention of crimes and Governance</w:t>
      </w:r>
      <w:r>
        <w:t xml:space="preserve"> </w:t>
      </w:r>
      <w:r>
        <w:t xml:space="preserve">It was recommended to have a database to prevent crimes, where alerts could be sent</w:t>
      </w:r>
      <w:r>
        <w:t xml:space="preserve"> </w:t>
      </w:r>
      <w:r>
        <w:t xml:space="preserve">by anyone, and for Eurojust to better utilise its existing information. A more</w:t>
      </w:r>
      <w:r>
        <w:t xml:space="preserve"> </w:t>
      </w:r>
      <w:r>
        <w:t xml:space="preserve">standardised crime analysis at the European level was also suggested.</w:t>
      </w:r>
      <w:r>
        <w:t xml:space="preserve"> </w:t>
      </w:r>
      <w:r>
        <w:t xml:space="preserve">Regarding the enhancement of governance and decision-making processes,</w:t>
      </w:r>
      <w:r>
        <w:t xml:space="preserve"> </w:t>
      </w:r>
      <w:r>
        <w:t xml:space="preserve">respondents proposed that the Executive Board should comprise solely elected</w:t>
      </w:r>
      <w:r>
        <w:t xml:space="preserve"> </w:t>
      </w:r>
      <w:r>
        <w:t xml:space="preserve">members of the College. Under this model, the Board would report its activities to</w:t>
      </w:r>
      <w:r>
        <w:t xml:space="preserve"> </w:t>
      </w:r>
      <w:r>
        <w:t xml:space="preserve">the College, while the College would retain the right to decide on certain matters or</w:t>
      </w:r>
      <w:r>
        <w:t xml:space="preserve"> </w:t>
      </w:r>
      <w:r>
        <w:t xml:space="preserve">review the Board’s actions.</w:t>
      </w:r>
      <w:r>
        <w:t xml:space="preserve"> </w:t>
      </w:r>
      <w:r>
        <w:t xml:space="preserve">•</w:t>
      </w:r>
      <w:r>
        <w:t xml:space="preserve"> </w:t>
      </w:r>
      <w:r>
        <w:t xml:space="preserve">Third country cooperation and evolving nature of crime</w:t>
      </w:r>
      <w:r>
        <w:t xml:space="preserve"> </w:t>
      </w:r>
      <w:r>
        <w:t xml:space="preserve">The importance of prioritising cooperation with third countries and increasing the</w:t>
      </w:r>
      <w:r>
        <w:t xml:space="preserve"> </w:t>
      </w:r>
      <w:r>
        <w:t xml:space="preserve">number of working arrangements was also emphasised. Eurojust should have</w:t>
      </w:r>
      <w:r>
        <w:t xml:space="preserve"> </w:t>
      </w:r>
      <w:r>
        <w:t xml:space="preserve">sufficient resources and make use of technological tools in order to match the evolving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nature of crime. It should also invest in training and advanced technologies to counter</w:t>
      </w:r>
      <w:r>
        <w:t xml:space="preserve"> </w:t>
      </w:r>
      <w:r>
        <w:t xml:space="preserve">new forms of crime.</w:t>
      </w:r>
      <w:r>
        <w:t xml:space="preserve"> </w:t>
      </w:r>
      <w:r>
        <w:t xml:space="preserve">3.3.</w:t>
      </w:r>
      <w:r>
        <w:br/>
      </w:r>
      <w:r>
        <w:t xml:space="preserve">Online survey</w:t>
      </w:r>
      <w:r>
        <w:t xml:space="preserve"> </w:t>
      </w:r>
      <w:r>
        <w:t xml:space="preserve">An Online survey was conducted until 4 March 2026, targeting a range of stakeholder types,</w:t>
      </w:r>
      <w:r>
        <w:t xml:space="preserve"> </w:t>
      </w:r>
      <w:r>
        <w:t xml:space="preserve">including practitioners, the Eurojust administration and national desks, and public officials.</w:t>
      </w:r>
      <w:r>
        <w:t xml:space="preserve"> </w:t>
      </w:r>
      <w:r>
        <w:t xml:space="preserve">Several non-EU and EU countries were represented, with the most responses submitted from</w:t>
      </w:r>
      <w:r>
        <w:t xml:space="preserve"> </w:t>
      </w:r>
      <w:r>
        <w:t xml:space="preserve">Germany, followed by Spain. Serbia, North Macedonia, Iceland, United Kingdom, Albania</w:t>
      </w:r>
      <w:r>
        <w:t xml:space="preserve"> </w:t>
      </w:r>
      <w:r>
        <w:t xml:space="preserve">and Norway are the non-EU countries represented in this survey. Practitioners from EU</w:t>
      </w:r>
      <w:r>
        <w:t xml:space="preserve"> </w:t>
      </w:r>
      <w:r>
        <w:t xml:space="preserve">Member States accounted for nearly half of all responses (48%), making them the most</w:t>
      </w:r>
      <w:r>
        <w:t xml:space="preserve"> </w:t>
      </w:r>
      <w:r>
        <w:t xml:space="preserve">prominent stakeholder group in this survey, followed by members of the Eurojust</w:t>
      </w:r>
      <w:r>
        <w:t xml:space="preserve"> </w:t>
      </w:r>
      <w:r>
        <w:t xml:space="preserve">administration.</w:t>
      </w:r>
    </w:p>
    <w:p>
      <w:pPr>
        <w:pStyle w:val="BodyText"/>
      </w:pPr>
      <w:r>
        <w:t xml:space="preserve">The following tables shows the online survey participants per Member State and</w:t>
      </w:r>
      <w:r>
        <w:t xml:space="preserve"> </w:t>
      </w:r>
      <w:r>
        <w:t xml:space="preserve">participating stakeholder groups.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 main points raised by the stakeholders were the following: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Regarding Eurojust’s governance, decision-making and management structures,</w:t>
      </w:r>
      <w:r>
        <w:t xml:space="preserve"> </w:t>
      </w:r>
      <w:r>
        <w:t xml:space="preserve">the majority of the stakeholders agreed that its governance is currently fragmented</w:t>
      </w:r>
      <w:r>
        <w:t xml:space="preserve"> </w:t>
      </w:r>
      <w:r>
        <w:t xml:space="preserve">due to the coexistence and current roles and responsibilities of the College and its</w:t>
      </w:r>
      <w:r>
        <w:t xml:space="preserve"> </w:t>
      </w:r>
      <w:r>
        <w:t xml:space="preserve">Working Groups, the Executive Board, and the Administration. They therefore</w:t>
      </w:r>
      <w:r>
        <w:t xml:space="preserve"> </w:t>
      </w:r>
      <w:r>
        <w:t xml:space="preserve">stressed the need to review Eurojust’s decision-making processes, highlighting</w:t>
      </w:r>
      <w:r>
        <w:t xml:space="preserve"> </w:t>
      </w:r>
      <w:r>
        <w:t xml:space="preserve">inefficiencies within the College and the unclear division of tasks. The definitions of</w:t>
      </w:r>
      <w:r>
        <w:t xml:space="preserve"> </w:t>
      </w:r>
      <w:r>
        <w:t xml:space="preserve">‘operational’ and ‘administrative’ responsibilities were not clear.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In terms of operational activities and impact, most stakeholders also agreed that the status</w:t>
      </w:r>
      <w:r>
        <w:t xml:space="preserve"> </w:t>
      </w:r>
      <w:r>
        <w:t xml:space="preserve">and powers of National Members vary across Member States. The status and role of</w:t>
      </w:r>
      <w:r>
        <w:t xml:space="preserve"> </w:t>
      </w:r>
      <w:r>
        <w:t xml:space="preserve">Eurojust in EU policymaking and strategic cycles is unclear and not provided for</w:t>
      </w:r>
      <w:r>
        <w:t xml:space="preserve"> </w:t>
      </w:r>
      <w:r>
        <w:t xml:space="preserve">systematically.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Concerning the cooperation with EU IBOAs the majority of stakeholders found that</w:t>
      </w:r>
      <w:r>
        <w:t xml:space="preserve"> </w:t>
      </w:r>
      <w:r>
        <w:t xml:space="preserve">structural weaknesses exist in the relationship between Eurojust and Europol that hinder</w:t>
      </w:r>
      <w:r>
        <w:t xml:space="preserve"> </w:t>
      </w:r>
      <w:r>
        <w:t xml:space="preserve">effective cooperation. This hindered cooperation between Eurojust and EU partners is seen</w:t>
      </w:r>
      <w:r>
        <w:t xml:space="preserve"> </w:t>
      </w:r>
      <w:r>
        <w:t xml:space="preserve">to be caused by uncertainty about application of rules on data protection. On the other</w:t>
      </w:r>
      <w:r>
        <w:t xml:space="preserve"> </w:t>
      </w:r>
      <w:r>
        <w:t xml:space="preserve">hand, the framework for Eurojust cooperation with OLAF was not considered to be</w:t>
      </w:r>
      <w:r>
        <w:t xml:space="preserve"> </w:t>
      </w:r>
      <w:r>
        <w:t xml:space="preserve">fragmented and insufficiently codified.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Regarding Eurojust’s cooperation with third countries and international</w:t>
      </w:r>
      <w:r>
        <w:t xml:space="preserve"> </w:t>
      </w:r>
      <w:r>
        <w:t xml:space="preserve">organisations, most strongly agreed or agreed that the expansion of externally</w:t>
      </w:r>
      <w:r>
        <w:t xml:space="preserve"> </w:t>
      </w:r>
      <w:r>
        <w:t xml:space="preserve">funded projects increases the administrative burden of the agency. The application</w:t>
      </w:r>
      <w:r>
        <w:t xml:space="preserve"> </w:t>
      </w:r>
      <w:r>
        <w:t xml:space="preserve">of data protection rules and the process to negotiate third country cooperation</w:t>
      </w:r>
      <w:r>
        <w:t xml:space="preserve"> </w:t>
      </w:r>
      <w:r>
        <w:t xml:space="preserve">agreements were found to hinder cooperation by 50%.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Looking at the future of Eurojust, an increasing demand for cross-border judicial</w:t>
      </w:r>
      <w:r>
        <w:t xml:space="preserve"> </w:t>
      </w:r>
      <w:r>
        <w:t xml:space="preserve">coordination and evolutions in serious cross-border crime were both deemed very</w:t>
      </w:r>
      <w:r>
        <w:t xml:space="preserve"> </w:t>
      </w:r>
      <w:r>
        <w:t xml:space="preserve">important. As were digitalisation and resource pressures. Geopolitical instability</w:t>
      </w:r>
      <w:r>
        <w:t xml:space="preserve"> </w:t>
      </w:r>
      <w:r>
        <w:t xml:space="preserve">and global shifts to reliance on multilateral mechanisms was considered very</w:t>
      </w:r>
      <w:r>
        <w:t xml:space="preserve"> </w:t>
      </w:r>
      <w:r>
        <w:t xml:space="preserve">important or somewhat important by the majority.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3.4.</w:t>
      </w:r>
      <w:r>
        <w:br/>
      </w:r>
      <w:r>
        <w:t xml:space="preserve">Interviews</w:t>
      </w:r>
      <w:r>
        <w:t xml:space="preserve"> </w:t>
      </w:r>
      <w:r>
        <w:t xml:space="preserve">In total, interviews were conducted with 115 stakeholders.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Eurojust</w:t>
      </w:r>
      <w:r>
        <w:br/>
      </w:r>
      <w:r>
        <w:t xml:space="preserve">63</w:t>
      </w:r>
      <w:r>
        <w:br/>
      </w:r>
      <w:r>
        <w:t xml:space="preserve">External</w:t>
      </w:r>
      <w:r>
        <w:br/>
      </w:r>
      <w:r>
        <w:t xml:space="preserve">52</w:t>
      </w:r>
      <w:r>
        <w:br/>
      </w:r>
      <w:r>
        <w:t xml:space="preserve">Total</w:t>
      </w:r>
      <w:r>
        <w:br/>
      </w:r>
      <w:r>
        <w:t xml:space="preserve">115</w:t>
      </w:r>
    </w:p>
    <w:p>
      <w:pPr>
        <w:pStyle w:val="BodyText"/>
      </w:pPr>
      <w:r>
        <w:t xml:space="preserve">These interviews cover representatives of the Eurojust administration, national desks and</w:t>
      </w:r>
      <w:r>
        <w:t xml:space="preserve"> </w:t>
      </w:r>
      <w:r>
        <w:t xml:space="preserve">liaison prosecutors, EU IBOAs, EU and third country national-level stakeholders (authorities</w:t>
      </w:r>
      <w:r>
        <w:t xml:space="preserve"> </w:t>
      </w:r>
      <w:r>
        <w:t xml:space="preserve">and practitioners), and international organisations. They include in-person consultation with</w:t>
      </w:r>
      <w:r>
        <w:t xml:space="preserve"> </w:t>
      </w:r>
      <w:r>
        <w:t xml:space="preserve">Eurojust personnel during the site visit, as well as online interviews with a range of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number of interviews conducted per country is as follows:</w:t>
      </w:r>
      <w:r>
        <w:br/>
      </w:r>
      <w:r>
        <w:t xml:space="preserve">Country</w:t>
      </w:r>
      <w:r>
        <w:br/>
      </w:r>
      <w:r>
        <w:t xml:space="preserve">Number of interviews</w:t>
      </w:r>
      <w:r>
        <w:br/>
      </w:r>
      <w:r>
        <w:t xml:space="preserve">Austria</w:t>
      </w:r>
      <w:r>
        <w:br/>
      </w:r>
      <w:r>
        <w:t xml:space="preserve">2</w:t>
      </w:r>
      <w:r>
        <w:br/>
      </w:r>
      <w:r>
        <w:t xml:space="preserve">Belgium</w:t>
      </w:r>
      <w:r>
        <w:br/>
      </w:r>
      <w:r>
        <w:t xml:space="preserve">2</w:t>
      </w:r>
      <w:r>
        <w:br/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Czechia</w:t>
      </w:r>
      <w:r>
        <w:br/>
      </w:r>
      <w:r>
        <w:t xml:space="preserve">1</w:t>
      </w:r>
      <w:r>
        <w:br/>
      </w:r>
      <w:r>
        <w:t xml:space="preserve">Estonia</w:t>
      </w:r>
      <w:r>
        <w:br/>
      </w:r>
      <w:r>
        <w:t xml:space="preserve">1</w:t>
      </w:r>
      <w:r>
        <w:br/>
      </w:r>
      <w:r>
        <w:t xml:space="preserve">EU-level</w:t>
      </w:r>
      <w:r>
        <w:br/>
      </w:r>
      <w:r>
        <w:t xml:space="preserve">13</w:t>
      </w:r>
      <w:r>
        <w:t xml:space="preserve"> </w:t>
      </w:r>
      <w:r>
        <w:t xml:space="preserve">Finland</w:t>
      </w:r>
      <w:r>
        <w:br/>
      </w:r>
      <w:r>
        <w:t xml:space="preserve">2</w:t>
      </w:r>
      <w:r>
        <w:br/>
      </w:r>
      <w:r>
        <w:t xml:space="preserve">France</w:t>
      </w:r>
      <w:r>
        <w:br/>
      </w:r>
      <w:r>
        <w:t xml:space="preserve">5</w:t>
      </w:r>
      <w:r>
        <w:br/>
      </w:r>
      <w:r>
        <w:t xml:space="preserve">Germany</w:t>
      </w:r>
      <w:r>
        <w:br/>
      </w:r>
      <w:r>
        <w:t xml:space="preserve">2</w:t>
      </w:r>
      <w:r>
        <w:br/>
      </w:r>
      <w:r>
        <w:t xml:space="preserve">Greece</w:t>
      </w:r>
      <w:r>
        <w:br/>
      </w:r>
      <w:r>
        <w:t xml:space="preserve">1</w:t>
      </w:r>
      <w:r>
        <w:br/>
      </w:r>
      <w:r>
        <w:t xml:space="preserve">Ireland</w:t>
      </w:r>
      <w:r>
        <w:t xml:space="preserve"> </w:t>
      </w:r>
      <w:r>
        <w:t xml:space="preserve">2</w:t>
      </w:r>
      <w:r>
        <w:t xml:space="preserve"> </w:t>
      </w:r>
      <w:r>
        <w:t xml:space="preserve">Italy</w:t>
      </w:r>
      <w:r>
        <w:br/>
      </w:r>
      <w:r>
        <w:t xml:space="preserve">3</w:t>
      </w:r>
      <w:r>
        <w:br/>
      </w:r>
      <w:r>
        <w:t xml:space="preserve">Latvia</w:t>
      </w:r>
      <w:r>
        <w:t xml:space="preserve"> </w:t>
      </w:r>
      <w:r>
        <w:t xml:space="preserve">1</w:t>
      </w:r>
      <w:r>
        <w:br/>
      </w:r>
      <w:r>
        <w:t xml:space="preserve">Lithuania</w:t>
      </w:r>
      <w:r>
        <w:br/>
      </w:r>
      <w:r>
        <w:t xml:space="preserve">1</w:t>
      </w:r>
      <w:r>
        <w:br/>
      </w:r>
      <w:r>
        <w:t xml:space="preserve">Malta</w:t>
      </w:r>
      <w:r>
        <w:br/>
      </w:r>
      <w:r>
        <w:t xml:space="preserve">2</w:t>
      </w:r>
      <w:r>
        <w:br/>
      </w:r>
      <w:r>
        <w:t xml:space="preserve">Netherlands</w:t>
      </w:r>
      <w:r>
        <w:br/>
      </w:r>
      <w:r>
        <w:t xml:space="preserve">1</w:t>
      </w:r>
      <w:r>
        <w:br/>
      </w:r>
      <w:r>
        <w:t xml:space="preserve">Poland</w:t>
      </w:r>
      <w:r>
        <w:br/>
      </w:r>
      <w:r>
        <w:t xml:space="preserve">1</w:t>
      </w:r>
      <w:r>
        <w:br/>
      </w:r>
      <w:r>
        <w:t xml:space="preserve">Portugal</w:t>
      </w:r>
      <w:r>
        <w:br/>
      </w:r>
      <w:r>
        <w:t xml:space="preserve">1</w:t>
      </w:r>
      <w:r>
        <w:br/>
      </w:r>
      <w:r>
        <w:t xml:space="preserve">Slovakia</w:t>
      </w:r>
      <w:r>
        <w:br/>
      </w:r>
      <w:r>
        <w:t xml:space="preserve">1</w:t>
      </w:r>
      <w:r>
        <w:br/>
      </w:r>
      <w:r>
        <w:t xml:space="preserve">Slovenia</w:t>
      </w:r>
      <w:r>
        <w:br/>
      </w:r>
      <w:r>
        <w:t xml:space="preserve">1</w:t>
      </w:r>
      <w:r>
        <w:br/>
      </w:r>
      <w:r>
        <w:t xml:space="preserve">Spain</w:t>
      </w:r>
      <w:r>
        <w:br/>
      </w:r>
      <w:r>
        <w:t xml:space="preserve">1</w:t>
      </w:r>
      <w:r>
        <w:br/>
      </w:r>
      <w:r>
        <w:t xml:space="preserve">Brazil</w:t>
      </w:r>
      <w:r>
        <w:br/>
      </w:r>
      <w:r>
        <w:t xml:space="preserve">1</w:t>
      </w:r>
      <w:r>
        <w:br/>
      </w:r>
      <w:r>
        <w:t xml:space="preserve">Chile</w:t>
      </w:r>
      <w:r>
        <w:br/>
      </w:r>
      <w:r>
        <w:t xml:space="preserve">1</w:t>
      </w:r>
      <w:r>
        <w:br/>
      </w:r>
      <w:r>
        <w:t xml:space="preserve">Kosovo</w:t>
      </w:r>
      <w:r>
        <w:br/>
      </w:r>
      <w:r>
        <w:t xml:space="preserve">1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Lebanon</w:t>
      </w:r>
      <w:r>
        <w:t xml:space="preserve"> </w:t>
      </w:r>
      <w:r>
        <w:t xml:space="preserve">1</w:t>
      </w:r>
      <w:r>
        <w:t xml:space="preserve"> </w:t>
      </w:r>
      <w:r>
        <w:t xml:space="preserve">North Macedonia</w:t>
      </w:r>
      <w:r>
        <w:br/>
      </w:r>
      <w:r>
        <w:t xml:space="preserve">1</w:t>
      </w:r>
      <w:r>
        <w:br/>
      </w:r>
      <w:r>
        <w:t xml:space="preserve">International</w:t>
      </w:r>
      <w:r>
        <w:t xml:space="preserve"> </w:t>
      </w:r>
      <w:r>
        <w:t xml:space="preserve">organisations (Latin</w:t>
      </w:r>
      <w:r>
        <w:t xml:space="preserve"> </w:t>
      </w:r>
      <w:r>
        <w:t xml:space="preserve">America)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The table below shows the interviews per stakeholder group:</w:t>
      </w:r>
      <w:r>
        <w:t xml:space="preserve"> </w:t>
      </w:r>
      <w:r>
        <w:t xml:space="preserve">Stakeholder type</w:t>
      </w:r>
      <w:r>
        <w:br/>
      </w:r>
      <w:r>
        <w:t xml:space="preserve">Total Contacted</w:t>
      </w:r>
      <w:r>
        <w:br/>
      </w:r>
      <w:r>
        <w:t xml:space="preserve">Completed</w:t>
      </w:r>
      <w:r>
        <w:t xml:space="preserve"> </w:t>
      </w:r>
      <w:r>
        <w:t xml:space="preserve">Eurojust – Administration</w:t>
      </w:r>
      <w:r>
        <w:br/>
      </w:r>
      <w:r>
        <w:t xml:space="preserve">41</w:t>
      </w:r>
      <w:r>
        <w:br/>
      </w:r>
      <w:r>
        <w:t xml:space="preserve">41</w:t>
      </w:r>
      <w:r>
        <w:br/>
      </w:r>
      <w:r>
        <w:t xml:space="preserve">Eurojust – National desks &amp; DK</w:t>
      </w:r>
      <w:r>
        <w:br/>
      </w:r>
      <w:r>
        <w:t xml:space="preserve">18</w:t>
      </w:r>
      <w:r>
        <w:br/>
      </w:r>
      <w:r>
        <w:t xml:space="preserve">18</w:t>
      </w:r>
      <w:r>
        <w:br/>
      </w:r>
      <w:r>
        <w:t xml:space="preserve">Eurojust – Liaison Prosecutors</w:t>
      </w:r>
      <w:r>
        <w:br/>
      </w:r>
      <w:r>
        <w:t xml:space="preserve">4</w:t>
      </w:r>
      <w:r>
        <w:br/>
      </w:r>
      <w:r>
        <w:t xml:space="preserve">4</w:t>
      </w:r>
      <w:r>
        <w:br/>
      </w:r>
      <w:r>
        <w:t xml:space="preserve">EU IBOAs</w:t>
      </w:r>
      <w:r>
        <w:br/>
      </w:r>
      <w:r>
        <w:t xml:space="preserve">24</w:t>
      </w:r>
      <w:r>
        <w:br/>
      </w:r>
      <w:r>
        <w:t xml:space="preserve">13</w:t>
      </w:r>
      <w:r>
        <w:br/>
      </w:r>
      <w:r>
        <w:t xml:space="preserve">Independent expert</w:t>
      </w:r>
      <w:r>
        <w:br/>
      </w:r>
      <w:r>
        <w:t xml:space="preserve">2</w:t>
      </w:r>
      <w:r>
        <w:br/>
      </w:r>
      <w:r>
        <w:t xml:space="preserve">0</w:t>
      </w:r>
      <w:r>
        <w:br/>
      </w:r>
      <w:r>
        <w:t xml:space="preserve">International organisation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National authority - EU</w:t>
      </w:r>
      <w:r>
        <w:br/>
      </w:r>
      <w:r>
        <w:t xml:space="preserve">30</w:t>
      </w:r>
      <w:r>
        <w:br/>
      </w:r>
      <w:r>
        <w:t xml:space="preserve">10</w:t>
      </w:r>
      <w:r>
        <w:br/>
      </w:r>
      <w:r>
        <w:t xml:space="preserve">National practitioner - 3rd country 8</w:t>
      </w:r>
      <w:r>
        <w:br/>
      </w:r>
      <w:r>
        <w:t xml:space="preserve">5</w:t>
      </w:r>
      <w:r>
        <w:br/>
      </w:r>
      <w:r>
        <w:t xml:space="preserve">National practitioner - EU</w:t>
      </w:r>
      <w:r>
        <w:br/>
      </w:r>
      <w:r>
        <w:t xml:space="preserve">66</w:t>
      </w:r>
      <w:r>
        <w:t xml:space="preserve"> </w:t>
      </w:r>
      <w:r>
        <w:t xml:space="preserve">22</w:t>
      </w:r>
      <w:r>
        <w:br/>
      </w:r>
      <w:r>
        <w:t xml:space="preserve">Total</w:t>
      </w:r>
      <w:r>
        <w:br/>
      </w:r>
      <w:r>
        <w:t xml:space="preserve">196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Consultations were held with third country practitioners and international</w:t>
      </w:r>
      <w:r>
        <w:t xml:space="preserve"> </w:t>
      </w:r>
      <w:r>
        <w:t xml:space="preserve">organisations. They recognised the importance of Eurojust However, these discussions also</w:t>
      </w:r>
      <w:r>
        <w:t xml:space="preserve"> </w:t>
      </w:r>
      <w:r>
        <w:t xml:space="preserve">highlighted opportunities to improve cooperation, with many participants advocating for</w:t>
      </w:r>
      <w:r>
        <w:t xml:space="preserve"> </w:t>
      </w:r>
      <w:r>
        <w:t xml:space="preserve">measures such as establishing resident contact points and appointing Liaison Magistrates.</w:t>
      </w:r>
      <w:r>
        <w:t xml:space="preserve"> </w:t>
      </w:r>
      <w:r>
        <w:t xml:space="preserve">Issues concerning data transfer and capacity were also explored.</w:t>
      </w:r>
      <w:r>
        <w:t xml:space="preserve"> </w:t>
      </w:r>
      <w:r>
        <w:t xml:space="preserve">Interviews with national practitioners often highlighted the current lack of harmonisation</w:t>
      </w:r>
      <w:r>
        <w:t xml:space="preserve"> </w:t>
      </w:r>
      <w:r>
        <w:t xml:space="preserve">of the roles of National Members, whether crime areas should be added to Annex 1, and</w:t>
      </w:r>
      <w:r>
        <w:t xml:space="preserve"> </w:t>
      </w:r>
      <w:r>
        <w:t xml:space="preserve">the effectiveness of international cooperation from a practitioner perspective.</w:t>
      </w:r>
      <w:r>
        <w:br/>
      </w:r>
      <w:r>
        <w:t xml:space="preserve">•</w:t>
      </w:r>
      <w:r>
        <w:t xml:space="preserve"> </w:t>
      </w:r>
      <w:r>
        <w:t xml:space="preserve">Eurojust administration and national desks identified outdated tools, limited</w:t>
      </w:r>
      <w:r>
        <w:t xml:space="preserve"> </w:t>
      </w:r>
      <w:r>
        <w:t xml:space="preserve">cooperation with OLAF, and the advantages of competence over e-evidence orders as</w:t>
      </w:r>
      <w:r>
        <w:t xml:space="preserve"> </w:t>
      </w:r>
      <w:r>
        <w:t xml:space="preserve">current issues. They indicated that, without an amendment of te Eurojust Regulation,</w:t>
      </w:r>
      <w:r>
        <w:t xml:space="preserve"> </w:t>
      </w:r>
      <w:r>
        <w:t xml:space="preserve">in the next 10 years Eurojust’s ability to improve the consistency of its support and</w:t>
      </w:r>
      <w:r>
        <w:t xml:space="preserve"> </w:t>
      </w:r>
      <w:r>
        <w:t xml:space="preserve">impact across Member States would worsen.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Member State authorities and practitioners</w:t>
      </w:r>
      <w:r>
        <w:t xml:space="preserve"> </w:t>
      </w:r>
      <w:r>
        <w:t xml:space="preserve">Regarding the varying roles of National Members across Member States, a more</w:t>
      </w:r>
      <w:r>
        <w:t xml:space="preserve"> </w:t>
      </w:r>
      <w:r>
        <w:t xml:space="preserve">harmonised approach is welcomed. However, they warn that there may be constraints</w:t>
      </w:r>
      <w:r>
        <w:t xml:space="preserve"> </w:t>
      </w:r>
      <w:r>
        <w:t xml:space="preserve">due to national legal frameworks. In terms of adding new crime areas to Annex 1, some</w:t>
      </w:r>
      <w:r>
        <w:t xml:space="preserve"> </w:t>
      </w:r>
      <w:r>
        <w:t xml:space="preserve">stakeholders noted that it is crucial to avoid overlaps, while others thought that the key</w:t>
      </w:r>
      <w:r>
        <w:t xml:space="preserve"> </w:t>
      </w:r>
      <w:r>
        <w:t xml:space="preserve">areas are already included.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EU IBOAs</w:t>
      </w:r>
      <w:r>
        <w:t xml:space="preserve"> </w:t>
      </w:r>
      <w:r>
        <w:t xml:space="preserve">Concerning third-country cooperation, the level of engagement with Eurojust appears</w:t>
      </w:r>
      <w:r>
        <w:t xml:space="preserve"> </w:t>
      </w:r>
      <w:r>
        <w:t xml:space="preserve">to vary. For instance, certain measures, such as conditionality clauses, may prove more</w:t>
      </w:r>
      <w:r>
        <w:t xml:space="preserve"> </w:t>
      </w:r>
      <w:r>
        <w:t xml:space="preserve">effective in EU candidate countries.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ANNEX 3: WHO IS AFFECTED BY THE INITIATIVE AND HOW?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outlines the benefits of all provisions, as well as those specific to each action.</w:t>
      </w:r>
      <w:r>
        <w:t xml:space="preserve"> </w:t>
      </w:r>
      <w:r>
        <w:t xml:space="preserve">The same applies to the overview of costs. It also includes a table detailing contributions to</w:t>
      </w:r>
      <w:r>
        <w:t xml:space="preserve"> </w:t>
      </w:r>
      <w:r>
        <w:t xml:space="preserve">administrative burden reduction targets, alongside an overview of the relevant Sustainable</w:t>
      </w:r>
      <w:r>
        <w:t xml:space="preserve"> </w:t>
      </w:r>
      <w:r>
        <w:t xml:space="preserve">Development Goals.</w:t>
      </w:r>
      <w:r>
        <w:t xml:space="preserve"> </w:t>
      </w:r>
      <w:r>
        <w:t xml:space="preserve">Overview expected impacts preferred option (more detail below under I. Overview of</w:t>
      </w:r>
      <w:r>
        <w:t xml:space="preserve"> </w:t>
      </w:r>
      <w:r>
        <w:t xml:space="preserve">benefits)</w:t>
      </w:r>
      <w:r>
        <w:t xml:space="preserve"> </w:t>
      </w:r>
      <w:r>
        <w:t xml:space="preserve">#</w:t>
      </w:r>
      <w:r>
        <w:t xml:space="preserve"> </w:t>
      </w:r>
      <w:r>
        <w:t xml:space="preserve">SO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reduction costs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fraud and crime</w:t>
      </w:r>
      <w:r>
        <w:t xml:space="preserve"> </w:t>
      </w:r>
      <w:r>
        <w:t xml:space="preserve">Benefits to citizen</w:t>
      </w:r>
      <w:r>
        <w:t xml:space="preserve"> </w:t>
      </w:r>
      <w:r>
        <w:t xml:space="preserve">and business</w:t>
      </w:r>
      <w:r>
        <w:t xml:space="preserve"> </w:t>
      </w:r>
      <w:r>
        <w:t xml:space="preserve">Increased number of</w:t>
      </w:r>
      <w:r>
        <w:t xml:space="preserve"> </w:t>
      </w:r>
      <w:r>
        <w:t xml:space="preserve">complex EJ cases</w:t>
      </w:r>
      <w:r>
        <w:t xml:space="preserve"> </w:t>
      </w:r>
      <w:r>
        <w:t xml:space="preserve">1.A.i(b)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1.A.ii(b)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1.A.iii(b)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1.A.iv</w:t>
      </w:r>
      <w:r>
        <w:t xml:space="preserve"> </w:t>
      </w:r>
      <w:r>
        <w:t xml:space="preserve">++</w:t>
      </w:r>
      <w:r>
        <w:t xml:space="preserve"> </w:t>
      </w:r>
      <w:r>
        <w:t xml:space="preserve">N/A</w:t>
      </w:r>
      <w:r>
        <w:t xml:space="preserve"> </w:t>
      </w:r>
      <w:r>
        <w:t xml:space="preserve">++</w:t>
      </w:r>
      <w:r>
        <w:t xml:space="preserve"> </w:t>
      </w:r>
      <w:r>
        <w:t xml:space="preserve">N/A</w:t>
      </w:r>
      <w:r>
        <w:t xml:space="preserve"> </w:t>
      </w:r>
      <w:r>
        <w:t xml:space="preserve">1.A.v</w:t>
      </w:r>
      <w:r>
        <w:t xml:space="preserve"> </w:t>
      </w:r>
      <w:r>
        <w:t xml:space="preserve">+++</w:t>
      </w:r>
      <w:r>
        <w:t xml:space="preserve"> </w:t>
      </w:r>
      <w:r>
        <w:t xml:space="preserve">N/A</w:t>
      </w:r>
      <w:r>
        <w:t xml:space="preserve"> </w:t>
      </w:r>
      <w:r>
        <w:t xml:space="preserve">+++</w:t>
      </w:r>
      <w:r>
        <w:t xml:space="preserve"> </w:t>
      </w:r>
      <w:r>
        <w:t xml:space="preserve">N/A</w:t>
      </w:r>
      <w:r>
        <w:t xml:space="preserve"> </w:t>
      </w:r>
      <w:r>
        <w:t xml:space="preserve">1.B.i(b)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1.B.ii(b)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1.B.iii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1.B.iv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N/A</w:t>
      </w:r>
      <w:r>
        <w:t xml:space="preserve"> </w:t>
      </w:r>
      <w:r>
        <w:t xml:space="preserve">1.C.iii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2.D.i(b)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2.D.ii(b)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2.D.iii</w:t>
      </w:r>
      <w:r>
        <w:t xml:space="preserve"> </w:t>
      </w:r>
      <w:r>
        <w:t xml:space="preserve">++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2.D.iv</w:t>
      </w:r>
      <w:r>
        <w:t xml:space="preserve"> </w:t>
      </w:r>
      <w:r>
        <w:t xml:space="preserve">++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2.D.v</w:t>
      </w:r>
      <w:r>
        <w:t xml:space="preserve"> </w:t>
      </w:r>
      <w:r>
        <w:t xml:space="preserve">+++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2.E.i(b)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2.E.ii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2.E.iii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2.F.i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2.F.ii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2.F.iii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2.F.iv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Overview budgetary impact of implementation preferred option (more detail below</w:t>
      </w:r>
      <w:r>
        <w:t xml:space="preserve"> </w:t>
      </w:r>
      <w:r>
        <w:t xml:space="preserve">under: II. Overview of costs – Preferred option)</w:t>
      </w:r>
    </w:p>
    <w:p>
      <w:pPr>
        <w:pStyle w:val="BodyText"/>
      </w:pPr>
      <w:r>
        <w:t xml:space="preserve">One off costs</w:t>
      </w:r>
      <w:r>
        <w:t xml:space="preserve"> </w:t>
      </w:r>
      <w:r>
        <w:t xml:space="preserve">Recurrent costs (per annuam)</w:t>
      </w:r>
      <w:r>
        <w:t xml:space="preserve"> </w:t>
      </w:r>
      <w:r>
        <w:t xml:space="preserve">1.A.i(b)</w:t>
      </w:r>
      <w:r>
        <w:t xml:space="preserve"> </w:t>
      </w:r>
      <w:r>
        <w:t xml:space="preserve">N/A</w:t>
      </w:r>
      <w:r>
        <w:t xml:space="preserve"> </w:t>
      </w:r>
      <w:r>
        <w:t xml:space="preserve">EUR 582 000 (staff)</w:t>
      </w:r>
      <w:r>
        <w:t xml:space="preserve"> </w:t>
      </w:r>
      <w:r>
        <w:t xml:space="preserve">+</w:t>
      </w:r>
      <w:r>
        <w:t xml:space="preserve"> </w:t>
      </w:r>
      <w:r>
        <w:t xml:space="preserve">EUR 500 000 (mission)</w:t>
      </w:r>
      <w:r>
        <w:t xml:space="preserve"> </w:t>
      </w:r>
      <w:r>
        <w:t xml:space="preserve">1.A.ii(b)</w:t>
      </w:r>
      <w:r>
        <w:t xml:space="preserve"> </w:t>
      </w:r>
      <w:r>
        <w:t xml:space="preserve">N/A</w:t>
      </w:r>
      <w:r>
        <w:t xml:space="preserve"> </w:t>
      </w:r>
      <w:r>
        <w:t xml:space="preserve">EUR 1 552 000 (EJ)</w:t>
      </w:r>
      <w:r>
        <w:t xml:space="preserve"> </w:t>
      </w:r>
      <w:r>
        <w:t xml:space="preserve">+</w:t>
      </w:r>
      <w:r>
        <w:t xml:space="preserve"> </w:t>
      </w:r>
      <w:r>
        <w:t xml:space="preserve">EUR 2 916 000 (SNEs) staff</w:t>
      </w:r>
      <w:r>
        <w:t xml:space="preserve"> </w:t>
      </w:r>
      <w:r>
        <w:t xml:space="preserve">1.A.iii(b) EUR 2.5-3.7 million (over MFF)</w:t>
      </w:r>
      <w:r>
        <w:t xml:space="preserve"> </w:t>
      </w:r>
      <w:r>
        <w:t xml:space="preserve">EUR 388 000 staff</w:t>
      </w:r>
      <w:r>
        <w:t xml:space="preserve"> </w:t>
      </w:r>
      <w:r>
        <w:t xml:space="preserve">+</w:t>
      </w:r>
      <w:r>
        <w:t xml:space="preserve"> </w:t>
      </w:r>
      <w:r>
        <w:t xml:space="preserve">EUR 1.5 million (non-staff)</w:t>
      </w:r>
      <w:r>
        <w:t xml:space="preserve"> </w:t>
      </w:r>
      <w:r>
        <w:t xml:space="preserve">1.A.iv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1.A.v</w:t>
      </w:r>
      <w:r>
        <w:t xml:space="preserve"> </w:t>
      </w:r>
      <w:r>
        <w:t xml:space="preserve">N/A</w:t>
      </w:r>
      <w:r>
        <w:t xml:space="preserve"> </w:t>
      </w:r>
      <w:r>
        <w:t xml:space="preserve">EUR 3 298 000</w:t>
      </w:r>
      <w:r>
        <w:t xml:space="preserve"> </w:t>
      </w:r>
      <w:r>
        <w:t xml:space="preserve">+</w:t>
      </w:r>
      <w:r>
        <w:t xml:space="preserve"> </w:t>
      </w:r>
      <w:r>
        <w:t xml:space="preserve">EUR 2 million (non-staff)</w:t>
      </w:r>
      <w:r>
        <w:t xml:space="preserve"> </w:t>
      </w:r>
      <w:r>
        <w:t xml:space="preserve">1.B.i(b)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1.B.ii(b)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1.B.iii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1.B.iv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1.C.i, ii,</w:t>
      </w:r>
      <w:r>
        <w:t xml:space="preserve"> </w:t>
      </w:r>
      <w:r>
        <w:t xml:space="preserve">iii</w:t>
      </w:r>
      <w:r>
        <w:t xml:space="preserve"> </w:t>
      </w:r>
      <w:r>
        <w:t xml:space="preserve">none</w:t>
      </w:r>
      <w:r>
        <w:t xml:space="preserve"> </w:t>
      </w:r>
      <w:r>
        <w:t xml:space="preserve">EUR 200 000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2.D.i(b)</w:t>
      </w:r>
      <w:r>
        <w:t xml:space="preserve"> </w:t>
      </w:r>
      <w:r>
        <w:t xml:space="preserve">N/A</w:t>
      </w:r>
      <w:r>
        <w:t xml:space="preserve"> </w:t>
      </w:r>
      <w:r>
        <w:t xml:space="preserve">EUR 630 000</w:t>
      </w:r>
      <w:r>
        <w:t xml:space="preserve"> </w:t>
      </w:r>
      <w:r>
        <w:t xml:space="preserve">+</w:t>
      </w:r>
      <w:r>
        <w:t xml:space="preserve"> </w:t>
      </w:r>
      <w:r>
        <w:t xml:space="preserve">EUR 1.7 to 2.4 million</w:t>
      </w:r>
      <w:r>
        <w:t xml:space="preserve"> </w:t>
      </w:r>
      <w:r>
        <w:t xml:space="preserve">2.D.ii(b)</w:t>
      </w:r>
      <w:r>
        <w:t xml:space="preserve"> </w:t>
      </w:r>
      <w:r>
        <w:t xml:space="preserve">EUR 808 000</w:t>
      </w:r>
      <w:r>
        <w:t xml:space="preserve"> </w:t>
      </w:r>
      <w:r>
        <w:t xml:space="preserve">N/A</w:t>
      </w:r>
      <w:r>
        <w:t xml:space="preserve"> </w:t>
      </w:r>
      <w:r>
        <w:t xml:space="preserve">2.D.iii</w:t>
      </w:r>
      <w:r>
        <w:t xml:space="preserve"> </w:t>
      </w:r>
      <w:r>
        <w:t xml:space="preserve">N/A</w:t>
      </w:r>
      <w:r>
        <w:t xml:space="preserve"> </w:t>
      </w:r>
      <w:r>
        <w:t xml:space="preserve">Low</w:t>
      </w:r>
      <w:r>
        <w:t xml:space="preserve"> </w:t>
      </w:r>
      <w:r>
        <w:t xml:space="preserve">2.D.iv</w:t>
      </w:r>
      <w:r>
        <w:t xml:space="preserve"> </w:t>
      </w:r>
      <w:r>
        <w:t xml:space="preserve">N/A</w:t>
      </w:r>
      <w:r>
        <w:t xml:space="preserve"> </w:t>
      </w:r>
      <w:r>
        <w:t xml:space="preserve">Low</w:t>
      </w:r>
      <w:r>
        <w:t xml:space="preserve"> </w:t>
      </w:r>
      <w:r>
        <w:t xml:space="preserve">2.D.v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2.E.i(b)</w:t>
      </w:r>
      <w:r>
        <w:t xml:space="preserve"> </w:t>
      </w:r>
      <w:r>
        <w:t xml:space="preserve">EUR 105 000</w:t>
      </w:r>
      <w:r>
        <w:t xml:space="preserve"> </w:t>
      </w:r>
      <w:r>
        <w:t xml:space="preserve">EUR 81 500</w:t>
      </w:r>
      <w:r>
        <w:t xml:space="preserve"> </w:t>
      </w:r>
      <w:r>
        <w:t xml:space="preserve">2.E.ii</w:t>
      </w:r>
      <w:r>
        <w:t xml:space="preserve"> </w:t>
      </w:r>
      <w:r>
        <w:t xml:space="preserve">2.E.iii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2.E.iv</w:t>
      </w:r>
      <w:r>
        <w:t xml:space="preserve"> </w:t>
      </w:r>
      <w:r>
        <w:t xml:space="preserve">EUR 105 000</w:t>
      </w:r>
      <w:r>
        <w:t xml:space="preserve"> </w:t>
      </w:r>
      <w:r>
        <w:t xml:space="preserve">Low</w:t>
      </w:r>
      <w:r>
        <w:t xml:space="preserve"> </w:t>
      </w:r>
      <w:r>
        <w:t xml:space="preserve">2.F.i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2.F.ii</w:t>
      </w:r>
      <w:r>
        <w:t xml:space="preserve"> </w:t>
      </w:r>
      <w:r>
        <w:t xml:space="preserve">Low</w:t>
      </w:r>
      <w:r>
        <w:t xml:space="preserve"> </w:t>
      </w:r>
      <w:r>
        <w:t xml:space="preserve">EUR 582 000 + EUR 105 000 + 404 000 staff,</w:t>
      </w:r>
      <w:r>
        <w:t xml:space="preserve"> </w:t>
      </w:r>
      <w:r>
        <w:t xml:space="preserve">plus LM costs of EUR 188 500 per country +</w:t>
      </w:r>
      <w:r>
        <w:t xml:space="preserve"> </w:t>
      </w:r>
      <w:r>
        <w:t xml:space="preserve">EUR 50 000 related costs</w:t>
      </w:r>
      <w:r>
        <w:t xml:space="preserve"> </w:t>
      </w:r>
      <w:r>
        <w:t xml:space="preserve">2.F.iii</w:t>
      </w:r>
      <w:r>
        <w:t xml:space="preserve"> </w:t>
      </w:r>
      <w:r>
        <w:t xml:space="preserve">N/A</w:t>
      </w:r>
      <w:r>
        <w:t xml:space="preserve"> </w:t>
      </w:r>
      <w:r>
        <w:t xml:space="preserve">EUR 776 000 + EUR 420 000 staff</w:t>
      </w:r>
      <w:r>
        <w:t xml:space="preserve"> </w:t>
      </w:r>
      <w:r>
        <w:t xml:space="preserve">2.F.iv</w:t>
      </w:r>
      <w:r>
        <w:t xml:space="preserve"> </w:t>
      </w:r>
      <w:r>
        <w:t xml:space="preserve">N/A</w:t>
      </w:r>
      <w:r>
        <w:t xml:space="preserve"> </w:t>
      </w:r>
      <w:r>
        <w:t xml:space="preserve">EUR 20 000 per RCP</w:t>
      </w:r>
      <w:r>
        <w:t xml:space="preserve"> </w:t>
      </w:r>
      <w:r>
        <w:t xml:space="preserve">2.F.v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Total</w:t>
      </w:r>
      <w:r>
        <w:t xml:space="preserve"> </w:t>
      </w:r>
      <w:r>
        <w:t xml:space="preserve">Total one-off costs of between EUR</w:t>
      </w:r>
      <w:r>
        <w:t xml:space="preserve"> </w:t>
      </w:r>
      <w:r>
        <w:t xml:space="preserve">4.4 million and EUR 5.6 million for</w:t>
      </w:r>
      <w:r>
        <w:t xml:space="preserve"> </w:t>
      </w:r>
      <w:r>
        <w:t xml:space="preserve">the implementation of the new</w:t>
      </w:r>
      <w:r>
        <w:t xml:space="preserve"> </w:t>
      </w:r>
      <w:r>
        <w:t xml:space="preserve">measures</w:t>
      </w:r>
      <w:r>
        <w:t xml:space="preserve"> </w:t>
      </w:r>
      <w:r>
        <w:t xml:space="preserve">Total recurrent costs between EUR 9.3</w:t>
      </w:r>
      <w:r>
        <w:t xml:space="preserve"> </w:t>
      </w:r>
      <w:r>
        <w:t xml:space="preserve">million and EUR 9.4 million on average per</w:t>
      </w:r>
      <w:r>
        <w:t xml:space="preserve"> </w:t>
      </w:r>
      <w:r>
        <w:t xml:space="preserve">annum over the course of the next MFF for</w:t>
      </w:r>
      <w:r>
        <w:t xml:space="preserve"> </w:t>
      </w:r>
      <w:r>
        <w:t xml:space="preserve">the implementation of the new measures</w:t>
      </w:r>
      <w:r>
        <w:t xml:space="preserve"> </w:t>
      </w:r>
      <w:r>
        <w:t xml:space="preserve">Additional operational expenditure of EUR</w:t>
      </w:r>
      <w:r>
        <w:t xml:space="preserve"> </w:t>
      </w:r>
      <w:r>
        <w:t xml:space="preserve">1.7 million on average per annum over the</w:t>
      </w:r>
      <w:r>
        <w:t xml:space="preserve"> </w:t>
      </w:r>
      <w:r>
        <w:t xml:space="preserve">course of the next MFF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Strengthen Eurojust’s internal</w:t>
      </w:r>
      <w:r>
        <w:t xml:space="preserve"> </w:t>
      </w:r>
      <w:r>
        <w:t xml:space="preserve">functioning, governance and</w:t>
      </w:r>
      <w:r>
        <w:t xml:space="preserve"> </w:t>
      </w:r>
      <w:r>
        <w:t xml:space="preserve">operational performance</w:t>
      </w:r>
      <w:r>
        <w:t xml:space="preserve"> </w:t>
      </w:r>
      <w:r>
        <w:t xml:space="preserve">(Specific Objective 1)</w:t>
      </w:r>
    </w:p>
    <w:p>
      <w:pPr>
        <w:pStyle w:val="BodyText"/>
      </w:pPr>
      <w:r>
        <w:t xml:space="preserve">Positioning Eurojust as a key evidence-based contributor to EU legislation would sharpen its strategic focus,</w:t>
      </w:r>
      <w:r>
        <w:t xml:space="preserve"> </w:t>
      </w:r>
      <w:r>
        <w:t xml:space="preserve">helping to align EU priorities (including SOCTA and EMPACT) with actual prosecutorial needs, and generally</w:t>
      </w:r>
      <w:r>
        <w:t xml:space="preserve"> </w:t>
      </w:r>
      <w:r>
        <w:t xml:space="preserve">improving how the strategic response to challenges experienced by judicial professionals. Expanding Eurojust’s</w:t>
      </w:r>
      <w:r>
        <w:t xml:space="preserve"> </w:t>
      </w:r>
      <w:r>
        <w:t xml:space="preserve">operational functions will boost judicial coordination, improve case resolution efficiency, and enhance support</w:t>
      </w:r>
      <w:r>
        <w:t xml:space="preserve"> </w:t>
      </w:r>
      <w:r>
        <w:t xml:space="preserve">for Joint Investigation Teams (JITs) through semi-permanent platforms and temporary secondments.</w:t>
      </w:r>
      <w:r>
        <w:t xml:space="preserve"> </w:t>
      </w:r>
      <w:r>
        <w:t xml:space="preserve">Broadening Eurojust’s mandate ensures continued relevance in new crime areas. Extending the CICED concept</w:t>
      </w:r>
      <w:r>
        <w:t xml:space="preserve"> </w:t>
      </w:r>
      <w:r>
        <w:t xml:space="preserve">to other crime areas will help Eurojust connect cases and leverage data more effectively.</w:t>
      </w:r>
      <w:r>
        <w:t xml:space="preserve"> </w:t>
      </w:r>
      <w:r>
        <w:t xml:space="preserve">A unified approach to case definition will reduce fragmentation, enabling a greater focus on complex cases</w:t>
      </w:r>
      <w:r>
        <w:t xml:space="preserve"> </w:t>
      </w:r>
      <w:r>
        <w:t xml:space="preserve">without deterring submissions of simple bilateral matters. Harmonising national member mandates and enhancing</w:t>
      </w:r>
      <w:r>
        <w:t xml:space="preserve"> </w:t>
      </w:r>
      <w:r>
        <w:t xml:space="preserve">capabilities will increase operational efficiency, facilitate urgent cross-border actions, and strengthen procedural</w:t>
      </w:r>
      <w:r>
        <w:t xml:space="preserve"> </w:t>
      </w:r>
      <w:r>
        <w:t xml:space="preserve">support.</w:t>
      </w:r>
      <w:r>
        <w:t xml:space="preserve"> </w:t>
      </w:r>
      <w:r>
        <w:t xml:space="preserve">Introducing an additional path for opening cases lets Eurojust take a proactive stance, connecting fragmented</w:t>
      </w:r>
      <w:r>
        <w:t xml:space="preserve"> </w:t>
      </w:r>
      <w:r>
        <w:t xml:space="preserve">evidence across countries. Allowing national members to concentrate solely on operations, while Member State</w:t>
      </w:r>
      <w:r>
        <w:t xml:space="preserve"> </w:t>
      </w:r>
      <w:r>
        <w:t xml:space="preserve">authorities direct strategy via the Management Board, clarifies governance, separates strategic, operational, and</w:t>
      </w:r>
      <w:r>
        <w:t xml:space="preserve"> </w:t>
      </w:r>
      <w:r>
        <w:t xml:space="preserve">daily management roles. In total, this is likely to free up more time for National Members to work on operational</w:t>
      </w:r>
      <w:r>
        <w:t xml:space="preserve"> </w:t>
      </w:r>
      <w:r>
        <w:t xml:space="preserve">activities (between 20% to 40%).</w:t>
      </w:r>
      <w:r>
        <w:t xml:space="preserve"> </w:t>
      </w:r>
      <w:r>
        <w:t xml:space="preserve">Achieve optimal alignment</w:t>
      </w:r>
      <w:r>
        <w:t xml:space="preserve"> </w:t>
      </w:r>
      <w:r>
        <w:t xml:space="preserve">and operational integration</w:t>
      </w:r>
      <w:r>
        <w:t xml:space="preserve"> </w:t>
      </w:r>
      <w:r>
        <w:t xml:space="preserve">with EU partners and Third</w:t>
      </w:r>
      <w:r>
        <w:t xml:space="preserve"> </w:t>
      </w:r>
      <w:r>
        <w:t xml:space="preserve">countries (Specific Objective</w:t>
      </w:r>
      <w:r>
        <w:t xml:space="preserve"> </w:t>
      </w:r>
      <w:r>
        <w:t xml:space="preserve">2)</w:t>
      </w:r>
    </w:p>
    <w:p>
      <w:pPr>
        <w:pStyle w:val="BodyText"/>
      </w:pPr>
      <w:r>
        <w:t xml:space="preserve">Automated indirect access to Europol and EPPO databases, though a step toward judicial digitalisation, is unlikely</w:t>
      </w:r>
      <w:r>
        <w:t xml:space="preserve"> </w:t>
      </w:r>
      <w:r>
        <w:t xml:space="preserve">to significantly change the operational use of the hit/no hit system (for any party, not just Eurojust) due to</w:t>
      </w:r>
      <w:r>
        <w:t xml:space="preserve"> </w:t>
      </w:r>
      <w:r>
        <w:t xml:space="preserve">persistent limits on information exchange. Eurojust stresses the need for an updated Cooperation Agreement with</w:t>
      </w:r>
      <w:r>
        <w:t xml:space="preserve"> </w:t>
      </w:r>
      <w:r>
        <w:t xml:space="preserve">Europol to reflect current realities and enhance adaptability, even if its impact may be limited.</w:t>
      </w:r>
      <w:r>
        <w:t xml:space="preserve"> </w:t>
      </w:r>
      <w:r>
        <w:t xml:space="preserve">Updating the collaboration between the EPPO and national jurisdictions would improve coordination on cases</w:t>
      </w:r>
      <w:r>
        <w:t xml:space="preserve"> </w:t>
      </w:r>
      <w:r>
        <w:t xml:space="preserve">spanning broader criminal operations, clarify Eurojust’s role, reduce legal uncertainty, and improve its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relationship with EPPO. Integrating SIRIUS referrals directly into workflows would promote seamless judicial</w:t>
      </w:r>
      <w:r>
        <w:t xml:space="preserve"> </w:t>
      </w:r>
      <w:r>
        <w:t xml:space="preserve">oversight from detection through investigation.</w:t>
      </w:r>
      <w:r>
        <w:t xml:space="preserve"> </w:t>
      </w:r>
      <w:r>
        <w:t xml:space="preserve">Formal participation of Europol and EPPO in Eurojust College meetings would institutionalise ongoing</w:t>
      </w:r>
      <w:r>
        <w:t xml:space="preserve"> </w:t>
      </w:r>
      <w:r>
        <w:t xml:space="preserve">partnerships and foster cooperation. Making relevant Europol database information accessible to Eurojust for new</w:t>
      </w:r>
      <w:r>
        <w:t xml:space="preserve"> </w:t>
      </w:r>
      <w:r>
        <w:t xml:space="preserve">case openings would support stronger trust and ensure evidence is admissible in court by introducing judicial</w:t>
      </w:r>
      <w:r>
        <w:t xml:space="preserve"> </w:t>
      </w:r>
      <w:r>
        <w:t xml:space="preserve">oversight.</w:t>
      </w:r>
      <w:r>
        <w:t xml:space="preserve"> </w:t>
      </w:r>
      <w:r>
        <w:t xml:space="preserve">Overall, these measures are expected to improve information flow, data sharing, and case detection across</w:t>
      </w:r>
      <w:r>
        <w:t xml:space="preserve"> </w:t>
      </w:r>
      <w:r>
        <w:t xml:space="preserve">agencies. Aligning third-country standards with EU practices would yield modest benefits, especially where</w:t>
      </w:r>
      <w:r>
        <w:t xml:space="preserve"> </w:t>
      </w:r>
      <w:r>
        <w:t xml:space="preserve">resources are limited. Clarifying the role and status of Liaison Magistrates (LMs) and establishing Resident</w:t>
      </w:r>
      <w:r>
        <w:t xml:space="preserve"> </w:t>
      </w:r>
      <w:r>
        <w:t xml:space="preserve">Contact Points (RCPs) would boost cooperation with third countries, with smaller Member States gaining the</w:t>
      </w:r>
      <w:r>
        <w:t xml:space="preserve"> </w:t>
      </w:r>
      <w:r>
        <w:t xml:space="preserve">most. Involving liaison partners in College meetings would embed external perspectives in Eurojust’s strategies.</w:t>
      </w:r>
      <w:r>
        <w:t xml:space="preserve"> </w:t>
      </w:r>
      <w:r>
        <w:t xml:space="preserve">Overall, the number of relevant complex cases taken by Eurojust, opened by Member States, National Members</w:t>
      </w:r>
      <w:r>
        <w:t xml:space="preserve"> </w:t>
      </w:r>
      <w:r>
        <w:t xml:space="preserve">or by Eurojust on its own initiative is likely to increase, helping to increase the share of cases for which Eurojust</w:t>
      </w:r>
      <w:r>
        <w:t xml:space="preserve"> </w:t>
      </w:r>
      <w:r>
        <w:t xml:space="preserve">has a real added value.</w:t>
      </w:r>
      <w:r>
        <w:br/>
      </w:r>
      <w:r>
        <w:t xml:space="preserve">Administrative reduction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Taken together, the measures under the preferred option would formalise the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strategic tasks currently</w:t>
      </w:r>
      <w:r>
        <w:t xml:space="preserve"> </w:t>
      </w:r>
      <w:r>
        <w:t xml:space="preserve">performed on an ad hoc basis. This formalisation ensures that such work is supported by reliable resource</w:t>
      </w:r>
      <w:r>
        <w:t xml:space="preserve"> </w:t>
      </w:r>
      <w:r>
        <w:t xml:space="preserve">allocation, rather than requiring staff to be diverted from their core casework. Additionally, formalising the tasks</w:t>
      </w:r>
      <w:r>
        <w:t xml:space="preserve"> </w:t>
      </w:r>
      <w:r>
        <w:t xml:space="preserve">undertaken by the Eurojust administration—even those not explicitly outlined in the Eurojust Regulation (EJR)—</w:t>
      </w:r>
      <w:r>
        <w:t xml:space="preserve"> </w:t>
      </w:r>
      <w:r>
        <w:t xml:space="preserve">would facilitate better planning of resources.</w:t>
      </w:r>
      <w:r>
        <w:t xml:space="preserve"> </w:t>
      </w:r>
      <w:r>
        <w:t xml:space="preserve">Increased coordination under this option should result in slight administrative gains, contributing to more efficient</w:t>
      </w:r>
      <w:r>
        <w:t xml:space="preserve"> </w:t>
      </w:r>
      <w:r>
        <w:t xml:space="preserve">operations and resource management within Eurojust.</w:t>
      </w:r>
      <w:r>
        <w:t xml:space="preserve"> </w:t>
      </w:r>
      <w:r>
        <w:t xml:space="preserve">The overall shift towards cases where Eurojust adds significant value, as opposed to straightforward cases, is</w:t>
      </w:r>
      <w:r>
        <w:t xml:space="preserve"> </w:t>
      </w:r>
      <w:r>
        <w:t xml:space="preserve">expected to yield a low positive impact. This targeted approach ensures that resources are focused on more</w:t>
      </w:r>
      <w:r>
        <w:t xml:space="preserve"> </w:t>
      </w:r>
      <w:r>
        <w:t xml:space="preserve">complex matters where Eurojust’s involvement is most beneficial.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At the same time, all National Members (NMs) would possess full competence, with operational work being</w:t>
      </w:r>
      <w:r>
        <w:t xml:space="preserve"> </w:t>
      </w:r>
      <w:r>
        <w:t xml:space="preserve">appropriately focused. This measure is also anticipated to have a low positive impact, reflecting greater clarity</w:t>
      </w:r>
      <w:r>
        <w:t xml:space="preserve"> </w:t>
      </w:r>
      <w:r>
        <w:t xml:space="preserve">and efficiency in task allocation.</w:t>
      </w:r>
      <w:r>
        <w:t xml:space="preserve"> </w:t>
      </w:r>
      <w:r>
        <w:t xml:space="preserve">By reducing the need to navigate national authorities, Eurojust’s capability to support cross-border cases would</w:t>
      </w:r>
      <w:r>
        <w:t xml:space="preserve"> </w:t>
      </w:r>
      <w:r>
        <w:t xml:space="preserve">be moderately enhanced. This improvement is likely to streamline processes and bolster the agency’s</w:t>
      </w:r>
      <w:r>
        <w:t xml:space="preserve"> </w:t>
      </w:r>
      <w:r>
        <w:t xml:space="preserve">effectiveness in handling cases that span multiple jurisdictions.</w:t>
      </w:r>
      <w:r>
        <w:t xml:space="preserve"> </w:t>
      </w:r>
      <w:r>
        <w:t xml:space="preserve">Reduction of fraud and crime</w:t>
      </w:r>
      <w:r>
        <w:t xml:space="preserve"> </w:t>
      </w:r>
      <w:r>
        <w:t xml:space="preserve">(General objective)</w:t>
      </w:r>
    </w:p>
    <w:p>
      <w:pPr>
        <w:pStyle w:val="BodyText"/>
      </w:pPr>
      <w:r>
        <w:t xml:space="preserve">Identifying more, especially complex, cases is expected to increase prosecution rates and reduce the time required</w:t>
      </w:r>
      <w:r>
        <w:t xml:space="preserve"> </w:t>
      </w:r>
      <w:r>
        <w:t xml:space="preserve">for prosecution, reduce crime and fraud, and strengthen deterrence against criminal organisations operating across</w:t>
      </w:r>
      <w:r>
        <w:t xml:space="preserve"> </w:t>
      </w:r>
      <w:r>
        <w:t xml:space="preserve">borders. Improved evidence sharing and continuous information exchange will positively influence investigations</w:t>
      </w:r>
      <w:r>
        <w:t xml:space="preserve"> </w:t>
      </w:r>
      <w:r>
        <w:t xml:space="preserve">and enhance cooperation. New Eurojust functions could moderately improve its impact on reducing losses from</w:t>
      </w:r>
      <w:r>
        <w:t xml:space="preserve"> </w:t>
      </w:r>
      <w:r>
        <w:t xml:space="preserve">crime and fraud, though some benefits may be limited.</w:t>
      </w:r>
      <w:r>
        <w:t xml:space="preserve"> </w:t>
      </w:r>
      <w:r>
        <w:t xml:space="preserve">Enhanced detection and analytical capabilities would support proactive investigations, leading to increased</w:t>
      </w:r>
      <w:r>
        <w:t xml:space="preserve"> </w:t>
      </w:r>
      <w:r>
        <w:t xml:space="preserve">identification and prosecution of criminal networks. Focusing on high-value cases and responding to urgent</w:t>
      </w:r>
      <w:r>
        <w:t xml:space="preserve"> </w:t>
      </w:r>
      <w:r>
        <w:t xml:space="preserve">requests promptly would reinforce asset freezing and crime reduction efforts. Greater capacity for National</w:t>
      </w:r>
      <w:r>
        <w:t xml:space="preserve"> </w:t>
      </w:r>
      <w:r>
        <w:t xml:space="preserve">Members, Liaison Magistrates, and Regional Contact Points will facilitate cross-border cooperation and</w:t>
      </w:r>
      <w:r>
        <w:t xml:space="preserve"> </w:t>
      </w:r>
      <w:r>
        <w:t xml:space="preserve">prosecutions, particularly in cases involving third countries.</w:t>
      </w:r>
      <w:r>
        <w:t xml:space="preserve"> </w:t>
      </w:r>
      <w:r>
        <w:t xml:space="preserve">Measures supporting the European Public Prosecutor’s Office (EPPO) are likely to identify more complex cases,</w:t>
      </w:r>
      <w:r>
        <w:t xml:space="preserve"> </w:t>
      </w:r>
      <w:r>
        <w:t xml:space="preserve">raising prosecution rates and further deterring cross-border criminal organisations. These actions will help tackle</w:t>
      </w:r>
      <w:r>
        <w:t xml:space="preserve"> </w:t>
      </w:r>
      <w:r>
        <w:t xml:space="preserve">crimes affecting the EU’s financial interests and broader organised crime, ultimately boosting prosecution rates</w:t>
      </w:r>
      <w:r>
        <w:t xml:space="preserve"> </w:t>
      </w:r>
      <w:r>
        <w:t xml:space="preserve">and reducing crime and fraud.</w:t>
      </w:r>
      <w:r>
        <w:t xml:space="preserve"> </w:t>
      </w:r>
      <w:r>
        <w:t xml:space="preserve">Benefits to citizen and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Collectively, the preferred option is expected to enhance the ability of national judicial authorities to successfully</w:t>
      </w:r>
      <w:r>
        <w:t xml:space="preserve"> </w:t>
      </w:r>
      <w:r>
        <w:t xml:space="preserve">prosecute large criminal enterprises, particularly those with a third country dimension. This improvement acts as</w:t>
      </w:r>
      <w:r>
        <w:t xml:space="preserve"> </w:t>
      </w:r>
      <w:r>
        <w:t xml:space="preserve">a deterrent to future criminal activity, increases legal certainty, and reduces crime levels, thus ultimately</w:t>
      </w:r>
      <w:r>
        <w:t xml:space="preserve"> </w:t>
      </w:r>
      <w:r>
        <w:t xml:space="preserve">benefiting citizens and businesses alike.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pStyle w:val="BodyText"/>
      </w:pPr>
      <w:r>
        <w:t xml:space="preserve">The preferred option is expected to lead to an increase in the share of complex cases tackled through Eurojust by</w:t>
      </w:r>
      <w:r>
        <w:t xml:space="preserve"> </w:t>
      </w:r>
      <w:r>
        <w:t xml:space="preserve">promoting a shift in culture towards EJ tackling more complex cases, the ability of the Agency to act on its own</w:t>
      </w:r>
      <w:r>
        <w:t xml:space="preserve"> </w:t>
      </w:r>
      <w:r>
        <w:t xml:space="preserve">initiative, and increased detection in links. Whilst monetising the benefits of Eurojust’s work is hazardous, as</w:t>
      </w:r>
      <w:r>
        <w:t xml:space="preserve"> </w:t>
      </w:r>
      <w:r>
        <w:t xml:space="preserve">every case is different, the evaluation pointed to metrics that could indicate the size of the potential benefits from</w:t>
      </w:r>
      <w:r>
        <w:t xml:space="preserve"> </w:t>
      </w:r>
      <w:r>
        <w:t xml:space="preserve">Eurojust and partners acting together. Table 9 of the Evaluation shows that in the period 2020 – 2023 the monetary</w:t>
      </w:r>
      <w:r>
        <w:t xml:space="preserve"> </w:t>
      </w:r>
      <w:r>
        <w:t xml:space="preserve">impact of Eurojust’s role in supporting JITs was a minimum of EUR 1 billion in a year. Separately Eurojust also</w:t>
      </w:r>
      <w:r>
        <w:t xml:space="preserve"> </w:t>
      </w:r>
      <w:r>
        <w:t xml:space="preserve">contributed to at least another EUR 3 billion through its role in asset freezing and drug seizures.</w:t>
      </w:r>
      <w:r>
        <w:br/>
      </w:r>
      <w:r>
        <w:t xml:space="preserve">Given the size of the cost of crime in the EU (approximately EUR 200 billion per annum), even a small</w:t>
      </w:r>
      <w:r>
        <w:t xml:space="preserve"> </w:t>
      </w:r>
      <w:r>
        <w:t xml:space="preserve">contribution from the Agency to the reduction of crime is expected to be high in monetary terms. To illustrate</w:t>
      </w:r>
      <w:r>
        <w:t xml:space="preserve"> </w:t>
      </w:r>
      <w:r>
        <w:t xml:space="preserve">this, should the proposed improvements to Eurojust contribute to addressing a mere 0.05%, this would result</w:t>
      </w:r>
      <w:r>
        <w:t xml:space="preserve"> </w:t>
      </w:r>
      <w:r>
        <w:t xml:space="preserve">overall in a EUR 100 million reduction to the cost of crime.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Ia. Overview of Benefits (Action A - Extending the scope of material competences to face the new judicial landscape)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Strengthen Eurojust’s internal</w:t>
      </w:r>
      <w:r>
        <w:t xml:space="preserve"> </w:t>
      </w:r>
      <w:r>
        <w:t xml:space="preserve">functioning, governance and</w:t>
      </w:r>
      <w:r>
        <w:t xml:space="preserve"> </w:t>
      </w:r>
      <w:r>
        <w:t xml:space="preserve">operational performance</w:t>
      </w:r>
      <w:r>
        <w:t xml:space="preserve"> </w:t>
      </w:r>
      <w:r>
        <w:t xml:space="preserve">(Specific Objective 1)</w:t>
      </w:r>
    </w:p>
    <w:p>
      <w:pPr>
        <w:pStyle w:val="Compact"/>
        <w:numPr>
          <w:ilvl w:val="0"/>
          <w:numId w:val="1001"/>
        </w:numPr>
      </w:pPr>
      <w:r>
        <w:t xml:space="preserve">(b) This option would establish Eurojust as an important evidence-based contributor to EU legislation strategic</w:t>
      </w:r>
      <w:r>
        <w:t xml:space="preserve"> </w:t>
      </w:r>
      <w:r>
        <w:t xml:space="preserve">focus. It would help ensure that EU-wide strategic priorities (including SOCTA, EMPACT) are better aligned</w:t>
      </w:r>
      <w:r>
        <w:t xml:space="preserve"> </w:t>
      </w:r>
      <w:r>
        <w:t xml:space="preserve">with prosecutorial and judicial reality.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(b) The evolution of the operational functions of Eurojust would contribute to reducing delays in judicial</w:t>
      </w:r>
      <w:r>
        <w:t xml:space="preserve"> </w:t>
      </w:r>
      <w:r>
        <w:t xml:space="preserve">coordination. As such, it would contribute to increasing Eurojust’s operational capacity.</w:t>
      </w:r>
    </w:p>
    <w:p>
      <w:pPr>
        <w:pStyle w:val="Compact"/>
        <w:numPr>
          <w:ilvl w:val="0"/>
          <w:numId w:val="1001"/>
        </w:numPr>
      </w:pPr>
      <w:r>
        <w:t xml:space="preserve">(b) Strengthening Eurojust’s support to Joint Investigation Teams by establishing, at operational level, semi-</w:t>
      </w:r>
      <w:r>
        <w:t xml:space="preserve"> </w:t>
      </w:r>
      <w:r>
        <w:t xml:space="preserve">permanent platforms enabling the temporary secondment of JIT members to Eurojust would lead to seamless</w:t>
      </w:r>
      <w:r>
        <w:t xml:space="preserve"> </w:t>
      </w:r>
      <w:r>
        <w:t xml:space="preserve">operations between Eurojust and national practitioners, allowing for greater coordination, especially in long,</w:t>
      </w:r>
      <w:r>
        <w:t xml:space="preserve"> </w:t>
      </w:r>
      <w:r>
        <w:t xml:space="preserve">complex cases.</w:t>
      </w:r>
    </w:p>
    <w:p>
      <w:pPr>
        <w:pStyle w:val="Compact"/>
        <w:numPr>
          <w:ilvl w:val="0"/>
          <w:numId w:val="1001"/>
        </w:numPr>
      </w:pPr>
      <w:r>
        <w:t xml:space="preserve">This measure would have high benefits. Extending the mandate of the Agency to new crimes would ensure it</w:t>
      </w:r>
      <w:r>
        <w:t xml:space="preserve"> </w:t>
      </w:r>
      <w:r>
        <w:t xml:space="preserve">remains relevant to fulfil its role of supporting coordination and cooperation between national investigating and</w:t>
      </w:r>
      <w:r>
        <w:t xml:space="preserve"> </w:t>
      </w:r>
      <w:r>
        <w:t xml:space="preserve">prosecuting authorities.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Expanding the CICED concept to other crime areas is expected to have very high benefits in the ability of the</w:t>
      </w:r>
      <w:r>
        <w:t xml:space="preserve"> </w:t>
      </w:r>
      <w:r>
        <w:t xml:space="preserve">Agency to identify links between cases and information, making full use of the potential of the data and evidence</w:t>
      </w:r>
      <w:r>
        <w:t xml:space="preserve"> </w:t>
      </w:r>
      <w:r>
        <w:t xml:space="preserve">collected.</w:t>
      </w:r>
    </w:p>
    <w:p>
      <w:pPr>
        <w:pStyle w:val="FirstParagraph"/>
      </w:pPr>
      <w:r>
        <w:t xml:space="preserve">Benefits per stakeholder group</w:t>
      </w:r>
      <w:r>
        <w:t xml:space="preserve"> </w:t>
      </w:r>
      <w:r>
        <w:t xml:space="preserve">EJ administration: benefit from reliable planning,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Ia. Overview of Benefits (Action A - Extending the scope of material competences to face the new judicial landscape)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National Members + National desks: increased ability to undertake tasks, better collaboration tools</w:t>
      </w:r>
      <w:r>
        <w:br/>
      </w:r>
      <w:r>
        <w:t xml:space="preserve">MS: benefit from evidence-based output, better collaboration tools</w:t>
      </w:r>
      <w:r>
        <w:t xml:space="preserve"> </w:t>
      </w:r>
      <w:r>
        <w:t xml:space="preserve">EU policymakers benefit from evidence-based output</w:t>
      </w:r>
      <w:r>
        <w:t xml:space="preserve"> </w:t>
      </w:r>
      <w:r>
        <w:t xml:space="preserve">Administrative reduction</w:t>
      </w:r>
      <w:r>
        <w:t xml:space="preserve"> </w:t>
      </w:r>
      <w:r>
        <w:t xml:space="preserve">costs</w:t>
      </w:r>
    </w:p>
    <w:p>
      <w:pPr>
        <w:numPr>
          <w:ilvl w:val="0"/>
          <w:numId w:val="1002"/>
        </w:numPr>
      </w:pPr>
      <w:r>
        <w:t xml:space="preserve">(b) This option would formalise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strategic work currently done on an ad hoc basis, ensuring it is</w:t>
      </w:r>
      <w:r>
        <w:t xml:space="preserve"> </w:t>
      </w:r>
      <w:r>
        <w:t xml:space="preserve">supported by reliable resource allocation rather than diverting staff from core casework. Any formalisation of</w:t>
      </w:r>
      <w:r>
        <w:t xml:space="preserve"> </w:t>
      </w:r>
      <w:r>
        <w:t xml:space="preserve">tasks undertaken by the EJ administration, without being formally set out in the EJR would also help in planning</w:t>
      </w:r>
      <w:r>
        <w:t xml:space="preserve"> </w:t>
      </w:r>
      <w:r>
        <w:t xml:space="preserve">the use of resources.</w:t>
      </w:r>
      <w:r>
        <w:br/>
      </w:r>
    </w:p>
    <w:p>
      <w:pPr>
        <w:numPr>
          <w:ilvl w:val="0"/>
          <w:numId w:val="1002"/>
        </w:numPr>
      </w:pPr>
      <w:r>
        <w:t xml:space="preserve">(b) N/A</w:t>
      </w:r>
    </w:p>
    <w:p>
      <w:pPr>
        <w:numPr>
          <w:ilvl w:val="0"/>
          <w:numId w:val="1002"/>
        </w:numPr>
      </w:pPr>
      <w:r>
        <w:t xml:space="preserve">(b) Increased coordination may lead to slight administrative gains.</w:t>
      </w:r>
    </w:p>
    <w:p>
      <w:pPr>
        <w:numPr>
          <w:ilvl w:val="0"/>
          <w:numId w:val="1002"/>
        </w:numPr>
      </w:pPr>
      <w:r>
        <w:t xml:space="preserve">N/A</w:t>
      </w:r>
    </w:p>
    <w:p>
      <w:pPr>
        <w:numPr>
          <w:ilvl w:val="0"/>
          <w:numId w:val="1002"/>
        </w:numPr>
      </w:pPr>
      <w:r>
        <w:t xml:space="preserve">N/A</w:t>
      </w:r>
      <w:r>
        <w:br/>
      </w:r>
      <w:r>
        <w:t xml:space="preserve">Reduction of fraud and crime</w:t>
      </w:r>
    </w:p>
    <w:p>
      <w:pPr>
        <w:numPr>
          <w:ilvl w:val="0"/>
          <w:numId w:val="1002"/>
        </w:numPr>
      </w:pPr>
      <w:r>
        <w:t xml:space="preserve">(b) N/A</w:t>
      </w:r>
    </w:p>
    <w:p>
      <w:pPr>
        <w:numPr>
          <w:ilvl w:val="0"/>
          <w:numId w:val="1002"/>
        </w:numPr>
      </w:pPr>
      <w:r>
        <w:t xml:space="preserve">(b) New operational functions of EJ could lead to a moderate positive impact on EJ’s ability to reduce lost</w:t>
      </w:r>
      <w:r>
        <w:t xml:space="preserve"> </w:t>
      </w:r>
      <w:r>
        <w:t xml:space="preserve">expenditure from fraud and crime</w:t>
      </w:r>
    </w:p>
    <w:p>
      <w:pPr>
        <w:numPr>
          <w:ilvl w:val="0"/>
          <w:numId w:val="1002"/>
        </w:numPr>
      </w:pPr>
      <w:r>
        <w:t xml:space="preserve">(b) limited benefits in ability to tackle crime</w:t>
      </w:r>
    </w:p>
    <w:p>
      <w:pPr>
        <w:numPr>
          <w:ilvl w:val="0"/>
          <w:numId w:val="1002"/>
        </w:numPr>
      </w:pPr>
      <w:r>
        <w:t xml:space="preserve">Depending on changes being implemented elsewhere, moderate to high impact on detection of additional cases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Ia. Overview of Benefits (Action A - Extending the scope of material competences to face the new judicial landscape)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v. This option would have very high benefits. The analytical function would allow EJ to develop analysis on other</w:t>
      </w:r>
      <w:r>
        <w:t xml:space="preserve"> </w:t>
      </w:r>
      <w:r>
        <w:t xml:space="preserve">types of crimes. It would help enhance the proactivity of investigations, leading to increased identification (and</w:t>
      </w:r>
      <w:r>
        <w:t xml:space="preserve"> </w:t>
      </w:r>
      <w:r>
        <w:t xml:space="preserve">ultimately prosecution) of criminal networks and large-scale criminal enterprises.</w:t>
      </w:r>
      <w:r>
        <w:t xml:space="preserve"> </w:t>
      </w:r>
      <w:r>
        <w:t xml:space="preserve">Benefits to citizen and</w:t>
      </w:r>
      <w:r>
        <w:t xml:space="preserve"> </w:t>
      </w:r>
      <w:r>
        <w:t xml:space="preserve">business</w:t>
      </w:r>
    </w:p>
    <w:p>
      <w:pPr>
        <w:pStyle w:val="Compact"/>
        <w:numPr>
          <w:ilvl w:val="0"/>
          <w:numId w:val="1003"/>
        </w:numPr>
      </w:pPr>
      <w:r>
        <w:t xml:space="preserve">(b) N/A</w:t>
      </w:r>
    </w:p>
    <w:p>
      <w:pPr>
        <w:pStyle w:val="Compact"/>
        <w:numPr>
          <w:ilvl w:val="0"/>
          <w:numId w:val="1003"/>
        </w:numPr>
      </w:pPr>
      <w:r>
        <w:t xml:space="preserve">(b) This measure would have moderate – high positive impact for formalisation of EJ’s role in victims’ rights</w:t>
      </w:r>
      <w:r>
        <w:t xml:space="preserve"> </w:t>
      </w:r>
      <w:r>
        <w:t xml:space="preserve">in normal cases, but also in mass-casualty crimes or disasters, ensuring they receive coordinated information and</w:t>
      </w:r>
      <w:r>
        <w:t xml:space="preserve"> </w:t>
      </w:r>
      <w:r>
        <w:t xml:space="preserve">support regardless of nationality</w:t>
      </w:r>
    </w:p>
    <w:p>
      <w:pPr>
        <w:pStyle w:val="Compact"/>
        <w:numPr>
          <w:ilvl w:val="0"/>
          <w:numId w:val="1003"/>
        </w:numPr>
      </w:pPr>
      <w:r>
        <w:t xml:space="preserve">(b) N/A</w:t>
      </w:r>
    </w:p>
    <w:p>
      <w:pPr>
        <w:pStyle w:val="Compact"/>
        <w:numPr>
          <w:ilvl w:val="0"/>
          <w:numId w:val="1003"/>
        </w:numPr>
      </w:pPr>
      <w:r>
        <w:t xml:space="preserve">N/A</w:t>
      </w:r>
    </w:p>
    <w:p>
      <w:pPr>
        <w:pStyle w:val="Compact"/>
        <w:numPr>
          <w:ilvl w:val="0"/>
          <w:numId w:val="1003"/>
        </w:numPr>
      </w:pPr>
      <w:r>
        <w:t xml:space="preserve">N/A</w:t>
      </w:r>
      <w:r>
        <w:br/>
      </w:r>
      <w:r>
        <w:t xml:space="preserve">Indirect benefits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pStyle w:val="FirstParagraph"/>
      </w:pPr>
      <w:r>
        <w:t xml:space="preserve">Taken together, these measures are likely to lead to the increase in the share of complex cases tackled through</w:t>
      </w:r>
      <w:r>
        <w:t xml:space="preserve"> </w:t>
      </w:r>
      <w:r>
        <w:t xml:space="preserve">Eurojust by promoting a shift in culture towards EJ tackling more complex cases, the ability of the Agency to act</w:t>
      </w:r>
      <w:r>
        <w:t xml:space="preserve"> </w:t>
      </w:r>
      <w:r>
        <w:t xml:space="preserve">on its own initiative, and increased detection in links, leading to a greater number of relevant complex cases being</w:t>
      </w:r>
      <w:r>
        <w:t xml:space="preserve"> </w:t>
      </w:r>
      <w:r>
        <w:t xml:space="preserve">tackled.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Ib. Overview of Benefits (Action B - Harmonizing Member State implementation of the EJR, including on allocation of cases) –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Strengthen Eurojust’s internal</w:t>
      </w:r>
      <w:r>
        <w:t xml:space="preserve"> </w:t>
      </w:r>
      <w:r>
        <w:t xml:space="preserve">functioning, governance and</w:t>
      </w:r>
      <w:r>
        <w:t xml:space="preserve"> </w:t>
      </w:r>
      <w:r>
        <w:t xml:space="preserve">operational performance</w:t>
      </w:r>
      <w:r>
        <w:t xml:space="preserve"> </w:t>
      </w:r>
      <w:r>
        <w:t xml:space="preserve">(Specific Objective 1)</w:t>
      </w:r>
    </w:p>
    <w:p>
      <w:pPr>
        <w:pStyle w:val="Compact"/>
        <w:numPr>
          <w:ilvl w:val="0"/>
          <w:numId w:val="1004"/>
        </w:numPr>
      </w:pPr>
      <w:r>
        <w:t xml:space="preserve">(b) This measure would reduce fragmentation by establishing a unified approach to case definition across</w:t>
      </w:r>
      <w:r>
        <w:t xml:space="preserve"> </w:t>
      </w:r>
      <w:r>
        <w:t xml:space="preserve">national desks. While it may play a role in ensuring the Agency focuses on relevant complex cases rather than</w:t>
      </w:r>
      <w:r>
        <w:t xml:space="preserve"> </w:t>
      </w:r>
      <w:r>
        <w:t xml:space="preserve">simple bilateral matters, it is unlikely to stop completely the national desks using Eurojust for simple cases.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(b) This measure would eliminate functional imbalances and structural constraints within the College caused</w:t>
      </w:r>
      <w:r>
        <w:t xml:space="preserve"> </w:t>
      </w:r>
      <w:r>
        <w:t xml:space="preserve">by the heterogeneous mandates of national members. It would ensure that all NMs have the operational tools to</w:t>
      </w:r>
      <w:r>
        <w:t xml:space="preserve"> </w:t>
      </w:r>
      <w:r>
        <w:t xml:space="preserve">perform their functions equally within their mandate.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New capabilities for NMs could increase their efficiency to undertake a number of operational tasks, which</w:t>
      </w:r>
      <w:r>
        <w:t xml:space="preserve"> </w:t>
      </w:r>
      <w:r>
        <w:t xml:space="preserve">may positively affect the setting up of Joint Investigation Teams (JITs) and increase support to the full procedural</w:t>
      </w:r>
      <w:r>
        <w:t xml:space="preserve"> </w:t>
      </w:r>
      <w:r>
        <w:t xml:space="preserve">lifecycle, including asset recovery. It would also ensure that urgent cross-border actions are taken without waiting</w:t>
      </w:r>
      <w:r>
        <w:t xml:space="preserve"> </w:t>
      </w:r>
      <w:r>
        <w:t xml:space="preserve">for national-level requests.</w:t>
      </w:r>
    </w:p>
    <w:p>
      <w:pPr>
        <w:pStyle w:val="Compact"/>
        <w:numPr>
          <w:ilvl w:val="0"/>
          <w:numId w:val="1004"/>
        </w:numPr>
      </w:pPr>
      <w:r>
        <w:t xml:space="preserve">This measure would add an additional path for opening cases, promoting a shift in the Agency’s role from a</w:t>
      </w:r>
      <w:r>
        <w:t xml:space="preserve"> </w:t>
      </w:r>
      <w:r>
        <w:t xml:space="preserve">purely reactive to MS demands to a more proactive, strategically curated case intake. It would allow for NMs to</w:t>
      </w:r>
      <w:r>
        <w:t xml:space="preserve"> </w:t>
      </w:r>
      <w:r>
        <w:t xml:space="preserve">identify and connect fragmented evidence across multiple countries that national authorities might miss while</w:t>
      </w:r>
      <w:r>
        <w:t xml:space="preserve"> </w:t>
      </w:r>
      <w:r>
        <w:t xml:space="preserve">ensuring the reactivity and ownership of a case.</w:t>
      </w:r>
    </w:p>
    <w:p>
      <w:pPr>
        <w:pStyle w:val="FirstParagraph"/>
      </w:pPr>
      <w:r>
        <w:t xml:space="preserve">Benefits per stakeholder group</w:t>
      </w:r>
      <w:r>
        <w:t xml:space="preserve"> </w:t>
      </w:r>
      <w:r>
        <w:t xml:space="preserve">EJ administration: benefit from better resource allocation,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Ib. Overview of Benefits (Action B - Harmonizing Member State implementation of the EJR, including on allocation of cases) –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National Members + National desks: increased ability to undertake tasks though the whole procedural lifecycle,</w:t>
      </w:r>
      <w:r>
        <w:t xml:space="preserve"> </w:t>
      </w:r>
      <w:r>
        <w:t xml:space="preserve">more focus on operational and relevant complex cases</w:t>
      </w:r>
      <w:r>
        <w:t xml:space="preserve"> </w:t>
      </w:r>
      <w:r>
        <w:t xml:space="preserve">MS: benefit from predictable and consistent support</w:t>
      </w:r>
      <w:r>
        <w:t xml:space="preserve"> </w:t>
      </w:r>
      <w:r>
        <w:t xml:space="preserve">Reduction of fraud and crime</w:t>
      </w:r>
    </w:p>
    <w:p>
      <w:pPr>
        <w:numPr>
          <w:ilvl w:val="0"/>
          <w:numId w:val="1005"/>
        </w:numPr>
      </w:pPr>
      <w:r>
        <w:t xml:space="preserve">(b) Any move to support the increased focus of EJ on cases where it can really add value is expected to increase</w:t>
      </w:r>
      <w:r>
        <w:t xml:space="preserve"> </w:t>
      </w:r>
      <w:r>
        <w:t xml:space="preserve">the impact of the Agency on the reduction of fraud and crime.</w:t>
      </w:r>
    </w:p>
    <w:p>
      <w:pPr>
        <w:numPr>
          <w:ilvl w:val="0"/>
          <w:numId w:val="1005"/>
        </w:numPr>
      </w:pPr>
      <w:r>
        <w:t xml:space="preserve">(b)and iii. The measure should increase the effectiveness of the Agency in reacting in a timely manner to urgent</w:t>
      </w:r>
      <w:r>
        <w:t xml:space="preserve"> </w:t>
      </w:r>
      <w:r>
        <w:t xml:space="preserve">requests. By strengthening of ‘follow the money’ concept, it would also increase the level of successful asset</w:t>
      </w:r>
      <w:r>
        <w:t xml:space="preserve"> </w:t>
      </w:r>
      <w:r>
        <w:t xml:space="preserve">freezing. Overall, this would have a positive impact on reduction of crime due to additional capabilities for EJ;</w:t>
      </w:r>
      <w:r>
        <w:t xml:space="preserve"> </w:t>
      </w:r>
      <w:r>
        <w:t xml:space="preserve">ability for EJ to reduce lost revenue to fraud/crime.</w:t>
      </w:r>
    </w:p>
    <w:p>
      <w:pPr>
        <w:numPr>
          <w:ilvl w:val="0"/>
          <w:numId w:val="1005"/>
        </w:numPr>
      </w:pPr>
      <w:r>
        <w:t xml:space="preserve">By increasing the ability to identify and open new cases and links between investigations, particularly in areas</w:t>
      </w:r>
      <w:r>
        <w:t xml:space="preserve"> </w:t>
      </w:r>
      <w:r>
        <w:t xml:space="preserve">like organized crime and terrorism, this measure is likely to have a small positive impact. On the reduction of</w:t>
      </w:r>
      <w:r>
        <w:t xml:space="preserve"> </w:t>
      </w:r>
      <w:r>
        <w:t xml:space="preserve">crimes and fraud.</w:t>
      </w:r>
      <w:r>
        <w:br/>
      </w:r>
      <w:r>
        <w:t xml:space="preserve">Administrative reduction</w:t>
      </w:r>
      <w:r>
        <w:t xml:space="preserve"> </w:t>
      </w:r>
      <w:r>
        <w:t xml:space="preserve">costs</w:t>
      </w:r>
    </w:p>
    <w:p>
      <w:pPr>
        <w:numPr>
          <w:ilvl w:val="0"/>
          <w:numId w:val="1005"/>
        </w:numPr>
      </w:pPr>
      <w:r>
        <w:t xml:space="preserve">(b) Low positive impact due to (limited) shift to cases where EJ adds value (rather than simple cases)</w:t>
      </w:r>
    </w:p>
    <w:p>
      <w:pPr>
        <w:numPr>
          <w:ilvl w:val="0"/>
          <w:numId w:val="1005"/>
        </w:numPr>
      </w:pPr>
      <w:r>
        <w:t xml:space="preserve">(b) Low positive impact as all NMs will have full competence and operational work is focused on</w:t>
      </w:r>
    </w:p>
    <w:p>
      <w:pPr>
        <w:numPr>
          <w:ilvl w:val="0"/>
          <w:numId w:val="1005"/>
        </w:numPr>
      </w:pPr>
      <w:r>
        <w:t xml:space="preserve">N/A</w:t>
      </w:r>
    </w:p>
    <w:p>
      <w:pPr>
        <w:numPr>
          <w:ilvl w:val="0"/>
          <w:numId w:val="1005"/>
        </w:numPr>
      </w:pPr>
      <w:r>
        <w:t xml:space="preserve">Moderate positive impact: would reduce having to go around national authorities; would increase EJ’s</w:t>
      </w:r>
      <w:r>
        <w:t xml:space="preserve"> </w:t>
      </w:r>
      <w:r>
        <w:t xml:space="preserve">capability to support cross-border cases in a timely manner</w:t>
      </w:r>
    </w:p>
    <w:p>
      <w:pPr>
        <w:pStyle w:val="FirstParagraph"/>
      </w:pPr>
      <w:r>
        <w:t xml:space="preserve">32</w:t>
      </w:r>
    </w:p>
    <w:p>
      <w:pPr>
        <w:pStyle w:val="BodyText"/>
      </w:pPr>
      <w:r>
        <w:t xml:space="preserve">Ib. Overview of Benefits (Action B - Harmonizing Member State implementation of the EJR, including on allocation of cases) –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pStyle w:val="BodyText"/>
      </w:pPr>
      <w:r>
        <w:t xml:space="preserve">Taken together, these measures are likely to lead to an increase in the share of complex cases tackled through</w:t>
      </w:r>
      <w:r>
        <w:t xml:space="preserve"> </w:t>
      </w:r>
      <w:r>
        <w:t xml:space="preserve">Eurojust by promoting a shift in culture and role.</w:t>
      </w:r>
    </w:p>
    <w:p>
      <w:pPr>
        <w:pStyle w:val="BodyText"/>
      </w:pPr>
      <w:r>
        <w:t xml:space="preserve">Ic. Overview of Benefits (Action C -  Establishing a streamlined governance system that accelerates decision-making)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Strengthen Eurojust’s internal</w:t>
      </w:r>
      <w:r>
        <w:t xml:space="preserve"> </w:t>
      </w:r>
      <w:r>
        <w:t xml:space="preserve">functioning, governance and</w:t>
      </w:r>
      <w:r>
        <w:t xml:space="preserve"> </w:t>
      </w:r>
      <w:r>
        <w:t xml:space="preserve">operational performance</w:t>
      </w:r>
      <w:r>
        <w:t xml:space="preserve"> </w:t>
      </w:r>
      <w:r>
        <w:t xml:space="preserve">(Specific Objective 1)</w:t>
      </w:r>
    </w:p>
    <w:p>
      <w:pPr>
        <w:pStyle w:val="Compact"/>
        <w:numPr>
          <w:ilvl w:val="0"/>
          <w:numId w:val="1006"/>
        </w:numPr>
      </w:pPr>
      <w:r>
        <w:t xml:space="preserve">This measure would free National Members to focus exclusively on operational matters, removing the</w:t>
      </w:r>
      <w:r>
        <w:t xml:space="preserve"> </w:t>
      </w:r>
      <w:r>
        <w:t xml:space="preserve">distraction of purely administrative tasks for which they have not been selected and some of whom are not trained.</w:t>
      </w:r>
      <w:r>
        <w:t xml:space="preserve"> </w:t>
      </w:r>
      <w:r>
        <w:t xml:space="preserve">It would allow Member State authorities to contribute directly to the agency’s strategic direction through the</w:t>
      </w:r>
      <w:r>
        <w:t xml:space="preserve"> </w:t>
      </w:r>
      <w:r>
        <w:t xml:space="preserve">Management Board, rather than indirectly through National Members. It would also contribute to clarifying the</w:t>
      </w:r>
      <w:r>
        <w:t xml:space="preserve"> </w:t>
      </w:r>
      <w:r>
        <w:t xml:space="preserve">Agency’s governance system by separating high-level strategy (Management Board) from operational casework</w:t>
      </w:r>
      <w:r>
        <w:t xml:space="preserve"> </w:t>
      </w:r>
      <w:r>
        <w:t xml:space="preserve">(College) and daily management (Executive Board).</w:t>
      </w:r>
    </w:p>
    <w:p>
      <w:pPr>
        <w:pStyle w:val="FirstParagraph"/>
      </w:pPr>
      <w:r>
        <w:t xml:space="preserve">Benefits per stakeholder group</w:t>
      </w:r>
      <w:r>
        <w:t xml:space="preserve"> </w:t>
      </w:r>
      <w:r>
        <w:t xml:space="preserve">National Members: Ability to focus more on operational tasks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Ic. Overview of Benefits (Action C -  Establishing a streamlined governance system that accelerates decision-making)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Administrative reduction</w:t>
      </w:r>
      <w:r>
        <w:t xml:space="preserve"> </w:t>
      </w:r>
      <w:r>
        <w:t xml:space="preserve">costs</w:t>
      </w:r>
      <w:r>
        <w:t xml:space="preserve"> </w:t>
      </w:r>
      <w:r>
        <w:t xml:space="preserve">1.46 FTE per year</w:t>
      </w:r>
      <w:r>
        <w:t xml:space="preserve"> </w:t>
      </w:r>
      <w:r>
        <w:t xml:space="preserve">iii. Reduction in NM time commitment on College meetings when acting as MB</w:t>
      </w:r>
      <w:r>
        <w:t xml:space="preserve"> </w:t>
      </w:r>
      <w:r>
        <w:t xml:space="preserve">Reduction of fraud and crime</w:t>
      </w:r>
    </w:p>
    <w:p>
      <w:pPr>
        <w:numPr>
          <w:ilvl w:val="0"/>
          <w:numId w:val="1007"/>
        </w:numPr>
      </w:pPr>
      <w:r>
        <w:t xml:space="preserve">The increased capacity for NM freed up by the creation of a MB to work on operational matters is likely to</w:t>
      </w:r>
      <w:r>
        <w:t xml:space="preserve"> </w:t>
      </w:r>
      <w:r>
        <w:t xml:space="preserve">have a small positive impact on the Agency’s capacity to support the cooperation and coordination of</w:t>
      </w:r>
      <w:r>
        <w:t xml:space="preserve"> </w:t>
      </w:r>
      <w:r>
        <w:t xml:space="preserve">investigations and prosecutions, thus having a small positive impact on the reduction of fraud and crime.</w:t>
      </w:r>
      <w:r>
        <w:br/>
      </w:r>
      <w:r>
        <w:t xml:space="preserve">Indirect benefits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numPr>
          <w:ilvl w:val="0"/>
          <w:numId w:val="1007"/>
        </w:numPr>
      </w:pPr>
      <w:r>
        <w:t xml:space="preserve">Over the long term, a potential positive impact linked to a cultural shift towards EJ tackling more complex</w:t>
      </w:r>
      <w:r>
        <w:t xml:space="preserve"> </w:t>
      </w:r>
      <w:r>
        <w:t xml:space="preserve">cases.</w:t>
      </w:r>
    </w:p>
    <w:p>
      <w:pPr>
        <w:pStyle w:val="FirstParagraph"/>
      </w:pPr>
      <w:r>
        <w:t xml:space="preserve">Id. Overview of Benefits (Action D - Fostering and strengthening structured operational cooperation with Europol)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Achieve optimal alignment</w:t>
      </w:r>
      <w:r>
        <w:t xml:space="preserve"> </w:t>
      </w:r>
      <w:r>
        <w:t xml:space="preserve">and operational integration</w:t>
      </w:r>
      <w:r>
        <w:t xml:space="preserve"> </w:t>
      </w:r>
      <w:r>
        <w:t xml:space="preserve">with EU partners and Third</w:t>
      </w:r>
      <w:r>
        <w:t xml:space="preserve"> </w:t>
      </w:r>
      <w:r>
        <w:t xml:space="preserve">countries (Specific Objective</w:t>
      </w:r>
      <w:r>
        <w:t xml:space="preserve"> </w:t>
      </w:r>
      <w:r>
        <w:t xml:space="preserve">2)</w:t>
      </w:r>
    </w:p>
    <w:p>
      <w:pPr>
        <w:pStyle w:val="Compact"/>
        <w:numPr>
          <w:ilvl w:val="0"/>
          <w:numId w:val="1008"/>
        </w:numPr>
      </w:pPr>
      <w:r>
        <w:t xml:space="preserve">(b) This measure would enable automated indirect access to Europol’s database, within the existing constraint</w:t>
      </w:r>
      <w:r>
        <w:t xml:space="preserve"> </w:t>
      </w:r>
      <w:r>
        <w:t xml:space="preserve">of the use of handling codes. While this would represent a significant step toward the digitalisation of the EU</w:t>
      </w:r>
      <w:r>
        <w:t xml:space="preserve"> </w:t>
      </w:r>
      <w:r>
        <w:t xml:space="preserve">judicial area, the measure alone is unlikely to significantly change the operational use of the hit/no hit system, as</w:t>
      </w:r>
      <w:r>
        <w:t xml:space="preserve"> </w:t>
      </w:r>
      <w:r>
        <w:t xml:space="preserve">the root causes of the lack of information exchange lies elsewhere.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(b) Eurojust has long argued that the increasing operational role played by Europol requires the Cooperation</w:t>
      </w:r>
      <w:r>
        <w:t xml:space="preserve"> </w:t>
      </w:r>
      <w:r>
        <w:t xml:space="preserve">Agreement between the two agencies to be updated. By forcing the two Agencies to enter discussions to update</w:t>
      </w:r>
    </w:p>
    <w:p>
      <w:pPr>
        <w:pStyle w:val="FirstParagraph"/>
      </w:pPr>
      <w:r>
        <w:t xml:space="preserve">34</w:t>
      </w:r>
    </w:p>
    <w:p>
      <w:pPr>
        <w:pStyle w:val="BodyText"/>
      </w:pPr>
      <w:r>
        <w:t xml:space="preserve">Id. Overview of Benefits (Action D - Fostering and strengthening structured operational cooperation with Europol)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the agreement, it would ensure that the cooperation framework remains aligned with operational realities and</w:t>
      </w:r>
      <w:r>
        <w:t xml:space="preserve"> </w:t>
      </w:r>
      <w:r>
        <w:t xml:space="preserve">institutionalises adaptability. Alone, this measure may not have much impact, but as a necessary building block</w:t>
      </w:r>
      <w:r>
        <w:t xml:space="preserve"> </w:t>
      </w:r>
      <w:r>
        <w:t xml:space="preserve">for the measures under this action area, the final impact is likely to be much greater.</w:t>
      </w:r>
      <w:r>
        <w:t xml:space="preserve"> </w:t>
      </w:r>
      <w:r>
        <w:t xml:space="preserve">iii. A dedicated cooperation channel for SIRIUS referrals would embed judicial coordination directly within</w:t>
      </w:r>
      <w:r>
        <w:t xml:space="preserve"> </w:t>
      </w:r>
      <w:r>
        <w:t xml:space="preserve">existing workflows, ensuring continuity between law enforcement detection and cross-border judicial action,</w:t>
      </w:r>
      <w:r>
        <w:t xml:space="preserve"> </w:t>
      </w:r>
      <w:r>
        <w:t xml:space="preserve">while providing a consistent level of judicial oversight through the whole investigative phase of a case.</w:t>
      </w:r>
      <w:r>
        <w:t xml:space="preserve"> </w:t>
      </w:r>
      <w:r>
        <w:t xml:space="preserve">iv. The participation of Europol in Eurojust College meetings, would formalise a continuous institutional</w:t>
      </w:r>
      <w:r>
        <w:t xml:space="preserve"> </w:t>
      </w:r>
      <w:r>
        <w:t xml:space="preserve">partnership between the two Agencies, and may ultimately play a positive role in developing a culture of</w:t>
      </w:r>
      <w:r>
        <w:t xml:space="preserve"> </w:t>
      </w:r>
      <w:r>
        <w:t xml:space="preserve">cooperation between the Agencies.</w:t>
      </w:r>
      <w:r>
        <w:br/>
      </w:r>
      <w:r>
        <w:t xml:space="preserve">v. This measure is likely to have the highest level of benefit as it would ensure that the relevant information in</w:t>
      </w:r>
      <w:r>
        <w:t xml:space="preserve"> </w:t>
      </w:r>
      <w:r>
        <w:t xml:space="preserve">Europol’s database can be used by Eurojust to open new relevant cases (through national desk, or on its own</w:t>
      </w:r>
      <w:r>
        <w:t xml:space="preserve"> </w:t>
      </w:r>
      <w:r>
        <w:t xml:space="preserve">initiative). A second benefit is that it would help ensure that the evidence collected through OTFs is admissible</w:t>
      </w:r>
      <w:r>
        <w:t xml:space="preserve"> </w:t>
      </w:r>
      <w:r>
        <w:t xml:space="preserve">in court by introducing an appropriate level of judicial oversight and significantly reduce the risk of evidence</w:t>
      </w:r>
      <w:r>
        <w:t xml:space="preserve"> </w:t>
      </w:r>
      <w:r>
        <w:t xml:space="preserve">being deemed inadmissible. Finally, it would also foster greater cooperation and trust between Europol and</w:t>
      </w:r>
      <w:r>
        <w:t xml:space="preserve"> </w:t>
      </w:r>
      <w:r>
        <w:t xml:space="preserve">Eurojust.</w:t>
      </w:r>
      <w:r>
        <w:t xml:space="preserve"> </w:t>
      </w:r>
      <w:r>
        <w:t xml:space="preserve">Taken together, the measures under this action area are likely to increase the information flow between the two</w:t>
      </w:r>
      <w:r>
        <w:t xml:space="preserve"> </w:t>
      </w:r>
      <w:r>
        <w:t xml:space="preserve">Agencies, ensure better sharing of information, and ultimately detection of relevant cases. Over time, it is also</w:t>
      </w:r>
      <w:r>
        <w:t xml:space="preserve"> </w:t>
      </w:r>
      <w:r>
        <w:t xml:space="preserve">likely to improve the culture of collaboration between Europol and Eurojust.</w:t>
      </w:r>
      <w:r>
        <w:br/>
      </w:r>
      <w:r>
        <w:t xml:space="preserve">Benefits per stakeholder group</w:t>
      </w:r>
      <w:r>
        <w:t xml:space="preserve"> </w:t>
      </w:r>
      <w:r>
        <w:t xml:space="preserve">EJ administration: benefit from better resource allocation, greater cooperation, frustration removal</w:t>
      </w:r>
      <w:r>
        <w:br/>
      </w:r>
      <w:r>
        <w:t xml:space="preserve">National Members + National desks: increase early situational awareness</w:t>
      </w:r>
      <w:r>
        <w:t xml:space="preserve"> </w:t>
      </w:r>
      <w:r>
        <w:t xml:space="preserve">MS: Benefit from better identification of cases and coherence between Europol and Eurojust support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Id. Overview of Benefits (Action D - Fostering and strengthening structured operational cooperation with Europol)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Other (Europol): benefit from better cooperation</w:t>
      </w:r>
      <w:r>
        <w:br/>
      </w:r>
      <w:r>
        <w:t xml:space="preserve">Reduction of fraud and crime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The identification of more (and more complex cases) taken together is likely to lead to higher prosecution</w:t>
      </w:r>
      <w:r>
        <w:t xml:space="preserve"> </w:t>
      </w:r>
      <w:r>
        <w:t xml:space="preserve">rates by Member States in complex cases, which is likely to have some positive impact on the levels of crime and</w:t>
      </w:r>
      <w:r>
        <w:t xml:space="preserve"> </w:t>
      </w:r>
      <w:r>
        <w:t xml:space="preserve">fraud, and ultimately increase the deterrence effect of criminal organisation set up their operations across borders.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(b) N/A.</w:t>
      </w:r>
    </w:p>
    <w:p>
      <w:pPr>
        <w:pStyle w:val="Compact"/>
        <w:numPr>
          <w:ilvl w:val="0"/>
          <w:numId w:val="1009"/>
        </w:numPr>
      </w:pPr>
      <w:r>
        <w:t xml:space="preserve">The increased ability to share to time-sensitive evidence in cross-border cases, would have a positive impact</w:t>
      </w:r>
      <w:r>
        <w:t xml:space="preserve"> </w:t>
      </w:r>
      <w:r>
        <w:t xml:space="preserve">on the levels of crime and fraud, and ultimately increase the deterrence effect of criminal organisation set up their</w:t>
      </w:r>
      <w:r>
        <w:t xml:space="preserve"> </w:t>
      </w:r>
      <w:r>
        <w:t xml:space="preserve">operations across borders.</w:t>
      </w:r>
    </w:p>
    <w:p>
      <w:pPr>
        <w:pStyle w:val="Compact"/>
        <w:numPr>
          <w:ilvl w:val="0"/>
          <w:numId w:val="1009"/>
        </w:numPr>
      </w:pPr>
      <w:r>
        <w:t xml:space="preserve">N/A.</w:t>
      </w:r>
    </w:p>
    <w:p>
      <w:pPr>
        <w:pStyle w:val="Compact"/>
        <w:numPr>
          <w:ilvl w:val="0"/>
          <w:numId w:val="1009"/>
        </w:numPr>
      </w:pPr>
      <w:r>
        <w:t xml:space="preserve">The shift toward ongoing and continuous information sharing and operational cooperation is likely to have</w:t>
      </w:r>
      <w:r>
        <w:t xml:space="preserve"> </w:t>
      </w:r>
      <w:r>
        <w:t xml:space="preserve">some positive impact on the levels of crime and fraud, and ultimately increase the deterrence effect of criminal</w:t>
      </w:r>
      <w:r>
        <w:t xml:space="preserve"> </w:t>
      </w:r>
      <w:r>
        <w:t xml:space="preserve">organisation set up their operations across borders.</w:t>
      </w:r>
      <w:r>
        <w:t xml:space="preserve"> </w:t>
      </w:r>
      <w:r>
        <w:t xml:space="preserve">Benefits to citizen and</w:t>
      </w:r>
      <w:r>
        <w:t xml:space="preserve"> </w:t>
      </w:r>
      <w:r>
        <w:t xml:space="preserve">business</w:t>
      </w:r>
    </w:p>
    <w:p>
      <w:pPr>
        <w:pStyle w:val="FirstParagraph"/>
      </w:pPr>
      <w:r>
        <w:t xml:space="preserve">Taken together these measures (i(b), ii(b), iii, iv, and v) are likely to improve the ability of national judicial</w:t>
      </w:r>
      <w:r>
        <w:t xml:space="preserve"> </w:t>
      </w:r>
      <w:r>
        <w:t xml:space="preserve">authorities to successfully prosecute large criminal enterprises, which serves as a deterrent to future criminal</w:t>
      </w:r>
      <w:r>
        <w:t xml:space="preserve"> </w:t>
      </w:r>
      <w:r>
        <w:t xml:space="preserve">activity, increase legal certainty ,reduce levels of crime thus ultimately having a positive impact on citizens and</w:t>
      </w:r>
      <w:r>
        <w:t xml:space="preserve"> </w:t>
      </w:r>
      <w:r>
        <w:t xml:space="preserve">business.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pStyle w:val="BodyText"/>
      </w:pPr>
      <w:r>
        <w:t xml:space="preserve">Taken together these measures (i(b), ii(b), iii, iv, and v) are likely to increase the number of relevant complex</w:t>
      </w:r>
      <w:r>
        <w:t xml:space="preserve"> </w:t>
      </w:r>
      <w:r>
        <w:t xml:space="preserve">Eurojust cases taken on by National Desks or through Eurojust’s ability to open cases on its own initiative. This</w:t>
      </w:r>
      <w:r>
        <w:t xml:space="preserve"> </w:t>
      </w:r>
      <w:r>
        <w:t xml:space="preserve">is likely to result in an increase in the workload for national desks, EJ administration as well as the national</w:t>
      </w:r>
      <w:r>
        <w:t xml:space="preserve"> </w:t>
      </w:r>
      <w:r>
        <w:t xml:space="preserve">judicial systems.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Ie. Overview of Benefits (Action E -  Promoting fully developed cooperation with the EPPO 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Achieve optimal alignment</w:t>
      </w:r>
      <w:r>
        <w:t xml:space="preserve"> </w:t>
      </w:r>
      <w:r>
        <w:t xml:space="preserve">and operational integration</w:t>
      </w:r>
      <w:r>
        <w:t xml:space="preserve"> </w:t>
      </w:r>
      <w:r>
        <w:t xml:space="preserve">with EU partners and Third</w:t>
      </w:r>
      <w:r>
        <w:t xml:space="preserve"> </w:t>
      </w:r>
      <w:r>
        <w:t xml:space="preserve">countries (Specific Objective</w:t>
      </w:r>
      <w:r>
        <w:t xml:space="preserve"> </w:t>
      </w:r>
      <w:r>
        <w:t xml:space="preserve">2)</w:t>
      </w:r>
    </w:p>
    <w:p>
      <w:pPr>
        <w:pStyle w:val="Compact"/>
        <w:numPr>
          <w:ilvl w:val="0"/>
          <w:numId w:val="1011"/>
        </w:numPr>
      </w:pPr>
      <w:r>
        <w:t xml:space="preserve">(b) This measure would enable automated indirect access to the EPPO’s database, within the existing constraint</w:t>
      </w:r>
      <w:r>
        <w:t xml:space="preserve"> </w:t>
      </w:r>
      <w:r>
        <w:t xml:space="preserve">of existing data protection rules. While this would represent a significant step toward the digitalisation of the EU</w:t>
      </w:r>
      <w:r>
        <w:t xml:space="preserve"> </w:t>
      </w:r>
      <w:r>
        <w:t xml:space="preserve">judicial area, the measure alone is unlikely to significantly change the operational use of the hit/no hit system.</w:t>
      </w:r>
    </w:p>
    <w:p>
      <w:pPr>
        <w:pStyle w:val="Compact"/>
        <w:numPr>
          <w:ilvl w:val="0"/>
          <w:numId w:val="1011"/>
        </w:numPr>
      </w:pPr>
      <w:r>
        <w:t xml:space="preserve">Given the EPPO has a strictly defined mandate, this measure would help bridge the gap between cases where</w:t>
      </w:r>
      <w:r>
        <w:t xml:space="preserve"> </w:t>
      </w:r>
      <w:r>
        <w:t xml:space="preserve">the EPPO is competent and national jurisdictions, ensuring better cooperation when EPPO investigations and</w:t>
      </w:r>
      <w:r>
        <w:t xml:space="preserve"> </w:t>
      </w:r>
      <w:r>
        <w:t xml:space="preserve">prosecutions spill over into wider criminal operations. It would also clarify Eurojust’s added value in EPPO cases,</w:t>
      </w:r>
      <w:r>
        <w:t xml:space="preserve"> </w:t>
      </w:r>
      <w:r>
        <w:t xml:space="preserve">which would reduce coordination overlaps and legal uncertainty during complex, multi-state operations. It would</w:t>
      </w:r>
      <w:r>
        <w:t xml:space="preserve"> </w:t>
      </w:r>
      <w:r>
        <w:t xml:space="preserve">also help define the relationship between the EPPO and Eurojust. As a prosecution authority, the EPPO sees itself</w:t>
      </w:r>
      <w:r>
        <w:t xml:space="preserve"> </w:t>
      </w:r>
      <w:r>
        <w:t xml:space="preserve">as a service user of Eurojust, rather than partner, which is the standard arrangement for all JHA agencies and</w:t>
      </w:r>
      <w:r>
        <w:t xml:space="preserve"> </w:t>
      </w:r>
      <w:r>
        <w:t xml:space="preserve">bodies.</w:t>
      </w:r>
    </w:p>
    <w:p>
      <w:pPr>
        <w:pStyle w:val="Compact"/>
        <w:numPr>
          <w:ilvl w:val="0"/>
          <w:numId w:val="1011"/>
        </w:numPr>
      </w:pPr>
      <w:r>
        <w:t xml:space="preserve">The participation of the EPPO in Eurojust College meetings would formalise a continuous institutional</w:t>
      </w:r>
      <w:r>
        <w:t xml:space="preserve"> </w:t>
      </w:r>
      <w:r>
        <w:t xml:space="preserve">partnership between the two organisations and may ultimately play a positive role in developing a culture of</w:t>
      </w:r>
      <w:r>
        <w:t xml:space="preserve"> </w:t>
      </w:r>
      <w:r>
        <w:t xml:space="preserve">cooperation between them.</w:t>
      </w:r>
      <w:r>
        <w:t xml:space="preserve"> </w:t>
      </w:r>
      <w:r>
        <w:t xml:space="preserve">v Setting up a clearing-house as a structured platform for identifying overlaps and synergies between cases</w:t>
      </w:r>
      <w:r>
        <w:t xml:space="preserve"> </w:t>
      </w:r>
      <w:r>
        <w:t xml:space="preserve">handled by the EPPO and Eurojust would support the alignment and operationalisation of cooperation between</w:t>
      </w:r>
      <w:r>
        <w:t xml:space="preserve"> </w:t>
      </w:r>
      <w:r>
        <w:t xml:space="preserve">the EPPO and Eurojust.</w:t>
      </w:r>
      <w:r>
        <w:br/>
      </w:r>
      <w:r>
        <w:t xml:space="preserve">Benefits per stakeholder group</w:t>
      </w:r>
      <w:r>
        <w:t xml:space="preserve"> </w:t>
      </w:r>
      <w:r>
        <w:t xml:space="preserve">EJ administration: benefit from better resource allocation,</w:t>
      </w:r>
    </w:p>
    <w:p>
      <w:pPr>
        <w:pStyle w:val="FirstParagraph"/>
      </w:pPr>
      <w:r>
        <w:t xml:space="preserve">37</w:t>
      </w:r>
    </w:p>
    <w:p>
      <w:pPr>
        <w:pStyle w:val="BodyText"/>
      </w:pPr>
      <w:r>
        <w:t xml:space="preserve">Ie. Overview of Benefits (Action E -  Promoting fully developed cooperation with the EPPO ) – Preferred Option</w:t>
      </w:r>
      <w:r>
        <w:t xml:space="preserve"> </w:t>
      </w:r>
      <w:r>
        <w:t xml:space="preserve">National Members + National desks: increased early situational awareness</w:t>
      </w:r>
      <w:r>
        <w:t xml:space="preserve"> </w:t>
      </w:r>
      <w:r>
        <w:t xml:space="preserve">MS: Benefit from better identification of cases and coherence between Europol and EPPO support</w:t>
      </w:r>
      <w:r>
        <w:t xml:space="preserve"> </w:t>
      </w:r>
      <w:r>
        <w:t xml:space="preserve">Other (EPPO): benefit from better cooperation</w:t>
      </w:r>
      <w:r>
        <w:t xml:space="preserve"> </w:t>
      </w:r>
      <w:r>
        <w:t xml:space="preserve">Reduction of fraud and crime</w:t>
      </w:r>
    </w:p>
    <w:p>
      <w:pPr>
        <w:pStyle w:val="Compact"/>
        <w:numPr>
          <w:ilvl w:val="0"/>
          <w:numId w:val="1012"/>
        </w:numPr>
      </w:pPr>
      <w:r>
        <w:t xml:space="preserve">(b) Given the nature of the EPPO’s mandate, it is likely that the cases identified through this measure will lead</w:t>
      </w:r>
      <w:r>
        <w:t xml:space="preserve"> </w:t>
      </w:r>
      <w:r>
        <w:t xml:space="preserve">to the identification of more (and more complex cases). This is likely to lead to higher prosecution rates by</w:t>
      </w:r>
      <w:r>
        <w:t xml:space="preserve"> </w:t>
      </w:r>
      <w:r>
        <w:t xml:space="preserve">Member States in complex cases, which is likely to have some positive impact on the levels of crime and fraud,</w:t>
      </w:r>
      <w:r>
        <w:t xml:space="preserve"> </w:t>
      </w:r>
      <w:r>
        <w:t xml:space="preserve">and ultimately increase the deterrence effect of criminal organisation set up their operations across borders.</w:t>
      </w:r>
    </w:p>
    <w:p>
      <w:pPr>
        <w:pStyle w:val="Compact"/>
        <w:numPr>
          <w:ilvl w:val="0"/>
          <w:numId w:val="1012"/>
        </w:numPr>
      </w:pPr>
      <w:r>
        <w:t xml:space="preserve">This measure would have benefits in helping Member States investigate and prosecute cases where crimes</w:t>
      </w:r>
      <w:r>
        <w:t xml:space="preserve"> </w:t>
      </w:r>
      <w:r>
        <w:t xml:space="preserve">affecting the EU’s financial interest (PIF) intersect with wider organised crime areas such as drug trafficking or</w:t>
      </w:r>
      <w:r>
        <w:t xml:space="preserve"> </w:t>
      </w:r>
      <w:r>
        <w:t xml:space="preserve">money laundering. Ultimately, it would lead to higher prosecution rates by Member States in complex cases,</w:t>
      </w:r>
      <w:r>
        <w:t xml:space="preserve"> </w:t>
      </w:r>
      <w:r>
        <w:t xml:space="preserve">which is likely to have some positive impact on the levels of crime and fraud, and ultimately increase the</w:t>
      </w:r>
      <w:r>
        <w:t xml:space="preserve"> </w:t>
      </w:r>
      <w:r>
        <w:t xml:space="preserve">deterrence effect of criminal organisation set up their operations across borders.</w:t>
      </w:r>
    </w:p>
    <w:p>
      <w:pPr>
        <w:pStyle w:val="Compact"/>
        <w:numPr>
          <w:ilvl w:val="0"/>
          <w:numId w:val="1012"/>
        </w:numPr>
      </w:pPr>
      <w:r>
        <w:t xml:space="preserve">N/A</w:t>
      </w:r>
    </w:p>
    <w:p>
      <w:pPr>
        <w:pStyle w:val="Compact"/>
        <w:numPr>
          <w:ilvl w:val="0"/>
          <w:numId w:val="1012"/>
        </w:numPr>
      </w:pPr>
      <w:r>
        <w:t xml:space="preserve">The clearing house mechanism is expected to result in positive impacts on the reduction of fraud and crime,</w:t>
      </w:r>
      <w:r>
        <w:t xml:space="preserve"> </w:t>
      </w:r>
      <w:r>
        <w:t xml:space="preserve">especially those linked to PIF-related cases, where the EPPO has the competence to prosecute crimes under its</w:t>
      </w:r>
      <w:r>
        <w:t xml:space="preserve"> </w:t>
      </w:r>
      <w:r>
        <w:t xml:space="preserve">mandate, but not beyond. By providing a structure for follow-up, of PIF related crimes, it will ensure that</w:t>
      </w:r>
      <w:r>
        <w:t xml:space="preserve"> </w:t>
      </w:r>
      <w:r>
        <w:t xml:space="preserve">investigations into EU budget fraud consistently prompt judicial follow-up on related criminal activities such as</w:t>
      </w:r>
      <w:r>
        <w:t xml:space="preserve"> </w:t>
      </w:r>
      <w:r>
        <w:t xml:space="preserve">money laundering or drug trafficking.</w:t>
      </w:r>
      <w:r>
        <w:t xml:space="preserve"> </w:t>
      </w:r>
      <w:r>
        <w:t xml:space="preserve">Benefits to citizen and</w:t>
      </w:r>
      <w:r>
        <w:t xml:space="preserve"> </w:t>
      </w:r>
      <w:r>
        <w:t xml:space="preserve">business</w:t>
      </w:r>
    </w:p>
    <w:p>
      <w:pPr>
        <w:pStyle w:val="FirstParagraph"/>
      </w:pPr>
      <w:r>
        <w:t xml:space="preserve">Taken together these measures (i(b), ii, iii and iv.) are likely to improve the ability of national judicial authorities</w:t>
      </w:r>
      <w:r>
        <w:t xml:space="preserve"> </w:t>
      </w:r>
      <w:r>
        <w:t xml:space="preserve">to successfully prosecute large criminal enterprises, which serves as a deterrent to future criminal activity,</w:t>
      </w:r>
      <w:r>
        <w:t xml:space="preserve"> </w:t>
      </w:r>
      <w:r>
        <w:t xml:space="preserve">increase legal certainty, reduce levels of crime thus ultimately having a positive impact on citizens and business.</w:t>
      </w:r>
      <w:r>
        <w:t xml:space="preserve"> </w:t>
      </w:r>
      <w:r>
        <w:t xml:space="preserve">Indirect benefits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Ie. Overview of Benefits (Action E -  Promoting fully developed cooperation with the EPPO ) – Preferred Option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pStyle w:val="BodyText"/>
      </w:pPr>
      <w:r>
        <w:t xml:space="preserve">Taken together these measures (i(b), ii, iii and iv.) are likely to increase the number of relevant complex Eurojust</w:t>
      </w:r>
      <w:r>
        <w:t xml:space="preserve"> </w:t>
      </w:r>
      <w:r>
        <w:t xml:space="preserve">cases taken on by National Desks or through Eurojust’s ability to open cases on its own initiative. This is likely</w:t>
      </w:r>
      <w:r>
        <w:t xml:space="preserve"> </w:t>
      </w:r>
      <w:r>
        <w:t xml:space="preserve">to result in an increase in the workload for national desks, EJ administration as well as the national judicial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If. Overview of Benefits (Action F - Consolidating cooperation with third countries and international organisations)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Achieve optimal alignment</w:t>
      </w:r>
      <w:r>
        <w:t xml:space="preserve"> </w:t>
      </w:r>
      <w:r>
        <w:t xml:space="preserve">and operational integration</w:t>
      </w:r>
      <w:r>
        <w:t xml:space="preserve"> </w:t>
      </w:r>
      <w:r>
        <w:t xml:space="preserve">with EU partners and Third</w:t>
      </w:r>
      <w:r>
        <w:t xml:space="preserve"> </w:t>
      </w:r>
      <w:r>
        <w:t xml:space="preserve">countries (Specific Objective</w:t>
      </w:r>
      <w:r>
        <w:t xml:space="preserve"> </w:t>
      </w:r>
      <w:r>
        <w:t xml:space="preserve">2)</w:t>
      </w:r>
    </w:p>
    <w:p>
      <w:pPr>
        <w:pStyle w:val="Compact"/>
        <w:numPr>
          <w:ilvl w:val="0"/>
          <w:numId w:val="1013"/>
        </w:numPr>
      </w:pPr>
      <w:r>
        <w:t xml:space="preserve">This measure would have a small positive impact towards convergence of third-country standards and practices</w:t>
      </w:r>
      <w:r>
        <w:t xml:space="preserve"> </w:t>
      </w:r>
      <w:r>
        <w:t xml:space="preserve">with those applied within the EU and Eurojust. While the effect would be mitigated by the political will of third</w:t>
      </w:r>
      <w:r>
        <w:t xml:space="preserve"> </w:t>
      </w:r>
      <w:r>
        <w:t xml:space="preserve">countries to amend their frameworks (especially regarding data protection). It is likely to have more of an impact</w:t>
      </w:r>
      <w:r>
        <w:t xml:space="preserve"> </w:t>
      </w:r>
      <w:r>
        <w:t xml:space="preserve">with third countries suffering from lack of resources and therefore more likely to be swayed by the conditionality</w:t>
      </w:r>
      <w:r>
        <w:t xml:space="preserve"> </w:t>
      </w:r>
      <w:r>
        <w:t xml:space="preserve">argument.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Liaison Magistrates (LM) are one of the provisions of the EJR not currently used. One issue is the lack of</w:t>
      </w:r>
      <w:r>
        <w:t xml:space="preserve"> </w:t>
      </w:r>
      <w:r>
        <w:t xml:space="preserve">clarity as to what the role and status of the LMs should be (should they be national magistrates, what powers, if</w:t>
      </w:r>
      <w:r>
        <w:t xml:space="preserve"> </w:t>
      </w:r>
      <w:r>
        <w:t xml:space="preserve">any should they have?). By clarifying the status and role of LMs, this measure would likely allow for the posting</w:t>
      </w:r>
      <w:r>
        <w:t xml:space="preserve"> </w:t>
      </w:r>
      <w:r>
        <w:t xml:space="preserve">of LMs in third countries, thus increasing cooperation. The benefit is likely to be greater for MS with fewer</w:t>
      </w:r>
      <w:r>
        <w:t xml:space="preserve"> </w:t>
      </w:r>
      <w:r>
        <w:t xml:space="preserve">resources, as larger ones may already have LMs posted in certain countries.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Similarly to LM, the benefits of resident contact points (RCP) would be to increase cooperation with third</w:t>
      </w:r>
      <w:r>
        <w:t xml:space="preserve"> </w:t>
      </w:r>
      <w:r>
        <w:t xml:space="preserve">countries. RCPs would have the benefit of being located in house at Eurojust’s premises and therefore to be part</w:t>
      </w:r>
      <w:r>
        <w:t xml:space="preserve"> </w:t>
      </w:r>
      <w:r>
        <w:t xml:space="preserve">of the wider day-to-day Eurojust working ecosystem, being a source of information for all members of national</w:t>
      </w:r>
    </w:p>
    <w:p>
      <w:pPr>
        <w:pStyle w:val="FirstParagraph"/>
      </w:pPr>
      <w:r>
        <w:t xml:space="preserve">39</w:t>
      </w:r>
    </w:p>
    <w:p>
      <w:pPr>
        <w:pStyle w:val="BodyText"/>
      </w:pPr>
      <w:r>
        <w:t xml:space="preserve">If. Overview of Benefits (Action F - Consolidating cooperation with third countries and international organisations)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desks and the EJ administration about the legal system and very practical and operational issues they may face</w:t>
      </w:r>
      <w:r>
        <w:t xml:space="preserve"> </w:t>
      </w:r>
      <w:r>
        <w:t xml:space="preserve">when cooperating with a given third country.</w:t>
      </w:r>
      <w:r>
        <w:br/>
      </w:r>
      <w:r>
        <w:t xml:space="preserve">iv. The participation of LPs in College meetings would further embed the external dimension of Eurojust’s</w:t>
      </w:r>
      <w:r>
        <w:t xml:space="preserve"> </w:t>
      </w:r>
      <w:r>
        <w:t xml:space="preserve">awareness by ensuring that the operation and cooperation strategies of the Agency reflect the needs and</w:t>
      </w:r>
      <w:r>
        <w:t xml:space="preserve"> </w:t>
      </w:r>
      <w:r>
        <w:t xml:space="preserve">operational realities stemming from third countries.</w:t>
      </w:r>
      <w:r>
        <w:t xml:space="preserve"> </w:t>
      </w:r>
      <w:r>
        <w:t xml:space="preserve">v. This measure would contribute to the development of a common understanding of judicial cooperation</w:t>
      </w:r>
      <w:r>
        <w:t xml:space="preserve"> </w:t>
      </w:r>
      <w:r>
        <w:t xml:space="preserve">standards with international partners, build long-lasting, continuous dialogue with priority regions. Some</w:t>
      </w:r>
      <w:r>
        <w:t xml:space="preserve"> </w:t>
      </w:r>
      <w:r>
        <w:t xml:space="preserve">coordination savings possible.</w:t>
      </w:r>
    </w:p>
    <w:p>
      <w:pPr>
        <w:pStyle w:val="BodyText"/>
      </w:pPr>
      <w:r>
        <w:t xml:space="preserve">Benefits per stakeholder group</w:t>
      </w:r>
      <w:r>
        <w:t xml:space="preserve"> </w:t>
      </w:r>
      <w:r>
        <w:t xml:space="preserve">EJ administration: benefit from better resource allocation,</w:t>
      </w:r>
      <w:r>
        <w:br/>
      </w:r>
      <w:r>
        <w:t xml:space="preserve">National Members + National desks: increased ability to work on complex cases</w:t>
      </w:r>
      <w:r>
        <w:t xml:space="preserve"> </w:t>
      </w:r>
      <w:r>
        <w:t xml:space="preserve">MS: Benefit from better identification of cases with a third country dimension</w:t>
      </w:r>
      <w:r>
        <w:t xml:space="preserve"> </w:t>
      </w:r>
      <w:r>
        <w:t xml:space="preserve">Other (Third countries): benefit from better cooperation with Eurojust.</w:t>
      </w:r>
      <w:r>
        <w:t xml:space="preserve"> </w:t>
      </w:r>
      <w:r>
        <w:t xml:space="preserve">Reduction of fraud and crime</w:t>
      </w:r>
    </w:p>
    <w:p>
      <w:pPr>
        <w:pStyle w:val="Compact"/>
        <w:numPr>
          <w:ilvl w:val="0"/>
          <w:numId w:val="1014"/>
        </w:numPr>
      </w:pPr>
      <w:r>
        <w:t xml:space="preserve">N/A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and iii. LM and RCPs are likely to lead to an increase in the effectiveness of investigations and prosecution in</w:t>
      </w:r>
      <w:r>
        <w:t xml:space="preserve"> </w:t>
      </w:r>
      <w:r>
        <w:t xml:space="preserve">cases linked to third countries and lead to an increased number of relevant cases for Eurojust.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N/A</w:t>
      </w:r>
    </w:p>
    <w:p>
      <w:pPr>
        <w:pStyle w:val="FirstParagraph"/>
      </w:pPr>
      <w:r>
        <w:t xml:space="preserve">40</w:t>
      </w:r>
    </w:p>
    <w:p>
      <w:pPr>
        <w:pStyle w:val="BodyText"/>
      </w:pPr>
      <w:r>
        <w:t xml:space="preserve">If. Overview of Benefits (Action F - Consolidating cooperation with third countries and international organisations)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v. The measure would lead to the strengthening the judicial systems of third countries directly improves the</w:t>
      </w:r>
      <w:r>
        <w:t xml:space="preserve"> </w:t>
      </w:r>
      <w:r>
        <w:t xml:space="preserve">effectiveness of operational cooperation, leading to more successful investigations and prosecutions of globally</w:t>
      </w:r>
      <w:r>
        <w:t xml:space="preserve"> </w:t>
      </w:r>
      <w:r>
        <w:t xml:space="preserve">relevant cases.</w:t>
      </w:r>
      <w:r>
        <w:t xml:space="preserve"> </w:t>
      </w:r>
      <w:r>
        <w:t xml:space="preserve">Benefits to citizen and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Taken together these measures (i, ii, iii, iv and v.) are likely to improve the ability of national judicial authorities</w:t>
      </w:r>
      <w:r>
        <w:t xml:space="preserve"> </w:t>
      </w:r>
      <w:r>
        <w:t xml:space="preserve">to successfully prosecute large criminal enterprises with a third country dimension, which serves as a deterrent to</w:t>
      </w:r>
      <w:r>
        <w:t xml:space="preserve"> </w:t>
      </w:r>
      <w:r>
        <w:t xml:space="preserve">future criminal activity, increase legal certainty, reduce levels of crime thus ultimately having a positive impact</w:t>
      </w:r>
      <w:r>
        <w:t xml:space="preserve"> </w:t>
      </w:r>
      <w:r>
        <w:t xml:space="preserve">on citizens and business.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Increased number of complex</w:t>
      </w:r>
      <w:r>
        <w:t xml:space="preserve"> </w:t>
      </w:r>
      <w:r>
        <w:t xml:space="preserve">EJ cases</w:t>
      </w:r>
    </w:p>
    <w:p>
      <w:pPr>
        <w:pStyle w:val="BodyText"/>
      </w:pPr>
      <w:r>
        <w:t xml:space="preserve">Taken together these measures (i, ii, iii, iv and v.) are likely to increase the number of relevant complex Eurojust</w:t>
      </w:r>
      <w:r>
        <w:t xml:space="preserve"> </w:t>
      </w:r>
      <w:r>
        <w:t xml:space="preserve">cases with a third country dimension taken on by National Desks. This is likely to result in an increase in the</w:t>
      </w:r>
      <w:r>
        <w:t xml:space="preserve"> </w:t>
      </w:r>
      <w:r>
        <w:t xml:space="preserve">workload for national desks, EJ administration as well as the national judicial systems.</w:t>
      </w:r>
    </w:p>
    <w:p>
      <w:pPr>
        <w:pStyle w:val="BodyText"/>
      </w:pPr>
      <w:r>
        <w:t xml:space="preserve">41</w:t>
      </w:r>
    </w:p>
    <w:p>
      <w:pPr>
        <w:pStyle w:val="Compact"/>
        <w:numPr>
          <w:ilvl w:val="0"/>
          <w:numId w:val="101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</w:t>
      </w:r>
      <w:r>
        <w:t xml:space="preserve"> </w:t>
      </w:r>
      <w:r>
        <w:t xml:space="preserve">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OO</w:t>
      </w:r>
      <w:r>
        <w:t xml:space="preserve"> </w:t>
      </w:r>
      <w:r>
        <w:t xml:space="preserve">R</w:t>
      </w:r>
      <w:r>
        <w:t xml:space="preserve"> </w:t>
      </w:r>
      <w:r>
        <w:t xml:space="preserve">OO</w:t>
      </w:r>
      <w:r>
        <w:t xml:space="preserve"> </w:t>
      </w:r>
      <w:r>
        <w:t xml:space="preserve">R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 for all action areas</w:t>
      </w:r>
    </w:p>
    <w:p>
      <w:pPr>
        <w:pStyle w:val="BodyText"/>
      </w:pPr>
      <w:r>
        <w:t xml:space="preserve">Total one-off costs of between</w:t>
      </w:r>
      <w:r>
        <w:t xml:space="preserve"> </w:t>
      </w:r>
      <w:r>
        <w:t xml:space="preserve">EUR 4.4 million and EUR 5.6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new</w:t>
      </w:r>
      <w:r>
        <w:t xml:space="preserve"> </w:t>
      </w:r>
      <w:r>
        <w:t xml:space="preserve">measures based on:</w:t>
      </w:r>
      <w:r>
        <w:t xml:space="preserve"> </w:t>
      </w:r>
      <w:r>
        <w:t xml:space="preserve">- EUR 1.9 million in staff costs</w:t>
      </w:r>
      <w:r>
        <w:t xml:space="preserve"> </w:t>
      </w:r>
      <w:r>
        <w:t xml:space="preserve">(noting that all one-off costs</w:t>
      </w:r>
      <w:r>
        <w:t xml:space="preserve"> </w:t>
      </w:r>
      <w:r>
        <w:t xml:space="preserve">relate to one year of FTE, except</w:t>
      </w:r>
      <w:r>
        <w:t xml:space="preserve"> </w:t>
      </w:r>
      <w:r>
        <w:t xml:space="preserve">measure F(iii) where four years</w:t>
      </w:r>
      <w:r>
        <w:t xml:space="preserve"> </w:t>
      </w:r>
      <w:r>
        <w:t xml:space="preserve">of onboarding are anticipated</w:t>
      </w:r>
      <w:r>
        <w:br/>
      </w:r>
      <w:r>
        <w:t xml:space="preserve">plus</w:t>
      </w:r>
      <w:r>
        <w:t xml:space="preserve"> </w:t>
      </w:r>
      <w:r>
        <w:t xml:space="preserve">- between EUR 2.5 and 3.7</w:t>
      </w:r>
      <w:r>
        <w:t xml:space="preserve"> </w:t>
      </w:r>
      <w:r>
        <w:t xml:space="preserve">million over the period of the</w:t>
      </w:r>
      <w:r>
        <w:t xml:space="preserve"> </w:t>
      </w:r>
      <w:r>
        <w:t xml:space="preserve">MFF</w:t>
      </w:r>
      <w:r>
        <w:t xml:space="preserve"> </w:t>
      </w:r>
      <w:r>
        <w:t xml:space="preserve">(i.e. </w:t>
      </w:r>
      <w:r>
        <w:t xml:space="preserve"> </w:t>
      </w:r>
      <w:r>
        <w:t xml:space="preserve">between</w:t>
      </w:r>
      <w:r>
        <w:t xml:space="preserve"> </w:t>
      </w:r>
      <w:r>
        <w:t xml:space="preserve">EUR</w:t>
      </w:r>
      <w:r>
        <w:t xml:space="preserve"> </w:t>
      </w:r>
      <w:r>
        <w:t xml:space="preserve">360 000 and EUR 530 000 per</w:t>
      </w:r>
      <w:r>
        <w:t xml:space="preserve"> </w:t>
      </w:r>
      <w:r>
        <w:t xml:space="preserve">annum).</w:t>
      </w:r>
    </w:p>
    <w:p>
      <w:pPr>
        <w:pStyle w:val="BodyText"/>
      </w:pPr>
      <w:r>
        <w:t xml:space="preserve">Total recurrent costs ubetween EUR 9.3 million and</w:t>
      </w:r>
      <w:r>
        <w:t xml:space="preserve"> </w:t>
      </w:r>
      <w:r>
        <w:t xml:space="preserve">EUR 9.4 million on average per annum over the course</w:t>
      </w:r>
      <w:r>
        <w:t xml:space="preserve"> </w:t>
      </w:r>
      <w:r>
        <w:t xml:space="preserve">of the next MFF for the implementation of the new</w:t>
      </w:r>
      <w:r>
        <w:t xml:space="preserve"> </w:t>
      </w:r>
      <w:r>
        <w:t xml:space="preserve">measures, based on:</w:t>
      </w:r>
      <w:r>
        <w:t xml:space="preserve"> </w:t>
      </w:r>
      <w:r>
        <w:t xml:space="preserve">-</w:t>
      </w:r>
      <w:r>
        <w:t xml:space="preserve"> </w:t>
      </w:r>
      <w:r>
        <w:t xml:space="preserve">EUR 6.8 million in staff costs (with additional costs</w:t>
      </w:r>
      <w:r>
        <w:t xml:space="preserve"> </w:t>
      </w:r>
      <w:r>
        <w:t xml:space="preserve">if the number of LM, RCP and capacity building</w:t>
      </w:r>
      <w:r>
        <w:t xml:space="preserve"> </w:t>
      </w:r>
      <w:r>
        <w:t xml:space="preserve">projects under action area F are increased),</w:t>
      </w:r>
      <w:r>
        <w:br/>
      </w:r>
      <w:r>
        <w:t xml:space="preserve">-</w:t>
      </w:r>
      <w:r>
        <w:t xml:space="preserve"> </w:t>
      </w:r>
      <w:r>
        <w:t xml:space="preserve">EUR 2 million in non-staff costs linked to extending</w:t>
      </w:r>
      <w:r>
        <w:t xml:space="preserve"> </w:t>
      </w:r>
      <w:r>
        <w:t xml:space="preserve">CICED to other crime areas (A;v).</w:t>
      </w:r>
      <w:r>
        <w:br/>
      </w:r>
      <w:r>
        <w:t xml:space="preserve">-</w:t>
      </w:r>
      <w:r>
        <w:t xml:space="preserve"> </w:t>
      </w:r>
      <w:r>
        <w:t xml:space="preserve">Between EUR 3.2 million and EUR 3.9 million over</w:t>
      </w:r>
      <w:r>
        <w:t xml:space="preserve"> </w:t>
      </w:r>
      <w:r>
        <w:t xml:space="preserve">the next MFF (between EUR 460 000 and EUR</w:t>
      </w:r>
      <w:r>
        <w:t xml:space="preserve"> </w:t>
      </w:r>
      <w:r>
        <w:t xml:space="preserve">560 000 per annum) linked to the IT infrastructure</w:t>
      </w:r>
      <w:r>
        <w:t xml:space="preserve"> </w:t>
      </w:r>
      <w:r>
        <w:t xml:space="preserve">elements included in this IA.</w:t>
      </w:r>
    </w:p>
    <w:p>
      <w:pPr>
        <w:pStyle w:val="BodyText"/>
      </w:pPr>
      <w:r>
        <w:t xml:space="preserve">In addition, the progressive use of the new capabilities is</w:t>
      </w:r>
      <w:r>
        <w:t xml:space="preserve"> </w:t>
      </w:r>
      <w:r>
        <w:t xml:space="preserve">expected to generate additional operational expenditure</w:t>
      </w:r>
      <w:r>
        <w:t xml:space="preserve"> </w:t>
      </w:r>
      <w:r>
        <w:t xml:space="preserve">(missions, coordination meetings, JITs related support,</w:t>
      </w:r>
      <w:r>
        <w:t xml:space="preserve"> </w:t>
      </w:r>
      <w:r>
        <w:t xml:space="preserve">cooperation) at around EUR 1.7 million on average per</w:t>
      </w:r>
      <w:r>
        <w:t xml:space="preserve"> </w:t>
      </w:r>
      <w:r>
        <w:t xml:space="preserve">annum over the course of the next MFF.</w:t>
      </w:r>
    </w:p>
    <w:p>
      <w:pPr>
        <w:pStyle w:val="BodyText"/>
      </w:pPr>
      <w:r>
        <w:t xml:space="preserve">42</w:t>
      </w:r>
    </w:p>
    <w:p>
      <w:pPr>
        <w:pStyle w:val="Compact"/>
        <w:numPr>
          <w:ilvl w:val="0"/>
          <w:numId w:val="1016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</w:t>
      </w:r>
      <w:r>
        <w:t xml:space="preserve"> </w:t>
      </w:r>
      <w:r>
        <w:t xml:space="preserve">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OO</w:t>
      </w:r>
      <w:r>
        <w:t xml:space="preserve"> </w:t>
      </w:r>
      <w:r>
        <w:t xml:space="preserve">R</w:t>
      </w:r>
      <w:r>
        <w:t xml:space="preserve"> </w:t>
      </w:r>
      <w:r>
        <w:t xml:space="preserve">OO</w:t>
      </w:r>
      <w:r>
        <w:t xml:space="preserve"> </w:t>
      </w:r>
      <w:r>
        <w:t xml:space="preserve">OO</w:t>
      </w:r>
      <w:r>
        <w:t xml:space="preserve"> </w:t>
      </w:r>
      <w:r>
        <w:t xml:space="preserve">R</w:t>
      </w:r>
      <w:r>
        <w:t xml:space="preserve"> </w:t>
      </w:r>
      <w:r>
        <w:t xml:space="preserve">OO</w:t>
      </w:r>
      <w:r>
        <w:t xml:space="preserve"> </w:t>
      </w:r>
      <w:r>
        <w:t xml:space="preserve">Action</w:t>
      </w:r>
      <w:r>
        <w:t xml:space="preserve"> </w:t>
      </w:r>
      <w:r>
        <w:t xml:space="preserve">A</w:t>
      </w:r>
      <w:r>
        <w:t xml:space="preserve"> </w:t>
      </w:r>
      <w:r>
        <w:t xml:space="preserve">-</w:t>
      </w:r>
      <w:r>
        <w:t xml:space="preserve"> </w:t>
      </w:r>
      <w:r>
        <w:t xml:space="preserve">Extending</w:t>
      </w:r>
      <w:r>
        <w:t xml:space="preserve"> </w:t>
      </w:r>
      <w:r>
        <w:t xml:space="preserve">the</w:t>
      </w:r>
      <w:r>
        <w:t xml:space="preserve"> </w:t>
      </w:r>
      <w:r>
        <w:t xml:space="preserve">scope of material</w:t>
      </w:r>
      <w:r>
        <w:t xml:space="preserve"> </w:t>
      </w:r>
      <w:r>
        <w:t xml:space="preserve">competences</w:t>
      </w:r>
      <w:r>
        <w:t xml:space="preserve"> </w:t>
      </w:r>
      <w:r>
        <w:t xml:space="preserve">to</w:t>
      </w:r>
      <w:r>
        <w:t xml:space="preserve"> </w:t>
      </w:r>
      <w:r>
        <w:t xml:space="preserve">face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judicial landscape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 (b) N/A</w:t>
      </w:r>
      <w:r>
        <w:t xml:space="preserve"> </w:t>
      </w:r>
      <w:r>
        <w:t xml:space="preserve">ii (b) N/A</w:t>
      </w:r>
      <w:r>
        <w:t xml:space="preserve"> </w:t>
      </w:r>
      <w:r>
        <w:t xml:space="preserve">iii(b) EUR 2.5-3.7 million (over</w:t>
      </w:r>
      <w:r>
        <w:t xml:space="preserve"> </w:t>
      </w:r>
      <w:r>
        <w:t xml:space="preserve">MFF)</w:t>
      </w:r>
      <w:r>
        <w:t xml:space="preserve"> </w:t>
      </w:r>
      <w:r>
        <w:t xml:space="preserve">iv. N/A</w:t>
      </w:r>
      <w:r>
        <w:br/>
      </w:r>
      <w:r>
        <w:t xml:space="preserve">v. N/A</w:t>
      </w:r>
      <w:r>
        <w:br/>
      </w:r>
      <w:r>
        <w:t xml:space="preserve">EJ:</w:t>
      </w:r>
      <w:r>
        <w:t xml:space="preserve"> </w:t>
      </w:r>
      <w:r>
        <w:t xml:space="preserve">i(b) EJ estimates and addition 14 FTEs are needed. On the</w:t>
      </w:r>
      <w:r>
        <w:t xml:space="preserve"> </w:t>
      </w:r>
      <w:r>
        <w:t xml:space="preserve">basis of the existing 19 + 2 FTEs2, and taking into account</w:t>
      </w:r>
      <w:r>
        <w:t xml:space="preserve"> </w:t>
      </w:r>
      <w:r>
        <w:t xml:space="preserve">not only a quantitative increase in workload but also the</w:t>
      </w:r>
      <w:r>
        <w:t xml:space="preserve"> </w:t>
      </w:r>
      <w:r>
        <w:t xml:space="preserve">additional complexity of the tasks performed, the</w:t>
      </w:r>
      <w:r>
        <w:t xml:space="preserve"> </w:t>
      </w:r>
      <w:r>
        <w:t xml:space="preserve">implementation of this measure would require 3 additional</w:t>
      </w:r>
      <w:r>
        <w:t xml:space="preserve"> </w:t>
      </w:r>
      <w:r>
        <w:t xml:space="preserve">FTEs (TA-AD/AST – legal and policy officer/assistant.</w:t>
      </w:r>
      <w:r>
        <w:t xml:space="preserve"> </w:t>
      </w:r>
      <w:r>
        <w:t xml:space="preserve">3 x EUR 194 000 = EUR 582 000</w:t>
      </w:r>
      <w:r>
        <w:t xml:space="preserve"> </w:t>
      </w:r>
      <w:r>
        <w:t xml:space="preserve">In addition, EJ estimates the need for 110 missions</w:t>
      </w:r>
      <w:r>
        <w:t xml:space="preserve"> </w:t>
      </w:r>
      <w:r>
        <w:t xml:space="preserve">annually for a non-staff total of EUR 500 000</w:t>
      </w:r>
      <w:r>
        <w:t xml:space="preserve"> </w:t>
      </w:r>
      <w:r>
        <w:t xml:space="preserve">ii(b) In 2025, the total number of resources dedicated to</w:t>
      </w:r>
      <w:r>
        <w:t xml:space="preserve"> </w:t>
      </w:r>
      <w:r>
        <w:t xml:space="preserve">tasks in relation to support in individual cases amounts to</w:t>
      </w:r>
      <w:r>
        <w:t xml:space="preserve"> </w:t>
      </w:r>
      <w:r>
        <w:t xml:space="preserve">53 FTEs. Assuming a 15% increase in workload, reflecting</w:t>
      </w:r>
      <w:r>
        <w:t xml:space="preserve"> </w:t>
      </w:r>
      <w:r>
        <w:t xml:space="preserve">both the expected rise in the number of cases and the more</w:t>
      </w:r>
      <w:r>
        <w:t xml:space="preserve"> </w:t>
      </w:r>
      <w:r>
        <w:t xml:space="preserve">resource-intensive nature of the support to be provided, this</w:t>
      </w:r>
    </w:p>
    <w:p>
      <w:pPr>
        <w:pStyle w:val="BodyText"/>
      </w:pPr>
      <w:r>
        <w:t xml:space="preserve">2 19 FTEs working on retaining knowledge from cases, provide deliverables prioritised by the College in JCI and crime areas; strategic activities of the College working groups;</w:t>
      </w:r>
      <w:r>
        <w:t xml:space="preserve"> </w:t>
      </w:r>
      <w:r>
        <w:t xml:space="preserve">provide input to COSI, COPEN, other Council working parties and EU agencies – source: EJ ACT 2025 + 2 FTEs to cover EJ’s role in the EU policy cycle.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would amount to 8 additional FTEs (TA-AD – legal and</w:t>
      </w:r>
      <w:r>
        <w:t xml:space="preserve"> </w:t>
      </w:r>
      <w:r>
        <w:t xml:space="preserve">policy officer/assistant)</w:t>
      </w:r>
      <w:r>
        <w:t xml:space="preserve"> </w:t>
      </w:r>
      <w:r>
        <w:t xml:space="preserve">8 x EUR 194 000 = EUR 1 552 000</w:t>
      </w:r>
      <w:r>
        <w:t xml:space="preserve"> </w:t>
      </w:r>
      <w:r>
        <w:t xml:space="preserve">In addition, each national desk would have to be reinforced</w:t>
      </w:r>
      <w:r>
        <w:t xml:space="preserve"> </w:t>
      </w:r>
      <w:r>
        <w:t xml:space="preserve">with one additional SNE, in order to absorb the expected</w:t>
      </w:r>
      <w:r>
        <w:t xml:space="preserve"> </w:t>
      </w:r>
      <w:r>
        <w:t xml:space="preserve">increase in casework and ensure that the additional</w:t>
      </w:r>
      <w:r>
        <w:t xml:space="preserve"> </w:t>
      </w:r>
      <w:r>
        <w:t xml:space="preserve">operational workload can be handled directly and swiftly</w:t>
      </w:r>
      <w:r>
        <w:t xml:space="preserve"> </w:t>
      </w:r>
      <w:r>
        <w:t xml:space="preserve">at desk level</w:t>
      </w:r>
      <w:r>
        <w:t xml:space="preserve"> </w:t>
      </w:r>
      <w:r>
        <w:t xml:space="preserve">27 x EUR 108 000 = EUR 2 916 000</w:t>
      </w:r>
      <w:r>
        <w:t xml:space="preserve"> </w:t>
      </w:r>
      <w:r>
        <w:t xml:space="preserve">iii(b) EJ estimates the introduction of the semi-permanent</w:t>
      </w:r>
      <w:r>
        <w:t xml:space="preserve"> </w:t>
      </w:r>
      <w:r>
        <w:t xml:space="preserve">operational platform to support JITs to require 2 additional</w:t>
      </w:r>
      <w:r>
        <w:t xml:space="preserve"> </w:t>
      </w:r>
      <w:r>
        <w:t xml:space="preserve">FTEs (TA-AD ICT officer)</w:t>
      </w:r>
      <w:r>
        <w:t xml:space="preserve"> </w:t>
      </w:r>
      <w:r>
        <w:t xml:space="preserve">(2 x EUR 194 000 = EUR 388 000), plus non-staff costs of</w:t>
      </w:r>
      <w:r>
        <w:t xml:space="preserve"> </w:t>
      </w:r>
      <w:r>
        <w:t xml:space="preserve">EUR 1.5 million over the period of the MFF for the digital</w:t>
      </w:r>
      <w:r>
        <w:t xml:space="preserve"> </w:t>
      </w:r>
      <w:r>
        <w:t xml:space="preserve">infrastructures.3</w:t>
      </w:r>
      <w:r>
        <w:t xml:space="preserve"> </w:t>
      </w:r>
      <w:r>
        <w:t xml:space="preserve">iv. N/A – Costs have been provided by Eurojust, however</w:t>
      </w:r>
      <w:r>
        <w:t xml:space="preserve"> </w:t>
      </w:r>
      <w:r>
        <w:t xml:space="preserve">these related to the alignment of the EJR to existing</w:t>
      </w:r>
      <w:r>
        <w:t xml:space="preserve"> </w:t>
      </w:r>
      <w:r>
        <w:t xml:space="preserve">requirements (JUDEX, ECRIS-TCN etc.). As such the</w:t>
      </w:r>
      <w:r>
        <w:t xml:space="preserve"> </w:t>
      </w:r>
      <w:r>
        <w:t xml:space="preserve">costs are not included.</w:t>
      </w:r>
      <w:r>
        <w:br/>
      </w:r>
      <w:r>
        <w:t xml:space="preserve">v. On the basis of the resources made available and used</w:t>
      </w:r>
      <w:r>
        <w:t xml:space="preserve"> </w:t>
      </w:r>
      <w:r>
        <w:t xml:space="preserve">for the design, use and maintenance of CICED (16 FTEs +</w:t>
      </w:r>
      <w:r>
        <w:t xml:space="preserve"> </w:t>
      </w:r>
      <w:r>
        <w:t xml:space="preserve">€2million per annum), the expected cost of developing and</w:t>
      </w:r>
    </w:p>
    <w:p>
      <w:pPr>
        <w:pStyle w:val="BodyText"/>
      </w:pPr>
      <w:r>
        <w:t xml:space="preserve">3 The existing underlying architecture is based on outdated technologies, which are increasingly costly and complex to maintain. In addition, the current systems operate largely</w:t>
      </w:r>
      <w:r>
        <w:t xml:space="preserve"> </w:t>
      </w:r>
      <w:r>
        <w:t xml:space="preserve">in isolation, as they are not integrated with the Eurojust Case Management System, leading to manual processes, data duplication, and reduced operational efficiency. Following</w:t>
      </w:r>
      <w:r>
        <w:t xml:space="preserve"> </w:t>
      </w:r>
      <w:r>
        <w:t xml:space="preserve">the recommendations of the DCJ study, Eurojust plans to modernise and redevelop the JIT IT ecosystem in order to streamline the support provided to JITs. This initiative will</w:t>
      </w:r>
      <w:r>
        <w:t xml:space="preserve"> </w:t>
      </w:r>
      <w:r>
        <w:t xml:space="preserve">include the development of new integrated systems supporting the full lifecycle of JIT activities, including funding management, claims processing, evaluation and reporting,</w:t>
      </w:r>
      <w:r>
        <w:t xml:space="preserve"> </w:t>
      </w:r>
      <w:r>
        <w:t xml:space="preserve">integration with the new Case Management System (nCMS) and improved interoperability with the JITs Collaboration Platform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using a similar type of architecture for other types of crime</w:t>
      </w:r>
      <w:r>
        <w:t xml:space="preserve"> </w:t>
      </w:r>
      <w:r>
        <w:t xml:space="preserve">is expected to be similar: 16 FTEs (TA-AD ICT officer,</w:t>
      </w:r>
      <w:r>
        <w:t xml:space="preserve"> </w:t>
      </w:r>
      <w:r>
        <w:t xml:space="preserve">legal and policy officer, data analyst). In addition, given the</w:t>
      </w:r>
      <w:r>
        <w:t xml:space="preserve"> </w:t>
      </w:r>
      <w:r>
        <w:t xml:space="preserve">expected expansion of data-related operational tools,</w:t>
      </w:r>
      <w:r>
        <w:t xml:space="preserve"> </w:t>
      </w:r>
      <w:r>
        <w:t xml:space="preserve">hit/no-hit system and CICED-typed architectures, Eurojust</w:t>
      </w:r>
      <w:r>
        <w:t xml:space="preserve"> </w:t>
      </w:r>
      <w:r>
        <w:t xml:space="preserve">would need to be equipped with a dedicated fundamental</w:t>
      </w:r>
      <w:r>
        <w:t xml:space="preserve"> </w:t>
      </w:r>
      <w:r>
        <w:t xml:space="preserve">rights officer (with advisory functions to the DPO and the</w:t>
      </w:r>
      <w:r>
        <w:t xml:space="preserve"> </w:t>
      </w:r>
      <w:r>
        <w:t xml:space="preserve">College) to ensure that the development and use of these</w:t>
      </w:r>
      <w:r>
        <w:t xml:space="preserve"> </w:t>
      </w:r>
      <w:r>
        <w:t xml:space="preserve">systems is accompanied by adequate fundamental rights</w:t>
      </w:r>
      <w:r>
        <w:t xml:space="preserve"> </w:t>
      </w:r>
      <w:r>
        <w:t xml:space="preserve">standards: 1 FTE (TA-AD fundamental rights officer)</w:t>
      </w:r>
      <w:r>
        <w:t xml:space="preserve"> </w:t>
      </w:r>
      <w:r>
        <w:t xml:space="preserve">17 x EUR 194 000 = EUR 3 298 000</w:t>
      </w:r>
      <w:r>
        <w:br/>
      </w:r>
      <w:r>
        <w:t xml:space="preserve">+ EUR 2 million of non-staff costs per annum</w:t>
      </w:r>
      <w:r>
        <w:t xml:space="preserve"> </w:t>
      </w:r>
      <w:r>
        <w:t xml:space="preserve">Overall measure v. is expected to cost EUR 5 million per</w:t>
      </w:r>
      <w:r>
        <w:t xml:space="preserve"> </w:t>
      </w:r>
      <w:r>
        <w:t xml:space="preserve">annum</w:t>
      </w:r>
      <w:r>
        <w:t xml:space="preserve"> </w:t>
      </w:r>
      <w:r>
        <w:t xml:space="preserve">The extension of competences is expected to generate more</w:t>
      </w:r>
      <w:r>
        <w:t xml:space="preserve"> </w:t>
      </w:r>
      <w:r>
        <w:t xml:space="preserve">casework, missions, coordination meetings, JIT-related</w:t>
      </w:r>
      <w:r>
        <w:t xml:space="preserve"> </w:t>
      </w:r>
      <w:r>
        <w:t xml:space="preserve">support amounting to around EUR 750 000 per annum of</w:t>
      </w:r>
      <w:r>
        <w:t xml:space="preserve"> </w:t>
      </w:r>
      <w:r>
        <w:t xml:space="preserve">operational expenditure.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Low-moderate costs, more staff and budget needed if</w:t>
      </w:r>
      <w:r>
        <w:t xml:space="preserve"> </w:t>
      </w:r>
      <w:r>
        <w:t xml:space="preserve">operational missions increase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t xml:space="preserve">Harmonizing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the EJR, including</w:t>
      </w:r>
      <w:r>
        <w:t xml:space="preserve"> </w:t>
      </w:r>
      <w:r>
        <w:t xml:space="preserve">on allocation of</w:t>
      </w:r>
      <w:r>
        <w:t xml:space="preserve"> </w:t>
      </w:r>
      <w:r>
        <w:t xml:space="preserve">cases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i. (b): N/A</w:t>
      </w:r>
      <w:r>
        <w:t xml:space="preserve"> </w:t>
      </w:r>
      <w:r>
        <w:t xml:space="preserve">ii. (b): N/A</w:t>
      </w:r>
      <w:r>
        <w:br/>
      </w:r>
      <w:r>
        <w:t xml:space="preserve">iii.: N/A</w:t>
      </w:r>
      <w:r>
        <w:br/>
      </w:r>
      <w:r>
        <w:t xml:space="preserve">iv.: N/A</w:t>
      </w:r>
      <w:r>
        <w:br/>
      </w:r>
      <w:r>
        <w:t xml:space="preserve">i. (b): N/A</w:t>
      </w:r>
      <w:r>
        <w:t xml:space="preserve"> </w:t>
      </w:r>
      <w:r>
        <w:t xml:space="preserve">ii. (b): N/A</w:t>
      </w:r>
      <w:r>
        <w:br/>
      </w:r>
      <w:r>
        <w:t xml:space="preserve">iii.: N/A</w:t>
      </w:r>
      <w:r>
        <w:br/>
      </w:r>
      <w:r>
        <w:t xml:space="preserve">iv.: N/A</w:t>
      </w:r>
      <w:r>
        <w:br/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EJ + MS:</w:t>
      </w:r>
      <w:r>
        <w:br/>
      </w:r>
      <w:r>
        <w:t xml:space="preserve">Low resulting from increase in operational work of</w:t>
      </w:r>
      <w:r>
        <w:t xml:space="preserve"> </w:t>
      </w:r>
      <w:r>
        <w:t xml:space="preserve">national desks and support provided by EJ</w:t>
      </w:r>
      <w:r>
        <w:t xml:space="preserve"> </w:t>
      </w:r>
      <w:r>
        <w:t xml:space="preserve">Action</w:t>
      </w:r>
      <w:r>
        <w:t xml:space="preserve"> </w:t>
      </w:r>
      <w: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t xml:space="preserve"> Establishing a</w:t>
      </w:r>
      <w:r>
        <w:t xml:space="preserve"> </w:t>
      </w:r>
      <w:r>
        <w:t xml:space="preserve">streamlined</w:t>
      </w:r>
      <w:r>
        <w:t xml:space="preserve"> </w:t>
      </w:r>
      <w:r>
        <w:t xml:space="preserve">governance system</w:t>
      </w:r>
      <w:r>
        <w:t xml:space="preserve"> </w:t>
      </w:r>
      <w:r>
        <w:t xml:space="preserve">that</w:t>
      </w:r>
      <w:r>
        <w:t xml:space="preserve"> </w:t>
      </w:r>
      <w:r>
        <w:t xml:space="preserve">accelerates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iii. none</w:t>
      </w:r>
      <w:r>
        <w:t xml:space="preserve"> </w:t>
      </w:r>
      <w:r>
        <w:t xml:space="preserve">MS:</w:t>
      </w:r>
      <w:r>
        <w:t xml:space="preserve"> </w:t>
      </w:r>
      <w:r>
        <w:t xml:space="preserve">iii. Assuming two meetings per year (one on site and one</w:t>
      </w:r>
      <w:r>
        <w:t xml:space="preserve"> </w:t>
      </w:r>
      <w:r>
        <w:t xml:space="preserve">external): EUR 200 000 per annum (EUR 80 000 for</w:t>
      </w:r>
      <w:r>
        <w:t xml:space="preserve"> </w:t>
      </w:r>
      <w:r>
        <w:t xml:space="preserve">meeting at EJ; EUR 120 000 for external meeting) for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Low – based on the need to</w:t>
      </w:r>
      <w:r>
        <w:t xml:space="preserve"> </w:t>
      </w:r>
      <w:r>
        <w:t xml:space="preserve">select MB representative</w:t>
      </w:r>
      <w:r>
        <w:t xml:space="preserve"> </w:t>
      </w:r>
      <w:r>
        <w:t xml:space="preserve">setting up meetings. Could vary depending on frequency</w:t>
      </w:r>
      <w:r>
        <w:t xml:space="preserve"> </w:t>
      </w:r>
      <w:r>
        <w:t xml:space="preserve">and location of meetings</w:t>
      </w:r>
      <w:r>
        <w:br/>
      </w:r>
      <w:r>
        <w:t xml:space="preserve">MS:</w:t>
      </w:r>
      <w:r>
        <w:t xml:space="preserve"> </w:t>
      </w:r>
      <w:r>
        <w:t xml:space="preserve">Low - Cost of sending one person to each MB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EJ: Increase in needed support to new cases taken on by</w:t>
      </w:r>
      <w:r>
        <w:t xml:space="preserve"> </w:t>
      </w:r>
      <w:r>
        <w:t xml:space="preserve">NMs</w:t>
      </w:r>
      <w:r>
        <w:t xml:space="preserve"> </w:t>
      </w:r>
      <w:r>
        <w:t xml:space="preserve">Action</w:t>
      </w:r>
      <w:r>
        <w:t xml:space="preserve"> </w:t>
      </w:r>
      <w:r>
        <w:t xml:space="preserve">D</w:t>
      </w:r>
      <w:r>
        <w:t xml:space="preserve"> </w:t>
      </w:r>
      <w:r>
        <w:t xml:space="preserve">-</w:t>
      </w:r>
      <w:r>
        <w:t xml:space="preserve"> </w:t>
      </w:r>
      <w:r>
        <w:t xml:space="preserve">Fostering</w:t>
      </w:r>
      <w:r>
        <w:t xml:space="preserve"> </w:t>
      </w:r>
      <w:r>
        <w:t xml:space="preserve">and</w:t>
      </w:r>
      <w:r>
        <w:t xml:space="preserve"> </w:t>
      </w:r>
      <w:r>
        <w:t xml:space="preserve">strengthening</w:t>
      </w:r>
      <w:r>
        <w:t xml:space="preserve"> </w:t>
      </w:r>
      <w:r>
        <w:t xml:space="preserve">structured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Europol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i. (b) N/A</w:t>
      </w:r>
    </w:p>
    <w:p>
      <w:pPr>
        <w:pStyle w:val="Compact"/>
        <w:numPr>
          <w:ilvl w:val="0"/>
          <w:numId w:val="1017"/>
        </w:numPr>
      </w:pPr>
      <w:r>
        <w:t xml:space="preserve">(b) Cost of renegotiating the</w:t>
      </w:r>
      <w:r>
        <w:t xml:space="preserve"> </w:t>
      </w:r>
      <w:r>
        <w:t xml:space="preserve">working</w:t>
      </w:r>
      <w:r>
        <w:t xml:space="preserve"> </w:t>
      </w:r>
      <w:r>
        <w:t xml:space="preserve">arrangement</w:t>
      </w:r>
      <w:r>
        <w:t xml:space="preserve"> </w:t>
      </w:r>
      <w:r>
        <w:t xml:space="preserve">with</w:t>
      </w:r>
      <w:r>
        <w:t xml:space="preserve"> </w:t>
      </w:r>
      <w:r>
        <w:t xml:space="preserve">Europol: 2 FTEs (TA AD/AST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policy</w:t>
      </w:r>
      <w:r>
        <w:t xml:space="preserve"> </w:t>
      </w:r>
      <w:r>
        <w:t xml:space="preserve">officer/assistant/interinstitution</w:t>
      </w:r>
      <w:r>
        <w:t xml:space="preserve"> </w:t>
      </w:r>
      <w:r>
        <w:t xml:space="preserve">al relations).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(b) Cost of setting up optimised systems for indirect</w:t>
      </w:r>
      <w:r>
        <w:t xml:space="preserve"> </w:t>
      </w:r>
      <w:r>
        <w:t xml:space="preserve">access to databases: taking into account the set-up phase,</w:t>
      </w:r>
      <w:r>
        <w:t xml:space="preserve"> </w:t>
      </w:r>
      <w:r>
        <w:t xml:space="preserve">testing, maintenance, user support and progressive scaling-</w:t>
      </w:r>
      <w:r>
        <w:t xml:space="preserve"> </w:t>
      </w:r>
      <w:r>
        <w:t xml:space="preserve">up of functionalities, this would require 6 FTEs (CA ICT</w:t>
      </w:r>
      <w:r>
        <w:t xml:space="preserve"> </w:t>
      </w:r>
      <w:r>
        <w:t xml:space="preserve">officer)</w:t>
      </w:r>
      <w:r>
        <w:t xml:space="preserve"> </w:t>
      </w:r>
      <w:r>
        <w:t xml:space="preserve">6 x EUR 105 000 = EUR 630 000</w:t>
      </w:r>
    </w:p>
    <w:p>
      <w:pPr>
        <w:pStyle w:val="Compact"/>
        <w:numPr>
          <w:ilvl w:val="0"/>
          <w:numId w:val="1018"/>
        </w:numPr>
      </w:pPr>
      <w:r>
        <w:t xml:space="preserve">non-staff costs between EUR 1.7 million and EUR 2.4.</w:t>
      </w:r>
      <w:r>
        <w:t xml:space="preserve"> </w:t>
      </w:r>
      <w:r>
        <w:t xml:space="preserve">million depending on the functionalities.</w:t>
      </w:r>
    </w:p>
    <w:p>
      <w:pPr>
        <w:pStyle w:val="FirstParagraph"/>
      </w:pPr>
      <w:r>
        <w:t xml:space="preserve">47</w:t>
      </w:r>
    </w:p>
    <w:p>
      <w:pPr>
        <w:pStyle w:val="BodyText"/>
      </w:pPr>
      <w:r>
        <w:t xml:space="preserve">2 x EUR 194 000 = EUR</w:t>
      </w:r>
      <w:r>
        <w:t xml:space="preserve"> </w:t>
      </w:r>
      <w:r>
        <w:t xml:space="preserve">388 000</w:t>
      </w:r>
    </w:p>
    <w:p>
      <w:pPr>
        <w:numPr>
          <w:ilvl w:val="0"/>
          <w:numId w:val="1019"/>
        </w:numPr>
      </w:pPr>
      <w:r>
        <w:t xml:space="preserve">N/A</w:t>
      </w:r>
    </w:p>
    <w:p>
      <w:pPr>
        <w:numPr>
          <w:ilvl w:val="0"/>
          <w:numId w:val="1019"/>
        </w:numPr>
      </w:pPr>
      <w:r>
        <w:t xml:space="preserve">N/A</w:t>
      </w:r>
    </w:p>
    <w:p>
      <w:pPr>
        <w:numPr>
          <w:ilvl w:val="0"/>
          <w:numId w:val="1019"/>
        </w:numPr>
      </w:pPr>
      <w:r>
        <w:t xml:space="preserve">N/A</w:t>
      </w:r>
    </w:p>
    <w:p>
      <w:pPr>
        <w:numPr>
          <w:ilvl w:val="0"/>
          <w:numId w:val="1019"/>
        </w:numPr>
      </w:pPr>
      <w:r>
        <w:t xml:space="preserve">(b). Eurojust would also require additional support to</w:t>
      </w:r>
      <w:r>
        <w:t xml:space="preserve"> </w:t>
      </w:r>
      <w:r>
        <w:t xml:space="preserve">operate the renovated systems for the exchange of</w:t>
      </w:r>
      <w:r>
        <w:t xml:space="preserve"> </w:t>
      </w:r>
      <w:r>
        <w:t xml:space="preserve">information, manage the increased cooperation flows,</w:t>
      </w:r>
      <w:r>
        <w:t xml:space="preserve"> </w:t>
      </w:r>
      <w:r>
        <w:t xml:space="preserve">ensure technical and operational follow-up, and implement</w:t>
      </w:r>
      <w:r>
        <w:t xml:space="preserve"> </w:t>
      </w:r>
      <w:r>
        <w:t xml:space="preserve">the new working arrangement once concluded: 4 FTEs (CA</w:t>
      </w:r>
      <w:r>
        <w:t xml:space="preserve"> </w:t>
      </w:r>
      <w:r>
        <w:t xml:space="preserve">ICT officer).</w:t>
      </w:r>
      <w:r>
        <w:t xml:space="preserve"> </w:t>
      </w:r>
      <w:r>
        <w:t xml:space="preserve">4 x EUR 105 000 = EUR 420 000</w:t>
      </w:r>
    </w:p>
    <w:p>
      <w:pPr>
        <w:numPr>
          <w:ilvl w:val="0"/>
          <w:numId w:val="1019"/>
        </w:numPr>
      </w:pPr>
      <w:r>
        <w:t xml:space="preserve">low as the system already exists and the costs would be</w:t>
      </w:r>
      <w:r>
        <w:t xml:space="preserve"> </w:t>
      </w:r>
      <w:r>
        <w:t xml:space="preserve">linked to (indirect) additional cases</w:t>
      </w:r>
    </w:p>
    <w:p>
      <w:pPr>
        <w:numPr>
          <w:ilvl w:val="0"/>
          <w:numId w:val="1019"/>
        </w:numPr>
      </w:pPr>
      <w:r>
        <w:t xml:space="preserve">low (linked to additional circulation of preparation</w:t>
      </w:r>
      <w:r>
        <w:t xml:space="preserve"> </w:t>
      </w:r>
      <w:r>
        <w:t xml:space="preserve">documents, etc).</w:t>
      </w:r>
    </w:p>
    <w:p>
      <w:pPr>
        <w:numPr>
          <w:ilvl w:val="0"/>
          <w:numId w:val="1019"/>
        </w:numPr>
      </w:pPr>
      <w:r>
        <w:t xml:space="preserve">Not direct impact from the measure in itself, but indirect</w:t>
      </w:r>
      <w:r>
        <w:t xml:space="preserve"> </w:t>
      </w:r>
      <w:r>
        <w:t xml:space="preserve">costs linked to expected increase in the number of cases.</w:t>
      </w:r>
    </w:p>
    <w:p>
      <w:pPr>
        <w:pStyle w:val="FirstParagraph"/>
      </w:pPr>
      <w:r>
        <w:t xml:space="preserve">The measures are expected to generate more follow-up of</w:t>
      </w:r>
      <w:r>
        <w:t xml:space="preserve"> </w:t>
      </w:r>
      <w:r>
        <w:t xml:space="preserve">Europol requests, coordination meetings and case-</w:t>
      </w:r>
      <w:r>
        <w:t xml:space="preserve"> </w:t>
      </w:r>
      <w:r>
        <w:t xml:space="preserve">preparation work, leading to additional operational</w:t>
      </w:r>
      <w:r>
        <w:t xml:space="preserve"> </w:t>
      </w:r>
      <w:r>
        <w:t xml:space="preserve">expenditure of EUR 250 000 per annum.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EJ</w:t>
      </w:r>
      <w:r>
        <w:t xml:space="preserve"> </w:t>
      </w:r>
      <w:r>
        <w:t xml:space="preserve">Potentially high increase in number of relevant complex</w:t>
      </w:r>
      <w:r>
        <w:t xml:space="preserve"> </w:t>
      </w:r>
      <w:r>
        <w:t xml:space="preserve">cases</w:t>
      </w:r>
      <w:r>
        <w:t xml:space="preserve"> </w:t>
      </w:r>
      <w:r>
        <w:t xml:space="preserve">Action</w:t>
      </w:r>
      <w:r>
        <w:t xml:space="preserve"> </w:t>
      </w:r>
      <w:r>
        <w:t xml:space="preserve">E</w:t>
      </w:r>
      <w:r>
        <w:t xml:space="preserve"> </w:t>
      </w:r>
      <w:r>
        <w:t xml:space="preserve">-</w:t>
      </w:r>
      <w:r>
        <w:t xml:space="preserve"> </w:t>
      </w:r>
      <w:r>
        <w:t xml:space="preserve"> Promoting</w:t>
      </w:r>
      <w:r>
        <w:t xml:space="preserve"> </w:t>
      </w:r>
      <w:r>
        <w:t xml:space="preserve">fully</w:t>
      </w:r>
      <w:r>
        <w:t xml:space="preserve"> </w:t>
      </w:r>
      <w:r>
        <w:t xml:space="preserve">developed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the EPPO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i. (b) and ii. – together these</w:t>
      </w:r>
      <w:r>
        <w:t xml:space="preserve"> </w:t>
      </w:r>
      <w:r>
        <w:t xml:space="preserve">measures may require revising</w:t>
      </w:r>
      <w:r>
        <w:t xml:space="preserve"> </w:t>
      </w:r>
      <w:r>
        <w:t xml:space="preserve">the EPPO-Eurojust working</w:t>
      </w:r>
      <w:r>
        <w:t xml:space="preserve"> </w:t>
      </w:r>
      <w:r>
        <w:t xml:space="preserve">arrangement to broaden its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establish</w:t>
      </w:r>
      <w:r>
        <w:t xml:space="preserve"> </w:t>
      </w:r>
      <w:r>
        <w:t xml:space="preserve">clear</w:t>
      </w:r>
      <w:r>
        <w:t xml:space="preserve"> </w:t>
      </w:r>
      <w:r>
        <w:t xml:space="preserve">workflows. This would require</w:t>
      </w:r>
      <w:r>
        <w:t xml:space="preserve"> </w:t>
      </w:r>
      <w:r>
        <w:t xml:space="preserve">approximately 1 FTE (CA legal</w:t>
      </w:r>
      <w:r>
        <w:t xml:space="preserve"> </w:t>
      </w:r>
      <w:r>
        <w:t xml:space="preserve">and</w:t>
      </w:r>
      <w:r>
        <w:t xml:space="preserve"> </w:t>
      </w:r>
      <w:r>
        <w:t xml:space="preserve">policy</w:t>
      </w:r>
      <w:r>
        <w:t xml:space="preserve"> </w:t>
      </w:r>
      <w:r>
        <w:t xml:space="preserve">officer/interinstitutional</w:t>
      </w:r>
      <w:r>
        <w:t xml:space="preserve"> </w:t>
      </w:r>
      <w:r>
        <w:t xml:space="preserve">relations)</w:t>
      </w:r>
      <w:r>
        <w:t xml:space="preserve"> </w:t>
      </w:r>
      <w:r>
        <w:t xml:space="preserve">1 x EUR 105 000 until the</w:t>
      </w:r>
      <w:r>
        <w:t xml:space="preserve"> </w:t>
      </w:r>
      <w:r>
        <w:t xml:space="preserve">working arrangement has been</w:t>
      </w:r>
      <w:r>
        <w:t xml:space="preserve"> </w:t>
      </w:r>
      <w:r>
        <w:t xml:space="preserve">revised and new practices are</w:t>
      </w:r>
      <w:r>
        <w:t xml:space="preserve"> </w:t>
      </w:r>
      <w:r>
        <w:t xml:space="preserve">stably implemented.</w:t>
      </w:r>
      <w:r>
        <w:t xml:space="preserve"> </w:t>
      </w:r>
      <w:r>
        <w:t xml:space="preserve">i. (b) and ii. Taken together, these measures are likely to</w:t>
      </w:r>
      <w:r>
        <w:t xml:space="preserve"> </w:t>
      </w:r>
      <w:r>
        <w:t xml:space="preserve">increase the support provided by Eurojust to the EPPO</w:t>
      </w:r>
      <w:r>
        <w:t xml:space="preserve"> </w:t>
      </w:r>
      <w:r>
        <w:t xml:space="preserve">through reinforced support to setting-up of JITs and JIT</w:t>
      </w:r>
      <w:r>
        <w:t xml:space="preserve"> </w:t>
      </w:r>
      <w:r>
        <w:t xml:space="preserve">funding, enhanced assistance for coordination in relevant</w:t>
      </w:r>
      <w:r>
        <w:t xml:space="preserve"> </w:t>
      </w:r>
      <w:r>
        <w:t xml:space="preserve">cases etc. This support can be expected to represent 1 FTE</w:t>
      </w:r>
      <w:r>
        <w:t xml:space="preserve"> </w:t>
      </w:r>
      <w:r>
        <w:t xml:space="preserve">(CA IT officer/legal officer) = EUR 105 000</w:t>
      </w:r>
      <w:r>
        <w:t xml:space="preserve"> </w:t>
      </w:r>
      <w:r>
        <w:t xml:space="preserve">iii. low (linked to additional circulation of preparation</w:t>
      </w:r>
      <w:r>
        <w:t xml:space="preserve"> </w:t>
      </w:r>
      <w:r>
        <w:t xml:space="preserve">documents, etc).</w:t>
      </w:r>
      <w:r>
        <w:t xml:space="preserve"> </w:t>
      </w:r>
      <w:r>
        <w:t xml:space="preserve">iv. low maintenance costs (can be absorbed as part of wider</w:t>
      </w:r>
      <w:r>
        <w:t xml:space="preserve"> </w:t>
      </w:r>
      <w:r>
        <w:t xml:space="preserve">ICT maintenance)</w:t>
      </w:r>
      <w:r>
        <w:t xml:space="preserve"> </w:t>
      </w:r>
      <w:r>
        <w:t xml:space="preserve">The measures are expected to generate more coordination</w:t>
      </w:r>
      <w:r>
        <w:t xml:space="preserve"> </w:t>
      </w:r>
      <w:r>
        <w:t xml:space="preserve">meetings, JIT support in EPPO cases, and case-preparation</w:t>
      </w:r>
    </w:p>
    <w:p>
      <w:pPr>
        <w:pStyle w:val="BodyText"/>
      </w:pPr>
      <w:r>
        <w:t xml:space="preserve">49</w:t>
      </w:r>
    </w:p>
    <w:p>
      <w:pPr>
        <w:pStyle w:val="Compact"/>
        <w:numPr>
          <w:ilvl w:val="0"/>
          <w:numId w:val="1020"/>
        </w:numPr>
      </w:pPr>
      <w:r>
        <w:t xml:space="preserve">Low set up costs as the</w:t>
      </w:r>
      <w:r>
        <w:t xml:space="preserve"> </w:t>
      </w:r>
      <w:r>
        <w:t xml:space="preserve">EPPO can already participate in</w:t>
      </w:r>
      <w:r>
        <w:t xml:space="preserve"> </w:t>
      </w:r>
      <w:r>
        <w:t xml:space="preserve">COL meetings</w:t>
      </w:r>
    </w:p>
    <w:p>
      <w:pPr>
        <w:pStyle w:val="Compact"/>
        <w:numPr>
          <w:ilvl w:val="0"/>
          <w:numId w:val="1020"/>
        </w:numPr>
      </w:pPr>
      <w:r>
        <w:t xml:space="preserve">Costs of set- up of the</w:t>
      </w:r>
      <w:r>
        <w:t xml:space="preserve"> </w:t>
      </w:r>
      <w:r>
        <w:t xml:space="preserve">mechanism</w:t>
      </w:r>
      <w:r>
        <w:t xml:space="preserve"> </w:t>
      </w:r>
      <w:r>
        <w:t xml:space="preserve">would</w:t>
      </w:r>
      <w:r>
        <w:t xml:space="preserve"> </w:t>
      </w:r>
      <w:r>
        <w:t xml:space="preserve">remain</w:t>
      </w:r>
      <w:r>
        <w:t xml:space="preserve"> </w:t>
      </w:r>
      <w:r>
        <w:t xml:space="preserve">limited, as the number of cases</w:t>
      </w:r>
      <w:r>
        <w:t xml:space="preserve"> </w:t>
      </w:r>
      <w:r>
        <w:t xml:space="preserve">is not expected to be large and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</w:t>
      </w:r>
      <w:r>
        <w:t xml:space="preserve"> </w:t>
      </w:r>
      <w:r>
        <w:t xml:space="preserve">not</w:t>
      </w:r>
      <w:r>
        <w:t xml:space="preserve"> </w:t>
      </w:r>
      <w:r>
        <w:t xml:space="preserve">very</w:t>
      </w:r>
      <w:r>
        <w:t xml:space="preserve"> </w:t>
      </w:r>
      <w:r>
        <w:t xml:space="preserve">complex. However, given 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design,</w:t>
      </w:r>
      <w:r>
        <w:t xml:space="preserve"> </w:t>
      </w:r>
      <w:r>
        <w:t xml:space="preserve">test</w:t>
      </w:r>
      <w:r>
        <w:t xml:space="preserve"> </w:t>
      </w:r>
      <w:r>
        <w:t xml:space="preserve">and</w:t>
      </w:r>
      <w:r>
        <w:t xml:space="preserve"> </w:t>
      </w:r>
      <w:r>
        <w:t xml:space="preserve">implement the mechanism, and</w:t>
      </w:r>
      <w:r>
        <w:t xml:space="preserve"> </w:t>
      </w:r>
      <w:r>
        <w:t xml:space="preserve">ensure coordination with the</w:t>
      </w:r>
      <w:r>
        <w:t xml:space="preserve"> </w:t>
      </w:r>
      <w:r>
        <w:t xml:space="preserve">relevant services, this should be</w:t>
      </w:r>
      <w:r>
        <w:t xml:space="preserve"> </w:t>
      </w:r>
      <w:r>
        <w:t xml:space="preserve">rounded to 1 FTE (CA legal and</w:t>
      </w:r>
      <w:r>
        <w:t xml:space="preserve"> </w:t>
      </w:r>
      <w:r>
        <w:t xml:space="preserve">policy officer/interinstitutional</w:t>
      </w:r>
      <w:r>
        <w:t xml:space="preserve"> </w:t>
      </w:r>
      <w:r>
        <w:t xml:space="preserve">relations)</w:t>
      </w:r>
      <w:r>
        <w:t xml:space="preserve"> </w:t>
      </w:r>
      <w:r>
        <w:t xml:space="preserve">1 x EUR 105 000 until the</w:t>
      </w:r>
      <w:r>
        <w:t xml:space="preserve"> </w:t>
      </w:r>
      <w:r>
        <w:t xml:space="preserve">systems has been established</w:t>
      </w:r>
      <w:r>
        <w:t xml:space="preserve"> </w:t>
      </w:r>
      <w:r>
        <w:t xml:space="preserve">and new practices are stably</w:t>
      </w:r>
      <w:r>
        <w:t xml:space="preserve"> </w:t>
      </w:r>
      <w:r>
        <w:t xml:space="preserve">implemented.</w:t>
      </w:r>
      <w:r>
        <w:t xml:space="preserve"> </w:t>
      </w:r>
      <w:r>
        <w:t xml:space="preserve">work, for an additional operational expenditure of EUR</w:t>
      </w:r>
      <w:r>
        <w:t xml:space="preserve"> </w:t>
      </w:r>
      <w:r>
        <w:t xml:space="preserve">150 000 per annum.</w:t>
      </w:r>
      <w:r>
        <w:t xml:space="preserve"> </w:t>
      </w:r>
      <w:r>
        <w:t xml:space="preserve">Other IBOAs (EPPO)</w:t>
      </w:r>
      <w:r>
        <w:t xml:space="preserve"> </w:t>
      </w:r>
      <w:r>
        <w:t xml:space="preserve">Low recurrent costs linked to travel costs of participation</w:t>
      </w:r>
      <w:r>
        <w:t xml:space="preserve"> </w:t>
      </w:r>
      <w:r>
        <w:t xml:space="preserve">in COL (remote participation not possible currently)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EJ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Potentially low-medium increase in number of relevant</w:t>
      </w:r>
      <w:r>
        <w:t xml:space="preserve"> </w:t>
      </w:r>
      <w:r>
        <w:t xml:space="preserve">complex cases</w:t>
      </w:r>
      <w:r>
        <w:t xml:space="preserve"> </w:t>
      </w:r>
      <w:r>
        <w:t xml:space="preserve">Action</w:t>
      </w:r>
      <w:r>
        <w:t xml:space="preserve"> </w:t>
      </w:r>
      <w:r>
        <w:t xml:space="preserve">F</w:t>
      </w:r>
      <w:r>
        <w:t xml:space="preserve"> </w:t>
      </w:r>
      <w:r>
        <w:t xml:space="preserve">-</w:t>
      </w:r>
      <w:r>
        <w:t xml:space="preserve"> </w:t>
      </w:r>
      <w:r>
        <w:t xml:space="preserve">Consolidating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third countries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i. N/A</w:t>
      </w:r>
      <w:r>
        <w:t xml:space="preserve"> </w:t>
      </w:r>
      <w:r>
        <w:t xml:space="preserve">ii. cost of selecting LM (low)</w:t>
      </w:r>
    </w:p>
    <w:p>
      <w:pPr>
        <w:pStyle w:val="Compact"/>
        <w:numPr>
          <w:ilvl w:val="0"/>
          <w:numId w:val="1021"/>
        </w:numPr>
      </w:pPr>
      <w:r>
        <w:t xml:space="preserve">N/A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N/A</w:t>
      </w:r>
    </w:p>
    <w:p>
      <w:pPr>
        <w:pStyle w:val="Compact"/>
        <w:numPr>
          <w:ilvl w:val="0"/>
          <w:numId w:val="1021"/>
        </w:numPr>
      </w:pPr>
      <w:r>
        <w:t xml:space="preserve">N/A</w:t>
      </w:r>
    </w:p>
    <w:p>
      <w:pPr>
        <w:pStyle w:val="Compact"/>
        <w:numPr>
          <w:ilvl w:val="0"/>
          <w:numId w:val="1021"/>
        </w:numPr>
      </w:pPr>
      <w:r>
        <w:t xml:space="preserve">Administrative support to Liaison Magistrates is</w:t>
      </w:r>
      <w:r>
        <w:t xml:space="preserve"> </w:t>
      </w:r>
      <w:r>
        <w:t xml:space="preserve">estimated at 1 FTE (TA-AD/AST international affairs</w:t>
      </w:r>
      <w:r>
        <w:t xml:space="preserve"> </w:t>
      </w:r>
      <w:r>
        <w:t xml:space="preserve">officer) per area/region covered (Africa, Central and South</w:t>
      </w:r>
      <w:r>
        <w:t xml:space="preserve"> </w:t>
      </w:r>
      <w:r>
        <w:t xml:space="preserve">America, Middle East). In addition, Eurojust would require</w:t>
      </w:r>
      <w:r>
        <w:t xml:space="preserve"> </w:t>
      </w:r>
      <w:r>
        <w:t xml:space="preserve">1 FTE (CA international affairs officer) for implementation</w:t>
      </w:r>
      <w:r>
        <w:t xml:space="preserve"> </w:t>
      </w:r>
      <w:r>
        <w:t xml:space="preserve">support linked to the scaling-up of cooperation, operational</w:t>
      </w:r>
      <w:r>
        <w:t xml:space="preserve"> </w:t>
      </w:r>
      <w:r>
        <w:t xml:space="preserve">workflows and project-related reporting.</w:t>
      </w:r>
      <w:r>
        <w:t xml:space="preserve"> </w:t>
      </w:r>
      <w:r>
        <w:t xml:space="preserve">3 x EUR 194 000 = EUR 582 000</w:t>
      </w:r>
      <w:r>
        <w:t xml:space="preserve"> </w:t>
      </w:r>
      <w:r>
        <w:t xml:space="preserve">1 x EUR 105 000</w:t>
      </w:r>
      <w:r>
        <w:t xml:space="preserve"> </w:t>
      </w:r>
      <w:r>
        <w:t xml:space="preserve">Eurojust would also require 3 FTEs (TA-AD, CA</w:t>
      </w:r>
      <w:r>
        <w:t xml:space="preserve"> </w:t>
      </w:r>
      <w:r>
        <w:t xml:space="preserve">international affairs officer) for the overall coordination</w:t>
      </w:r>
      <w:r>
        <w:t xml:space="preserve"> </w:t>
      </w:r>
      <w:r>
        <w:t xml:space="preserve">and management of projects, including planning, reporting,</w:t>
      </w:r>
      <w:r>
        <w:t xml:space="preserve"> </w:t>
      </w:r>
      <w:r>
        <w:t xml:space="preserve">implementation follow-up and liaison with the relevant</w:t>
      </w:r>
      <w:r>
        <w:t xml:space="preserve"> </w:t>
      </w:r>
      <w:r>
        <w:t xml:space="preserve">partners.</w:t>
      </w:r>
      <w:r>
        <w:t xml:space="preserve"> </w:t>
      </w:r>
      <w:r>
        <w:t xml:space="preserve">1 x EUR 194 000</w:t>
      </w:r>
      <w:r>
        <w:t xml:space="preserve"> </w:t>
      </w:r>
      <w:r>
        <w:t xml:space="preserve">2 x EUR 210 000</w:t>
      </w:r>
    </w:p>
    <w:p>
      <w:pPr>
        <w:pStyle w:val="FirstParagraph"/>
      </w:pPr>
      <w:r>
        <w:t xml:space="preserve">51</w:t>
      </w:r>
    </w:p>
    <w:p>
      <w:pPr>
        <w:pStyle w:val="Compact"/>
        <w:numPr>
          <w:ilvl w:val="0"/>
          <w:numId w:val="1022"/>
        </w:numPr>
      </w:pPr>
      <w:r>
        <w:t xml:space="preserve">costs of LM = EUR 188 500 per country4 + related costs</w:t>
      </w:r>
      <w:r>
        <w:t xml:space="preserve"> </w:t>
      </w:r>
      <w:r>
        <w:t xml:space="preserve">(travel, meetings etc) = EUR 50 000</w:t>
      </w:r>
    </w:p>
    <w:p>
      <w:pPr>
        <w:pStyle w:val="Compact"/>
        <w:numPr>
          <w:ilvl w:val="0"/>
          <w:numId w:val="1023"/>
        </w:numPr>
      </w:pPr>
      <w:r>
        <w:t xml:space="preserve">Resident Contact Point: preparation and negotiation of</w:t>
      </w:r>
      <w:r>
        <w:t xml:space="preserve"> </w:t>
      </w:r>
      <w:r>
        <w:t xml:space="preserve">working arrangements require approximately 0.6 FTE per</w:t>
      </w:r>
      <w:r>
        <w:t xml:space="preserve"> </w:t>
      </w:r>
      <w:r>
        <w:t xml:space="preserve">negotiation/country. Assuming a mandate to cover 13</w:t>
      </w:r>
      <w:r>
        <w:t xml:space="preserve"> </w:t>
      </w:r>
      <w:r>
        <w:t xml:space="preserve">countries, Eurojust estimates to be able to onboard resident</w:t>
      </w:r>
      <w:r>
        <w:t xml:space="preserve"> </w:t>
      </w:r>
      <w:r>
        <w:t xml:space="preserve">contact points and support their work with additional</w:t>
      </w:r>
      <w:r>
        <w:t xml:space="preserve"> </w:t>
      </w:r>
      <w:r>
        <w:t xml:space="preserve">resources corresponding to 8 FTEs (TA-AD and CA</w:t>
      </w:r>
      <w:r>
        <w:t xml:space="preserve"> </w:t>
      </w:r>
      <w:r>
        <w:t xml:space="preserve">international affairs officer)</w:t>
      </w:r>
      <w:r>
        <w:t xml:space="preserve"> </w:t>
      </w:r>
      <w:r>
        <w:t xml:space="preserve">4 x EUR 194 000 = EUR 776 000</w:t>
      </w:r>
      <w:r>
        <w:t xml:space="preserve"> </w:t>
      </w:r>
      <w:r>
        <w:t xml:space="preserve">4 x EUR 105 000 = EUR 420 000</w:t>
      </w:r>
    </w:p>
    <w:p>
      <w:pPr>
        <w:pStyle w:val="Compact"/>
        <w:numPr>
          <w:ilvl w:val="0"/>
          <w:numId w:val="1023"/>
        </w:numPr>
      </w:pPr>
      <w:r>
        <w:t xml:space="preserve">Cost for the use of services and premises EUR 20 000</w:t>
      </w:r>
      <w:r>
        <w:t xml:space="preserve"> </w:t>
      </w:r>
      <w:r>
        <w:t xml:space="preserve">per RCP</w:t>
      </w:r>
    </w:p>
    <w:p>
      <w:pPr>
        <w:pStyle w:val="Compact"/>
        <w:numPr>
          <w:ilvl w:val="0"/>
          <w:numId w:val="1023"/>
        </w:numPr>
      </w:pPr>
      <w:r>
        <w:t xml:space="preserve">N/A – no additional costs given LP are already located</w:t>
      </w:r>
      <w:r>
        <w:t xml:space="preserve"> </w:t>
      </w:r>
      <w:r>
        <w:t xml:space="preserve">in the Hague and participate in relevant agenda of the</w:t>
      </w:r>
      <w:r>
        <w:t xml:space="preserve"> </w:t>
      </w:r>
      <w:r>
        <w:t xml:space="preserve">College.</w:t>
      </w:r>
      <w:r>
        <w:br/>
      </w:r>
      <w:r>
        <w:t xml:space="preserve">Enhanced cooperation with third countries and IOs is</w:t>
      </w:r>
      <w:r>
        <w:t xml:space="preserve"> </w:t>
      </w:r>
      <w:r>
        <w:t xml:space="preserve">expected to generate more missions, operational support to</w:t>
      </w:r>
      <w:r>
        <w:t xml:space="preserve"> </w:t>
      </w:r>
      <w:r>
        <w:t xml:space="preserve">liaison magistrates, liaison prosecutors, resident contact</w:t>
      </w:r>
      <w:r>
        <w:t xml:space="preserve"> </w:t>
      </w:r>
      <w:r>
        <w:t xml:space="preserve">points and capacity building work for around EUR 550 000</w:t>
      </w:r>
      <w:r>
        <w:t xml:space="preserve"> </w:t>
      </w:r>
      <w:r>
        <w:t xml:space="preserve">per annum of operational expenditure.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FirstParagraph"/>
      </w:pPr>
      <w:r>
        <w:t xml:space="preserve">4 Assuming LMs wages are purely paid from EJ’s budget and they are located in the EU delegation’s premises.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Potential increase in operational work through increase of</w:t>
      </w:r>
      <w:r>
        <w:t xml:space="preserve"> </w:t>
      </w:r>
      <w:r>
        <w:t xml:space="preserve">(complex) cases. The number of cases involving third</w:t>
      </w:r>
      <w:r>
        <w:t xml:space="preserve"> </w:t>
      </w:r>
      <w:r>
        <w:t xml:space="preserve">countries would increase by a higher rate than the current</w:t>
      </w:r>
      <w:r>
        <w:t xml:space="preserve"> </w:t>
      </w:r>
      <w:r>
        <w:t xml:space="preserve">one (+12% between 2019 and 2023).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As a demand-driven Agency, savings relating to administrative burden reduction are likely</w:t>
      </w:r>
      <w:r>
        <w:t xml:space="preserve"> </w:t>
      </w:r>
      <w:r>
        <w:t xml:space="preserve">to translate into increased operational capacity, rather than have any contribution to OIOO.</w:t>
      </w:r>
      <w:r>
        <w:t xml:space="preserve"> </w:t>
      </w:r>
      <w:r>
        <w:t xml:space="preserve">III. Contribution to the administrative burden reduction targets – Preferred</w:t>
      </w:r>
      <w:r>
        <w:t xml:space="preserve"> </w:t>
      </w:r>
      <w:r>
        <w:t xml:space="preserve">option(s)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[M€]</w:t>
      </w:r>
      <w:r>
        <w:t xml:space="preserve"> </w:t>
      </w:r>
      <w:r>
        <w:t xml:space="preserve">New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(INs)</w:t>
      </w:r>
      <w:r>
        <w:br/>
      </w: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Removed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(OUTs)</w:t>
      </w:r>
      <w:r>
        <w:br/>
      </w: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Net cost (INs</w:t>
      </w:r>
      <w:r>
        <w:t xml:space="preserve"> </w:t>
      </w:r>
      <w:r>
        <w:t xml:space="preserve">– OUTs)</w:t>
      </w:r>
      <w:r>
        <w:br/>
      </w: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New one-off</w:t>
      </w:r>
      <w:r>
        <w:t xml:space="preserve"> </w:t>
      </w:r>
      <w:r>
        <w:t xml:space="preserve">costs (INs)</w:t>
      </w:r>
      <w:r>
        <w:br/>
      </w:r>
      <w:r>
        <w:t xml:space="preserve">(annualised</w:t>
      </w:r>
      <w:r>
        <w:t xml:space="preserve"> </w:t>
      </w:r>
      <w:r>
        <w:t xml:space="preserve">total net</w:t>
      </w:r>
      <w:r>
        <w:t xml:space="preserve"> </w:t>
      </w:r>
      <w:r>
        <w:t xml:space="preserve">present value</w:t>
      </w:r>
      <w:r>
        <w:t xml:space="preserve"> </w:t>
      </w:r>
      <w:r>
        <w:t xml:space="preserve">over the</w:t>
      </w:r>
      <w:r>
        <w:t xml:space="preserve"> </w:t>
      </w:r>
      <w:r>
        <w:t xml:space="preserve">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Removed</w:t>
      </w:r>
      <w:r>
        <w:t xml:space="preserve"> </w:t>
      </w:r>
      <w:r>
        <w:t xml:space="preserve">one-off costs</w:t>
      </w:r>
      <w:r>
        <w:t xml:space="preserve"> </w:t>
      </w:r>
      <w:r>
        <w:t xml:space="preserve">(OUTs)</w:t>
      </w:r>
      <w:r>
        <w:br/>
      </w:r>
      <w:r>
        <w:t xml:space="preserve">(annualised</w:t>
      </w:r>
      <w:r>
        <w:t xml:space="preserve"> </w:t>
      </w:r>
      <w:r>
        <w:t xml:space="preserve">total net</w:t>
      </w:r>
      <w:r>
        <w:t xml:space="preserve"> </w:t>
      </w:r>
      <w:r>
        <w:t xml:space="preserve">present value</w:t>
      </w:r>
      <w:r>
        <w:t xml:space="preserve"> </w:t>
      </w:r>
      <w:r>
        <w:t xml:space="preserve">over the</w:t>
      </w:r>
      <w:r>
        <w:t xml:space="preserve"> </w:t>
      </w:r>
      <w:r>
        <w:t xml:space="preserve">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All businesses</w:t>
      </w:r>
    </w:p>
    <w:p>
      <w:pPr>
        <w:pStyle w:val="Compact"/>
        <w:numPr>
          <w:ilvl w:val="0"/>
          <w:numId w:val="1024"/>
        </w:numPr>
      </w:pPr>
      <w:r>
        <w:t xml:space="preserve">in which SMEs</w:t>
      </w:r>
    </w:p>
    <w:p>
      <w:pPr>
        <w:pStyle w:val="FirstParagraph"/>
      </w:pPr>
      <w:r>
        <w:t xml:space="preserve">Public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Citizens</w:t>
      </w:r>
    </w:p>
    <w:p>
      <w:pPr>
        <w:pStyle w:val="Compact"/>
        <w:numPr>
          <w:ilvl w:val="0"/>
          <w:numId w:val="1025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16, Promote</w:t>
      </w:r>
      <w:r>
        <w:t xml:space="preserve"> </w:t>
      </w:r>
      <w:r>
        <w:t xml:space="preserve">just, peaceful and</w:t>
      </w:r>
      <w:r>
        <w:t xml:space="preserve"> </w:t>
      </w:r>
      <w:r>
        <w:t xml:space="preserve">inclusive societies</w:t>
      </w:r>
      <w:r>
        <w:t xml:space="preserve"> </w:t>
      </w:r>
      <w:r>
        <w:t xml:space="preserve">Expected progress towards :</w:t>
      </w:r>
    </w:p>
    <w:p>
      <w:pPr>
        <w:pStyle w:val="Compact"/>
        <w:numPr>
          <w:ilvl w:val="0"/>
          <w:numId w:val="1026"/>
        </w:numPr>
      </w:pPr>
      <w:r>
        <w:t xml:space="preserve">16.1 Significantly reduce all forms of</w:t>
      </w:r>
      <w:r>
        <w:t xml:space="preserve"> </w:t>
      </w:r>
      <w:r>
        <w:t xml:space="preserve">violence and related death rates everywhere</w:t>
      </w:r>
    </w:p>
    <w:p>
      <w:pPr>
        <w:pStyle w:val="Compact"/>
        <w:numPr>
          <w:ilvl w:val="0"/>
          <w:numId w:val="1026"/>
        </w:numPr>
      </w:pPr>
      <w:r>
        <w:t xml:space="preserve">16.4 By 2030, significantly reduce illicit</w:t>
      </w:r>
      <w:r>
        <w:t xml:space="preserve"> </w:t>
      </w:r>
      <w:r>
        <w:t xml:space="preserve">financial and arms flows, strengthen the</w:t>
      </w:r>
      <w:r>
        <w:t xml:space="preserve"> </w:t>
      </w:r>
      <w:r>
        <w:t xml:space="preserve">recovery and return of stolen assets and</w:t>
      </w:r>
      <w:r>
        <w:t xml:space="preserve"> </w:t>
      </w:r>
      <w:r>
        <w:t xml:space="preserve">combat all forms of organized crime, and</w:t>
      </w:r>
    </w:p>
    <w:p>
      <w:pPr>
        <w:pStyle w:val="Compact"/>
        <w:numPr>
          <w:ilvl w:val="0"/>
          <w:numId w:val="1026"/>
        </w:numPr>
      </w:pPr>
      <w:r>
        <w:t xml:space="preserve">16.A Strengthen relevant national</w:t>
      </w:r>
      <w:r>
        <w:t xml:space="preserve"> </w:t>
      </w:r>
      <w:r>
        <w:t xml:space="preserve">institutions, including through international</w:t>
      </w:r>
      <w:r>
        <w:t xml:space="preserve"> </w:t>
      </w:r>
      <w:r>
        <w:t xml:space="preserve">cooperation, for building capacity at all</w:t>
      </w:r>
      <w:r>
        <w:t xml:space="preserve"> </w:t>
      </w:r>
      <w:r>
        <w:t xml:space="preserve">levels, in particular in developing countries,</w:t>
      </w:r>
      <w:r>
        <w:t xml:space="preserve"> </w:t>
      </w:r>
      <w:r>
        <w:t xml:space="preserve">to prevent violence and combat terrorism</w:t>
      </w:r>
      <w:r>
        <w:t xml:space="preserve"> </w:t>
      </w:r>
      <w:r>
        <w:t xml:space="preserve">and crime</w:t>
      </w:r>
      <w:r>
        <w:t xml:space="preserve"> </w:t>
      </w:r>
      <w:r>
        <w:t xml:space="preserve">The expected progress towards</w:t>
      </w:r>
      <w:r>
        <w:t xml:space="preserve"> </w:t>
      </w:r>
      <w:r>
        <w:t xml:space="preserve">SDG 16 is covered in the benefits</w:t>
      </w:r>
      <w:r>
        <w:t xml:space="preserve"> </w:t>
      </w:r>
      <w:r>
        <w:t xml:space="preserve">tables above.</w:t>
      </w:r>
    </w:p>
    <w:p>
      <w:pPr>
        <w:pStyle w:val="FirstParagraph"/>
      </w:pPr>
      <w:r>
        <w:t xml:space="preserve">54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GENERAL APPROACH</w:t>
      </w:r>
      <w:r>
        <w:t xml:space="preserve"> </w:t>
      </w:r>
      <w:r>
        <w:t xml:space="preserve">This Impact Assessment has been prepared by the Commission services in accordance with</w:t>
      </w:r>
      <w:r>
        <w:t xml:space="preserve"> </w:t>
      </w:r>
      <w:r>
        <w:t xml:space="preserve">the Better Regulation Guidelines and Toolbox. The analytical framework structures the</w:t>
      </w:r>
      <w:r>
        <w:t xml:space="preserve"> </w:t>
      </w:r>
      <w:r>
        <w:t xml:space="preserve">assessment of problems, objectives, policy options and impacts in a consistent and traceable</w:t>
      </w:r>
      <w:r>
        <w:t xml:space="preserve"> </w:t>
      </w:r>
      <w:r>
        <w:t xml:space="preserve">manner.</w:t>
      </w:r>
      <w:r>
        <w:br/>
      </w:r>
      <w:r>
        <w:t xml:space="preserve">2.</w:t>
      </w:r>
      <w:r>
        <w:t xml:space="preserve"> </w:t>
      </w:r>
      <w:r>
        <w:t xml:space="preserve">SUPPORT STUDY</w:t>
      </w:r>
      <w:r>
        <w:t xml:space="preserve"> </w:t>
      </w:r>
      <w:r>
        <w:t xml:space="preserve">2.1. Study requirements and timeline</w:t>
      </w:r>
      <w:r>
        <w:t xml:space="preserve"> </w:t>
      </w:r>
      <w:r>
        <w:t xml:space="preserve">An external study was commissioned to provide the Commission with evidence and analysis</w:t>
      </w:r>
      <w:r>
        <w:t xml:space="preserve"> </w:t>
      </w:r>
      <w:r>
        <w:t xml:space="preserve">for use in developing the impact assessment. Whilst the study specifications included a</w:t>
      </w:r>
      <w:r>
        <w:t xml:space="preserve"> </w:t>
      </w:r>
      <w:r>
        <w:t xml:space="preserve">request for assistance to the Commission in refining and collecting additional evidence for</w:t>
      </w:r>
      <w:r>
        <w:t xml:space="preserve"> </w:t>
      </w:r>
      <w:r>
        <w:t xml:space="preserve">the problem definition and intervention logic, the main tasks related to:</w:t>
      </w:r>
      <w:r>
        <w:t xml:space="preserve"> </w:t>
      </w:r>
      <w:r>
        <w:t xml:space="preserve">•</w:t>
      </w:r>
      <w:r>
        <w:t xml:space="preserve"> </w:t>
      </w:r>
      <w:r>
        <w:t xml:space="preserve">identifying, and to the extent possible quantifying, the baseline scenario.</w:t>
      </w:r>
      <w:r>
        <w:t xml:space="preserve"> </w:t>
      </w:r>
      <w:r>
        <w:t xml:space="preserve">•</w:t>
      </w:r>
      <w:r>
        <w:t xml:space="preserve"> </w:t>
      </w:r>
      <w:r>
        <w:t xml:space="preserve">analysing and comparing the impacts of possible policy options including through</w:t>
      </w:r>
      <w:r>
        <w:t xml:space="preserve"> </w:t>
      </w:r>
      <w:r>
        <w:t xml:space="preserve">sensitivity analysis.</w:t>
      </w:r>
      <w:r>
        <w:t xml:space="preserve"> </w:t>
      </w:r>
      <w:r>
        <w:t xml:space="preserve">•</w:t>
      </w:r>
      <w:r>
        <w:t xml:space="preserve"> </w:t>
      </w:r>
      <w:r>
        <w:t xml:space="preserve">identifying elements of a related future monitoring framework, including suitable</w:t>
      </w:r>
      <w:r>
        <w:t xml:space="preserve"> </w:t>
      </w:r>
      <w:r>
        <w:t xml:space="preserve">indicators.</w:t>
      </w:r>
      <w:r>
        <w:br/>
      </w:r>
      <w:r>
        <w:t xml:space="preserve">The contractor is also expected to provide technical support in relation to the evidence,</w:t>
      </w:r>
      <w:r>
        <w:t xml:space="preserve"> </w:t>
      </w:r>
      <w:r>
        <w:t xml:space="preserve">methodological or analytical issues that might arise before the submission of the draft Impact</w:t>
      </w:r>
      <w:r>
        <w:t xml:space="preserve"> </w:t>
      </w:r>
      <w:r>
        <w:t xml:space="preserve">Assessment Report to the Regulatory Scrutiny Board and to any potential revision following</w:t>
      </w:r>
      <w:r>
        <w:t xml:space="preserve"> </w:t>
      </w:r>
      <w:r>
        <w:t xml:space="preserve">the remarks and recommendations of the Board.</w:t>
      </w:r>
      <w:r>
        <w:t xml:space="preserve"> </w:t>
      </w:r>
      <w:r>
        <w:t xml:space="preserve">Due to the tight timeline for the revision, the study specifications required the contractors to</w:t>
      </w:r>
      <w:r>
        <w:t xml:space="preserve"> </w:t>
      </w:r>
      <w:r>
        <w:t xml:space="preserve">provide an interim report in time to feed findings into the Commission’s impact assessment</w:t>
      </w:r>
      <w:r>
        <w:t xml:space="preserve"> </w:t>
      </w:r>
      <w:r>
        <w:t xml:space="preserve">before submission to the RSB. Drafting and acceptance of the final report is only expected</w:t>
      </w:r>
      <w:r>
        <w:t xml:space="preserve"> </w:t>
      </w:r>
      <w:r>
        <w:t xml:space="preserve">after the RSB meeting, allowing the report to reflect any changes and updates due to the</w:t>
      </w:r>
      <w:r>
        <w:t xml:space="preserve"> </w:t>
      </w:r>
      <w:r>
        <w:t xml:space="preserve">scrutiny process. Hence, and in line with the planning, all references in the draft impact</w:t>
      </w:r>
      <w:r>
        <w:t xml:space="preserve"> </w:t>
      </w:r>
      <w:r>
        <w:t xml:space="preserve">assessment submitted on 1 April 2026 refer to a draft report. Moreover, whilst the content</w:t>
      </w:r>
      <w:r>
        <w:t xml:space="preserve"> </w:t>
      </w:r>
      <w:r>
        <w:t xml:space="preserve">and analysis are the same, the draft report has been written following a more complex</w:t>
      </w:r>
      <w:r>
        <w:t xml:space="preserve"> </w:t>
      </w:r>
      <w:r>
        <w:t xml:space="preserve">intervention logic (seven problem areas with 18 associated drivers, four specific objectives</w:t>
      </w:r>
      <w:r>
        <w:t xml:space="preserve"> </w:t>
      </w:r>
      <w:r>
        <w:t xml:space="preserve">and four sets of policy options) based on detailed inputs provided by DG JUST at the start</w:t>
      </w:r>
      <w:r>
        <w:t xml:space="preserve"> </w:t>
      </w:r>
      <w:r>
        <w:t xml:space="preserve">of the contract. During the preparation of the impact assessment, this was simplified</w:t>
      </w:r>
      <w:r>
        <w:t xml:space="preserve"> </w:t>
      </w:r>
      <w:r>
        <w:t xml:space="preserve">significantly (two problem areas with 10 associated drivers, two specific objectives and</w:t>
      </w:r>
      <w:r>
        <w:t xml:space="preserve"> </w:t>
      </w:r>
      <w:r>
        <w:t xml:space="preserve">seven sets of policy options, or intervention areas), to facilitate wider understanding and</w:t>
      </w:r>
      <w:r>
        <w:t xml:space="preserve"> </w:t>
      </w:r>
      <w:r>
        <w:t xml:space="preserve">address the key issues, and also to be compatible with the IA length limit. These ‘structural’</w:t>
      </w:r>
      <w:r>
        <w:t xml:space="preserve"> </w:t>
      </w:r>
      <w:r>
        <w:t xml:space="preserve">changes, between the draft study report and the impact assessment, reflect the changes and</w:t>
      </w:r>
      <w:r>
        <w:t xml:space="preserve"> </w:t>
      </w:r>
      <w:r>
        <w:t xml:space="preserve">developments happening in parallel. They were fully explained to the steering group in the</w:t>
      </w:r>
      <w:r>
        <w:t xml:space="preserve"> </w:t>
      </w:r>
      <w:r>
        <w:t xml:space="preserve">slides presented at the meeting before the impact assessment.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2.2. Approach and data collection</w:t>
      </w:r>
      <w:r>
        <w:t xml:space="preserve"> </w:t>
      </w:r>
      <w:r>
        <w:t xml:space="preserve">The study has followed a mixed-methods approach aligned to the BR Guidelines and</w:t>
      </w:r>
      <w:r>
        <w:t xml:space="preserve"> </w:t>
      </w:r>
      <w:r>
        <w:t xml:space="preserve">Toolbox. Evidence was gathered through a range of data collection activities, summarised</w:t>
      </w:r>
      <w:r>
        <w:t xml:space="preserve"> </w:t>
      </w:r>
      <w:r>
        <w:t xml:space="preserve">as follows:</w:t>
      </w:r>
      <w:r>
        <w:br/>
      </w:r>
      <w:r>
        <w:t xml:space="preserve">•</w:t>
      </w:r>
      <w:r>
        <w:t xml:space="preserve"> </w:t>
      </w:r>
      <w:r>
        <w:t xml:space="preserve">Documentation and data review: Relevant publicly available and confidential</w:t>
      </w:r>
      <w:r>
        <w:t xml:space="preserve"> </w:t>
      </w:r>
      <w:r>
        <w:t xml:space="preserve">Eurojust documents and data sources were identified and reviewed. In particular,</w:t>
      </w:r>
      <w:r>
        <w:t xml:space="preserve"> </w:t>
      </w:r>
      <w:r>
        <w:t xml:space="preserve">Eurojust provided detailed written responses to targeted requests for quantitative</w:t>
      </w:r>
      <w:r>
        <w:t xml:space="preserve"> </w:t>
      </w:r>
      <w:r>
        <w:t xml:space="preserve">estimates to support the development of the baseline scenario and the assessment of</w:t>
      </w:r>
      <w:r>
        <w:t xml:space="preserve"> </w:t>
      </w:r>
      <w:r>
        <w:t xml:space="preserve">the impacts of the policy options.</w:t>
      </w:r>
      <w:r>
        <w:br/>
      </w:r>
      <w:r>
        <w:t xml:space="preserve">•</w:t>
      </w:r>
      <w:r>
        <w:t xml:space="preserve"> </w:t>
      </w:r>
      <w:r>
        <w:t xml:space="preserve">Interview programme and site visit: A comprehensive interview programme</w:t>
      </w:r>
      <w:r>
        <w:t xml:space="preserve"> </w:t>
      </w:r>
      <w:r>
        <w:t xml:space="preserve">targeting all relevant stakeholder groups as undertaken. During a site visit to the Hague</w:t>
      </w:r>
      <w:r>
        <w:t xml:space="preserve"> </w:t>
      </w:r>
      <w:r>
        <w:t xml:space="preserve">on 3-4 February 2026, 52 Eurojust stakeholders were consulted (representatives of the</w:t>
      </w:r>
      <w:r>
        <w:t xml:space="preserve"> </w:t>
      </w:r>
      <w:r>
        <w:t xml:space="preserve">national desks, Denmark and the administration, as well as liaison prosecutors) using</w:t>
      </w:r>
      <w:r>
        <w:t xml:space="preserve"> </w:t>
      </w:r>
      <w:r>
        <w:t xml:space="preserve">a mix of 1-1 interviews and five thematic group discussions. 11 follow-up interviews</w:t>
      </w:r>
      <w:r>
        <w:t xml:space="preserve"> </w:t>
      </w:r>
      <w:r>
        <w:t xml:space="preserve">were then conducted with Eurojust stakeholders. 35 interviews have been conducted</w:t>
      </w:r>
      <w:r>
        <w:t xml:space="preserve"> </w:t>
      </w:r>
      <w:r>
        <w:t xml:space="preserve">with other stakeholders, including representatives of the European Commission (DG</w:t>
      </w:r>
      <w:r>
        <w:t xml:space="preserve"> </w:t>
      </w:r>
      <w:r>
        <w:t xml:space="preserve">JUST.C.3, DG BUDG, DG ENEST, DG INTPA), the European Parliament (LIBE</w:t>
      </w:r>
      <w:r>
        <w:t xml:space="preserve"> </w:t>
      </w:r>
      <w:r>
        <w:t xml:space="preserve">Committee), as well as national authorities and practitioners from EU Member States</w:t>
      </w:r>
      <w:r>
        <w:t xml:space="preserve"> </w:t>
      </w:r>
      <w:r>
        <w:t xml:space="preserve">(AT, BE, HR, EE, FI, FR, IT, LT, MT, NL, PL, PT, SK, ES) and third countries (Brazil,</w:t>
      </w:r>
      <w:r>
        <w:t xml:space="preserve"> </w:t>
      </w:r>
      <w:r>
        <w:t xml:space="preserve">Chile, Kosovo, North Macedonia). Consultations have also taken place with EU</w:t>
      </w:r>
      <w:r>
        <w:t xml:space="preserve"> </w:t>
      </w:r>
      <w:r>
        <w:t xml:space="preserve">IBOAs and international organisations (interview with the EPPO and Europol).</w:t>
      </w:r>
      <w:r>
        <w:br/>
      </w:r>
      <w:r>
        <w:t xml:space="preserve">•</w:t>
      </w:r>
      <w:r>
        <w:t xml:space="preserve"> </w:t>
      </w:r>
      <w:r>
        <w:t xml:space="preserve">Targeted online survey of national (EU and third country) authorities and</w:t>
      </w:r>
      <w:r>
        <w:t xml:space="preserve"> </w:t>
      </w:r>
      <w:r>
        <w:t xml:space="preserve">practitioners: The survey received 430 responses covering representatives of Eurojust</w:t>
      </w:r>
      <w:r>
        <w:t xml:space="preserve"> </w:t>
      </w:r>
      <w:r>
        <w:t xml:space="preserve">national desks (28, 6.5%), the Eurojust administration (84, 19.5%), liaison prosecutors</w:t>
      </w:r>
      <w:r>
        <w:t xml:space="preserve"> </w:t>
      </w:r>
      <w:r>
        <w:t xml:space="preserve">(4, 0.9%), EU-based practitioners (208, 48.4%), third country-based practitioners (14,</w:t>
      </w:r>
      <w:r>
        <w:t xml:space="preserve"> </w:t>
      </w:r>
      <w:r>
        <w:t xml:space="preserve">3.3%), Member State public officials (58, 13.5%) and third country public officials (8,</w:t>
      </w:r>
      <w:r>
        <w:t xml:space="preserve"> </w:t>
      </w:r>
      <w:r>
        <w:t xml:space="preserve">1.9%). All 27 EU Member States and eight third countries (Albania, Bosnia and</w:t>
      </w:r>
      <w:r>
        <w:t xml:space="preserve"> </w:t>
      </w:r>
      <w:r>
        <w:t xml:space="preserve">Herzegovina, Iceland, North Macedonia, Norway, Serbia, Switzerland, the UK) are</w:t>
      </w:r>
      <w:r>
        <w:t xml:space="preserve"> </w:t>
      </w:r>
      <w:r>
        <w:t xml:space="preserve">represented.</w:t>
      </w:r>
      <w:r>
        <w:br/>
      </w:r>
      <w:r>
        <w:t xml:space="preserve">•</w:t>
      </w:r>
      <w:r>
        <w:t xml:space="preserve"> </w:t>
      </w:r>
      <w:r>
        <w:t xml:space="preserve">Call for evidence (CfE) and public consultation: The Commission launched a</w:t>
      </w:r>
      <w:r>
        <w:t xml:space="preserve"> </w:t>
      </w:r>
      <w:r>
        <w:t xml:space="preserve">related CfE (42 responses) and public consultation (20 responses).</w:t>
      </w:r>
      <w:r>
        <w:t xml:space="preserve"> </w:t>
      </w:r>
      <w:r>
        <w:t xml:space="preserve">For more information on the consultations carried out for this IA, see Annex 2.</w:t>
      </w:r>
      <w:r>
        <w:t xml:space="preserve"> </w:t>
      </w:r>
      <w:r>
        <w:t xml:space="preserve">2.3. Challenges and limitations</w:t>
      </w:r>
      <w:r>
        <w:br/>
      </w:r>
      <w:r>
        <w:t xml:space="preserve">The study faced significant challenges due to the limited time available to organise and</w:t>
      </w:r>
      <w:r>
        <w:t xml:space="preserve"> </w:t>
      </w:r>
      <w:r>
        <w:t xml:space="preserve">conduct the consultations and then process and analyse the evidence collected. The</w:t>
      </w:r>
      <w:r>
        <w:t xml:space="preserve"> </w:t>
      </w:r>
      <w:r>
        <w:t xml:space="preserve">consultations took place over five weeks. Many activities were undertaken in parallel and at</w:t>
      </w:r>
      <w:r>
        <w:t xml:space="preserve"> </w:t>
      </w:r>
      <w:r>
        <w:t xml:space="preserve">an early stage, when options were still being defined. This has a particular impact on the</w:t>
      </w:r>
      <w:r>
        <w:t xml:space="preserve"> </w:t>
      </w:r>
      <w:r>
        <w:t xml:space="preserve">detail and provision that stakeholders can provided in their replies.</w:t>
      </w:r>
      <w:r>
        <w:br/>
      </w:r>
      <w:r>
        <w:t xml:space="preserve">Equally, whilst significant effort was made to gather quantitative and monetary estimates</w:t>
      </w:r>
      <w:r>
        <w:t xml:space="preserve"> </w:t>
      </w:r>
      <w:r>
        <w:t xml:space="preserve">e.g. via the targeted request to Eurojust, the survey and the interviews, stakeholders have</w:t>
      </w:r>
      <w:r>
        <w:t xml:space="preserve"> </w:t>
      </w:r>
      <w:r>
        <w:t xml:space="preserve">found it challenging to estimate the impact of the different policy options. This often reflects</w:t>
      </w:r>
      <w:r>
        <w:t xml:space="preserve"> </w:t>
      </w:r>
      <w:r>
        <w:t xml:space="preserve">the lack of existing data on outcomes and costs in Member States, as well as the complexity</w:t>
      </w:r>
      <w:r>
        <w:t xml:space="preserve"> </w:t>
      </w:r>
      <w:r>
        <w:t xml:space="preserve">and significant variation from case to case. As a result, the main quantitative/monetary data</w:t>
      </w:r>
      <w:r>
        <w:t xml:space="preserve"> </w:t>
      </w:r>
      <w:r>
        <w:t xml:space="preserve">provided in this impact assessment relates to the internal costs and benefits to Eurojust e.g. </w:t>
      </w:r>
      <w:r>
        <w:t xml:space="preserve"> </w:t>
      </w:r>
      <w:r>
        <w:t xml:space="preserve">in terms of full-time equivalent staff, time savings, costs of missions.</w:t>
      </w:r>
    </w:p>
    <w:p>
      <w:pPr>
        <w:pStyle w:val="BodyText"/>
      </w:pPr>
      <w:r>
        <w:t xml:space="preserve">56</w:t>
      </w:r>
    </w:p>
    <w:p>
      <w:pPr>
        <w:pStyle w:val="Compact"/>
        <w:numPr>
          <w:ilvl w:val="0"/>
          <w:numId w:val="1027"/>
        </w:numPr>
      </w:pPr>
      <w:r>
        <w:t xml:space="preserve">IDENTIFICATION AND ASSESSMENT OF IMPACTS</w:t>
      </w:r>
      <w:r>
        <w:t xml:space="preserve"> </w:t>
      </w:r>
      <w:r>
        <w:t xml:space="preserve">3.1. Identification of impacts</w:t>
      </w:r>
      <w:r>
        <w:t xml:space="preserve"> </w:t>
      </w:r>
      <w:r>
        <w:t xml:space="preserve">All the impacts which could potentially be associated with the policy options analysed in</w:t>
      </w:r>
      <w:r>
        <w:t xml:space="preserve"> </w:t>
      </w:r>
      <w:r>
        <w:t xml:space="preserve">this Impact Assessment were identified after considering the key impacts set out in the</w:t>
      </w:r>
      <w:r>
        <w:t xml:space="preserve"> </w:t>
      </w:r>
      <w:r>
        <w:t xml:space="preserve">‘Better Regulation Toolbox’ Tool #18.</w:t>
      </w:r>
      <w:r>
        <w:br/>
      </w:r>
      <w:r>
        <w:t xml:space="preserve">In the study specifications a wide range of impacts - positive and negative, direct and</w:t>
      </w:r>
      <w:r>
        <w:t xml:space="preserve"> </w:t>
      </w:r>
      <w:r>
        <w:t xml:space="preserve">indirect, intended and unintended, and short- and long-term - were considered. Drawing on</w:t>
      </w:r>
      <w:r>
        <w:t xml:space="preserve"> </w:t>
      </w:r>
      <w:r>
        <w:t xml:space="preserve">the evidence gathered during consultation activities with stakeholders, through literature</w:t>
      </w:r>
      <w:r>
        <w:t xml:space="preserve"> </w:t>
      </w:r>
      <w:r>
        <w:t xml:space="preserve">review and on expert assessment, the identified impacts concentrate were summarised under</w:t>
      </w:r>
      <w:r>
        <w:t xml:space="preserve"> </w:t>
      </w:r>
      <w:r>
        <w:t xml:space="preserve">the headings:</w:t>
      </w:r>
      <w:r>
        <w:t xml:space="preserve"> </w:t>
      </w:r>
      <w:r>
        <w:t xml:space="preserve">•</w:t>
      </w:r>
      <w:r>
        <w:t xml:space="preserve"> </w:t>
      </w:r>
      <w:r>
        <w:t xml:space="preserve">Ability to reduce fraud and crime (links to general objective), often expressed in</w:t>
      </w:r>
      <w:r>
        <w:t xml:space="preserve"> </w:t>
      </w:r>
      <w:r>
        <w:t xml:space="preserve">relation to the number of Eurojust cases and rates of deterrence. There are likely to be</w:t>
      </w:r>
      <w:r>
        <w:t xml:space="preserve"> </w:t>
      </w:r>
      <w:r>
        <w:t xml:space="preserve">further (indirect) benefits to society, the environment and the economy from reducing</w:t>
      </w:r>
      <w:r>
        <w:t xml:space="preserve"> </w:t>
      </w:r>
      <w:r>
        <w:t xml:space="preserve">the occurrence and severity of serious and organised crime. However, these cannot be</w:t>
      </w:r>
      <w:r>
        <w:t xml:space="preserve"> </w:t>
      </w:r>
      <w:r>
        <w:t xml:space="preserve">estimated, as they vary from case to case.</w:t>
      </w:r>
      <w:r>
        <w:t xml:space="preserve"> </w:t>
      </w:r>
      <w:r>
        <w:t xml:space="preserve">•</w:t>
      </w:r>
      <w:r>
        <w:t xml:space="preserve"> </w:t>
      </w:r>
      <w:r>
        <w:t xml:space="preserve">Ability to strengthen internal functioning, governance and operational performance of</w:t>
      </w:r>
      <w:r>
        <w:t xml:space="preserve"> </w:t>
      </w:r>
      <w:r>
        <w:t xml:space="preserve">Eurojust (links to specific objective 1). Typically, this involves increasing time and</w:t>
      </w:r>
      <w:r>
        <w:t xml:space="preserve"> </w:t>
      </w:r>
      <w:r>
        <w:t xml:space="preserve">resources available to operational work, removing overlaps or duplication.</w:t>
      </w:r>
      <w:r>
        <w:t xml:space="preserve"> </w:t>
      </w:r>
      <w:r>
        <w:t xml:space="preserve">•</w:t>
      </w:r>
      <w:r>
        <w:t xml:space="preserve"> </w:t>
      </w:r>
      <w:r>
        <w:t xml:space="preserve">Ability to achieve optimal alignment and operational integration with EU partners and</w:t>
      </w:r>
      <w:r>
        <w:t xml:space="preserve"> </w:t>
      </w:r>
      <w:r>
        <w:t xml:space="preserve">Third countries (links to specific objective 2). Expected impacts include improvements</w:t>
      </w:r>
      <w:r>
        <w:t xml:space="preserve"> </w:t>
      </w:r>
      <w:r>
        <w:t xml:space="preserve">due to quicker communication and information exchange, better understanding of legal</w:t>
      </w:r>
      <w:r>
        <w:t xml:space="preserve"> </w:t>
      </w:r>
      <w:r>
        <w:t xml:space="preserve">systems and practices, greater continuity, removing overlaps and duplication.</w:t>
      </w:r>
      <w:r>
        <w:br/>
      </w:r>
      <w:r>
        <w:t xml:space="preserve">•</w:t>
      </w:r>
      <w:r>
        <w:t xml:space="preserve"> </w:t>
      </w:r>
      <w:r>
        <w:t xml:space="preserve">Wider impacts on citizen and business are noted, related to an overall reduction to</w:t>
      </w:r>
      <w:r>
        <w:t xml:space="preserve"> </w:t>
      </w:r>
      <w:r>
        <w:t xml:space="preserve">crime but not considered in detail.</w:t>
      </w:r>
      <w:r>
        <w:br/>
      </w:r>
      <w:r>
        <w:t xml:space="preserve">•</w:t>
      </w:r>
      <w:r>
        <w:t xml:space="preserve"> </w:t>
      </w:r>
      <w:r>
        <w:t xml:space="preserve">The qualitative impacts on administrative costs and simplification are also considered.</w:t>
      </w:r>
      <w:r>
        <w:t xml:space="preserve"> </w:t>
      </w:r>
      <w:r>
        <w:t xml:space="preserve">Given the nature of the work undertaken by Eurojust, and the fact that the review</w:t>
      </w:r>
      <w:r>
        <w:t xml:space="preserve"> </w:t>
      </w:r>
      <w:r>
        <w:t xml:space="preserve">relates to the Regulation for an Agency, the focus and simplification benefits from</w:t>
      </w:r>
      <w:r>
        <w:t xml:space="preserve"> </w:t>
      </w:r>
      <w:r>
        <w:t xml:space="preserve">most of the measures (particularly the ones related to governance) will be to simplify</w:t>
      </w:r>
      <w:r>
        <w:t xml:space="preserve"> </w:t>
      </w:r>
      <w:r>
        <w:t xml:space="preserve">and streamline procedures leading to efficiency gains.</w:t>
      </w:r>
      <w:r>
        <w:t xml:space="preserve"> </w:t>
      </w:r>
      <w:r>
        <w:t xml:space="preserve">3.2. Assessing impacts</w:t>
      </w:r>
      <w:r>
        <w:t xml:space="preserve"> </w:t>
      </w:r>
      <w:r>
        <w:t xml:space="preserve">A long list of possible measures was identified to address the different problem drivers and</w:t>
      </w:r>
      <w:r>
        <w:t xml:space="preserve"> </w:t>
      </w:r>
      <w:r>
        <w:t xml:space="preserve">deliver progress against the set objectives. A preliminary screening was conducted to ensure</w:t>
      </w:r>
      <w:r>
        <w:t xml:space="preserve"> </w:t>
      </w:r>
      <w:r>
        <w:t xml:space="preserve">that the measures under consideration were relevant, able to address the identified problems</w:t>
      </w:r>
      <w:r>
        <w:t xml:space="preserve"> </w:t>
      </w:r>
      <w:r>
        <w:t xml:space="preserve">and likely to improve the situation at reasonable cost/effort (effectiveness and efficiency) in</w:t>
      </w:r>
      <w:r>
        <w:t xml:space="preserve"> </w:t>
      </w:r>
      <w:r>
        <w:t xml:space="preserve">a proportionate and coherent manner. The retained the measures were then grouped</w:t>
      </w:r>
      <w:r>
        <w:t xml:space="preserve"> </w:t>
      </w:r>
      <w:r>
        <w:t xml:space="preserve">according to the different intervention areas identified for each specific objective (areas A-</w:t>
      </w:r>
      <w:r>
        <w:t xml:space="preserve"> </w:t>
      </w:r>
      <w:r>
        <w:t xml:space="preserve">C for specific objective 1; areas D-F for specific objective 2). Three policy options were then</w:t>
      </w:r>
      <w:r>
        <w:t xml:space="preserve"> </w:t>
      </w:r>
      <w:r>
        <w:t xml:space="preserve">developed for each intervention area by ‘bundling’ the relevant measures. The options are</w:t>
      </w:r>
      <w:r>
        <w:t xml:space="preserve"> </w:t>
      </w:r>
      <w:r>
        <w:t xml:space="preserve">structured according to their degree of intervention:</w:t>
      </w:r>
    </w:p>
    <w:p>
      <w:pPr>
        <w:pStyle w:val="Compact"/>
        <w:numPr>
          <w:ilvl w:val="0"/>
          <w:numId w:val="1028"/>
        </w:numPr>
      </w:pPr>
      <w:r>
        <w:t xml:space="preserve">Policy Option 1 (PO1) presents the lightest set of measures, which can be adopted</w:t>
      </w:r>
      <w:r>
        <w:t xml:space="preserve"> </w:t>
      </w:r>
      <w:r>
        <w:t xml:space="preserve">and implemented with relative ease and at limited cost. However, their structural</w:t>
      </w:r>
      <w:r>
        <w:t xml:space="preserve"> </w:t>
      </w:r>
      <w:r>
        <w:t xml:space="preserve">impact is expected to be limited.</w:t>
      </w:r>
    </w:p>
    <w:p>
      <w:pPr>
        <w:pStyle w:val="FirstParagraph"/>
      </w:pPr>
      <w:r>
        <w:t xml:space="preserve">57</w:t>
      </w:r>
    </w:p>
    <w:p>
      <w:pPr>
        <w:pStyle w:val="Compact"/>
        <w:numPr>
          <w:ilvl w:val="0"/>
          <w:numId w:val="1029"/>
        </w:numPr>
      </w:pPr>
      <w:r>
        <w:t xml:space="preserve">Policy Option 2 (PO2) introduces moderately more incisive measures, which may</w:t>
      </w:r>
      <w:r>
        <w:t xml:space="preserve"> </w:t>
      </w:r>
      <w:r>
        <w:t xml:space="preserve">require legislative amendments, seeking to balance stronger impact with manageable</w:t>
      </w:r>
      <w:r>
        <w:t xml:space="preserve"> </w:t>
      </w:r>
      <w:r>
        <w:t xml:space="preserve">implementation costs.</w:t>
      </w:r>
    </w:p>
    <w:p>
      <w:pPr>
        <w:pStyle w:val="Compact"/>
        <w:numPr>
          <w:ilvl w:val="0"/>
          <w:numId w:val="1029"/>
        </w:numPr>
      </w:pPr>
      <w:r>
        <w:t xml:space="preserve">Policy Option 3 (PO3) proposes the most far-reaching set of measures, necessitating</w:t>
      </w:r>
      <w:r>
        <w:t xml:space="preserve"> </w:t>
      </w:r>
      <w:r>
        <w:t xml:space="preserve">more substantive legislative changes. While this option may deliver the greatest</w:t>
      </w:r>
      <w:r>
        <w:t xml:space="preserve"> </w:t>
      </w:r>
      <w:r>
        <w:t xml:space="preserve">impact, it may raise more complex institutional and political considerations.</w:t>
      </w:r>
      <w:r>
        <w:t xml:space="preserve"> </w:t>
      </w:r>
      <w:r>
        <w:t xml:space="preserve">The assessment of the measures and associated policy options is based on a mixed methods</w:t>
      </w:r>
      <w:r>
        <w:t xml:space="preserve"> </w:t>
      </w:r>
      <w:r>
        <w:t xml:space="preserve">approach in which the effectiveness, efficiency and coherence of the measures are graded on</w:t>
      </w:r>
      <w:r>
        <w:t xml:space="preserve"> </w:t>
      </w:r>
      <w:r>
        <w:t xml:space="preserve">a scoring system that summarises the different information sources available. This approach</w:t>
      </w:r>
      <w:r>
        <w:t xml:space="preserve"> </w:t>
      </w:r>
      <w:r>
        <w:t xml:space="preserve">reflects the wide range and differing nature of the measures considered for this impact</w:t>
      </w:r>
      <w:r>
        <w:t xml:space="preserve"> </w:t>
      </w:r>
      <w:r>
        <w:t xml:space="preserve">assessment, plus the mix of qualitative and quantitative evidence and opinion collected.</w:t>
      </w:r>
    </w:p>
    <w:p>
      <w:pPr>
        <w:pStyle w:val="FirstParagraph"/>
      </w:pPr>
      <w:r>
        <w:t xml:space="preserve">How the three key criteria were scored:</w:t>
      </w:r>
      <w:r>
        <w:t xml:space="preserve"> </w:t>
      </w:r>
      <w:r>
        <w:t xml:space="preserve">Effectiveness: the score per measure reflects the potential ‘global’ impact on progress</w:t>
      </w:r>
      <w:r>
        <w:t xml:space="preserve"> </w:t>
      </w:r>
      <w:r>
        <w:t xml:space="preserve">towards the relevant specific objective and the general objective. A total effectiveness score</w:t>
      </w:r>
      <w:r>
        <w:t xml:space="preserve"> </w:t>
      </w:r>
      <w:r>
        <w:t xml:space="preserve">was then calculated. Hence for</w:t>
      </w:r>
      <w:r>
        <w:br/>
      </w:r>
      <w:r>
        <w:t xml:space="preserve">a)</w:t>
      </w:r>
      <w:r>
        <w:t xml:space="preserve"> </w:t>
      </w:r>
      <w:r>
        <w:t xml:space="preserve">Specific objective 1 impacts related to strengthening Eurojust’s Internal Functioning,</w:t>
      </w:r>
      <w:r>
        <w:t xml:space="preserve"> </w:t>
      </w:r>
      <w:r>
        <w:t xml:space="preserve">Governance and Operational Performance were considered e.g. more time available</w:t>
      </w:r>
      <w:r>
        <w:t xml:space="preserve"> </w:t>
      </w:r>
      <w:r>
        <w:t xml:space="preserve">for relevant complex cases, less time taken to reach decisions, improving resources</w:t>
      </w:r>
      <w:r>
        <w:t xml:space="preserve"> </w:t>
      </w:r>
      <w:r>
        <w:t xml:space="preserve">available for operational tasks, greater legal clarity etc.</w:t>
      </w:r>
      <w:r>
        <w:t xml:space="preserve"> </w:t>
      </w:r>
      <w:r>
        <w:t xml:space="preserve">b)</w:t>
      </w:r>
      <w:r>
        <w:t xml:space="preserve"> </w:t>
      </w:r>
      <w:r>
        <w:t xml:space="preserve">Specific objective 2 impacts related to strengthening Eurojust’s External Cooperation</w:t>
      </w:r>
      <w:r>
        <w:t xml:space="preserve"> </w:t>
      </w:r>
      <w:r>
        <w:t xml:space="preserve">and Integration with EU-level and international partners e.g. quicker and better</w:t>
      </w:r>
      <w:r>
        <w:t xml:space="preserve"> </w:t>
      </w:r>
      <w:r>
        <w:t xml:space="preserve">arrangements for cooperation, better identification of relevant complex cases, removal</w:t>
      </w:r>
      <w:r>
        <w:t xml:space="preserve"> </w:t>
      </w:r>
      <w:r>
        <w:t xml:space="preserve">of duplication, improving resources available etc.</w:t>
      </w:r>
      <w:r>
        <w:br/>
      </w:r>
      <w:r>
        <w:t xml:space="preserve">c)</w:t>
      </w:r>
      <w:r>
        <w:t xml:space="preserve"> </w:t>
      </w:r>
      <w:r>
        <w:t xml:space="preserve">The general objective, impacts related to enhancing Eurojust’s capacity to deliver</w:t>
      </w:r>
      <w:r>
        <w:t xml:space="preserve"> </w:t>
      </w:r>
      <w:r>
        <w:t xml:space="preserve">efficient, effective, and strategically prioritised judicial coordination and support,</w:t>
      </w:r>
      <w:r>
        <w:t xml:space="preserve"> </w:t>
      </w:r>
      <w:r>
        <w:t xml:space="preserve">thereby improving the EU’s overall response to serious cross-border crime and</w:t>
      </w:r>
      <w:r>
        <w:t xml:space="preserve"> </w:t>
      </w:r>
      <w:r>
        <w:t xml:space="preserve">contributing to the EU’s internal and external security e.g. involvement and</w:t>
      </w:r>
      <w:r>
        <w:t xml:space="preserve"> </w:t>
      </w:r>
      <w:r>
        <w:t xml:space="preserve">contribution to resolving complex cases, reducing crime with a subsequent impact on</w:t>
      </w:r>
      <w:r>
        <w:t xml:space="preserve"> </w:t>
      </w:r>
      <w:r>
        <w:t xml:space="preserve">deterring crime, and hence providing wider, indirect economic, environmental and</w:t>
      </w:r>
      <w:r>
        <w:t xml:space="preserve"> </w:t>
      </w:r>
      <w:r>
        <w:t xml:space="preserve">social benefits.</w:t>
      </w:r>
      <w:r>
        <w:t xml:space="preserve"> </w:t>
      </w:r>
      <w:r>
        <w:t xml:space="preserve">Efficiency: each measure was scored based on an assessment of the expected (qualitative</w:t>
      </w:r>
      <w:r>
        <w:t xml:space="preserve"> </w:t>
      </w:r>
      <w:r>
        <w:t xml:space="preserve">and quantitative) costs, categorised where possible as one off or recurring against the</w:t>
      </w:r>
      <w:r>
        <w:t xml:space="preserve"> </w:t>
      </w:r>
      <w:r>
        <w:t xml:space="preserve">expected (qualitative and quantitative) benefits.</w:t>
      </w:r>
      <w:r>
        <w:br/>
      </w:r>
      <w:r>
        <w:t xml:space="preserve">Coherence: each measure was scored for internal coherence e.g. coherence within the EJR</w:t>
      </w:r>
      <w:r>
        <w:t xml:space="preserve"> </w:t>
      </w:r>
      <w:r>
        <w:t xml:space="preserve">and related measures in a bundle and external coherence e.g. coherence of the measure with</w:t>
      </w:r>
      <w:r>
        <w:t xml:space="preserve"> </w:t>
      </w:r>
      <w:r>
        <w:t xml:space="preserve">other related policies, agencies and JHA actors. Again, a total coherence score was then</w:t>
      </w:r>
      <w:r>
        <w:t xml:space="preserve"> </w:t>
      </w:r>
      <w:r>
        <w:t xml:space="preserve">calculated.</w:t>
      </w:r>
    </w:p>
    <w:p>
      <w:pPr>
        <w:pStyle w:val="BodyText"/>
      </w:pPr>
      <w:r>
        <w:t xml:space="preserve">Scoring approach</w:t>
      </w:r>
      <w:r>
        <w:br/>
      </w:r>
      <w:r>
        <w:t xml:space="preserve">The original scoring was done using a -3 to 0 to +3 scale, where 0 represents no change</w:t>
      </w:r>
      <w:r>
        <w:t xml:space="preserve"> </w:t>
      </w:r>
      <w:r>
        <w:t xml:space="preserve">against the baseline. The main sources underpinning the scores are the evaluation report, the</w:t>
      </w:r>
      <w:r>
        <w:t xml:space="preserve"> </w:t>
      </w:r>
      <w:r>
        <w:t xml:space="preserve">impact assessment support study and its associated consultations and literature review,</w:t>
      </w:r>
      <w:r>
        <w:t xml:space="preserve"> </w:t>
      </w:r>
      <w:r>
        <w:t xml:space="preserve">inputs from Eurojust and the expert opinion of the team drafting the impact assessment.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-3 – The measure has a strong negative impact</w:t>
      </w:r>
      <w:r>
        <w:t xml:space="preserve"> </w:t>
      </w:r>
      <w:r>
        <w:t xml:space="preserve">-2 – The measure has a moderate negative contribution impact</w:t>
      </w:r>
      <w:r>
        <w:t xml:space="preserve"> </w:t>
      </w:r>
      <w:r>
        <w:t xml:space="preserve">-1 – The measure has a minor negative contribution impact</w:t>
      </w:r>
      <w:r>
        <w:t xml:space="preserve"> </w:t>
      </w:r>
      <w:r>
        <w:t xml:space="preserve">0 – The measure makes no difference (stays at baseline)</w:t>
      </w:r>
      <w:r>
        <w:br/>
      </w:r>
      <w:r>
        <w:t xml:space="preserve">1 – The measure has a minor positive contribution impact</w:t>
      </w:r>
      <w:r>
        <w:t xml:space="preserve"> </w:t>
      </w:r>
      <w:r>
        <w:t xml:space="preserve">2 – The measure has a moderate positive contribution impact</w:t>
      </w:r>
      <w:r>
        <w:t xml:space="preserve"> </w:t>
      </w:r>
      <w:r>
        <w:t xml:space="preserve">3 – The measure has a strong positive impact.</w:t>
      </w:r>
    </w:p>
    <w:p>
      <w:pPr>
        <w:pStyle w:val="BodyText"/>
      </w:pPr>
      <w:r>
        <w:t xml:space="preserve">The following process was then followed:</w:t>
      </w:r>
      <w:r>
        <w:br/>
      </w:r>
      <w:r>
        <w:t xml:space="preserve">i.</w:t>
      </w:r>
      <w:r>
        <w:t xml:space="preserve"> </w:t>
      </w:r>
      <w:r>
        <w:t xml:space="preserve">Each measure was scored separately by the two teams (contractor team, Commission</w:t>
      </w:r>
      <w:r>
        <w:t xml:space="preserve"> </w:t>
      </w:r>
      <w:r>
        <w:t xml:space="preserve">team) and the results were compared. Scores which differed by more than 0.5 were</w:t>
      </w:r>
      <w:r>
        <w:t xml:space="preserve"> </w:t>
      </w:r>
      <w:r>
        <w:t xml:space="preserve">discussed in depth, leading to a single set of scores for all the measures.</w:t>
      </w:r>
      <w:r>
        <w:br/>
      </w:r>
      <w:r>
        <w:t xml:space="preserve">ii.</w:t>
      </w:r>
      <w:r>
        <w:t xml:space="preserve"> </w:t>
      </w:r>
      <w:r>
        <w:t xml:space="preserve">For each measure, a total score for effectiveness and coherence was calculated. After</w:t>
      </w:r>
      <w:r>
        <w:t xml:space="preserve"> </w:t>
      </w:r>
      <w:r>
        <w:t xml:space="preserve">some consideration and testing of different approaches (such as setting as global score</w:t>
      </w:r>
      <w:r>
        <w:t xml:space="preserve"> </w:t>
      </w:r>
      <w:r>
        <w:t xml:space="preserve">the maximum score of its components - which did not result in sufficient</w:t>
      </w:r>
      <w:r>
        <w:t xml:space="preserve"> </w:t>
      </w:r>
      <w:r>
        <w:t xml:space="preserve">differentiation between measures), it was decided to give equal weight to the impacts</w:t>
      </w:r>
      <w:r>
        <w:t xml:space="preserve"> </w:t>
      </w:r>
      <w:r>
        <w:t xml:space="preserve">related to the specific objective addressed and to the general objective (i.e. to use the</w:t>
      </w:r>
      <w:r>
        <w:t xml:space="preserve"> </w:t>
      </w:r>
      <w:r>
        <w:t xml:space="preserve">average of their scores), and to use also the average of internal and external coherence.</w:t>
      </w:r>
      <w:r>
        <w:t xml:space="preserve"> </w:t>
      </w:r>
      <w:r>
        <w:t xml:space="preserve">Hence for a given measure, total effectiveness =0.5 * (GO score + SO score); total</w:t>
      </w:r>
      <w:r>
        <w:t xml:space="preserve"> </w:t>
      </w:r>
      <w:r>
        <w:t xml:space="preserve">coherence = 0.5 (internal + external coherence). The tables of scores per measure are</w:t>
      </w:r>
      <w:r>
        <w:t xml:space="preserve"> </w:t>
      </w:r>
      <w:r>
        <w:t xml:space="preserve">presented in Section 3.3.</w:t>
      </w:r>
      <w:r>
        <w:t xml:space="preserve"> </w:t>
      </w:r>
      <w:r>
        <w:t xml:space="preserve">iii.</w:t>
      </w:r>
      <w:r>
        <w:t xml:space="preserve"> </w:t>
      </w:r>
      <w:r>
        <w:t xml:space="preserve">The scores per criterion were then aggregated for the various measures in each policy</w:t>
      </w:r>
      <w:r>
        <w:t xml:space="preserve"> </w:t>
      </w:r>
      <w:r>
        <w:t xml:space="preserve">option. Different methods of aggregation were tested including total (unweighted)</w:t>
      </w:r>
      <w:r>
        <w:t xml:space="preserve"> </w:t>
      </w:r>
      <w:r>
        <w:t xml:space="preserve">score of all component measures, average score (equal weights per measure), total</w:t>
      </w:r>
      <w:r>
        <w:t xml:space="preserve"> </w:t>
      </w:r>
      <w:r>
        <w:t xml:space="preserve">score based on the maximum score in a bundle. But because there are different</w:t>
      </w:r>
      <w:r>
        <w:t xml:space="preserve"> </w:t>
      </w:r>
      <w:r>
        <w:t xml:space="preserve">numbers of measures in each option, a normalising approach (returning the score to</w:t>
      </w:r>
      <w:r>
        <w:t xml:space="preserve"> </w:t>
      </w:r>
      <w:r>
        <w:t xml:space="preserve">the original -3 to 0 to +3 scale) was required, so the total score approach was quickly</w:t>
      </w:r>
      <w:r>
        <w:t xml:space="preserve"> </w:t>
      </w:r>
      <w:r>
        <w:t xml:space="preserve">rejected. Finally, the average score was selected( since taking instead the maximum</w:t>
      </w:r>
      <w:r>
        <w:t xml:space="preserve"> </w:t>
      </w:r>
      <w:r>
        <w:t xml:space="preserve">score across a bundle ignores both the impact of any additional measures in an option</w:t>
      </w:r>
      <w:r>
        <w:t xml:space="preserve"> </w:t>
      </w:r>
      <w:r>
        <w:t xml:space="preserve">where they have smaller values than the ones already included in a previous option,</w:t>
      </w:r>
      <w:r>
        <w:t xml:space="preserve"> </w:t>
      </w:r>
      <w:r>
        <w:t xml:space="preserve">and the possibility of negative scores). The tables of (average) scores per option</w:t>
      </w:r>
      <w:r>
        <w:t xml:space="preserve"> </w:t>
      </w:r>
      <w:r>
        <w:t xml:space="preserve">together with the results of the sensitivity analysis are presented in Section 3.4.</w:t>
      </w:r>
      <w:r>
        <w:t xml:space="preserve"> </w:t>
      </w:r>
      <w:r>
        <w:t xml:space="preserve">iv.</w:t>
      </w:r>
      <w:r>
        <w:t xml:space="preserve"> </w:t>
      </w:r>
      <w:r>
        <w:t xml:space="preserve">To compare the policy options in their relative impacts, we have performed a Multi-</w:t>
      </w:r>
      <w:r>
        <w:t xml:space="preserve"> </w:t>
      </w:r>
      <w:r>
        <w:t xml:space="preserve">Criteria Analysis (MCA) using different weights to calculate the total score per option.</w:t>
      </w:r>
      <w:r>
        <w:t xml:space="preserve"> </w:t>
      </w:r>
      <w:r>
        <w:t xml:space="preserve">The weights assigned to each criterion represent the relative importance assigned to</w:t>
      </w:r>
      <w:r>
        <w:t xml:space="preserve"> </w:t>
      </w:r>
      <w:r>
        <w:t xml:space="preserve">them. To ensure robustness, we have conducted sensitivity analysis, using three</w:t>
      </w:r>
      <w:r>
        <w:t xml:space="preserve"> </w:t>
      </w:r>
      <w:r>
        <w:t xml:space="preserve">different sets of weights:</w:t>
      </w:r>
      <w:r>
        <w:t xml:space="preserve"> </w:t>
      </w:r>
      <w:r>
        <w:t xml:space="preserve">Total 1 = 1/3 Effectiveness + 1/3 Efficiency + 1/3 Coherence</w:t>
      </w:r>
      <w:r>
        <w:t xml:space="preserve"> </w:t>
      </w:r>
      <w:r>
        <w:t xml:space="preserve">Total 2 = 1/2 Effectiveness + 3/10 Efficiency + 1/5 Coherence</w:t>
      </w:r>
      <w:r>
        <w:t xml:space="preserve"> </w:t>
      </w:r>
      <w:r>
        <w:t xml:space="preserve">Total 3 = 2/5 Effectiveness + 2/5 Efficiency + 1/5 Coherence.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Effectiveness: all retained policy options contribute positively to the achievement of</w:t>
      </w:r>
      <w:r>
        <w:t xml:space="preserve"> </w:t>
      </w:r>
      <w:r>
        <w:t xml:space="preserve">the core objectives of the initiative. Differences between options mainly concern the</w:t>
      </w:r>
      <w:r>
        <w:t xml:space="preserve"> </w:t>
      </w:r>
      <w:r>
        <w:t xml:space="preserve">degree rather than the presence or absence of an effect. Since effectiveness plays a</w:t>
      </w:r>
      <w:r>
        <w:t xml:space="preserve"> </w:t>
      </w:r>
      <w:r>
        <w:t xml:space="preserve">decisive role in differentiating between policy options (with respect to the specific</w:t>
      </w:r>
      <w:r>
        <w:t xml:space="preserve"> </w:t>
      </w:r>
      <w:r>
        <w:t xml:space="preserve">objective pursued in the intervention area addressed, as well as with respect to the</w:t>
      </w:r>
      <w:r>
        <w:t xml:space="preserve"> </w:t>
      </w:r>
      <w:r>
        <w:t xml:space="preserve">general objective), effectiveness always has the equal highest or highest weight.</w:t>
      </w:r>
      <w:r>
        <w:t xml:space="preserve"> </w:t>
      </w:r>
      <w:r>
        <w:t xml:space="preserve">Efficiency: relates to the differences between retained policy options as regards the</w:t>
      </w:r>
      <w:r>
        <w:t xml:space="preserve"> </w:t>
      </w:r>
      <w:r>
        <w:t xml:space="preserve">magnitude and distribution of costs and benefits for companies, citizens and public</w:t>
      </w:r>
      <w:r>
        <w:t xml:space="preserve"> </w:t>
      </w:r>
      <w:r>
        <w:t xml:space="preserve">authorities, whether direct (including any benefits from simplification) or indirect (as</w:t>
      </w:r>
      <w:r>
        <w:t xml:space="preserve"> </w:t>
      </w:r>
      <w:r>
        <w:t xml:space="preserve">impacts on the economy, society, environment etc). Note that the study sought to</w:t>
      </w:r>
      <w:r>
        <w:t xml:space="preserve"> </w:t>
      </w:r>
      <w:r>
        <w:t xml:space="preserve">quantify and monetise the direct costs or savings of individual policy measures which</w:t>
      </w:r>
      <w:r>
        <w:t xml:space="preserve"> </w:t>
      </w:r>
      <w:r>
        <w:t xml:space="preserve">could then be aggregated to option level. The more indirect benefits of measures</w:t>
      </w:r>
      <w:r>
        <w:t xml:space="preserve"> </w:t>
      </w:r>
      <w:r>
        <w:t xml:space="preserve">could only be assessed qualitatively. Note that the degree to which a measure was</w:t>
      </w:r>
      <w:r>
        <w:t xml:space="preserve"> </w:t>
      </w:r>
      <w:r>
        <w:t xml:space="preserve">deemed to contribution to simplification was also assessed as a possibly third</w:t>
      </w:r>
      <w:r>
        <w:t xml:space="preserve"> </w:t>
      </w:r>
      <w:r>
        <w:t xml:space="preserve">component of efficiency. Efficiency was given the same weight as effectiveness in</w:t>
      </w:r>
      <w:r>
        <w:t xml:space="preserve"> </w:t>
      </w:r>
      <w:r>
        <w:t xml:space="preserve">two tests, and a lower weight in one.</w:t>
      </w:r>
      <w:r>
        <w:br/>
      </w:r>
      <w:r>
        <w:t xml:space="preserve">Coherence was assigned a lower weight in two of the sensitivity tests, reflecting that</w:t>
      </w:r>
      <w:r>
        <w:t xml:space="preserve"> </w:t>
      </w:r>
      <w:r>
        <w:t xml:space="preserve">all retained policy options are broadly coherent with existing EU law and changes</w:t>
      </w:r>
      <w:r>
        <w:t xml:space="preserve"> </w:t>
      </w:r>
      <w:r>
        <w:t xml:space="preserve">planned in the JHA. Differences between options in terms of coherence are limited</w:t>
      </w:r>
      <w:r>
        <w:t xml:space="preserve"> </w:t>
      </w:r>
      <w:r>
        <w:t xml:space="preserve">and mainly relate to the degree of alignment with existing instruments and</w:t>
      </w:r>
      <w:r>
        <w:t xml:space="preserve"> </w:t>
      </w:r>
      <w:r>
        <w:t xml:space="preserve">frameworks, rather than to fundamental inconsistencies. Coherence is therefore</w:t>
      </w:r>
      <w:r>
        <w:t xml:space="preserve"> </w:t>
      </w:r>
      <w:r>
        <w:t xml:space="preserve">included to ensure overall policy consistency but does not drive the ranking of</w:t>
      </w:r>
      <w:r>
        <w:t xml:space="preserve"> </w:t>
      </w:r>
      <w:r>
        <w:t xml:space="preserve">options.</w:t>
      </w:r>
      <w:r>
        <w:t xml:space="preserve"> </w:t>
      </w:r>
      <w:r>
        <w:t xml:space="preserve">v.</w:t>
      </w:r>
      <w:r>
        <w:t xml:space="preserve"> </w:t>
      </w:r>
      <w:r>
        <w:t xml:space="preserve">The total weighed score for each policy option is calculated as the sum of that policy</w:t>
      </w:r>
      <w:r>
        <w:t xml:space="preserve"> </w:t>
      </w:r>
      <w:r>
        <w:t xml:space="preserve">option’s score for a given criterion multiplied by the associated weight assigned to</w:t>
      </w:r>
      <w:r>
        <w:t xml:space="preserve"> </w:t>
      </w:r>
      <w:r>
        <w:t xml:space="preserve">that criterion.</w:t>
      </w:r>
      <w:r>
        <w:br/>
      </w:r>
      <w:r>
        <w:t xml:space="preserve">The sensitivity analysis showed that within each intervention area, the ranking was robust,</w:t>
      </w:r>
      <w:r>
        <w:t xml:space="preserve"> </w:t>
      </w:r>
      <w:r>
        <w:t xml:space="preserve">since it was not affected by the different sets of weights assigned to the 3 criteria.</w:t>
      </w:r>
      <w:r>
        <w:t xml:space="preserve"> </w:t>
      </w:r>
      <w:r>
        <w:t xml:space="preserve">Note: In the inevitable iterations of developing and reviewing the measures and options, and</w:t>
      </w:r>
      <w:r>
        <w:t xml:space="preserve"> </w:t>
      </w:r>
      <w:r>
        <w:t xml:space="preserve">as a result of discussions with the interservice steering group, several measures were</w:t>
      </w:r>
      <w:r>
        <w:t xml:space="preserve"> </w:t>
      </w:r>
      <w:r>
        <w:t xml:space="preserve">amended. Hence the final scoring only uses the positive scale of 0 to +3.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3.3.</w:t>
      </w:r>
      <w:r>
        <w:t xml:space="preserve"> </w:t>
      </w:r>
      <w:r>
        <w:t xml:space="preserve">Scores per measure</w:t>
      </w:r>
    </w:p>
    <w:p>
      <w:pPr>
        <w:pStyle w:val="SourceCode"/>
        <w:numPr>
          <w:ilvl w:val="0"/>
          <w:numId w:val="1030"/>
        </w:numPr>
      </w:pPr>
      <w:r>
        <w:rPr>
          <w:rStyle w:val="VerbatimChar"/>
        </w:rPr>
        <w:t xml:space="preserve">Extending the scope of material </w:t>
      </w:r>
    </w:p>
    <w:p>
      <w:pPr>
        <w:pStyle w:val="Compact"/>
        <w:numPr>
          <w:ilvl w:val="0"/>
          <w:numId w:val="1000"/>
        </w:numPr>
      </w:pPr>
      <w:r>
        <w:t xml:space="preserve">competences to face the new judicial landscape</w:t>
      </w:r>
      <w:r>
        <w:t xml:space="preserve"> </w:t>
      </w:r>
      <w:r>
        <w:t xml:space="preserve">Addresses problem driver(s):</w:t>
      </w:r>
      <w:r>
        <w:t xml:space="preserve"> </w:t>
      </w:r>
      <w:r>
        <w:t xml:space="preserve">#2 Insufficient competences and associated</w:t>
      </w:r>
      <w:r>
        <w:t xml:space="preserve"> </w:t>
      </w:r>
      <w:r>
        <w:t xml:space="preserve">toolset</w:t>
      </w:r>
    </w:p>
    <w:p>
      <w:pPr>
        <w:pStyle w:val="Compact"/>
        <w:numPr>
          <w:ilvl w:val="0"/>
          <w:numId w:val="1031"/>
        </w:numPr>
      </w:pPr>
      <w:r>
        <w:t xml:space="preserve">Enhancing Eurojust’s support in EU policy-making</w:t>
      </w:r>
      <w:r>
        <w:t xml:space="preserve"> </w:t>
      </w:r>
      <w:r>
        <w:t xml:space="preserve">and strategic cycles through:</w:t>
      </w:r>
    </w:p>
    <w:p>
      <w:pPr>
        <w:pStyle w:val="Compact"/>
        <w:numPr>
          <w:ilvl w:val="0"/>
          <w:numId w:val="1032"/>
        </w:numPr>
      </w:pPr>
      <w:r>
        <w:t xml:space="preserve">working arrangements with IBOAs (A.PO1)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Minor costs; more resources may be required if EJ input is</w:t>
      </w:r>
      <w:r>
        <w:t xml:space="preserve"> </w:t>
      </w:r>
      <w:r>
        <w:t xml:space="preserve">required for more policy making deliverables. Costs</w:t>
      </w:r>
      <w:r>
        <w:t xml:space="preserve"> </w:t>
      </w:r>
      <w:r>
        <w:t xml:space="preserve">foreseen in putting together WAs.</w:t>
      </w:r>
      <w:r>
        <w:t xml:space="preserve"> </w:t>
      </w:r>
      <w:r>
        <w:t xml:space="preserve">Limited impact; enhanced involvement in policy making will</w:t>
      </w:r>
      <w:r>
        <w:t xml:space="preserve"> </w:t>
      </w:r>
      <w:r>
        <w:t xml:space="preserve">provide some impact on crime.</w:t>
      </w:r>
      <w:r>
        <w:t xml:space="preserve"> </w:t>
      </w:r>
      <w:r>
        <w:t xml:space="preserve">n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</w:p>
    <w:p>
      <w:pPr>
        <w:pStyle w:val="Compact"/>
        <w:numPr>
          <w:ilvl w:val="0"/>
          <w:numId w:val="1032"/>
        </w:numPr>
      </w:pPr>
      <w:r>
        <w:t xml:space="preserve">introducing a dedicated provision in the EJR</w:t>
      </w:r>
      <w:r>
        <w:t xml:space="preserve"> </w:t>
      </w:r>
      <w:r>
        <w:t xml:space="preserve">(A.PO2, A.PO3)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Low-moderate costs, more staff and budget needed if</w:t>
      </w:r>
      <w:r>
        <w:t xml:space="preserve"> </w:t>
      </w:r>
      <w:r>
        <w:t xml:space="preserve">operational missions increase.</w:t>
      </w:r>
      <w:r>
        <w:t xml:space="preserve"> </w:t>
      </w:r>
      <w:r>
        <w:t xml:space="preserve">EJ estimates:</w:t>
      </w:r>
      <w:r>
        <w:t xml:space="preserve"> </w:t>
      </w:r>
      <w:r>
        <w:t xml:space="preserve">+2 FTE +EUR 500k</w:t>
      </w:r>
      <w:r>
        <w:t xml:space="preserve"> </w:t>
      </w:r>
      <w:r>
        <w:t xml:space="preserve">Moderate impact; some impact on crime if EJ has a</w:t>
      </w:r>
      <w:r>
        <w:t xml:space="preserve"> </w:t>
      </w:r>
      <w:r>
        <w:t xml:space="preserve">formalised involvement in policymaking, but depends on</w:t>
      </w:r>
      <w:r>
        <w:t xml:space="preserve"> </w:t>
      </w:r>
      <w:r>
        <w:t xml:space="preserve">extent that it’s used.</w:t>
      </w:r>
      <w:r>
        <w:t xml:space="preserve"> </w:t>
      </w:r>
      <w:r>
        <w:t xml:space="preserve">n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</w:p>
    <w:p>
      <w:pPr>
        <w:pStyle w:val="Compact"/>
        <w:numPr>
          <w:ilvl w:val="0"/>
          <w:numId w:val="1033"/>
        </w:numPr>
      </w:pPr>
      <w:r>
        <w:t xml:space="preserve">Entrusting Eurojust with new operational</w:t>
      </w:r>
      <w:r>
        <w:t xml:space="preserve"> </w:t>
      </w:r>
      <w:r>
        <w:t xml:space="preserve">functions (in the areas of e-evidence, victims’ rights,</w:t>
      </w:r>
      <w:r>
        <w:t xml:space="preserve"> </w:t>
      </w:r>
      <w:r>
        <w:t xml:space="preserve">asset recovery) through:</w:t>
      </w:r>
    </w:p>
    <w:p>
      <w:pPr>
        <w:pStyle w:val="Compact"/>
        <w:numPr>
          <w:ilvl w:val="0"/>
          <w:numId w:val="1034"/>
        </w:numPr>
      </w:pPr>
      <w:r>
        <w:t xml:space="preserve">non-binding guidelines (A.PO1)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0.25</w:t>
      </w:r>
      <w:r>
        <w:t xml:space="preserve"> </w:t>
      </w:r>
      <w:r>
        <w:t xml:space="preserve">Minor costs; may require a one-off cost at EU level to</w:t>
      </w:r>
      <w:r>
        <w:t xml:space="preserve"> </w:t>
      </w:r>
      <w:r>
        <w:t xml:space="preserve">draft non-binding guidelines; depends on extent of EJ input</w:t>
      </w:r>
      <w:r>
        <w:t xml:space="preserve"> </w:t>
      </w:r>
      <w:r>
        <w:t xml:space="preserve">to continue contributing to EU policymaking deliverables.</w:t>
      </w:r>
      <w:r>
        <w:t xml:space="preserve"> </w:t>
      </w:r>
      <w:r>
        <w:t xml:space="preserve">Limited impact; limited reduction in crime; limited impact</w:t>
      </w:r>
      <w:r>
        <w:t xml:space="preserve"> </w:t>
      </w:r>
      <w:r>
        <w:t xml:space="preserve">on citizens and young people considering increased uptake</w:t>
      </w:r>
      <w:r>
        <w:t xml:space="preserve"> </w:t>
      </w:r>
      <w:r>
        <w:t xml:space="preserve">of digital technologies; limited impact on digitalisation,</w:t>
      </w:r>
      <w:r>
        <w:t xml:space="preserve"> </w:t>
      </w:r>
      <w:r>
        <w:t xml:space="preserve">depending on whether measures are taken up.</w:t>
      </w:r>
      <w:r>
        <w:t xml:space="preserve"> </w:t>
      </w:r>
      <w:r>
        <w:t xml:space="preserve">Limited,</w:t>
      </w:r>
      <w:r>
        <w:t xml:space="preserve"> </w:t>
      </w:r>
      <w:r>
        <w:t xml:space="preserve">depends on</w:t>
      </w:r>
      <w:r>
        <w:t xml:space="preserve"> </w:t>
      </w:r>
      <w:r>
        <w:t xml:space="preserve">extent of</w:t>
      </w:r>
      <w:r>
        <w:t xml:space="preserve"> </w:t>
      </w:r>
      <w:r>
        <w:t xml:space="preserve">uptake.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0.75</w:t>
      </w:r>
    </w:p>
    <w:p>
      <w:pPr>
        <w:pStyle w:val="Compact"/>
        <w:numPr>
          <w:ilvl w:val="0"/>
          <w:numId w:val="1034"/>
        </w:numPr>
      </w:pPr>
      <w:r>
        <w:t xml:space="preserve">introducing a dedicated provision in the EJR</w:t>
      </w:r>
      <w:r>
        <w:br/>
      </w:r>
      <w:r>
        <w:t xml:space="preserve">(A.PO2, A.PO3)</w:t>
      </w:r>
      <w:r>
        <w:t xml:space="preserve"> </w:t>
      </w:r>
      <w:r>
        <w:t xml:space="preserve">3.00</w:t>
      </w:r>
      <w:r>
        <w:t xml:space="preserve"> </w:t>
      </w:r>
      <w:r>
        <w:t xml:space="preserve">1.50</w:t>
      </w:r>
      <w:r>
        <w:t xml:space="preserve"> </w:t>
      </w:r>
      <w:r>
        <w:t xml:space="preserve">2.25</w:t>
      </w:r>
      <w:r>
        <w:t xml:space="preserve"> </w:t>
      </w:r>
      <w:r>
        <w:t xml:space="preserve">Minor-moderate costs; SIRIUS depends on whether</w:t>
      </w:r>
      <w:r>
        <w:t xml:space="preserve"> </w:t>
      </w:r>
      <w:r>
        <w:t xml:space="preserve">Eurojust’s role is expanded - if expanded, higher costs;</w:t>
      </w:r>
      <w:r>
        <w:t xml:space="preserve"> </w:t>
      </w:r>
      <w:r>
        <w:t xml:space="preserve">victims’ rights: same as SIRIUS - if expanded, higher</w:t>
      </w:r>
      <w:r>
        <w:t xml:space="preserve"> </w:t>
      </w:r>
      <w:r>
        <w:t xml:space="preserve">costs.</w:t>
      </w:r>
      <w:r>
        <w:t xml:space="preserve"> </w:t>
      </w:r>
      <w:r>
        <w:t xml:space="preserve">(EJ 5 FTE + 0.25 SNE per national desk = 6.5 FTE)</w:t>
      </w:r>
      <w:r>
        <w:t xml:space="preserve"> </w:t>
      </w:r>
      <w:r>
        <w:t xml:space="preserve">High impact; high positive impact on EJ’s capabilities;</w:t>
      </w:r>
      <w:r>
        <w:t xml:space="preserve"> </w:t>
      </w:r>
      <w:r>
        <w:t xml:space="preserve">moderate positive impact on EJ’s ability to reduce lost</w:t>
      </w:r>
      <w:r>
        <w:t xml:space="preserve"> </w:t>
      </w:r>
      <w:r>
        <w:t xml:space="preserve">expenditure from fraud and crime; moderate positive</w:t>
      </w:r>
      <w:r>
        <w:t xml:space="preserve"> </w:t>
      </w:r>
      <w:r>
        <w:t xml:space="preserve">impact for formalisation of EJ’s role in victims’ rights;</w:t>
      </w:r>
      <w:r>
        <w:t xml:space="preserve"> </w:t>
      </w:r>
      <w:r>
        <w:t xml:space="preserve">moderate positive impact for children and young people</w:t>
      </w:r>
      <w:r>
        <w:t xml:space="preserve"> </w:t>
      </w:r>
      <w:r>
        <w:t xml:space="preserve">with expanding digital technologies impacting them.</w:t>
      </w:r>
      <w:r>
        <w:t xml:space="preserve"> </w:t>
      </w:r>
      <w:r>
        <w:t xml:space="preserve">y (over a longer</w:t>
      </w:r>
      <w:r>
        <w:t xml:space="preserve"> </w:t>
      </w:r>
      <w:r>
        <w:t xml:space="preserve">period)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2.00</w:t>
      </w:r>
      <w:r>
        <w:t xml:space="preserve"> </w:t>
      </w:r>
      <w:r>
        <w:t xml:space="preserve">1.75</w:t>
      </w:r>
    </w:p>
    <w:p>
      <w:pPr>
        <w:pStyle w:val="Compact"/>
        <w:numPr>
          <w:ilvl w:val="0"/>
          <w:numId w:val="1035"/>
        </w:numPr>
      </w:pPr>
      <w:r>
        <w:t xml:space="preserve">Introducing semi-permanent operational</w:t>
      </w:r>
      <w:r>
        <w:t xml:space="preserve"> </w:t>
      </w:r>
      <w:r>
        <w:t xml:space="preserve">platforms to support JITs through</w:t>
      </w:r>
    </w:p>
    <w:p>
      <w:pPr>
        <w:pStyle w:val="Compact"/>
        <w:numPr>
          <w:ilvl w:val="0"/>
          <w:numId w:val="1036"/>
        </w:numPr>
      </w:pPr>
      <w:r>
        <w:t xml:space="preserve">operational arrangements (A.PO1)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0.25</w:t>
      </w:r>
      <w:r>
        <w:t xml:space="preserve"> </w:t>
      </w:r>
      <w:r>
        <w:t xml:space="preserve">low - very low costs (TBD)</w:t>
      </w:r>
      <w:r>
        <w:t xml:space="preserve"> </w:t>
      </w:r>
      <w:r>
        <w:t xml:space="preserve">very limited imapct</w:t>
      </w:r>
      <w:r>
        <w:t xml:space="preserve"> </w:t>
      </w:r>
      <w:r>
        <w:t xml:space="preserve">n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</w:p>
    <w:p>
      <w:pPr>
        <w:pStyle w:val="Compact"/>
        <w:numPr>
          <w:ilvl w:val="0"/>
          <w:numId w:val="1036"/>
        </w:numPr>
      </w:pPr>
      <w:r>
        <w:t xml:space="preserve">introducing a reference in the EJR</w:t>
      </w:r>
      <w:r>
        <w:t xml:space="preserve"> </w:t>
      </w:r>
      <w:r>
        <w:t xml:space="preserve">(A.PO2, A.PO3)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0.50</w:t>
      </w:r>
      <w:r>
        <w:t xml:space="preserve"> </w:t>
      </w:r>
      <w:r>
        <w:t xml:space="preserve">2 FTEs + non-staff costs of EUR 1.5 million over MFF</w:t>
      </w:r>
      <w:r>
        <w:t xml:space="preserve"> </w:t>
      </w:r>
      <w:r>
        <w:t xml:space="preserve">potentially larger (but limited) impacts</w:t>
      </w:r>
      <w:r>
        <w:t xml:space="preserve"> </w:t>
      </w:r>
      <w:r>
        <w:t xml:space="preserve">n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</w:p>
    <w:p>
      <w:pPr>
        <w:pStyle w:val="Compact"/>
        <w:numPr>
          <w:ilvl w:val="0"/>
          <w:numId w:val="1037"/>
        </w:numPr>
      </w:pPr>
      <w:r>
        <w:t xml:space="preserve">Extending Eurojust’s material competence to</w:t>
      </w:r>
      <w:r>
        <w:t xml:space="preserve"> </w:t>
      </w:r>
      <w:r>
        <w:t xml:space="preserve">new crimes (VURM, cybercrime, GBV, FIMI)</w:t>
      </w:r>
      <w:r>
        <w:t xml:space="preserve"> </w:t>
      </w:r>
      <w:r>
        <w:t xml:space="preserve">(A.PO2, A.PO3)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No immediate direct costs (digitalisation costs not included</w:t>
      </w:r>
      <w:r>
        <w:t xml:space="preserve"> </w:t>
      </w:r>
      <w:r>
        <w:t xml:space="preserve">in IA).</w:t>
      </w:r>
      <w:r>
        <w:t xml:space="preserve"> </w:t>
      </w:r>
      <w:r>
        <w:t xml:space="preserve">Medium impact to high over time and based on alignement</w:t>
      </w:r>
      <w:r>
        <w:t xml:space="preserve"> </w:t>
      </w:r>
      <w:r>
        <w:t xml:space="preserve">of other actors)</w:t>
      </w:r>
      <w:r>
        <w:t xml:space="preserve"> </w:t>
      </w:r>
      <w:r>
        <w:t xml:space="preserve">y (over a longer</w:t>
      </w:r>
      <w:r>
        <w:t xml:space="preserve"> </w:t>
      </w:r>
      <w:r>
        <w:t xml:space="preserve">period)</w:t>
      </w:r>
      <w:r>
        <w:t xml:space="preserve"> </w:t>
      </w:r>
      <w:r>
        <w:t xml:space="preserve">2.00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</w:p>
    <w:p>
      <w:pPr>
        <w:pStyle w:val="Compact"/>
        <w:numPr>
          <w:ilvl w:val="0"/>
          <w:numId w:val="1037"/>
        </w:numPr>
      </w:pPr>
      <w:r>
        <w:t xml:space="preserve">Expanding Eurojust’s analytical function to key</w:t>
      </w:r>
      <w:r>
        <w:t xml:space="preserve"> </w:t>
      </w:r>
      <w:r>
        <w:t xml:space="preserve">crime areas (organised crime and accessory crimes)</w:t>
      </w:r>
      <w:r>
        <w:t xml:space="preserve"> </w:t>
      </w:r>
      <w:r>
        <w:t xml:space="preserve">(A.PO3)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High costs: short-term costs for set-up, long-term costs for</w:t>
      </w:r>
      <w:r>
        <w:t xml:space="preserve"> </w:t>
      </w:r>
      <w:r>
        <w:t xml:space="preserve">maintenance and management; complex implementation</w:t>
      </w:r>
      <w:r>
        <w:t xml:space="preserve"> </w:t>
      </w:r>
      <w:r>
        <w:t xml:space="preserve">envisaged which may translate to high costs.</w:t>
      </w:r>
      <w:r>
        <w:t xml:space="preserve"> </w:t>
      </w:r>
      <w:r>
        <w:t xml:space="preserve">16 FTE + EUR 2 million p.a. for costs of system</w:t>
      </w:r>
      <w:r>
        <w:t xml:space="preserve"> </w:t>
      </w:r>
      <w:r>
        <w:t xml:space="preserve">High-impact; analytical function would allow EJ to develop</w:t>
      </w:r>
      <w:r>
        <w:t xml:space="preserve"> </w:t>
      </w:r>
      <w:r>
        <w:t xml:space="preserve">analysis in organised crime; positive impact in long-term</w:t>
      </w:r>
      <w:r>
        <w:t xml:space="preserve"> </w:t>
      </w:r>
      <w:r>
        <w:t xml:space="preserve">related to reducing lost revenue from organised crime,;</w:t>
      </w:r>
      <w:r>
        <w:t xml:space="preserve"> </w:t>
      </w:r>
      <w:r>
        <w:t xml:space="preserve">positive impact on citizens and young people by improving</w:t>
      </w:r>
      <w:r>
        <w:t xml:space="preserve"> </w:t>
      </w:r>
      <w:r>
        <w:t xml:space="preserve">response to organised crime; moderate impact for</w:t>
      </w:r>
      <w:r>
        <w:t xml:space="preserve"> </w:t>
      </w:r>
      <w:r>
        <w:t xml:space="preserve">digitalisation due to varying standards at MS level; impact</w:t>
      </w:r>
      <w:r>
        <w:t xml:space="preserve"> </w:t>
      </w:r>
      <w:r>
        <w:t xml:space="preserve">on MS depends on willingness to amend data and adapt</w:t>
      </w:r>
      <w:r>
        <w:t xml:space="preserve"> </w:t>
      </w:r>
      <w:r>
        <w:t xml:space="preserve">procedures.</w:t>
      </w:r>
      <w:r>
        <w:t xml:space="preserve"> </w:t>
      </w:r>
      <w:r>
        <w:t xml:space="preserve">y (lowering</w:t>
      </w:r>
      <w:r>
        <w:t xml:space="preserve"> </w:t>
      </w:r>
      <w:r>
        <w:t xml:space="preserve">casework</w:t>
      </w:r>
      <w:r>
        <w:t xml:space="preserve"> </w:t>
      </w:r>
      <w:r>
        <w:t xml:space="preserve">burden for</w:t>
      </w:r>
      <w:r>
        <w:t xml:space="preserve"> </w:t>
      </w:r>
      <w:r>
        <w:t xml:space="preserve">complex files in</w:t>
      </w:r>
      <w:r>
        <w:t xml:space="preserve"> </w:t>
      </w:r>
      <w:r>
        <w:t xml:space="preserve">long-term)</w:t>
      </w:r>
      <w:r>
        <w:t xml:space="preserve"> </w:t>
      </w:r>
      <w:r>
        <w:t xml:space="preserve">3.00</w:t>
      </w:r>
      <w:r>
        <w:t xml:space="preserve"> </w:t>
      </w:r>
      <w:r>
        <w:t xml:space="preserve">1.00</w:t>
      </w:r>
      <w:r>
        <w:t xml:space="preserve"> </w:t>
      </w:r>
      <w:r>
        <w:t xml:space="preserve">2.00</w:t>
      </w:r>
      <w:r>
        <w:t xml:space="preserve"> </w:t>
      </w:r>
      <w:r>
        <w:t xml:space="preserve">1.50</w:t>
      </w:r>
      <w:r>
        <w:t xml:space="preserve"> </w:t>
      </w:r>
      <w:r>
        <w:t xml:space="preserve">Specific objective 1:</w:t>
      </w:r>
      <w:r>
        <w:t xml:space="preserve"> </w:t>
      </w:r>
      <w:r>
        <w:t xml:space="preserve">Strengthen Eurojust’s internal functioning,</w:t>
      </w:r>
      <w:r>
        <w:t xml:space="preserve"> </w:t>
      </w:r>
      <w:r>
        <w:t xml:space="preserve">governance and operational performance</w:t>
      </w:r>
      <w:r>
        <w:t xml:space="preserve"> </w:t>
      </w:r>
      <w:r>
        <w:t xml:space="preserve">Coherence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Efficiency</w:t>
      </w:r>
      <w:r>
        <w:t xml:space="preserve"> </w:t>
      </w:r>
      <w:r>
        <w:t xml:space="preserve">score</w:t>
      </w:r>
      <w:r>
        <w:t xml:space="preserve"> </w:t>
      </w: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 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SO1+GO</w:t>
      </w:r>
      <w:r>
        <w:t xml:space="preserve"> </w:t>
      </w:r>
      <w:r>
        <w:t xml:space="preserve">Costs (accompanying text identifies cost to MS,</w:t>
      </w:r>
      <w:r>
        <w:t xml:space="preserve"> </w:t>
      </w:r>
      <w:r>
        <w:t xml:space="preserve">Com, other)</w:t>
      </w:r>
      <w:r>
        <w:t xml:space="preserve"> </w:t>
      </w:r>
      <w:r>
        <w:t xml:space="preserve">text (OF=one off cost, R= recurring)</w:t>
      </w:r>
      <w:r>
        <w:t xml:space="preserve"> </w:t>
      </w:r>
      <w:r>
        <w:t xml:space="preserve">Benefits (accompanying text identifies benefit to</w:t>
      </w:r>
      <w:r>
        <w:t xml:space="preserve"> </w:t>
      </w:r>
      <w:r>
        <w:t xml:space="preserve">Crime/citizens, MS, other)</w:t>
      </w:r>
      <w:r>
        <w:t xml:space="preserve"> </w:t>
      </w:r>
      <w:r>
        <w:t xml:space="preserve">text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(y/n)</w:t>
      </w:r>
      <w:r>
        <w:t xml:space="preserve"> </w:t>
      </w:r>
      <w:r>
        <w:t xml:space="preserve">Efficiency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Specific objective 1:</w:t>
      </w:r>
      <w:r>
        <w:t xml:space="preserve"> </w:t>
      </w:r>
      <w:r>
        <w:t xml:space="preserve">Strengthen Eurojust’s internal functioning,</w:t>
      </w:r>
      <w:r>
        <w:t xml:space="preserve"> </w:t>
      </w:r>
      <w:r>
        <w:t xml:space="preserve">governance and operational performance</w:t>
      </w:r>
      <w:r>
        <w:t xml:space="preserve"> </w:t>
      </w:r>
      <w:r>
        <w:t xml:space="preserve">B. Harmonizing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the</w:t>
      </w:r>
      <w:r>
        <w:t xml:space="preserve"> </w:t>
      </w:r>
      <w:r>
        <w:t xml:space="preserve">EJR,</w:t>
      </w:r>
      <w:r>
        <w:t xml:space="preserve"> </w:t>
      </w:r>
      <w:r>
        <w:t xml:space="preserve">including</w:t>
      </w:r>
      <w:r>
        <w:t xml:space="preserve"> </w:t>
      </w:r>
      <w:r>
        <w:t xml:space="preserve">on</w:t>
      </w:r>
      <w:r>
        <w:t xml:space="preserve"> </w:t>
      </w:r>
      <w:r>
        <w:t xml:space="preserve">allocation of cases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#1 Inadequate model to select and</w:t>
      </w:r>
      <w:r>
        <w:t xml:space="preserve"> </w:t>
      </w:r>
      <w:r>
        <w:t xml:space="preserve">prioritise cases;</w:t>
      </w:r>
      <w:r>
        <w:t xml:space="preserve"> </w:t>
      </w:r>
      <w:r>
        <w:t xml:space="preserve">#3 Divergent Member State engagement and</w:t>
      </w:r>
      <w:r>
        <w:t xml:space="preserve"> </w:t>
      </w:r>
      <w:r>
        <w:t xml:space="preserve">implementation of the EJR</w:t>
      </w:r>
      <w:r>
        <w:t xml:space="preserve"> </w:t>
      </w:r>
      <w:r>
        <w:t xml:space="preserve">i. Introduce a Eurojust-EJN case-allocation</w:t>
      </w:r>
      <w:r>
        <w:t xml:space="preserve"> </w:t>
      </w:r>
      <w:r>
        <w:t xml:space="preserve">system – through</w:t>
      </w:r>
      <w:r>
        <w:t xml:space="preserve"> </w:t>
      </w:r>
      <w:r>
        <w:t xml:space="preserve">a) non-binding guidelines (B.PO1)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 FTE</w:t>
      </w:r>
      <w:r>
        <w:t xml:space="preserve"> </w:t>
      </w:r>
      <w:r>
        <w:t xml:space="preserve">No imapct given existence of guidelines</w:t>
      </w:r>
      <w:r>
        <w:t xml:space="preserve"> </w:t>
      </w:r>
      <w:r>
        <w:t xml:space="preserve">n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0.50</w:t>
      </w:r>
      <w:r>
        <w:t xml:space="preserve"> </w:t>
      </w:r>
      <w:r>
        <w:t xml:space="preserve">0.25</w:t>
      </w:r>
      <w:r>
        <w:t xml:space="preserve"> </w:t>
      </w:r>
      <w:r>
        <w:t xml:space="preserve">b) by introducing a EJR provision defining a</w:t>
      </w:r>
      <w:r>
        <w:t xml:space="preserve"> </w:t>
      </w:r>
      <w:r>
        <w:t xml:space="preserve">‘Eurojust case’ (B.PO2, B.PO3)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 FTE</w:t>
      </w:r>
      <w:r>
        <w:t xml:space="preserve"> </w:t>
      </w:r>
      <w:r>
        <w:t xml:space="preserve">Limoited impacts (only felt over time) given culture change</w:t>
      </w:r>
      <w:r>
        <w:t xml:space="preserve"> </w:t>
      </w:r>
      <w:r>
        <w:t xml:space="preserve">and mindset would have to evovle</w:t>
      </w:r>
      <w:r>
        <w:t xml:space="preserve"> </w:t>
      </w:r>
      <w:r>
        <w:t xml:space="preserve">n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ii. Require Member States to appoint National</w:t>
      </w:r>
      <w:r>
        <w:t xml:space="preserve"> </w:t>
      </w:r>
      <w:r>
        <w:t xml:space="preserve">Members with full operational powers through:</w:t>
      </w:r>
      <w:r>
        <w:t xml:space="preserve"> </w:t>
      </w:r>
      <w:r>
        <w:t xml:space="preserve">a) advocacy and political nudging (B.PO1)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Minor costs; may require a one-off cost at EU level to</w:t>
      </w:r>
      <w:r>
        <w:t xml:space="preserve"> </w:t>
      </w:r>
      <w:r>
        <w:t xml:space="preserve">advocate and nudge the MS.</w:t>
      </w:r>
      <w:r>
        <w:t xml:space="preserve"> </w:t>
      </w:r>
      <w:r>
        <w:t xml:space="preserve">Limited impact; may reduce time taken to process certain</w:t>
      </w:r>
      <w:r>
        <w:t xml:space="preserve"> </w:t>
      </w:r>
      <w:r>
        <w:t xml:space="preserve">cases if implemented by MS; low administrative burden as</w:t>
      </w:r>
      <w:r>
        <w:t xml:space="preserve"> </w:t>
      </w:r>
      <w:r>
        <w:t xml:space="preserve">voluntary.</w:t>
      </w:r>
      <w:r>
        <w:t xml:space="preserve"> </w:t>
      </w:r>
      <w:r>
        <w:t xml:space="preserve">n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0.50</w:t>
      </w:r>
      <w:r>
        <w:t xml:space="preserve"> </w:t>
      </w:r>
      <w:r>
        <w:t xml:space="preserve">b) amending the relevant EJR provisions (B.PO2,</w:t>
      </w:r>
      <w:r>
        <w:t xml:space="preserve"> </w:t>
      </w:r>
      <w:r>
        <w:t xml:space="preserve">B.PO3)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Minor; may reduce costs on MS in long-term and for EJ by</w:t>
      </w:r>
      <w:r>
        <w:t xml:space="preserve"> </w:t>
      </w:r>
      <w:r>
        <w:t xml:space="preserve">supporting prioritisation of workload.</w:t>
      </w:r>
      <w:r>
        <w:t xml:space="preserve"> </w:t>
      </w:r>
      <w:r>
        <w:t xml:space="preserve">High impact; will ensure that all NMs have full competence</w:t>
      </w:r>
      <w:r>
        <w:t xml:space="preserve"> </w:t>
      </w:r>
      <w:r>
        <w:t xml:space="preserve">and operational work is focused on; may have some limited</w:t>
      </w:r>
      <w:r>
        <w:t xml:space="preserve"> </w:t>
      </w:r>
      <w:r>
        <w:t xml:space="preserve">burden while being implemented by MS.</w:t>
      </w:r>
      <w:r>
        <w:t xml:space="preserve"> </w:t>
      </w:r>
      <w:r>
        <w:t xml:space="preserve">y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iii. Entrusting National Members with new</w:t>
      </w:r>
      <w:r>
        <w:t xml:space="preserve"> </w:t>
      </w:r>
      <w:r>
        <w:t xml:space="preserve">capabilities (subject to their attributions under</w:t>
      </w:r>
      <w:r>
        <w:t xml:space="preserve"> </w:t>
      </w:r>
      <w:r>
        <w:t xml:space="preserve">national law): issuing freezing orders, European</w:t>
      </w:r>
      <w:r>
        <w:t xml:space="preserve"> </w:t>
      </w:r>
      <w:r>
        <w:t xml:space="preserve">Production and Preservation Orders (e-evidence),</w:t>
      </w:r>
      <w:r>
        <w:t xml:space="preserve"> </w:t>
      </w:r>
      <w:r>
        <w:t xml:space="preserve">European Arrest Warrants, and signing JIT</w:t>
      </w:r>
      <w:r>
        <w:t xml:space="preserve"> </w:t>
      </w:r>
      <w:r>
        <w:t xml:space="preserve">agreements (B.PO2, B.PO3)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Low costs, resulting from increase in operational work and</w:t>
      </w:r>
      <w:r>
        <w:t xml:space="preserve"> </w:t>
      </w:r>
      <w:r>
        <w:t xml:space="preserve">support provided, thus, expected need for increased</w:t>
      </w:r>
      <w:r>
        <w:t xml:space="preserve"> </w:t>
      </w:r>
      <w:r>
        <w:t xml:space="preserve">resources at national desks and caseload units.</w:t>
      </w:r>
      <w:r>
        <w:t xml:space="preserve"> </w:t>
      </w:r>
      <w:r>
        <w:t xml:space="preserve">Moderate impact; reduction of delays linked to related</w:t>
      </w:r>
      <w:r>
        <w:t xml:space="preserve"> </w:t>
      </w:r>
      <w:r>
        <w:t xml:space="preserve">orders in some case; positve reduction of crime due to</w:t>
      </w:r>
      <w:r>
        <w:t xml:space="preserve"> </w:t>
      </w:r>
      <w:r>
        <w:t xml:space="preserve">additional capabilities for EJ; ability for EJ to reduce lost</w:t>
      </w:r>
      <w:r>
        <w:t xml:space="preserve"> </w:t>
      </w:r>
      <w:r>
        <w:t xml:space="preserve">revenue to fraud/crime. Likely impact on MS if they need</w:t>
      </w:r>
      <w:r>
        <w:t xml:space="preserve"> </w:t>
      </w:r>
      <w:r>
        <w:t xml:space="preserve">to align national frameworks to new powers for NMs.</w:t>
      </w:r>
      <w:r>
        <w:t xml:space="preserve"> </w:t>
      </w:r>
      <w:r>
        <w:t xml:space="preserve">y (in long term)</w:t>
      </w:r>
      <w:r>
        <w:t xml:space="preserve"> </w:t>
      </w:r>
      <w:r>
        <w:t xml:space="preserve">0.50</w:t>
      </w:r>
      <w:r>
        <w:t xml:space="preserve"> </w:t>
      </w:r>
      <w:r>
        <w:t xml:space="preserve">2.00</w:t>
      </w:r>
      <w:r>
        <w:t xml:space="preserve"> </w:t>
      </w:r>
      <w:r>
        <w:t xml:space="preserve">1.50</w:t>
      </w:r>
      <w:r>
        <w:t xml:space="preserve"> </w:t>
      </w:r>
      <w:r>
        <w:t xml:space="preserve">1.75</w:t>
      </w:r>
      <w:r>
        <w:t xml:space="preserve"> </w:t>
      </w:r>
      <w:r>
        <w:t xml:space="preserve">iv. Grant National Members the authority to open</w:t>
      </w:r>
      <w:r>
        <w:t xml:space="preserve"> </w:t>
      </w:r>
      <w:r>
        <w:t xml:space="preserve">cases (B.PO3)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Minor-moderate impact, extent depends on if it’s well-</w:t>
      </w:r>
      <w:r>
        <w:t xml:space="preserve"> </w:t>
      </w:r>
      <w:r>
        <w:t xml:space="preserve">implemented, may increase case load, thus, requiring more</w:t>
      </w:r>
      <w:r>
        <w:t xml:space="preserve"> </w:t>
      </w:r>
      <w:r>
        <w:t xml:space="preserve">staff.</w:t>
      </w:r>
      <w:r>
        <w:t xml:space="preserve"> </w:t>
      </w:r>
      <w:r>
        <w:t xml:space="preserve">Moderate impact, depends on whether NMs have capacity</w:t>
      </w:r>
      <w:r>
        <w:t xml:space="preserve"> </w:t>
      </w:r>
      <w:r>
        <w:t xml:space="preserve">to - would reduce having to go around national authorities;</w:t>
      </w:r>
      <w:r>
        <w:t xml:space="preserve"> </w:t>
      </w:r>
      <w:r>
        <w:t xml:space="preserve">would increase EJ’s capability to spport cross-border</w:t>
      </w:r>
      <w:r>
        <w:t xml:space="preserve"> </w:t>
      </w:r>
      <w:r>
        <w:t xml:space="preserve">cases; could be helpful for combatting crime in MS if EJ</w:t>
      </w:r>
      <w:r>
        <w:t xml:space="preserve"> </w:t>
      </w:r>
      <w:r>
        <w:t xml:space="preserve">opens cases.</w:t>
      </w:r>
      <w:r>
        <w:t xml:space="preserve"> </w:t>
      </w:r>
      <w:r>
        <w:t xml:space="preserve">y (if caseload</w:t>
      </w:r>
      <w:r>
        <w:t xml:space="preserve"> </w:t>
      </w:r>
      <w:r>
        <w:t xml:space="preserve">permits)</w:t>
      </w:r>
      <w:r>
        <w:t xml:space="preserve"> </w:t>
      </w:r>
      <w:r>
        <w:t xml:space="preserve">2.00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Efficiency</w:t>
      </w:r>
      <w:r>
        <w:t xml:space="preserve"> </w:t>
      </w:r>
      <w:r>
        <w:t xml:space="preserve">score</w:t>
      </w:r>
      <w:r>
        <w:t xml:space="preserve"> </w:t>
      </w: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 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SO1+GO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Costs (accompanying text identifies cost to MS,</w:t>
      </w:r>
      <w:r>
        <w:t xml:space="preserve"> </w:t>
      </w:r>
      <w:r>
        <w:t xml:space="preserve">Com, other)</w:t>
      </w:r>
      <w:r>
        <w:t xml:space="preserve"> </w:t>
      </w:r>
      <w:r>
        <w:t xml:space="preserve">text (OF=one off cost, R= recurring)</w:t>
      </w:r>
      <w:r>
        <w:t xml:space="preserve"> </w:t>
      </w:r>
      <w:r>
        <w:t xml:space="preserve">Benefits (accompanying text identifies benefit to</w:t>
      </w:r>
      <w:r>
        <w:t xml:space="preserve"> </w:t>
      </w:r>
      <w:r>
        <w:t xml:space="preserve">Crime/citizens, MS, other)</w:t>
      </w:r>
      <w:r>
        <w:t xml:space="preserve"> </w:t>
      </w:r>
      <w:r>
        <w:t xml:space="preserve">text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(y/n)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Specific objective 1:</w:t>
      </w:r>
      <w:r>
        <w:t xml:space="preserve"> </w:t>
      </w:r>
      <w:r>
        <w:t xml:space="preserve">Strengthen Eurojust’s internal functioning,</w:t>
      </w:r>
      <w:r>
        <w:t xml:space="preserve"> </w:t>
      </w:r>
      <w:r>
        <w:t xml:space="preserve">governance and operational performance</w:t>
      </w:r>
      <w:r>
        <w:t xml:space="preserve"> </w:t>
      </w:r>
      <w:r>
        <w:t xml:space="preserve">C. Establishing a streamlined, coherent and</w:t>
      </w:r>
      <w:r>
        <w:t xml:space="preserve"> </w:t>
      </w:r>
      <w:r>
        <w:t xml:space="preserve">role-clear governance system that accelerates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#4 Lack of clear separation between</w:t>
      </w:r>
      <w:r>
        <w:t xml:space="preserve"> </w:t>
      </w:r>
      <w:r>
        <w:t xml:space="preserve">operational and administrative responsibilities</w:t>
      </w:r>
      <w:r>
        <w:t xml:space="preserve"> </w:t>
      </w:r>
      <w:r>
        <w:t xml:space="preserve">#5 Complex governance structure</w:t>
      </w:r>
      <w:r>
        <w:t xml:space="preserve"> </w:t>
      </w:r>
      <w:r>
        <w:t xml:space="preserve">and outdated legacy organisational culture</w:t>
      </w:r>
      <w:r>
        <w:t xml:space="preserve"> </w:t>
      </w:r>
      <w:r>
        <w:t xml:space="preserve">i. Revision of the allocation of responsibilities</w:t>
      </w:r>
      <w:r>
        <w:t xml:space="preserve"> </w:t>
      </w:r>
      <w:r>
        <w:t xml:space="preserve">between governance bodies (C.PO1, C.PO2,</w:t>
      </w:r>
      <w:r>
        <w:t xml:space="preserve"> </w:t>
      </w:r>
      <w:r>
        <w:t xml:space="preserve">C.PO3)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No cost changes compared to dynamic baseline</w:t>
      </w:r>
      <w:r>
        <w:t xml:space="preserve"> </w:t>
      </w:r>
      <w:r>
        <w:t xml:space="preserve">Minimal incremental benefits compared to dynamic</w:t>
      </w:r>
      <w:r>
        <w:t xml:space="preserve"> </w:t>
      </w:r>
      <w:r>
        <w:t xml:space="preserve">baseline; greater certainty / sustainability of allocation</w:t>
      </w:r>
      <w:r>
        <w:t xml:space="preserve"> </w:t>
      </w:r>
      <w:r>
        <w:t xml:space="preserve">y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ii. Reform of the Executive Board (C.PO2, C.PO3)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Minor cost; increased operational work –&gt; increased</w:t>
      </w:r>
      <w:r>
        <w:t xml:space="preserve"> </w:t>
      </w:r>
      <w:r>
        <w:t xml:space="preserve">administration support to operational work (R)</w:t>
      </w:r>
      <w:r>
        <w:t xml:space="preserve"> </w:t>
      </w:r>
      <w:r>
        <w:t xml:space="preserve">0.1-0.5 FTE cost saving per year (reduction in NM time</w:t>
      </w:r>
      <w:r>
        <w:t xml:space="preserve"> </w:t>
      </w:r>
      <w:r>
        <w:t xml:space="preserve">commitment)</w:t>
      </w:r>
      <w:r>
        <w:t xml:space="preserve"> </w:t>
      </w:r>
      <w:r>
        <w:t xml:space="preserve">1-5 FTEs over 10 years</w:t>
      </w:r>
      <w:r>
        <w:t xml:space="preserve"> </w:t>
      </w:r>
      <w:r>
        <w:t xml:space="preserve">y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i+ii Revision + Reform (=C.PO2)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(assumed sum of i and ii - TBC)</w:t>
      </w:r>
      <w:r>
        <w:t xml:space="preserve"> </w:t>
      </w:r>
      <w:r>
        <w:t xml:space="preserve">(assumed sum of i and ii - TBC)</w:t>
      </w:r>
      <w:r>
        <w:t xml:space="preserve"> </w:t>
      </w:r>
      <w:r>
        <w:t xml:space="preserve">y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iii. Introduction of a Management Board (C.PO3)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2.25</w:t>
      </w:r>
      <w:r>
        <w:t xml:space="preserve"> </w:t>
      </w:r>
      <w:r>
        <w:t xml:space="preserve">Moderate cost; significant increases in operational work –</w:t>
      </w:r>
      <w:r>
        <w:t xml:space="preserve"> </w:t>
      </w:r>
      <w:r>
        <w:t xml:space="preserve">&gt; increases in administration support to operational work</w:t>
      </w:r>
      <w:r>
        <w:t xml:space="preserve"> </w:t>
      </w:r>
      <w:r>
        <w:t xml:space="preserve">(R); cost to EJ (R) for organising MB meetings (€80k for</w:t>
      </w:r>
      <w:r>
        <w:t xml:space="preserve"> </w:t>
      </w:r>
      <w:r>
        <w:t xml:space="preserve">meeting at EJ; €120k for external meeting); cost (OF) to</w:t>
      </w:r>
      <w:r>
        <w:t xml:space="preserve"> </w:t>
      </w:r>
      <w:r>
        <w:t xml:space="preserve">national authorities for selecting representative</w:t>
      </w:r>
      <w:r>
        <w:t xml:space="preserve"> </w:t>
      </w:r>
      <w:r>
        <w:t xml:space="preserve">1.46 FTE cost saving per year (reduction in NM time</w:t>
      </w:r>
      <w:r>
        <w:t xml:space="preserve"> </w:t>
      </w:r>
      <w:r>
        <w:t xml:space="preserve">commitment)</w:t>
      </w:r>
      <w:r>
        <w:t xml:space="preserve"> </w:t>
      </w:r>
      <w:r>
        <w:t xml:space="preserve">14.6 over 10 years</w:t>
      </w:r>
      <w:r>
        <w:t xml:space="preserve"> </w:t>
      </w:r>
      <w:r>
        <w:t xml:space="preserve">y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i+ii+iii Revision, Reform + MB (=C.PO3)</w:t>
      </w:r>
      <w:r>
        <w:t xml:space="preserve"> </w:t>
      </w:r>
      <w:r>
        <w:t xml:space="preserve">3.00</w:t>
      </w:r>
      <w:r>
        <w:t xml:space="preserve"> </w:t>
      </w:r>
      <w:r>
        <w:t xml:space="preserve">2.50</w:t>
      </w:r>
      <w:r>
        <w:t xml:space="preserve"> </w:t>
      </w:r>
      <w:r>
        <w:t xml:space="preserve">2.75</w:t>
      </w:r>
      <w:r>
        <w:t xml:space="preserve"> </w:t>
      </w:r>
      <w:r>
        <w:t xml:space="preserve">(assumed sum of i, ii and iii - TBC)</w:t>
      </w:r>
      <w:r>
        <w:t xml:space="preserve"> </w:t>
      </w:r>
      <w:r>
        <w:t xml:space="preserve">(assumed sum of i, ii and iii - TBC)</w:t>
      </w:r>
      <w:r>
        <w:t xml:space="preserve"> </w:t>
      </w:r>
      <w:r>
        <w:t xml:space="preserve">y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Efficiency</w:t>
      </w:r>
      <w:r>
        <w:t xml:space="preserve"> </w:t>
      </w:r>
      <w:r>
        <w:t xml:space="preserve">score</w:t>
      </w:r>
      <w:r>
        <w:t xml:space="preserve"> </w:t>
      </w: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 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SO1+GO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Costs (accompanying text identifies cost to MS,</w:t>
      </w:r>
      <w:r>
        <w:t xml:space="preserve"> </w:t>
      </w:r>
      <w:r>
        <w:t xml:space="preserve">Com, other)</w:t>
      </w:r>
      <w:r>
        <w:t xml:space="preserve"> </w:t>
      </w:r>
      <w:r>
        <w:t xml:space="preserve">text (OF=one off cost, R= recurring)</w:t>
      </w:r>
      <w:r>
        <w:t xml:space="preserve"> </w:t>
      </w:r>
      <w:r>
        <w:t xml:space="preserve">Benefits (accompanying text identifies benefit to</w:t>
      </w:r>
      <w:r>
        <w:t xml:space="preserve"> </w:t>
      </w:r>
      <w:r>
        <w:t xml:space="preserve">Crime/citizens, MS, other)</w:t>
      </w:r>
      <w:r>
        <w:t xml:space="preserve"> </w:t>
      </w:r>
      <w:r>
        <w:t xml:space="preserve">text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(y/n)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Specific objective 2: Achieve optimal</w:t>
      </w:r>
      <w:r>
        <w:t xml:space="preserve"> </w:t>
      </w:r>
      <w:r>
        <w:t xml:space="preserve">alignment and operational integration with EU</w:t>
      </w:r>
      <w:r>
        <w:t xml:space="preserve"> </w:t>
      </w:r>
      <w:r>
        <w:t xml:space="preserve">partners and Third countries</w:t>
      </w:r>
      <w:r>
        <w:t xml:space="preserve"> </w:t>
      </w:r>
      <w:r>
        <w:t xml:space="preserve">D. Fostering and strengthening structured</w:t>
      </w:r>
      <w:r>
        <w:t xml:space="preserve"> </w:t>
      </w:r>
      <w:r>
        <w:t xml:space="preserve">operational cooperation with Europol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#8 Absence of a structurally embedded cooperation</w:t>
      </w:r>
      <w:r>
        <w:t xml:space="preserve"> </w:t>
      </w:r>
      <w:r>
        <w:t xml:space="preserve">with Europol</w:t>
      </w:r>
      <w:r>
        <w:t xml:space="preserve"> </w:t>
      </w:r>
      <w:r>
        <w:t xml:space="preserve">i. Automating and optimising Eurojust-Europol’s</w:t>
      </w:r>
      <w:r>
        <w:t xml:space="preserve"> </w:t>
      </w:r>
      <w:r>
        <w:t xml:space="preserve">system for indirect access to the respective</w:t>
      </w:r>
      <w:r>
        <w:t xml:space="preserve"> </w:t>
      </w:r>
      <w:r>
        <w:t xml:space="preserve">databases (interagency hit/no-hit system) through:</w:t>
      </w:r>
      <w:r>
        <w:t xml:space="preserve"> </w:t>
      </w:r>
      <w:r>
        <w:t xml:space="preserve">a) technical measures only (D.PO1)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0.25</w:t>
      </w:r>
      <w:r>
        <w:t xml:space="preserve"> </w:t>
      </w:r>
      <w:r>
        <w:t xml:space="preserve">3.5 FTE (ICT) + EUR 1.7- 2.4 million</w:t>
      </w:r>
      <w:r>
        <w:t xml:space="preserve"> </w:t>
      </w:r>
      <w:r>
        <w:t xml:space="preserve">small</w:t>
      </w:r>
      <w:r>
        <w:t xml:space="preserve"> </w:t>
      </w:r>
      <w:r>
        <w:t xml:space="preserve">y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b) technical measures linked to new legal</w:t>
      </w:r>
      <w:r>
        <w:t xml:space="preserve"> </w:t>
      </w:r>
      <w:r>
        <w:t xml:space="preserve">obligations (D.PO2, D.PO3)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At least same as above, (depending on new legal</w:t>
      </w:r>
      <w:r>
        <w:t xml:space="preserve"> </w:t>
      </w:r>
      <w:r>
        <w:t xml:space="preserve">obligations)</w:t>
      </w:r>
      <w:r>
        <w:t xml:space="preserve"> </w:t>
      </w:r>
      <w:r>
        <w:t xml:space="preserve">General gearter effectiveness leading to efficineices</w:t>
      </w:r>
      <w:r>
        <w:t xml:space="preserve"> </w:t>
      </w:r>
      <w:r>
        <w:t xml:space="preserve">y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3.00</w:t>
      </w:r>
      <w:r>
        <w:t xml:space="preserve"> </w:t>
      </w:r>
      <w:r>
        <w:t xml:space="preserve">2.50</w:t>
      </w:r>
      <w:r>
        <w:t xml:space="preserve"> </w:t>
      </w:r>
      <w:r>
        <w:t xml:space="preserve">ii. Revising the 2010 Eurojust-Europol Cooperation</w:t>
      </w:r>
      <w:r>
        <w:t xml:space="preserve"> </w:t>
      </w:r>
      <w:r>
        <w:t xml:space="preserve">Agreement through:</w:t>
      </w:r>
      <w:r>
        <w:t xml:space="preserve"> </w:t>
      </w:r>
      <w:r>
        <w:t xml:space="preserve">a) a poligical push for its renegotiation (D.PO1)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0.25</w:t>
      </w:r>
      <w:r>
        <w:t xml:space="preserve"> </w:t>
      </w:r>
      <w:r>
        <w:t xml:space="preserve">unlikely to take place</w:t>
      </w:r>
      <w:r>
        <w:t xml:space="preserve"> </w:t>
      </w:r>
      <w:r>
        <w:t xml:space="preserve">unlikely to take place</w:t>
      </w:r>
      <w:r>
        <w:t xml:space="preserve"> </w:t>
      </w:r>
      <w:r>
        <w:t xml:space="preserve">n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b) introducing in the EJR a legal obligation of</w:t>
      </w:r>
      <w:r>
        <w:t xml:space="preserve"> </w:t>
      </w:r>
      <w:r>
        <w:t xml:space="preserve">periodic review in consultation with the Commission</w:t>
      </w:r>
      <w:r>
        <w:t xml:space="preserve"> </w:t>
      </w:r>
      <w:r>
        <w:t xml:space="preserve">(D.PO2, D.PO3)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2 FTEs for negotiations (2 years) OF</w:t>
      </w:r>
      <w:r>
        <w:t xml:space="preserve"> </w:t>
      </w:r>
      <w:r>
        <w:t xml:space="preserve">potentatial building block for increasing coopeation with</w:t>
      </w:r>
      <w:r>
        <w:t xml:space="preserve"> </w:t>
      </w:r>
      <w:r>
        <w:t xml:space="preserve">EPOL</w:t>
      </w:r>
      <w:r>
        <w:t xml:space="preserve"> </w:t>
      </w:r>
      <w:r>
        <w:t xml:space="preserve">n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2.00</w:t>
      </w:r>
      <w:r>
        <w:t xml:space="preserve"> </w:t>
      </w:r>
      <w:r>
        <w:t xml:space="preserve">1.50</w:t>
      </w:r>
      <w:r>
        <w:t xml:space="preserve"> </w:t>
      </w:r>
      <w:r>
        <w:t xml:space="preserve">iii. Creating a dedicated cooperation channel for</w:t>
      </w:r>
      <w:r>
        <w:t xml:space="preserve"> </w:t>
      </w:r>
      <w:r>
        <w:t xml:space="preserve">systematic follow up on SIRIUS referrals (D.PO2,</w:t>
      </w:r>
      <w:r>
        <w:t xml:space="preserve"> </w:t>
      </w:r>
      <w:r>
        <w:t xml:space="preserve">D.PO3)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low</w:t>
      </w:r>
      <w:r>
        <w:t xml:space="preserve"> </w:t>
      </w:r>
      <w:r>
        <w:t xml:space="preserve">low if other improvements not implemented</w:t>
      </w:r>
      <w:r>
        <w:t xml:space="preserve"> </w:t>
      </w:r>
      <w:r>
        <w:t xml:space="preserve">n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1.25</w:t>
      </w:r>
      <w:r>
        <w:t xml:space="preserve"> </w:t>
      </w:r>
      <w:r>
        <w:t xml:space="preserve">iv. Granting participation in College meetings to</w:t>
      </w:r>
      <w:r>
        <w:t xml:space="preserve"> </w:t>
      </w:r>
      <w:r>
        <w:t xml:space="preserve">Europol representatives (D.PO2, D.PO3)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low (crossing the road)</w:t>
      </w:r>
      <w:r>
        <w:t xml:space="preserve"> </w:t>
      </w:r>
      <w:r>
        <w:t xml:space="preserve">potentioal building block in alternig cooperation - also</w:t>
      </w:r>
      <w:r>
        <w:t xml:space="preserve"> </w:t>
      </w:r>
      <w:r>
        <w:t xml:space="preserve">depends on work of COL</w:t>
      </w:r>
      <w:r>
        <w:t xml:space="preserve"> </w:t>
      </w:r>
      <w:r>
        <w:t xml:space="preserve">n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v. Codifying cooperation modalities between</w:t>
      </w:r>
      <w:r>
        <w:t xml:space="preserve"> </w:t>
      </w:r>
      <w:r>
        <w:t xml:space="preserve">Eurojust and Europol (e.g. notification to Eurojust</w:t>
      </w:r>
      <w:r>
        <w:t xml:space="preserve"> </w:t>
      </w:r>
      <w:r>
        <w:t xml:space="preserve">upon reaching of “judicial threshold”, creation of</w:t>
      </w:r>
      <w:r>
        <w:t xml:space="preserve"> </w:t>
      </w:r>
      <w:r>
        <w:t xml:space="preserve">Joint Operational Platforms or task forces)</w:t>
      </w:r>
      <w:r>
        <w:br/>
      </w:r>
      <w:r>
        <w:t xml:space="preserve">(D.PO3)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potentially high given increased resources at EPOL</w:t>
      </w:r>
      <w:r>
        <w:t xml:space="preserve"> </w:t>
      </w:r>
      <w:r>
        <w:t xml:space="preserve">Potentially very high increase in EJ cases</w:t>
      </w:r>
      <w:r>
        <w:t xml:space="preserve"> </w:t>
      </w:r>
      <w:r>
        <w:t xml:space="preserve">n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Efficiency</w:t>
      </w:r>
      <w:r>
        <w:t xml:space="preserve"> </w:t>
      </w:r>
      <w:r>
        <w:t xml:space="preserve">score</w:t>
      </w:r>
      <w:r>
        <w:t xml:space="preserve"> </w:t>
      </w: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 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SO2+GO</w:t>
      </w:r>
      <w:r>
        <w:t xml:space="preserve"> </w:t>
      </w:r>
      <w:r>
        <w:t xml:space="preserve">Costs (accompanying text identifies cost to MS,</w:t>
      </w:r>
      <w:r>
        <w:t xml:space="preserve"> </w:t>
      </w:r>
      <w:r>
        <w:t xml:space="preserve">Com, other)</w:t>
      </w:r>
      <w:r>
        <w:t xml:space="preserve"> </w:t>
      </w:r>
      <w:r>
        <w:t xml:space="preserve">text (OF=one off cost, R= recurring)</w:t>
      </w:r>
      <w:r>
        <w:t xml:space="preserve"> </w:t>
      </w:r>
      <w:r>
        <w:t xml:space="preserve">Benefits (accompanying text identifies benefit to</w:t>
      </w:r>
      <w:r>
        <w:t xml:space="preserve"> </w:t>
      </w:r>
      <w:r>
        <w:t xml:space="preserve">Crime/citizens, MS, other)</w:t>
      </w:r>
      <w:r>
        <w:t xml:space="preserve"> </w:t>
      </w:r>
      <w:r>
        <w:t xml:space="preserve">text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(y/n)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Specific objective 2: Achieve optimal</w:t>
      </w:r>
      <w:r>
        <w:t xml:space="preserve"> </w:t>
      </w:r>
      <w:r>
        <w:t xml:space="preserve">alignment and operational integration with EU</w:t>
      </w:r>
      <w:r>
        <w:t xml:space="preserve"> </w:t>
      </w:r>
      <w:r>
        <w:t xml:space="preserve">partners and Third countries</w:t>
      </w:r>
      <w:r>
        <w:t xml:space="preserve"> </w:t>
      </w:r>
      <w:r>
        <w:t xml:space="preserve">E. Promoting fully developed cooperation with</w:t>
      </w:r>
      <w:r>
        <w:t xml:space="preserve"> </w:t>
      </w:r>
      <w:r>
        <w:t xml:space="preserve">the EPPO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#9 Constrained cooperation with the EPPO</w:t>
      </w:r>
      <w:r>
        <w:t xml:space="preserve"> </w:t>
      </w:r>
      <w:r>
        <w:t xml:space="preserve">i. Automating and optimising Eurojust-EPPO’s</w:t>
      </w:r>
      <w:r>
        <w:t xml:space="preserve"> </w:t>
      </w:r>
      <w:r>
        <w:t xml:space="preserve">system for indirect access to the respective</w:t>
      </w:r>
      <w:r>
        <w:t xml:space="preserve"> </w:t>
      </w:r>
      <w:r>
        <w:t xml:space="preserve">databases (interagency hit/no-hit system) through:</w:t>
      </w:r>
      <w:r>
        <w:t xml:space="preserve"> </w:t>
      </w:r>
      <w:r>
        <w:t xml:space="preserve">a) technical measures only (E.PO1)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0.25</w:t>
      </w:r>
      <w:r>
        <w:t xml:space="preserve"> </w:t>
      </w:r>
      <w:r>
        <w:t xml:space="preserve">Cost of set up (OF) ,but likely low</w:t>
      </w:r>
      <w:r>
        <w:t xml:space="preserve"> </w:t>
      </w:r>
      <w:r>
        <w:t xml:space="preserve">low</w:t>
      </w:r>
      <w:r>
        <w:t xml:space="preserve"> </w:t>
      </w:r>
      <w:r>
        <w:t xml:space="preserve">n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b) technical measures linked to new legal obligations</w:t>
      </w:r>
      <w:r>
        <w:t xml:space="preserve"> </w:t>
      </w:r>
      <w:r>
        <w:t xml:space="preserve">(E.PO2, E.PO3)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Cost of set up (OF), but likely low and covered in ii</w:t>
      </w:r>
      <w:r>
        <w:t xml:space="preserve"> </w:t>
      </w:r>
      <w:r>
        <w:t xml:space="preserve">potential increae in cases</w:t>
      </w:r>
      <w:r>
        <w:t xml:space="preserve"> </w:t>
      </w:r>
      <w:r>
        <w:t xml:space="preserve">n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ii. Establishing an explicit mandate for Eurojust to</w:t>
      </w:r>
      <w:r>
        <w:t xml:space="preserve"> </w:t>
      </w:r>
      <w:r>
        <w:t xml:space="preserve">provide reinforced support in EPPO cases (JITs,</w:t>
      </w:r>
      <w:r>
        <w:t xml:space="preserve"> </w:t>
      </w:r>
      <w:r>
        <w:t xml:space="preserve">coordination meetings, Action Days)</w:t>
      </w:r>
      <w:r>
        <w:br/>
      </w:r>
      <w:r>
        <w:t xml:space="preserve">(E.PO2, E.PO3)</w:t>
      </w:r>
      <w:r>
        <w:t xml:space="preserve"> </w:t>
      </w:r>
      <w:r>
        <w:t xml:space="preserve">2.00</w:t>
      </w:r>
      <w:r>
        <w:t xml:space="preserve"> </w:t>
      </w:r>
      <w:r>
        <w:t xml:space="preserve">1.50</w:t>
      </w:r>
      <w:r>
        <w:t xml:space="preserve"> </w:t>
      </w:r>
      <w:r>
        <w:t xml:space="preserve">1.75</w:t>
      </w:r>
      <w:r>
        <w:t xml:space="preserve"> </w:t>
      </w:r>
      <w:r>
        <w:t xml:space="preserve">Depending on support provided and potential increase in</w:t>
      </w:r>
      <w:r>
        <w:t xml:space="preserve"> </w:t>
      </w:r>
      <w:r>
        <w:t xml:space="preserve">cases</w:t>
      </w:r>
      <w:r>
        <w:t xml:space="preserve"> </w:t>
      </w:r>
      <w:r>
        <w:t xml:space="preserve">1 FTE to support negotiations (OF)</w:t>
      </w:r>
      <w:r>
        <w:t xml:space="preserve"> </w:t>
      </w:r>
      <w:r>
        <w:t xml:space="preserve">0.5 FTE p.a for enhanced assistance/coordination</w:t>
      </w:r>
      <w:r>
        <w:t xml:space="preserve"> </w:t>
      </w:r>
      <w:r>
        <w:t xml:space="preserve">potential for identification of more complex links</w:t>
      </w:r>
      <w:r>
        <w:t xml:space="preserve"> </w:t>
      </w:r>
      <w:r>
        <w:t xml:space="preserve">n</w:t>
      </w:r>
      <w:r>
        <w:t xml:space="preserve"> </w:t>
      </w:r>
      <w:r>
        <w:t xml:space="preserve">1.50</w:t>
      </w:r>
      <w:r>
        <w:t xml:space="preserve"> </w:t>
      </w:r>
      <w:r>
        <w:t xml:space="preserve">2.00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iii. Granting participation in College meetings to</w:t>
      </w:r>
      <w:r>
        <w:t xml:space="preserve"> </w:t>
      </w:r>
      <w:r>
        <w:t xml:space="preserve">EPPO representatives (E.PO2, E.PO3)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low (travel costs)</w:t>
      </w:r>
      <w:r>
        <w:t xml:space="preserve"> </w:t>
      </w:r>
      <w:r>
        <w:t xml:space="preserve">unlikely to change given ECP is already able to join</w:t>
      </w:r>
      <w:r>
        <w:t xml:space="preserve"> </w:t>
      </w:r>
      <w:r>
        <w:t xml:space="preserve">(relevant) COL meetings</w:t>
      </w:r>
      <w:r>
        <w:t xml:space="preserve"> </w:t>
      </w:r>
      <w:r>
        <w:t xml:space="preserve">n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iv. Setting up a Eurojust-EPPO clearing-house</w:t>
      </w:r>
      <w:r>
        <w:t xml:space="preserve"> </w:t>
      </w:r>
      <w:r>
        <w:t xml:space="preserve">mechanism for case allocation (E.PO3)</w:t>
      </w:r>
      <w:r>
        <w:t xml:space="preserve"> </w:t>
      </w:r>
      <w:r>
        <w:t xml:space="preserve">1.50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depends on number of cases, but they are not expected to</w:t>
      </w:r>
      <w:r>
        <w:t xml:space="preserve"> </w:t>
      </w:r>
      <w:r>
        <w:t xml:space="preserve">be high. Limited costs to set up mechanism 0.5 FTE and</w:t>
      </w:r>
      <w:r>
        <w:t xml:space="preserve"> </w:t>
      </w:r>
      <w:r>
        <w:t xml:space="preserve">low maintenance costs (probably absorbed into wider ICT</w:t>
      </w:r>
      <w:r>
        <w:t xml:space="preserve"> </w:t>
      </w:r>
      <w:r>
        <w:t xml:space="preserve">maintenance)</w:t>
      </w:r>
      <w:r>
        <w:t xml:space="preserve"> </w:t>
      </w:r>
      <w:r>
        <w:t xml:space="preserve">Better coordination, better identification of cases. Positive</w:t>
      </w:r>
      <w:r>
        <w:t xml:space="preserve"> </w:t>
      </w:r>
      <w:r>
        <w:t xml:space="preserve">impact on fraud and crime cases, especially those linked to</w:t>
      </w:r>
      <w:r>
        <w:t xml:space="preserve"> </w:t>
      </w:r>
      <w:r>
        <w:t xml:space="preserve">PIF.</w:t>
      </w:r>
      <w:r>
        <w:t xml:space="preserve"> </w:t>
      </w:r>
      <w:r>
        <w:t xml:space="preserve">y</w:t>
      </w:r>
      <w:r>
        <w:t xml:space="preserve"> </w:t>
      </w:r>
      <w:r>
        <w:t xml:space="preserve">0.75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SO2+GO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(y/n)</w:t>
      </w:r>
      <w:r>
        <w:t xml:space="preserve"> </w:t>
      </w:r>
      <w:r>
        <w:t xml:space="preserve">Benefits (accompanying text identifies benefit to</w:t>
      </w:r>
      <w:r>
        <w:t xml:space="preserve"> </w:t>
      </w:r>
      <w:r>
        <w:t xml:space="preserve">Crime/citizens, MS, other)</w:t>
      </w:r>
      <w:r>
        <w:t xml:space="preserve"> </w:t>
      </w:r>
      <w:r>
        <w:t xml:space="preserve">text</w:t>
      </w:r>
      <w:r>
        <w:t xml:space="preserve"> </w:t>
      </w:r>
      <w:r>
        <w:t xml:space="preserve">Costs (accompanying text identifies cost to MS,</w:t>
      </w:r>
      <w:r>
        <w:t xml:space="preserve"> </w:t>
      </w:r>
      <w:r>
        <w:t xml:space="preserve">Com, other)</w:t>
      </w:r>
      <w:r>
        <w:t xml:space="preserve"> </w:t>
      </w:r>
      <w:r>
        <w:t xml:space="preserve">text (OF=one off cost, R= recurring)</w:t>
      </w:r>
      <w:r>
        <w:t xml:space="preserve"> </w:t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Efficiency</w:t>
      </w:r>
      <w:r>
        <w:t xml:space="preserve"> </w:t>
      </w:r>
      <w:r>
        <w:t xml:space="preserve">score</w:t>
      </w:r>
      <w:r>
        <w:t xml:space="preserve"> </w:t>
      </w: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 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Coherence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Specific objective 2: Achieve optimal</w:t>
      </w:r>
      <w:r>
        <w:t xml:space="preserve"> </w:t>
      </w:r>
      <w:r>
        <w:t xml:space="preserve">alignment and operational integration with EU</w:t>
      </w:r>
      <w:r>
        <w:t xml:space="preserve"> </w:t>
      </w:r>
      <w:r>
        <w:t xml:space="preserve">partners and Third countries</w:t>
      </w:r>
      <w:r>
        <w:t xml:space="preserve"> </w:t>
      </w:r>
      <w:r>
        <w:t xml:space="preserve">F. Consolidating cooperation with third</w:t>
      </w:r>
      <w:r>
        <w:t xml:space="preserve"> </w:t>
      </w:r>
      <w:r>
        <w:t xml:space="preserve">countries and international organisations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#10 Cumbersome process</w:t>
      </w:r>
      <w:r>
        <w:t xml:space="preserve"> </w:t>
      </w:r>
      <w:r>
        <w:t xml:space="preserve">for establishing relations with international</w:t>
      </w:r>
      <w:r>
        <w:t xml:space="preserve"> </w:t>
      </w:r>
      <w:r>
        <w:t xml:space="preserve">actors</w:t>
      </w:r>
      <w:r>
        <w:t xml:space="preserve"> </w:t>
      </w:r>
      <w:r>
        <w:t xml:space="preserve">i. Introducing cooperation conditionalities in</w:t>
      </w:r>
      <w:r>
        <w:t xml:space="preserve"> </w:t>
      </w:r>
      <w:r>
        <w:t xml:space="preserve">agreements with third countries with financial</w:t>
      </w:r>
      <w:r>
        <w:t xml:space="preserve"> </w:t>
      </w:r>
      <w:r>
        <w:t xml:space="preserve">implications – as a cross cutting non-legislative</w:t>
      </w:r>
      <w:r>
        <w:t xml:space="preserve"> </w:t>
      </w:r>
      <w:r>
        <w:t xml:space="preserve">measure (F.PO1, F.PO2, F.PO3)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Minor impact - depending on the financial envelope</w:t>
      </w:r>
      <w:r>
        <w:t xml:space="preserve"> </w:t>
      </w:r>
      <w:r>
        <w:t xml:space="preserve">available for conditionalities as it could lead to increased</w:t>
      </w:r>
      <w:r>
        <w:t xml:space="preserve"> </w:t>
      </w:r>
      <w:r>
        <w:t xml:space="preserve">number of projects with third countries</w:t>
      </w:r>
      <w:r>
        <w:t xml:space="preserve"> </w:t>
      </w:r>
      <w:r>
        <w:t xml:space="preserve">Expected minor impact as measure is not binding and</w:t>
      </w:r>
      <w:r>
        <w:t xml:space="preserve"> </w:t>
      </w:r>
      <w:r>
        <w:t xml:space="preserve">conditionalities might not be enough to enhance cooperation</w:t>
      </w:r>
      <w:r>
        <w:t xml:space="preserve"> </w:t>
      </w:r>
      <w:r>
        <w:t xml:space="preserve">if third countries are not willing</w:t>
      </w:r>
      <w:r>
        <w:t xml:space="preserve"> </w:t>
      </w:r>
      <w:r>
        <w:t xml:space="preserve">n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ii. Clarifying the legal framework governing the</w:t>
      </w:r>
      <w:r>
        <w:t xml:space="preserve"> </w:t>
      </w:r>
      <w:r>
        <w:t xml:space="preserve">figure of Liaison Magistrates (F.PO2, F.PO3)</w:t>
      </w:r>
      <w:r>
        <w:t xml:space="preserve"> </w:t>
      </w:r>
      <w:r>
        <w:t xml:space="preserve">2.00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Moderate cost; significant increases in operational work –</w:t>
      </w:r>
      <w:r>
        <w:t xml:space="preserve"> </w:t>
      </w:r>
      <w:r>
        <w:t xml:space="preserve">&gt; administration support (R) to the preparation and the</w:t>
      </w:r>
      <w:r>
        <w:t xml:space="preserve"> </w:t>
      </w:r>
      <w:r>
        <w:t xml:space="preserve">work of LMs (1 FTE per area/region covered); cost to</w:t>
      </w:r>
      <w:r>
        <w:t xml:space="preserve"> </w:t>
      </w:r>
      <w:r>
        <w:t xml:space="preserve">Eurojust (R) for the posting of LMs (€50k per LM and</w:t>
      </w:r>
      <w:r>
        <w:t xml:space="preserve"> </w:t>
      </w:r>
      <w:r>
        <w:t xml:space="preserve">location); cost (OF) to Eurojust for selecting</w:t>
      </w:r>
      <w:r>
        <w:t xml:space="preserve"> </w:t>
      </w:r>
      <w:r>
        <w:t xml:space="preserve">representative. Additional costs if LMs are members of</w:t>
      </w:r>
      <w:r>
        <w:t xml:space="preserve"> </w:t>
      </w:r>
      <w:r>
        <w:t xml:space="preserve">Eurojust (1 FTE per LM)</w:t>
      </w:r>
      <w:r>
        <w:t xml:space="preserve"> </w:t>
      </w:r>
      <w:r>
        <w:t xml:space="preserve">Expected moderate to great impact as LMs currently</w:t>
      </w:r>
      <w:r>
        <w:t xml:space="preserve"> </w:t>
      </w:r>
      <w:r>
        <w:t xml:space="preserve">underused. Improved information flow and exchanges with</w:t>
      </w:r>
      <w:r>
        <w:t xml:space="preserve"> </w:t>
      </w:r>
      <w:r>
        <w:t xml:space="preserve">third countries, both for national desks and (especially)</w:t>
      </w:r>
      <w:r>
        <w:t xml:space="preserve"> </w:t>
      </w:r>
      <w:r>
        <w:t xml:space="preserve">national prosecutors. Benefits may be greater for smaller</w:t>
      </w:r>
      <w:r>
        <w:t xml:space="preserve"> </w:t>
      </w:r>
      <w:r>
        <w:t xml:space="preserve">MS as larger ones may have LMs posted in some</w:t>
      </w:r>
      <w:r>
        <w:t xml:space="preserve"> </w:t>
      </w:r>
      <w:r>
        <w:t xml:space="preserve">countries.</w:t>
      </w:r>
      <w:r>
        <w:t xml:space="preserve"> </w:t>
      </w:r>
      <w:r>
        <w:t xml:space="preserve">n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iii. Institutionalising Resident Contact Points for</w:t>
      </w:r>
      <w:r>
        <w:t xml:space="preserve"> </w:t>
      </w:r>
      <w:r>
        <w:t xml:space="preserve">priority countries (F.PO2, F.PO3)</w:t>
      </w:r>
      <w:r>
        <w:t xml:space="preserve"> </w:t>
      </w:r>
      <w:r>
        <w:t xml:space="preserve">2.50</w:t>
      </w:r>
      <w:r>
        <w:t xml:space="preserve"> </w:t>
      </w:r>
      <w:r>
        <w:t xml:space="preserve">1.50</w:t>
      </w:r>
      <w:r>
        <w:t xml:space="preserve"> </w:t>
      </w:r>
      <w:r>
        <w:t xml:space="preserve">2.00</w:t>
      </w:r>
      <w:r>
        <w:t xml:space="preserve"> </w:t>
      </w:r>
      <w:r>
        <w:t xml:space="preserve">Moderate cost; significant increases in operational work –</w:t>
      </w:r>
      <w:r>
        <w:t xml:space="preserve"> </w:t>
      </w:r>
      <w:r>
        <w:t xml:space="preserve">&gt; administration support (OF) to the preparation and</w:t>
      </w:r>
      <w:r>
        <w:t xml:space="preserve"> </w:t>
      </w:r>
      <w:r>
        <w:t xml:space="preserve">negotiations (0.6 FTE per negotiation/country); cost to</w:t>
      </w:r>
      <w:r>
        <w:t xml:space="preserve"> </w:t>
      </w:r>
      <w:r>
        <w:t xml:space="preserve">Eurojust (R) for the use of services and premises (at least</w:t>
      </w:r>
      <w:r>
        <w:t xml:space="preserve"> </w:t>
      </w:r>
      <w:r>
        <w:t xml:space="preserve">€20k per CP) and some cost (R) for Eurojust related to</w:t>
      </w:r>
      <w:r>
        <w:t xml:space="preserve"> </w:t>
      </w:r>
      <w:r>
        <w:t xml:space="preserve">overall coordination and monitoring</w:t>
      </w:r>
      <w:r>
        <w:t xml:space="preserve"> </w:t>
      </w:r>
      <w:r>
        <w:t xml:space="preserve">Similar to LMs. RCPs expected moderate to great impact</w:t>
      </w:r>
      <w:r>
        <w:t xml:space="preserve"> </w:t>
      </w:r>
      <w:r>
        <w:t xml:space="preserve">for information flow and exchanges with third countries,</w:t>
      </w:r>
      <w:r>
        <w:t xml:space="preserve"> </w:t>
      </w:r>
      <w:r>
        <w:t xml:space="preserve">both for national desks and (especially) national</w:t>
      </w:r>
      <w:r>
        <w:t xml:space="preserve"> </w:t>
      </w:r>
      <w:r>
        <w:t xml:space="preserve">prosecutors.</w:t>
      </w:r>
      <w:r>
        <w:t xml:space="preserve"> </w:t>
      </w:r>
      <w:r>
        <w:t xml:space="preserve">n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iv. Granting participation in College meetings to</w:t>
      </w:r>
      <w:r>
        <w:t xml:space="preserve"> </w:t>
      </w:r>
      <w:r>
        <w:t xml:space="preserve">Liaison Prosecutors (F.PO2, F.PO3)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no/low cost</w:t>
      </w:r>
      <w:r>
        <w:t xml:space="preserve"> </w:t>
      </w:r>
      <w:r>
        <w:t xml:space="preserve">Further embed external dimension of EJ awareness by</w:t>
      </w:r>
      <w:r>
        <w:t xml:space="preserve"> </w:t>
      </w:r>
      <w:r>
        <w:t xml:space="preserve">ensureing operation and cooperation strategies reflect</w:t>
      </w:r>
      <w:r>
        <w:t xml:space="preserve"> </w:t>
      </w:r>
      <w:r>
        <w:t xml:space="preserve">needs and operational realities of third countries.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v. Entrusting Eurojust with an explicit capacity</w:t>
      </w:r>
      <w:r>
        <w:t xml:space="preserve"> </w:t>
      </w:r>
      <w:r>
        <w:t xml:space="preserve">building mandate in external action (F.PO3)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1 FTE for overall coordination of all Eurojust projects</w:t>
      </w:r>
      <w:r>
        <w:t xml:space="preserve"> </w:t>
      </w:r>
      <w:r>
        <w:t xml:space="preserve">0.5 FTEs for coordination and management of each</w:t>
      </w:r>
      <w:r>
        <w:t xml:space="preserve"> </w:t>
      </w:r>
      <w:r>
        <w:t xml:space="preserve">specific project</w:t>
      </w:r>
      <w:r>
        <w:t xml:space="preserve"> </w:t>
      </w:r>
      <w:r>
        <w:t xml:space="preserve">Potential savings for Eurojust in the coordination of projects</w:t>
      </w:r>
      <w:r>
        <w:t xml:space="preserve"> </w:t>
      </w:r>
      <w:r>
        <w:t xml:space="preserve">with third countries.</w:t>
      </w:r>
      <w:r>
        <w:t xml:space="preserve"> </w:t>
      </w:r>
      <w:r>
        <w:t xml:space="preserve">y (for internal</w:t>
      </w:r>
      <w:r>
        <w:t xml:space="preserve"> </w:t>
      </w:r>
      <w:r>
        <w:t xml:space="preserve">coordination of</w:t>
      </w:r>
      <w:r>
        <w:t xml:space="preserve"> </w:t>
      </w:r>
      <w:r>
        <w:t xml:space="preserve">projects)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0.75</w:t>
      </w:r>
      <w:r>
        <w:t xml:space="preserve"> </w:t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Efficiency</w:t>
      </w:r>
      <w:r>
        <w:t xml:space="preserve"> </w:t>
      </w:r>
      <w:r>
        <w:t xml:space="preserve">score</w:t>
      </w:r>
      <w:r>
        <w:t xml:space="preserve"> </w:t>
      </w: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 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SO2+GO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Costs (accompanying text identifies cost to MS,</w:t>
      </w:r>
      <w:r>
        <w:t xml:space="preserve"> </w:t>
      </w:r>
      <w:r>
        <w:t xml:space="preserve">Com, other)</w:t>
      </w:r>
      <w:r>
        <w:t xml:space="preserve"> </w:t>
      </w:r>
      <w:r>
        <w:t xml:space="preserve">text (OF=one off cost, R= recurring)</w:t>
      </w:r>
      <w:r>
        <w:t xml:space="preserve"> </w:t>
      </w:r>
      <w:r>
        <w:t xml:space="preserve">Benefits (accompanying text identifies benefit to</w:t>
      </w:r>
      <w:r>
        <w:t xml:space="preserve"> </w:t>
      </w:r>
      <w:r>
        <w:t xml:space="preserve">Crime/citizens, MS, other)</w:t>
      </w:r>
      <w:r>
        <w:t xml:space="preserve"> </w:t>
      </w:r>
      <w:r>
        <w:t xml:space="preserve">text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(y/n)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3.4.</w:t>
      </w:r>
      <w:r>
        <w:t xml:space="preserve"> </w:t>
      </w:r>
      <w:r>
        <w:t xml:space="preserve">Aggregated scores per option</w:t>
      </w:r>
      <w:r>
        <w:t xml:space="preserve"> </w:t>
      </w:r>
      <w:r>
        <w:t xml:space="preserve">A. Extending the scope of material</w:t>
      </w:r>
      <w:r>
        <w:t xml:space="preserve"> </w:t>
      </w:r>
      <w:r>
        <w:t xml:space="preserve">competences to face the new judicial</w:t>
      </w:r>
      <w:r>
        <w:t xml:space="preserve"> </w:t>
      </w:r>
      <w:r>
        <w:t xml:space="preserve">landscape</w:t>
      </w:r>
      <w:r>
        <w:t xml:space="preserve"> </w:t>
      </w:r>
      <w:r>
        <w:t xml:space="preserve">Efficiency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1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3</w:t>
      </w:r>
      <w:r>
        <w:t xml:space="preserve"> </w:t>
      </w:r>
      <w:r>
        <w:t xml:space="preserve">Addresses problem driver(s):</w:t>
      </w:r>
      <w:r>
        <w:t xml:space="preserve"> </w:t>
      </w:r>
      <w:r>
        <w:t xml:space="preserve">#2</w:t>
      </w:r>
      <w:r>
        <w:t xml:space="preserve"> </w:t>
      </w:r>
      <w:r>
        <w:t xml:space="preserve">Insufficient</w:t>
      </w:r>
      <w:r>
        <w:t xml:space="preserve"> </w:t>
      </w:r>
      <w:r>
        <w:t xml:space="preserve">competences</w:t>
      </w:r>
      <w:r>
        <w:t xml:space="preserve"> </w:t>
      </w:r>
      <w:r>
        <w:t xml:space="preserve">and</w:t>
      </w:r>
      <w:r>
        <w:t xml:space="preserve"> </w:t>
      </w:r>
      <w:r>
        <w:t xml:space="preserve">associated toolset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SO1+GO</w:t>
      </w:r>
      <w:r>
        <w:t xml:space="preserve"> </w:t>
      </w: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</w:t>
      </w:r>
      <w:r>
        <w:t xml:space="preserve"> </w:t>
      </w:r>
      <w:r>
        <w:t xml:space="preserve">0.33</w:t>
      </w:r>
      <w:r>
        <w:t xml:space="preserve"> </w:t>
      </w:r>
      <w:r>
        <w:t xml:space="preserve">Efficiency = 0.33</w:t>
      </w:r>
      <w:r>
        <w:t xml:space="preserve"> </w:t>
      </w:r>
      <w:r>
        <w:t xml:space="preserve">Coherence = 0.33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Effectiveness = 0.4</w:t>
      </w:r>
      <w:r>
        <w:t xml:space="preserve"> </w:t>
      </w:r>
      <w:r>
        <w:t xml:space="preserve">Efficiency = 0.4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A.PO1 (i.a, ii.a, iii.a)</w:t>
      </w:r>
      <w:r>
        <w:t xml:space="preserve"> </w:t>
      </w:r>
      <w:r>
        <w:t xml:space="preserve">0.50 0.17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0.50</w:t>
      </w:r>
      <w:r>
        <w:t xml:space="preserve"> </w:t>
      </w:r>
      <w:r>
        <w:t xml:space="preserve">0.67</w:t>
      </w:r>
      <w:r>
        <w:t xml:space="preserve"> </w:t>
      </w:r>
      <w:r>
        <w:t xml:space="preserve">0.58</w:t>
      </w:r>
      <w:r>
        <w:t xml:space="preserve"> </w:t>
      </w:r>
      <w:r>
        <w:t xml:space="preserve">0.42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A.PO2 (i.b, ii.b, iii.b, iv)</w:t>
      </w:r>
      <w:r>
        <w:t xml:space="preserve"> </w:t>
      </w:r>
      <w:r>
        <w:t xml:space="preserve">1.25 0.75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1.00</w:t>
      </w:r>
      <w:r>
        <w:t xml:space="preserve"> </w:t>
      </w:r>
      <w:r>
        <w:t xml:space="preserve">1.13</w:t>
      </w:r>
      <w:r>
        <w:t xml:space="preserve"> </w:t>
      </w:r>
      <w:r>
        <w:t xml:space="preserve">1.06</w:t>
      </w:r>
      <w:r>
        <w:t xml:space="preserve"> </w:t>
      </w:r>
      <w:r>
        <w:t xml:space="preserve">1.10</w:t>
      </w:r>
      <w:r>
        <w:t xml:space="preserve"> </w:t>
      </w:r>
      <w:r>
        <w:t xml:space="preserve">1.09</w:t>
      </w:r>
      <w:r>
        <w:t xml:space="preserve"> </w:t>
      </w:r>
      <w:r>
        <w:t xml:space="preserve">1.11</w:t>
      </w:r>
      <w:r>
        <w:t xml:space="preserve"> </w:t>
      </w:r>
      <w:r>
        <w:t xml:space="preserve">A.PO3 (i.b, ii.b, iii.b, iv, v)</w:t>
      </w:r>
      <w:r>
        <w:t xml:space="preserve"> </w:t>
      </w:r>
      <w:r>
        <w:t xml:space="preserve">1.20 0.80</w:t>
      </w:r>
      <w:r>
        <w:t xml:space="preserve"> </w:t>
      </w:r>
      <w:r>
        <w:t xml:space="preserve">1.00</w:t>
      </w:r>
      <w:r>
        <w:t xml:space="preserve"> </w:t>
      </w:r>
      <w:r>
        <w:t xml:space="preserve">1.60</w:t>
      </w:r>
      <w:r>
        <w:t xml:space="preserve"> </w:t>
      </w:r>
      <w:r>
        <w:t xml:space="preserve">1.00</w:t>
      </w:r>
      <w:r>
        <w:t xml:space="preserve"> </w:t>
      </w:r>
      <w:r>
        <w:t xml:space="preserve">1.30</w:t>
      </w:r>
      <w:r>
        <w:t xml:space="preserve"> </w:t>
      </w:r>
      <w:r>
        <w:t xml:space="preserve">1.15</w:t>
      </w:r>
      <w:r>
        <w:t xml:space="preserve"> </w:t>
      </w:r>
      <w:r>
        <w:t xml:space="preserve">1.25</w:t>
      </w:r>
      <w:r>
        <w:t xml:space="preserve"> </w:t>
      </w:r>
      <w:r>
        <w:t xml:space="preserve">1.21</w:t>
      </w:r>
      <w:r>
        <w:t xml:space="preserve"> </w:t>
      </w:r>
      <w:r>
        <w:t xml:space="preserve">1.27</w:t>
      </w:r>
      <w:r>
        <w:t xml:space="preserve"> </w:t>
      </w:r>
      <w:r>
        <w:t xml:space="preserve">B. Harmonizing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 of the EJR, including</w:t>
      </w:r>
      <w:r>
        <w:t xml:space="preserve"> </w:t>
      </w:r>
      <w:r>
        <w:t xml:space="preserve">on allocation of cases</w:t>
      </w:r>
      <w:r>
        <w:t xml:space="preserve"> </w:t>
      </w:r>
      <w:r>
        <w:t xml:space="preserve">Efficiency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1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3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#1</w:t>
      </w:r>
      <w:r>
        <w:t xml:space="preserve"> </w:t>
      </w:r>
      <w:r>
        <w:t xml:space="preserve">Inadequate</w:t>
      </w:r>
      <w:r>
        <w:t xml:space="preserve"> </w:t>
      </w:r>
      <w:r>
        <w:t xml:space="preserve">model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and</w:t>
      </w:r>
      <w:r>
        <w:t xml:space="preserve"> </w:t>
      </w:r>
      <w:r>
        <w:t xml:space="preserve">prioritise cases;</w:t>
      </w:r>
      <w:r>
        <w:t xml:space="preserve"> </w:t>
      </w:r>
      <w:r>
        <w:t xml:space="preserve">#3 Divergent Member State engagement</w:t>
      </w:r>
      <w:r>
        <w:t xml:space="preserve"> </w:t>
      </w:r>
      <w:r>
        <w:t xml:space="preserve">and implementation of the EJR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SO1+GO</w:t>
      </w:r>
      <w:r>
        <w:t xml:space="preserve"> </w:t>
      </w: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</w:t>
      </w:r>
      <w:r>
        <w:t xml:space="preserve"> </w:t>
      </w:r>
      <w:r>
        <w:t xml:space="preserve">0.33</w:t>
      </w:r>
      <w:r>
        <w:t xml:space="preserve"> </w:t>
      </w:r>
      <w:r>
        <w:t xml:space="preserve">Efficiency = 0.33</w:t>
      </w:r>
      <w:r>
        <w:t xml:space="preserve"> </w:t>
      </w:r>
      <w:r>
        <w:t xml:space="preserve">Coherence = 0.33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B.PO1 (i.a, ii.a)</w:t>
      </w:r>
      <w:r>
        <w:t xml:space="preserve"> </w:t>
      </w:r>
      <w:r>
        <w:t xml:space="preserve">0.25 0.25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0.50</w:t>
      </w:r>
      <w:r>
        <w:t xml:space="preserve"> </w:t>
      </w:r>
      <w:r>
        <w:t xml:space="preserve">0.25</w:t>
      </w:r>
      <w:r>
        <w:t xml:space="preserve"> </w:t>
      </w:r>
      <w:r>
        <w:t xml:space="preserve">0.38</w:t>
      </w:r>
      <w:r>
        <w:t xml:space="preserve"> </w:t>
      </w:r>
      <w:r>
        <w:t xml:space="preserve">0.29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B.PO2 (i.b, ii.b, iii)</w:t>
      </w:r>
      <w:r>
        <w:t xml:space="preserve"> </w:t>
      </w:r>
      <w:r>
        <w:t xml:space="preserve">1.00 0.67</w:t>
      </w:r>
      <w:r>
        <w:t xml:space="preserve"> </w:t>
      </w:r>
      <w:r>
        <w:t xml:space="preserve">0.83</w:t>
      </w:r>
      <w:r>
        <w:t xml:space="preserve"> </w:t>
      </w:r>
      <w:r>
        <w:t xml:space="preserve">1.17</w:t>
      </w:r>
      <w:r>
        <w:t xml:space="preserve"> </w:t>
      </w:r>
      <w:r>
        <w:t xml:space="preserve">1.67</w:t>
      </w:r>
      <w:r>
        <w:t xml:space="preserve"> </w:t>
      </w:r>
      <w:r>
        <w:t xml:space="preserve">0.83</w:t>
      </w:r>
      <w:r>
        <w:t xml:space="preserve"> </w:t>
      </w:r>
      <w:r>
        <w:t xml:space="preserve">1.25</w:t>
      </w:r>
      <w:r>
        <w:t xml:space="preserve"> </w:t>
      </w:r>
      <w:r>
        <w:t xml:space="preserve">1.08</w:t>
      </w:r>
      <w:r>
        <w:t xml:space="preserve"> </w:t>
      </w:r>
      <w:r>
        <w:t xml:space="preserve">1.02</w:t>
      </w:r>
      <w:r>
        <w:t xml:space="preserve"> </w:t>
      </w:r>
      <w:r>
        <w:t xml:space="preserve">1.05</w:t>
      </w:r>
      <w:r>
        <w:t xml:space="preserve"> </w:t>
      </w:r>
      <w:r>
        <w:t xml:space="preserve">B.PO3 (i.b, ii.b, iii, iv)</w:t>
      </w:r>
      <w:r>
        <w:t xml:space="preserve"> </w:t>
      </w:r>
      <w:r>
        <w:t xml:space="preserve">1.13 0.88</w:t>
      </w:r>
      <w:r>
        <w:t xml:space="preserve"> </w:t>
      </w:r>
      <w:r>
        <w:t xml:space="preserve">1.00</w:t>
      </w:r>
      <w:r>
        <w:t xml:space="preserve"> </w:t>
      </w:r>
      <w:r>
        <w:t xml:space="preserve">1.38</w:t>
      </w:r>
      <w:r>
        <w:t xml:space="preserve"> </w:t>
      </w:r>
      <w:r>
        <w:t xml:space="preserve">1.63</w:t>
      </w:r>
      <w:r>
        <w:t xml:space="preserve"> </w:t>
      </w:r>
      <w:r>
        <w:t xml:space="preserve">0.88</w:t>
      </w:r>
      <w:r>
        <w:t xml:space="preserve"> </w:t>
      </w:r>
      <w:r>
        <w:t xml:space="preserve">1.25</w:t>
      </w:r>
      <w:r>
        <w:t xml:space="preserve"> </w:t>
      </w:r>
      <w:r>
        <w:t xml:space="preserve">1.21</w:t>
      </w:r>
      <w:r>
        <w:t xml:space="preserve"> </w:t>
      </w:r>
      <w:r>
        <w:t xml:space="preserve">1.16</w:t>
      </w:r>
      <w:r>
        <w:t xml:space="preserve"> </w:t>
      </w:r>
      <w:r>
        <w:t xml:space="preserve">1.20</w:t>
      </w:r>
      <w:r>
        <w:t xml:space="preserve"> </w:t>
      </w:r>
      <w:r>
        <w:t xml:space="preserve">C. Establishing a</w:t>
      </w:r>
      <w:r>
        <w:t xml:space="preserve"> </w:t>
      </w:r>
      <w:r>
        <w:t xml:space="preserve">streamlined, coherent and role-clear</w:t>
      </w:r>
      <w:r>
        <w:t xml:space="preserve"> </w:t>
      </w:r>
      <w:r>
        <w:t xml:space="preserve">governance system that accelerates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Efficiency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1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3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#4 Lack</w:t>
      </w:r>
      <w:r>
        <w:t xml:space="preserve"> </w:t>
      </w:r>
      <w:r>
        <w:t xml:space="preserve">of</w:t>
      </w:r>
      <w:r>
        <w:t xml:space="preserve"> </w:t>
      </w:r>
      <w:r>
        <w:t xml:space="preserve">clear</w:t>
      </w:r>
      <w:r>
        <w:t xml:space="preserve"> </w:t>
      </w:r>
      <w:r>
        <w:t xml:space="preserve">separation</w:t>
      </w:r>
      <w:r>
        <w:t xml:space="preserve"> </w:t>
      </w:r>
      <w:r>
        <w:t xml:space="preserve">between</w:t>
      </w:r>
      <w:r>
        <w:t xml:space="preserve"> </w:t>
      </w:r>
      <w:r>
        <w:t xml:space="preserve">operational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#5</w:t>
      </w:r>
      <w:r>
        <w:t xml:space="preserve"> </w:t>
      </w:r>
      <w:r>
        <w:t xml:space="preserve">Complex</w:t>
      </w:r>
      <w:r>
        <w:t xml:space="preserve"> </w:t>
      </w:r>
      <w:r>
        <w:t xml:space="preserve">governance</w:t>
      </w:r>
      <w:r>
        <w:t xml:space="preserve"> </w:t>
      </w:r>
      <w:r>
        <w:t xml:space="preserve">structure</w:t>
      </w:r>
      <w:r>
        <w:t xml:space="preserve"> </w:t>
      </w:r>
      <w:r>
        <w:t xml:space="preserve">and outdated legacy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culture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SO1+GO</w:t>
      </w:r>
      <w:r>
        <w:t xml:space="preserve"> </w:t>
      </w: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</w:t>
      </w:r>
      <w:r>
        <w:t xml:space="preserve"> </w:t>
      </w:r>
      <w:r>
        <w:t xml:space="preserve">0.33</w:t>
      </w:r>
      <w:r>
        <w:t xml:space="preserve"> </w:t>
      </w:r>
      <w:r>
        <w:t xml:space="preserve">Efficiency = 0.33</w:t>
      </w:r>
      <w:r>
        <w:t xml:space="preserve"> </w:t>
      </w:r>
      <w:r>
        <w:t xml:space="preserve">Coherence = 0.33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C.PO1 (i)</w:t>
      </w:r>
      <w:r>
        <w:t xml:space="preserve"> </w:t>
      </w:r>
      <w:r>
        <w:t xml:space="preserve">0.50 0.50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C.PO2 (i and ii)</w:t>
      </w:r>
      <w:r>
        <w:t xml:space="preserve"> </w:t>
      </w:r>
      <w:r>
        <w:t xml:space="preserve">1.50 1.00</w:t>
      </w:r>
      <w:r>
        <w:t xml:space="preserve"> </w:t>
      </w:r>
      <w:r>
        <w:t xml:space="preserve">1.25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1.08</w:t>
      </w:r>
      <w:r>
        <w:t xml:space="preserve"> </w:t>
      </w:r>
      <w:r>
        <w:t xml:space="preserve">1.13</w:t>
      </w:r>
      <w:r>
        <w:t xml:space="preserve"> </w:t>
      </w:r>
      <w:r>
        <w:t xml:space="preserve">1.10</w:t>
      </w:r>
      <w:r>
        <w:t xml:space="preserve"> </w:t>
      </w:r>
      <w:r>
        <w:t xml:space="preserve">C.PO3 (i, ii and iii)</w:t>
      </w:r>
      <w:r>
        <w:t xml:space="preserve"> </w:t>
      </w:r>
      <w:r>
        <w:t xml:space="preserve">3.00 2.50</w:t>
      </w:r>
      <w:r>
        <w:t xml:space="preserve"> </w:t>
      </w:r>
      <w:r>
        <w:t xml:space="preserve">2.75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2.42</w:t>
      </w:r>
      <w:r>
        <w:t xml:space="preserve"> </w:t>
      </w:r>
      <w:r>
        <w:t xml:space="preserve">2.53</w:t>
      </w:r>
      <w:r>
        <w:t xml:space="preserve"> </w:t>
      </w:r>
      <w:r>
        <w:t xml:space="preserve">2.50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Coherence</w:t>
      </w:r>
      <w:r>
        <w:t xml:space="preserve"> </w:t>
      </w:r>
      <w:r>
        <w:t xml:space="preserve">Coherence</w:t>
      </w:r>
      <w:r>
        <w:t xml:space="preserve"> </w:t>
      </w:r>
      <w:r>
        <w:t xml:space="preserve">Coherence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D. Fostering and strengthening</w:t>
      </w:r>
      <w:r>
        <w:t xml:space="preserve"> </w:t>
      </w:r>
      <w:r>
        <w:t xml:space="preserve">structured operational cooperation</w:t>
      </w:r>
      <w:r>
        <w:t xml:space="preserve"> </w:t>
      </w:r>
      <w:r>
        <w:t xml:space="preserve">with Europol</w:t>
      </w:r>
      <w:r>
        <w:t xml:space="preserve"> </w:t>
      </w:r>
      <w:r>
        <w:t xml:space="preserve">Efficiency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1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3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#8 Absence of a structurally embedded</w:t>
      </w:r>
      <w:r>
        <w:t xml:space="preserve"> </w:t>
      </w:r>
      <w:r>
        <w:t xml:space="preserve">cooperation with Europol</w:t>
      </w:r>
      <w:r>
        <w:t xml:space="preserve"> </w:t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SO2+GO</w:t>
      </w:r>
      <w:r>
        <w:t xml:space="preserve"> </w:t>
      </w: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</w:t>
      </w:r>
      <w:r>
        <w:t xml:space="preserve"> </w:t>
      </w:r>
      <w:r>
        <w:t xml:space="preserve">0.33</w:t>
      </w:r>
      <w:r>
        <w:t xml:space="preserve"> </w:t>
      </w:r>
      <w:r>
        <w:t xml:space="preserve">Efficiency = 0.33</w:t>
      </w:r>
      <w:r>
        <w:t xml:space="preserve"> </w:t>
      </w:r>
      <w:r>
        <w:t xml:space="preserve">Coherence = 0.33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D.PO1 (i.a, ii.a)</w:t>
      </w:r>
      <w:r>
        <w:t xml:space="preserve"> </w:t>
      </w:r>
      <w:r>
        <w:t xml:space="preserve">0.50 0.00</w:t>
      </w:r>
      <w:r>
        <w:t xml:space="preserve"> </w:t>
      </w:r>
      <w:r>
        <w:t xml:space="preserve">0.25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0.75</w:t>
      </w:r>
      <w:r>
        <w:t xml:space="preserve"> </w:t>
      </w:r>
      <w:r>
        <w:t xml:space="preserve">0.75</w:t>
      </w:r>
      <w:r>
        <w:t xml:space="preserve"> </w:t>
      </w:r>
      <w:r>
        <w:t xml:space="preserve">0.50</w:t>
      </w:r>
      <w:r>
        <w:t xml:space="preserve"> </w:t>
      </w:r>
      <w:r>
        <w:t xml:space="preserve">0.43</w:t>
      </w:r>
      <w:r>
        <w:t xml:space="preserve"> </w:t>
      </w:r>
      <w:r>
        <w:t xml:space="preserve">0.45</w:t>
      </w:r>
      <w:r>
        <w:t xml:space="preserve"> </w:t>
      </w:r>
      <w:r>
        <w:t xml:space="preserve">D.PO2 (i.b, ii.b, iii, iv)</w:t>
      </w:r>
      <w:r>
        <w:t xml:space="preserve"> </w:t>
      </w:r>
      <w:r>
        <w:t xml:space="preserve">1.13 0.88</w:t>
      </w:r>
      <w:r>
        <w:t xml:space="preserve"> </w:t>
      </w:r>
      <w:r>
        <w:t xml:space="preserve">1.00</w:t>
      </w:r>
      <w:r>
        <w:t xml:space="preserve"> </w:t>
      </w:r>
      <w:r>
        <w:t xml:space="preserve">1.38</w:t>
      </w:r>
      <w:r>
        <w:t xml:space="preserve"> </w:t>
      </w:r>
      <w:r>
        <w:t xml:space="preserve">1.25</w:t>
      </w:r>
      <w:r>
        <w:t xml:space="preserve"> </w:t>
      </w:r>
      <w:r>
        <w:t xml:space="preserve">1.88</w:t>
      </w:r>
      <w:r>
        <w:t xml:space="preserve"> </w:t>
      </w:r>
      <w:r>
        <w:t xml:space="preserve">1.56</w:t>
      </w:r>
      <w:r>
        <w:t xml:space="preserve"> </w:t>
      </w:r>
      <w:r>
        <w:t xml:space="preserve">1.31</w:t>
      </w:r>
      <w:r>
        <w:t xml:space="preserve"> </w:t>
      </w:r>
      <w:r>
        <w:t xml:space="preserve">1.23</w:t>
      </w:r>
      <w:r>
        <w:t xml:space="preserve"> </w:t>
      </w:r>
      <w:r>
        <w:t xml:space="preserve">1.26</w:t>
      </w:r>
      <w:r>
        <w:t xml:space="preserve"> </w:t>
      </w:r>
      <w:r>
        <w:t xml:space="preserve">D.PO3 (i.b, ii.b, iii, iv, v)</w:t>
      </w:r>
      <w:r>
        <w:t xml:space="preserve"> </w:t>
      </w:r>
      <w:r>
        <w:t xml:space="preserve">1.50 1.30</w:t>
      </w:r>
      <w:r>
        <w:t xml:space="preserve"> </w:t>
      </w:r>
      <w:r>
        <w:t xml:space="preserve">1.40</w:t>
      </w:r>
      <w:r>
        <w:t xml:space="preserve"> </w:t>
      </w:r>
      <w:r>
        <w:t xml:space="preserve">1.50</w:t>
      </w:r>
      <w:r>
        <w:t xml:space="preserve"> </w:t>
      </w:r>
      <w:r>
        <w:t xml:space="preserve">1.40</w:t>
      </w:r>
      <w:r>
        <w:t xml:space="preserve"> </w:t>
      </w:r>
      <w:r>
        <w:t xml:space="preserve">1.90</w:t>
      </w:r>
      <w:r>
        <w:t xml:space="preserve"> </w:t>
      </w:r>
      <w:r>
        <w:t xml:space="preserve">1.65</w:t>
      </w:r>
      <w:r>
        <w:t xml:space="preserve"> </w:t>
      </w:r>
      <w:r>
        <w:t xml:space="preserve">1.52</w:t>
      </w:r>
      <w:r>
        <w:t xml:space="preserve"> </w:t>
      </w:r>
      <w:r>
        <w:t xml:space="preserve">1.48</w:t>
      </w:r>
      <w:r>
        <w:t xml:space="preserve"> </w:t>
      </w:r>
      <w:r>
        <w:t xml:space="preserve">1.49</w:t>
      </w:r>
      <w:r>
        <w:t xml:space="preserve"> </w:t>
      </w:r>
      <w:r>
        <w:t xml:space="preserve">E. Promoting fully developed</w:t>
      </w:r>
      <w:r>
        <w:t xml:space="preserve"> </w:t>
      </w:r>
      <w:r>
        <w:t xml:space="preserve">cooperation with the EPPO</w:t>
      </w:r>
      <w:r>
        <w:t xml:space="preserve"> </w:t>
      </w:r>
      <w:r>
        <w:t xml:space="preserve">Efficiency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1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3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#9</w:t>
      </w:r>
      <w:r>
        <w:t xml:space="preserve"> </w:t>
      </w:r>
      <w:r>
        <w:t xml:space="preserve">Constrained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 the</w:t>
      </w:r>
      <w:r>
        <w:t xml:space="preserve"> </w:t>
      </w:r>
      <w:r>
        <w:t xml:space="preserve">EPPO</w:t>
      </w:r>
      <w:r>
        <w:t xml:space="preserve"> </w:t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SO2+GO</w:t>
      </w:r>
      <w:r>
        <w:t xml:space="preserve"> </w:t>
      </w: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</w:t>
      </w:r>
      <w:r>
        <w:t xml:space="preserve"> </w:t>
      </w:r>
      <w:r>
        <w:t xml:space="preserve">0.33</w:t>
      </w:r>
      <w:r>
        <w:t xml:space="preserve"> </w:t>
      </w:r>
      <w:r>
        <w:t xml:space="preserve">Efficiency = 0.33</w:t>
      </w:r>
      <w:r>
        <w:t xml:space="preserve"> </w:t>
      </w:r>
      <w:r>
        <w:t xml:space="preserve">Coherence = 0.33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E.PO1 (i.a)</w:t>
      </w:r>
      <w:r>
        <w:t xml:space="preserve"> </w:t>
      </w:r>
      <w:r>
        <w:t xml:space="preserve">0.50 0.00</w:t>
      </w:r>
      <w:r>
        <w:t xml:space="preserve"> </w:t>
      </w:r>
      <w:r>
        <w:t xml:space="preserve">0.25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0.58</w:t>
      </w:r>
      <w:r>
        <w:t xml:space="preserve"> </w:t>
      </w:r>
      <w:r>
        <w:t xml:space="preserve">0.50</w:t>
      </w:r>
      <w:r>
        <w:t xml:space="preserve"> </w:t>
      </w:r>
      <w:r>
        <w:t xml:space="preserve">0.55</w:t>
      </w:r>
      <w:r>
        <w:t xml:space="preserve"> </w:t>
      </w:r>
      <w:r>
        <w:t xml:space="preserve">E.PO2 (i.b, ii, iii)</w:t>
      </w:r>
      <w:r>
        <w:t xml:space="preserve"> </w:t>
      </w:r>
      <w:r>
        <w:t xml:space="preserve">1.33 0.83</w:t>
      </w:r>
      <w:r>
        <w:t xml:space="preserve"> </w:t>
      </w:r>
      <w:r>
        <w:t xml:space="preserve">1.08</w:t>
      </w:r>
      <w:r>
        <w:t xml:space="preserve"> </w:t>
      </w:r>
      <w:r>
        <w:t xml:space="preserve">1.50</w:t>
      </w:r>
      <w:r>
        <w:t xml:space="preserve"> </w:t>
      </w:r>
      <w:r>
        <w:t xml:space="preserve">1.67</w:t>
      </w:r>
      <w:r>
        <w:t xml:space="preserve"> </w:t>
      </w:r>
      <w:r>
        <w:t xml:space="preserve">1.00</w:t>
      </w:r>
      <w:r>
        <w:t xml:space="preserve"> </w:t>
      </w:r>
      <w:r>
        <w:t xml:space="preserve">1.33</w:t>
      </w:r>
      <w:r>
        <w:t xml:space="preserve"> </w:t>
      </w:r>
      <w:r>
        <w:t xml:space="preserve">1.31</w:t>
      </w:r>
      <w:r>
        <w:t xml:space="preserve"> </w:t>
      </w:r>
      <w:r>
        <w:t xml:space="preserve">1.26</w:t>
      </w:r>
      <w:r>
        <w:t xml:space="preserve"> </w:t>
      </w:r>
      <w:r>
        <w:t xml:space="preserve">1.30</w:t>
      </w:r>
      <w:r>
        <w:t xml:space="preserve"> </w:t>
      </w:r>
      <w:r>
        <w:t xml:space="preserve">E.PO3 (i.b, ii, iii, iv)</w:t>
      </w:r>
      <w:r>
        <w:t xml:space="preserve"> </w:t>
      </w:r>
      <w:r>
        <w:t xml:space="preserve">1.38 0.75</w:t>
      </w:r>
      <w:r>
        <w:t xml:space="preserve"> </w:t>
      </w:r>
      <w:r>
        <w:t xml:space="preserve">1.06</w:t>
      </w:r>
      <w:r>
        <w:t xml:space="preserve"> </w:t>
      </w:r>
      <w:r>
        <w:t xml:space="preserve">1.31</w:t>
      </w:r>
      <w:r>
        <w:t xml:space="preserve"> </w:t>
      </w:r>
      <w:r>
        <w:t xml:space="preserve">1.63</w:t>
      </w:r>
      <w:r>
        <w:t xml:space="preserve"> </w:t>
      </w:r>
      <w:r>
        <w:t xml:space="preserve">1.00</w:t>
      </w:r>
      <w:r>
        <w:t xml:space="preserve"> </w:t>
      </w:r>
      <w:r>
        <w:t xml:space="preserve">1.31</w:t>
      </w:r>
      <w:r>
        <w:t xml:space="preserve"> </w:t>
      </w:r>
      <w:r>
        <w:t xml:space="preserve">1.23</w:t>
      </w:r>
      <w:r>
        <w:t xml:space="preserve"> </w:t>
      </w:r>
      <w:r>
        <w:t xml:space="preserve">1.19</w:t>
      </w:r>
      <w:r>
        <w:t xml:space="preserve"> </w:t>
      </w:r>
      <w:r>
        <w:t xml:space="preserve">1.21</w:t>
      </w:r>
      <w:r>
        <w:t xml:space="preserve"> </w:t>
      </w:r>
      <w:r>
        <w:t xml:space="preserve">F. Consolidating cooperation with</w:t>
      </w:r>
      <w:r>
        <w:t xml:space="preserve"> </w:t>
      </w:r>
      <w:r>
        <w:t xml:space="preserve">third countries and international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Efficiency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1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3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#10</w:t>
      </w:r>
      <w:r>
        <w:t xml:space="preserve"> </w:t>
      </w:r>
      <w:r>
        <w:t xml:space="preserve">Cumbersome</w:t>
      </w:r>
      <w:r>
        <w:t xml:space="preserve"> </w:t>
      </w:r>
      <w:r>
        <w:t xml:space="preserve">process</w:t>
      </w:r>
      <w:r>
        <w:t xml:space="preserve"> </w:t>
      </w:r>
      <w:r>
        <w:t xml:space="preserve">for establishing relations</w:t>
      </w:r>
      <w:r>
        <w:t xml:space="preserve"> </w:t>
      </w:r>
      <w:r>
        <w:t xml:space="preserve">with</w:t>
      </w:r>
      <w:r>
        <w:t xml:space="preserve"> </w:t>
      </w:r>
      <w:r>
        <w:t xml:space="preserve">international actors</w:t>
      </w:r>
      <w:r>
        <w:t xml:space="preserve"> </w:t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SO2+GO</w:t>
      </w:r>
      <w:r>
        <w:t xml:space="preserve"> </w:t>
      </w: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t xml:space="preserve"> </w:t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</w:t>
      </w:r>
      <w:r>
        <w:t xml:space="preserve"> </w:t>
      </w:r>
      <w:r>
        <w:t xml:space="preserve">0.33</w:t>
      </w:r>
      <w:r>
        <w:t xml:space="preserve"> </w:t>
      </w:r>
      <w:r>
        <w:t xml:space="preserve">Efficiency = 0.33</w:t>
      </w:r>
      <w:r>
        <w:t xml:space="preserve"> </w:t>
      </w:r>
      <w:r>
        <w:t xml:space="preserve">Coherence = 0.33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F.PO1 (i)</w:t>
      </w:r>
      <w:r>
        <w:t xml:space="preserve"> </w:t>
      </w:r>
      <w:r>
        <w:t xml:space="preserve">0.50 0.50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F.PO2 (i, ii, iii, iv)</w:t>
      </w:r>
      <w:r>
        <w:t xml:space="preserve"> </w:t>
      </w:r>
      <w:r>
        <w:t xml:space="preserve">1.50 0.88</w:t>
      </w:r>
      <w:r>
        <w:t xml:space="preserve"> </w:t>
      </w:r>
      <w:r>
        <w:t xml:space="preserve">1.19</w:t>
      </w:r>
      <w:r>
        <w:t xml:space="preserve"> </w:t>
      </w:r>
      <w:r>
        <w:t xml:space="preserve">0.88</w:t>
      </w:r>
      <w:r>
        <w:t xml:space="preserve"> </w:t>
      </w:r>
      <w:r>
        <w:t xml:space="preserve">0.63</w:t>
      </w:r>
      <w:r>
        <w:t xml:space="preserve"> </w:t>
      </w:r>
      <w:r>
        <w:t xml:space="preserve">0.75</w:t>
      </w:r>
      <w:r>
        <w:t xml:space="preserve"> </w:t>
      </w:r>
      <w:r>
        <w:t xml:space="preserve">0.69</w:t>
      </w:r>
      <w:r>
        <w:t xml:space="preserve"> </w:t>
      </w:r>
      <w:r>
        <w:t xml:space="preserve">0.92</w:t>
      </w:r>
      <w:r>
        <w:t xml:space="preserve"> </w:t>
      </w:r>
      <w:r>
        <w:t xml:space="preserve">0.99</w:t>
      </w:r>
      <w:r>
        <w:t xml:space="preserve"> </w:t>
      </w:r>
      <w:r>
        <w:t xml:space="preserve">0.96</w:t>
      </w:r>
      <w:r>
        <w:t xml:space="preserve"> </w:t>
      </w:r>
      <w:r>
        <w:t xml:space="preserve">F.PO3 (i, ii, iii, iv, v)</w:t>
      </w:r>
      <w:r>
        <w:t xml:space="preserve"> </w:t>
      </w:r>
      <w:r>
        <w:t xml:space="preserve">1.40 0.80</w:t>
      </w:r>
      <w:r>
        <w:t xml:space="preserve"> </w:t>
      </w:r>
      <w:r>
        <w:t xml:space="preserve">1.10</w:t>
      </w:r>
      <w:r>
        <w:t xml:space="preserve"> </w:t>
      </w:r>
      <w:r>
        <w:t xml:space="preserve">0.80</w:t>
      </w:r>
      <w:r>
        <w:t xml:space="preserve"> </w:t>
      </w:r>
      <w:r>
        <w:t xml:space="preserve">0.60</w:t>
      </w:r>
      <w:r>
        <w:t xml:space="preserve"> </w:t>
      </w:r>
      <w:r>
        <w:t xml:space="preserve">0.80</w:t>
      </w:r>
      <w:r>
        <w:t xml:space="preserve"> </w:t>
      </w:r>
      <w:r>
        <w:t xml:space="preserve">0.70</w:t>
      </w:r>
      <w:r>
        <w:t xml:space="preserve"> </w:t>
      </w:r>
      <w:r>
        <w:t xml:space="preserve">0.87</w:t>
      </w:r>
      <w:r>
        <w:t xml:space="preserve"> </w:t>
      </w:r>
      <w:r>
        <w:t xml:space="preserve">0.93</w:t>
      </w:r>
      <w:r>
        <w:t xml:space="preserve"> </w:t>
      </w:r>
      <w:r>
        <w:t xml:space="preserve">0.90</w:t>
      </w:r>
      <w:r>
        <w:t xml:space="preserve"> </w:t>
      </w:r>
      <w:r>
        <w:t xml:space="preserve">Coherence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Coherence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There are no direct impact on competitiveness (of any type). Positive (indirect) impact</w:t>
      </w:r>
      <w:r>
        <w:t xml:space="preserve"> </w:t>
      </w:r>
      <w:r>
        <w:t xml:space="preserve">on competitiveness is likely through more level playing field for businesses operating in</w:t>
      </w:r>
      <w:r>
        <w:t xml:space="preserve"> </w:t>
      </w:r>
      <w:r>
        <w:t xml:space="preserve">the EU and reductions in crime affecting businesses. Magnitude of this indirect impact is</w:t>
      </w:r>
      <w:r>
        <w:t xml:space="preserve"> </w:t>
      </w:r>
      <w:r>
        <w:t xml:space="preserve">very hard to assess. Indirect impact is anticipated to be general - i.e not differentiated by</w:t>
      </w:r>
      <w:r>
        <w:t xml:space="preserve"> </w:t>
      </w:r>
      <w:r>
        <w:t xml:space="preserve">type of stakeholder or competitiveness dimension (e.g. cost and price, international, SME,</w:t>
      </w:r>
      <w:r>
        <w:t xml:space="preserve"> </w:t>
      </w:r>
      <w:r>
        <w:t xml:space="preserve">capacity to innovate).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ANNEX 6: SME CHECK</w:t>
      </w:r>
      <w:r>
        <w:br/>
      </w:r>
      <w:r>
        <w:t xml:space="preserve">The measures proposed cannot be not categorised as either ‘relevant’ or ‘highly relevant’</w:t>
      </w:r>
      <w:r>
        <w:t xml:space="preserve"> </w:t>
      </w:r>
      <w:r>
        <w:t xml:space="preserve">for SMEs. They would be subject to the same indirect benefits as all businesses, with no</w:t>
      </w:r>
      <w:r>
        <w:t xml:space="preserve"> </w:t>
      </w:r>
      <w:r>
        <w:t xml:space="preserve">additional costs.</w:t>
      </w:r>
      <w:r>
        <w:t xml:space="preserve"> </w:t>
      </w:r>
      <w:r>
        <w:t xml:space="preserve">Whilst the initiative is not directly relevant for SMEs, like all businesses they can be</w:t>
      </w:r>
      <w:r>
        <w:t xml:space="preserve"> </w:t>
      </w:r>
      <w:r>
        <w:t xml:space="preserve">expected to benefit indirectly and (reflecting their limited resources) may actually benefit</w:t>
      </w:r>
      <w:r>
        <w:t xml:space="preserve"> </w:t>
      </w:r>
      <w:r>
        <w:t xml:space="preserve">to a higher degree than larger companies, which possess greater means to defend</w:t>
      </w:r>
      <w:r>
        <w:t xml:space="preserve"> </w:t>
      </w:r>
      <w:r>
        <w:t xml:space="preserve">themselves against criminal and fraudulent behaviours.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ANNEX 7: ADDITIONAL INFORMATION SUPPORTING THE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provides additional information that could not be accommodated within the</w:t>
      </w:r>
      <w:r>
        <w:t xml:space="preserve"> </w:t>
      </w:r>
      <w:r>
        <w:t xml:space="preserve">main Impact Assessment. It examines the evolution of the broader European judicial legal</w:t>
      </w:r>
      <w:r>
        <w:t xml:space="preserve"> </w:t>
      </w:r>
      <w:r>
        <w:t xml:space="preserve">framework, as well as Eurojust’s compliance with Fundamental Rights. It furthermore lists</w:t>
      </w:r>
      <w:r>
        <w:t xml:space="preserve"> </w:t>
      </w:r>
      <w:r>
        <w:t xml:space="preserve">all legal instruments and strategies that include a role for Eurojust.</w:t>
      </w:r>
      <w:r>
        <w:br/>
      </w:r>
      <w:r>
        <w:t xml:space="preserve">2.</w:t>
      </w:r>
      <w:r>
        <w:t xml:space="preserve"> </w:t>
      </w:r>
      <w:r>
        <w:t xml:space="preserve">EVOLUTION OF THE BROADER EUROPEAN JUDICIAL LEGAL FRAMEWORK</w:t>
      </w:r>
      <w:r>
        <w:br/>
      </w:r>
      <w:r>
        <w:t xml:space="preserve">The broader European criminal justice landscape has undergone a profound transformation</w:t>
      </w:r>
      <w:r>
        <w:t xml:space="preserve"> </w:t>
      </w:r>
      <w:r>
        <w:t xml:space="preserve">over the past two decades, evolving from a predominantly intergovernmental framework</w:t>
      </w:r>
      <w:r>
        <w:t xml:space="preserve"> </w:t>
      </w:r>
      <w:r>
        <w:t xml:space="preserve">into a coherent, multilayered architecture that acts across borders to enhance criminal</w:t>
      </w:r>
      <w:r>
        <w:t xml:space="preserve"> </w:t>
      </w:r>
      <w:r>
        <w:t xml:space="preserve">justice cooperation and ensure mutual recognition. Eurojust’s development has taken place</w:t>
      </w:r>
      <w:r>
        <w:t xml:space="preserve"> </w:t>
      </w:r>
      <w:r>
        <w:t xml:space="preserve">against this backdrop of further integration, gradual harmonisation of procedural standards,</w:t>
      </w:r>
      <w:r>
        <w:t xml:space="preserve"> </w:t>
      </w:r>
      <w:r>
        <w:t xml:space="preserve">and the creation of new instruments enabling judicial authorities to cooperate efficiently in</w:t>
      </w:r>
      <w:r>
        <w:t xml:space="preserve"> </w:t>
      </w:r>
      <w:r>
        <w:t xml:space="preserve">the fight against serious cross-border crime. These reforms have progressively shaped the</w:t>
      </w:r>
      <w:r>
        <w:t xml:space="preserve"> </w:t>
      </w:r>
      <w:r>
        <w:t xml:space="preserve">environment in which Eurojust operates, expanding its responsibilities and expectations</w:t>
      </w:r>
      <w:r>
        <w:t xml:space="preserve"> </w:t>
      </w:r>
      <w:r>
        <w:t xml:space="preserve">while strengthening the overall European criminal justice ecosystem.</w:t>
      </w:r>
      <w:r>
        <w:br/>
      </w:r>
      <w:r>
        <w:t xml:space="preserve">A series of legal and operational instruments have significantly expanded the tools</w:t>
      </w:r>
      <w:r>
        <w:t xml:space="preserve"> </w:t>
      </w:r>
      <w:r>
        <w:t xml:space="preserve">available to judicial authorities. The introduction of the European Arrest Warrant (2002)20</w:t>
      </w:r>
      <w:r>
        <w:t xml:space="preserve"> </w:t>
      </w:r>
      <w:r>
        <w:t xml:space="preserve">marked a foundational shift from traditional extradition to mutual recognition, followed</w:t>
      </w:r>
      <w:r>
        <w:t xml:space="preserve"> </w:t>
      </w:r>
      <w:r>
        <w:t xml:space="preserve">later by the European Investigation Order (2014)21, which also provided a streamlined</w:t>
      </w:r>
      <w:r>
        <w:t xml:space="preserve"> </w:t>
      </w:r>
      <w:r>
        <w:t xml:space="preserve">mechanism for gathering evidence across borders. The development of Joint Investigation</w:t>
      </w:r>
      <w:r>
        <w:t xml:space="preserve"> </w:t>
      </w:r>
      <w:r>
        <w:t xml:space="preserve">Teams (JITs) has likewise been a major milestone in European judicial cooperation. While</w:t>
      </w:r>
      <w:r>
        <w:t xml:space="preserve"> </w:t>
      </w:r>
      <w:r>
        <w:t xml:space="preserve">established through the 2000 Convention on Mutual Assistance in Criminal Matters22 and</w:t>
      </w:r>
      <w:r>
        <w:t xml:space="preserve"> </w:t>
      </w:r>
      <w:r>
        <w:t xml:space="preserve">the later 2002 Framework Decision23, the practical operation of JITs has been</w:t>
      </w:r>
      <w:r>
        <w:t xml:space="preserve"> </w:t>
      </w:r>
      <w:r>
        <w:t xml:space="preserve">progressively strengthened, supported by Eurojust’s operational, legal and financial</w:t>
      </w:r>
      <w:r>
        <w:t xml:space="preserve"> </w:t>
      </w:r>
      <w:r>
        <w:t xml:space="preserve">assistance. The creation of the incoming JITs platform24, an EU-level digital environment</w:t>
      </w:r>
      <w:r>
        <w:t xml:space="preserve"> </w:t>
      </w:r>
      <w:r>
        <w:t xml:space="preserve">that facilitates the management, exchange and secure communication of JIT-related</w:t>
      </w:r>
      <w:r>
        <w:t xml:space="preserve"> </w:t>
      </w:r>
      <w:r>
        <w:t xml:space="preserve">information, represents an advancement in the way digitalisation supports operational</w:t>
      </w:r>
      <w:r>
        <w:t xml:space="preserve"> </w:t>
      </w:r>
      <w:r>
        <w:t xml:space="preserve">cooperation.</w:t>
      </w:r>
      <w:r>
        <w:br/>
      </w:r>
      <w:r>
        <w:t xml:space="preserve">Asset recovery constitutes another domain in which the European legal framework has</w:t>
      </w:r>
      <w:r>
        <w:t xml:space="preserve"> </w:t>
      </w:r>
      <w:r>
        <w:t xml:space="preserve">evolved rapidly and significantly. In 2018, the Regulation on mutual recognition of</w:t>
      </w:r>
      <w:r>
        <w:t xml:space="preserve"> </w:t>
      </w:r>
      <w:r>
        <w:t xml:space="preserve">freezing and confiscation orders25 introduced mandatory timelines, clearer safeguards and</w:t>
      </w:r>
      <w:r>
        <w:t xml:space="preserve"> </w:t>
      </w:r>
      <w:r>
        <w:t xml:space="preserve">smoother cross-border execution of asset recovery decisions. In 2024 this was reinforced</w:t>
      </w:r>
      <w:r>
        <w:t xml:space="preserve"> </w:t>
      </w:r>
      <w:r>
        <w:t xml:space="preserve">by the new Directive on asset recovery and confiscation26, which strengthens national</w:t>
      </w:r>
      <w:r>
        <w:t xml:space="preserve"> </w:t>
      </w:r>
      <w:r>
        <w:t xml:space="preserve">Asset Recovery Offices, enhances tracing capacities, and introduces more robust</w:t>
      </w:r>
      <w:r>
        <w:t xml:space="preserve"> </w:t>
      </w:r>
      <w:r>
        <w:t xml:space="preserve">confiscation regimes - including non-conviction-based confiscation in specific cases. The</w:t>
      </w:r>
      <w:r>
        <w:t xml:space="preserve"> </w:t>
      </w:r>
      <w:r>
        <w:t xml:space="preserve">Union has moved toward a more coherent approach, recognising that depriving criminal</w:t>
      </w:r>
      <w:r>
        <w:t xml:space="preserve"> </w:t>
      </w:r>
      <w:r>
        <w:t xml:space="preserve">networks of illicit proceeds is essential to dismantling their operations. Eurojust’s ability</w:t>
      </w:r>
      <w:r>
        <w:t xml:space="preserve"> </w:t>
      </w:r>
      <w:r>
        <w:t xml:space="preserve">to coordinate judicial action in freezing and confiscation cases, provide case-law</w:t>
      </w:r>
      <w:r>
        <w:t xml:space="preserve"> </w:t>
      </w:r>
      <w:r>
        <w:t xml:space="preserve">consistency, and support parallel financial investigations has become increasingly</w:t>
      </w:r>
      <w:r>
        <w:t xml:space="preserve"> </w:t>
      </w:r>
      <w:r>
        <w:t xml:space="preserve">important within this framework, also supported by more structured links between</w:t>
      </w:r>
      <w:r>
        <w:t xml:space="preserve"> </w:t>
      </w:r>
      <w:r>
        <w:t xml:space="preserve">Eurojust’s casework and Europol.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Beyond these legal instruments, the broader European criminal justice architecture has</w:t>
      </w:r>
      <w:r>
        <w:t xml:space="preserve"> </w:t>
      </w:r>
      <w:r>
        <w:t xml:space="preserve">been shaped by a range of additional legal and policy developments. One can for instance</w:t>
      </w:r>
      <w:r>
        <w:t xml:space="preserve"> </w:t>
      </w:r>
      <w:r>
        <w:t xml:space="preserve">point towards Eurojust’s growing number of third-country cooperation agreements and</w:t>
      </w:r>
      <w:r>
        <w:t xml:space="preserve"> </w:t>
      </w:r>
      <w:r>
        <w:t xml:space="preserve">liaison prosecutors. These are essential in tackling cases involving global links and non-</w:t>
      </w:r>
      <w:r>
        <w:t xml:space="preserve"> </w:t>
      </w:r>
      <w:r>
        <w:t xml:space="preserve">EU jurisdictions and underline the increased cooperation with judicial authorities outside</w:t>
      </w:r>
      <w:r>
        <w:t xml:space="preserve"> </w:t>
      </w:r>
      <w:r>
        <w:t xml:space="preserve">of the EU.27</w:t>
      </w:r>
      <w:r>
        <w:br/>
      </w:r>
      <w:r>
        <w:t xml:space="preserve">Moreover, the establishment of the European Public Prosecutor’s Office (EPPO)28 in 2017</w:t>
      </w:r>
      <w:r>
        <w:t xml:space="preserve"> </w:t>
      </w:r>
      <w:r>
        <w:t xml:space="preserve">has redefined the European prosecution landscape. A cornerstone of this evolution is the</w:t>
      </w:r>
      <w:r>
        <w:t xml:space="preserve"> </w:t>
      </w:r>
      <w:r>
        <w:t xml:space="preserve">shift toward a more integrated framework for protecting the Union’s financial interests.</w:t>
      </w:r>
      <w:r>
        <w:t xml:space="preserve"> </w:t>
      </w:r>
      <w:r>
        <w:t xml:space="preserve">The recent White Paper for the Anti-fraud Architecture Review29 laid out the strategic</w:t>
      </w:r>
      <w:r>
        <w:t xml:space="preserve"> </w:t>
      </w:r>
      <w:r>
        <w:t xml:space="preserve">blueprint for a modernised, interconnected system involving OLAF, Eurojust, the EPPO</w:t>
      </w:r>
      <w:r>
        <w:t xml:space="preserve"> </w:t>
      </w:r>
      <w:r>
        <w:t xml:space="preserve">and national authorities. It emphasised the need for complementary mandates, seamless</w:t>
      </w:r>
      <w:r>
        <w:t xml:space="preserve"> </w:t>
      </w:r>
      <w:r>
        <w:t xml:space="preserve">information flow, and operational synergies, particularly in complex PIF-related</w:t>
      </w:r>
      <w:r>
        <w:t xml:space="preserve"> </w:t>
      </w:r>
      <w:r>
        <w:t xml:space="preserve">investigations involving multiple jurisdictions. Eurojust’s role as a judicial coordination</w:t>
      </w:r>
      <w:r>
        <w:t xml:space="preserve"> </w:t>
      </w:r>
      <w:r>
        <w:t xml:space="preserve">hub is closely linked to this architecture due to the corresponding need to ensure</w:t>
      </w:r>
      <w:r>
        <w:t xml:space="preserve"> </w:t>
      </w:r>
      <w:r>
        <w:t xml:space="preserve">complementarity, information exchange and de-confliction between Eurojust and the</w:t>
      </w:r>
      <w:r>
        <w:t xml:space="preserve"> </w:t>
      </w:r>
      <w:r>
        <w:t xml:space="preserve">EPPO.</w:t>
      </w:r>
      <w:r>
        <w:br/>
      </w:r>
      <w:r>
        <w:t xml:space="preserve">Another dimension of this evolving landscape concerns the consolidation of information-</w:t>
      </w:r>
      <w:r>
        <w:t xml:space="preserve"> </w:t>
      </w:r>
      <w:r>
        <w:t xml:space="preserve">sharing frameworks, which underpin nearly all aspects of cross-border judicial</w:t>
      </w:r>
      <w:r>
        <w:t xml:space="preserve"> </w:t>
      </w:r>
      <w:r>
        <w:t xml:space="preserve">cooperation. The Law Enforcement Directive (LED)30 has established a harmonised data-</w:t>
      </w:r>
      <w:r>
        <w:t xml:space="preserve"> </w:t>
      </w:r>
      <w:r>
        <w:t xml:space="preserve">protection regime for the processing of personal data in criminal matters, ensuring that</w:t>
      </w:r>
      <w:r>
        <w:t xml:space="preserve"> </w:t>
      </w:r>
      <w:r>
        <w:t xml:space="preserve">exchanges between national authorities, Eurojust, and other EU bodies take place within a</w:t>
      </w:r>
      <w:r>
        <w:t xml:space="preserve"> </w:t>
      </w:r>
      <w:r>
        <w:t xml:space="preserve">robust fundamental-rights framework. Complementing this, the Data Protection</w:t>
      </w:r>
      <w:r>
        <w:t xml:space="preserve"> </w:t>
      </w:r>
      <w:r>
        <w:t xml:space="preserve">Regulation for EU institutions, bodies, offices and agencies (EUDPR)31 sets the</w:t>
      </w:r>
      <w:r>
        <w:t xml:space="preserve"> </w:t>
      </w:r>
      <w:r>
        <w:t xml:space="preserve">overarching data-protection standards that apply directly to Eurojust and other agencies.</w:t>
      </w:r>
      <w:r>
        <w:t xml:space="preserve"> </w:t>
      </w:r>
      <w:r>
        <w:t xml:space="preserve">While distinct from the LED, it ensures that Eurojust’s internal processing operations, its</w:t>
      </w:r>
      <w:r>
        <w:t xml:space="preserve"> </w:t>
      </w:r>
      <w:r>
        <w:t xml:space="preserve">Case Management System and its information-exchange channels operate under a</w:t>
      </w:r>
      <w:r>
        <w:t xml:space="preserve"> </w:t>
      </w:r>
      <w:r>
        <w:t xml:space="preserve">coherent, EU-wide regime that guarantees high levels of security, accountability and data-</w:t>
      </w:r>
      <w:r>
        <w:t xml:space="preserve"> </w:t>
      </w:r>
      <w:r>
        <w:t xml:space="preserve">subject protection. For Eurojust, these developments are central: the agency’s coordinating</w:t>
      </w:r>
      <w:r>
        <w:t xml:space="preserve"> </w:t>
      </w:r>
      <w:r>
        <w:t xml:space="preserve">role increasingly depends on timely access to accurate, high-quality data that can be safely</w:t>
      </w:r>
      <w:r>
        <w:t xml:space="preserve"> </w:t>
      </w:r>
      <w:r>
        <w:t xml:space="preserve">shared among competent authorities. By aligning its operational systems with the LED’s</w:t>
      </w:r>
      <w:r>
        <w:t xml:space="preserve"> </w:t>
      </w:r>
      <w:r>
        <w:t xml:space="preserve">safeguards and by preparing to function within the future EUDPR infrastructure, Eurojust</w:t>
      </w:r>
      <w:r>
        <w:t xml:space="preserve"> </w:t>
      </w:r>
      <w:r>
        <w:t xml:space="preserve">strengthens both the legality and the efficiency of information flows. Information-</w:t>
      </w:r>
      <w:r>
        <w:t xml:space="preserve"> </w:t>
      </w:r>
      <w:r>
        <w:t xml:space="preserve">exchange between judicial authority has also been reinforced through measures such as the</w:t>
      </w:r>
      <w:r>
        <w:t xml:space="preserve"> </w:t>
      </w:r>
      <w:r>
        <w:t xml:space="preserve">ECRIS-TCN Regulation32, which enables more efficient identification of criminal records</w:t>
      </w:r>
      <w:r>
        <w:t xml:space="preserve"> </w:t>
      </w:r>
      <w:r>
        <w:t xml:space="preserve">of third-country nationals.</w:t>
      </w:r>
      <w:r>
        <w:br/>
      </w:r>
      <w:r>
        <w:t xml:space="preserve">In parallel, following the 2009 Stockholm Programme33 and a Council Roadmap34 to</w:t>
      </w:r>
      <w:r>
        <w:t xml:space="preserve"> </w:t>
      </w:r>
      <w:r>
        <w:t xml:space="preserve">strengthen procedural rights in criminal proceedings, the EU adopted on the basis of</w:t>
      </w:r>
      <w:r>
        <w:t xml:space="preserve"> </w:t>
      </w:r>
      <w:r>
        <w:t xml:space="preserve">Articles 82(2), a series of minimum standards directives aimed at enhancing mutual trust</w:t>
      </w:r>
      <w:r>
        <w:t xml:space="preserve"> </w:t>
      </w:r>
      <w:r>
        <w:t xml:space="preserve">and facilitating mutual recognition. In this regard, the harmonisation of procedural</w:t>
      </w:r>
      <w:r>
        <w:t xml:space="preserve"> </w:t>
      </w:r>
      <w:r>
        <w:t xml:space="preserve">safeguards through directives on victims’ rights35 and suspects’ and accused persons’</w:t>
      </w:r>
      <w:r>
        <w:t xml:space="preserve"> </w:t>
      </w:r>
      <w:r>
        <w:t xml:space="preserve">rights36 further ensures that judicial cooperation operates within a rights-protective,</w:t>
      </w:r>
      <w:r>
        <w:t xml:space="preserve"> </w:t>
      </w:r>
      <w:r>
        <w:t xml:space="preserve">legally consistent environment across Member States. In the same way, under Article 83</w:t>
      </w:r>
      <w:r>
        <w:t xml:space="preserve"> </w:t>
      </w:r>
      <w:r>
        <w:t xml:space="preserve">the EU has adopted minimum rules defining certain criminal offences and sanctions in</w:t>
      </w:r>
      <w:r>
        <w:t xml:space="preserve"> </w:t>
      </w:r>
      <w:r>
        <w:t xml:space="preserve">areas with a serious cross-border dimension (“EUcrimes”). Indeed, the rationale for</w:t>
      </w:r>
      <w:r>
        <w:t xml:space="preserve"> </w:t>
      </w:r>
      <w:r>
        <w:t xml:space="preserve">minimum harmonisation of procedural and substantial criminal law is closely tied to the</w:t>
      </w:r>
      <w:r>
        <w:t xml:space="preserve"> </w:t>
      </w:r>
      <w:r>
        <w:t xml:space="preserve">principle of mutual trust: the assumption that all Member States respect fundamental rights</w:t>
      </w:r>
      <w:r>
        <w:t xml:space="preserve"> </w:t>
      </w:r>
      <w:r>
        <w:t xml:space="preserve">and the rule of law such that judicial decisions can be recognised and enforced across</w:t>
      </w:r>
      <w:r>
        <w:t xml:space="preserve"> </w:t>
      </w:r>
      <w:r>
        <w:t xml:space="preserve">borders without re-examination of merits. Harmonised procedural rights and defined “EU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crimes” help build a common baseline of protections and reduce legitimate obstacles to</w:t>
      </w:r>
      <w:r>
        <w:t xml:space="preserve"> </w:t>
      </w:r>
      <w:r>
        <w:t xml:space="preserve">mutual recognition.</w:t>
      </w:r>
      <w:r>
        <w:br/>
      </w:r>
      <w:r>
        <w:t xml:space="preserve">Additionally, practitioner networks have also played a decisive role in shaping the</w:t>
      </w:r>
      <w:r>
        <w:t xml:space="preserve"> </w:t>
      </w:r>
      <w:r>
        <w:t xml:space="preserve">functioning of the judicial legal framework. Networks such as the European Judicial</w:t>
      </w:r>
      <w:r>
        <w:t xml:space="preserve"> </w:t>
      </w:r>
      <w:r>
        <w:t xml:space="preserve">Network (EJN), the Genocide Network, the Network of National Experts on Joint</w:t>
      </w:r>
      <w:r>
        <w:t xml:space="preserve"> </w:t>
      </w:r>
      <w:r>
        <w:t xml:space="preserve">Investigation Teams, and practitioner communities focused on fields such as cybercrime,</w:t>
      </w:r>
      <w:r>
        <w:t xml:space="preserve"> </w:t>
      </w:r>
      <w:r>
        <w:t xml:space="preserve">trafficking in human beings, migrant smuggling, environmental crime and financial crime</w:t>
      </w:r>
      <w:r>
        <w:t xml:space="preserve"> </w:t>
      </w:r>
      <w:r>
        <w:t xml:space="preserve">have contributed to building a common operational culture. These networks facilitate</w:t>
      </w:r>
      <w:r>
        <w:t xml:space="preserve"> </w:t>
      </w:r>
      <w:r>
        <w:t xml:space="preserve">mutual understanding of legal systems, disseminate best practices, and provide platforms</w:t>
      </w:r>
      <w:r>
        <w:t xml:space="preserve"> </w:t>
      </w:r>
      <w:r>
        <w:t xml:space="preserve">for rapid consultation - elements that directly enhance the effectiveness of Eurojust’s</w:t>
      </w:r>
      <w:r>
        <w:t xml:space="preserve"> </w:t>
      </w:r>
      <w:r>
        <w:t xml:space="preserve">coordination function.37</w:t>
      </w:r>
      <w:r>
        <w:br/>
      </w:r>
      <w:r>
        <w:t xml:space="preserve">The broader E-evidence framework, to become fully operational in 202638, also</w:t>
      </w:r>
      <w:r>
        <w:t xml:space="preserve"> </w:t>
      </w:r>
      <w:r>
        <w:t xml:space="preserve">constitutes a next major step in the European judicial continuum. It provides judicial</w:t>
      </w:r>
      <w:r>
        <w:t xml:space="preserve"> </w:t>
      </w:r>
      <w:r>
        <w:t xml:space="preserve">authorities in all Member States with a harmonised system for obtaining digital evidence</w:t>
      </w:r>
      <w:r>
        <w:t xml:space="preserve"> </w:t>
      </w:r>
      <w:r>
        <w:t xml:space="preserve">directly from service providers - an essential capability given the prevalence of encrypted</w:t>
      </w:r>
      <w:r>
        <w:t xml:space="preserve"> </w:t>
      </w:r>
      <w:r>
        <w:t xml:space="preserve">communication, cloud-based storage, and digital anonymity in contemporary criminal</w:t>
      </w:r>
      <w:r>
        <w:t xml:space="preserve"> </w:t>
      </w:r>
      <w:r>
        <w:t xml:space="preserve">activity. Eurojust plays a central role in supporting the judicial application of these</w:t>
      </w:r>
      <w:r>
        <w:t xml:space="preserve"> </w:t>
      </w:r>
      <w:r>
        <w:t xml:space="preserve">instruments. This digital transformation is accompanied by parallel developments such as</w:t>
      </w:r>
      <w:r>
        <w:t xml:space="preserve"> </w:t>
      </w:r>
      <w:r>
        <w:t xml:space="preserve">the modernisation of Eurojust’s Case Management System, which strengthens the agency’s</w:t>
      </w:r>
      <w:r>
        <w:t xml:space="preserve"> </w:t>
      </w:r>
      <w:r>
        <w:t xml:space="preserve">capacity to manage fast-moving, data-heavy criminal investigations.</w:t>
      </w:r>
      <w:r>
        <w:br/>
      </w:r>
      <w:r>
        <w:t xml:space="preserve">Overall, it can be said that the European judicial legal framework in which Eurojust</w:t>
      </w:r>
      <w:r>
        <w:t xml:space="preserve"> </w:t>
      </w:r>
      <w:r>
        <w:t xml:space="preserve">operates has become more sophisticated, integrated and digitally enabled. Eurojust sits at</w:t>
      </w:r>
      <w:r>
        <w:t xml:space="preserve"> </w:t>
      </w:r>
      <w:r>
        <w:t xml:space="preserve">the centre of this environment, acting as the operational engine that transforms these legal</w:t>
      </w:r>
      <w:r>
        <w:t xml:space="preserve"> </w:t>
      </w:r>
      <w:r>
        <w:t xml:space="preserve">instruments into concrete, coordinated judicial action capable of tackling the increasingly</w:t>
      </w:r>
      <w:r>
        <w:t xml:space="preserve"> </w:t>
      </w:r>
      <w:r>
        <w:t xml:space="preserve">complex and cross-border nature of serious crime in the European Union.</w:t>
      </w:r>
      <w:r>
        <w:t xml:space="preserve"> </w:t>
      </w:r>
      <w:r>
        <w:t xml:space="preserve">3.</w:t>
      </w:r>
      <w:r>
        <w:br/>
      </w:r>
      <w:r>
        <w:t xml:space="preserve">PRESENTATION OF THE CURRENT LEGAL FRAMEWORK (REGULATION (EU)</w:t>
      </w:r>
      <w:r>
        <w:t xml:space="preserve"> </w:t>
      </w:r>
      <w:r>
        <w:t xml:space="preserve">2018/1727 ON EUROJUST)</w:t>
      </w:r>
      <w:r>
        <w:t xml:space="preserve"> </w:t>
      </w:r>
      <w:r>
        <w:t xml:space="preserve">Eurojust’s mandate, structure and operational framework are laid down in Regulation</w:t>
      </w:r>
      <w:r>
        <w:t xml:space="preserve"> </w:t>
      </w:r>
      <w:r>
        <w:t xml:space="preserve">(EU) 2018/1727 on the European Union Agency for Criminal Justice Cooperation.</w:t>
      </w:r>
      <w:r>
        <w:t xml:space="preserve"> </w:t>
      </w:r>
      <w:r>
        <w:t xml:space="preserve">The Regulation establishes Eurojust as a Union agency with legal personality, replacing</w:t>
      </w:r>
      <w:r>
        <w:t xml:space="preserve"> </w:t>
      </w:r>
      <w:r>
        <w:t xml:space="preserve">the former intergovernmental predecessor while ensuring continuity of functions and</w:t>
      </w:r>
      <w:r>
        <w:t xml:space="preserve"> </w:t>
      </w:r>
      <w:r>
        <w:t xml:space="preserve">expertise. It aligns Eurojust with the post-Lisbon framework for judicial cooperation in</w:t>
      </w:r>
      <w:r>
        <w:t xml:space="preserve"> </w:t>
      </w:r>
      <w:r>
        <w:t xml:space="preserve">criminal matters and embeds the Agency within the Area of Freedom, Security and Justice</w:t>
      </w:r>
      <w:r>
        <w:t xml:space="preserve"> </w:t>
      </w:r>
      <w:r>
        <w:t xml:space="preserve">under the community method.5</w:t>
      </w:r>
      <w:r>
        <w:br/>
      </w:r>
      <w:r>
        <w:t xml:space="preserve">The Regulation defines Eurojust’s core mission as supporting and strengthening</w:t>
      </w:r>
      <w:r>
        <w:t xml:space="preserve"> </w:t>
      </w:r>
      <w:r>
        <w:t xml:space="preserve">coordination and cooperation between national investigating and prosecuting</w:t>
      </w:r>
      <w:r>
        <w:t xml:space="preserve"> </w:t>
      </w:r>
      <w:r>
        <w:t xml:space="preserve">authorities in relation to serious crime, in particular where such crime affects two or</w:t>
      </w:r>
      <w:r>
        <w:t xml:space="preserve"> </w:t>
      </w:r>
      <w:r>
        <w:t xml:space="preserve">more Member States or requires prosecution on common bases, on the basis of operations</w:t>
      </w:r>
      <w:r>
        <w:t xml:space="preserve"> </w:t>
      </w:r>
      <w:r>
        <w:t xml:space="preserve">conducted and information supplied by the Member States’ authorities, by Europol, by the</w:t>
      </w:r>
      <w:r>
        <w:t xml:space="preserve"> </w:t>
      </w:r>
      <w:r>
        <w:t xml:space="preserve">EPPO and by OLAF.6 Eurojust’s role is explicitly supportive and complementary: it does</w:t>
      </w:r>
      <w:r>
        <w:t xml:space="preserve"> </w:t>
      </w:r>
      <w:r>
        <w:t xml:space="preserve">not replace national authorities but facilitates their ability to act coherently in cross-border</w:t>
      </w:r>
      <w:r>
        <w:t xml:space="preserve"> </w:t>
      </w:r>
      <w:r>
        <w:t xml:space="preserve">cases by providing a permanent coordination hub at Union level. Eurojust’s material</w:t>
      </w:r>
      <w:r>
        <w:t xml:space="preserve"> </w:t>
      </w:r>
      <w:r>
        <w:t xml:space="preserve">competence covers serious forms of crime listed in Annex I of the Regulation, together</w:t>
      </w:r>
    </w:p>
    <w:p>
      <w:pPr>
        <w:pStyle w:val="BodyText"/>
      </w:pPr>
      <w:r>
        <w:t xml:space="preserve">5 Recitals 1-4; Article 1 of Regulation (EU) 2018/1727.</w:t>
      </w:r>
      <w:r>
        <w:t xml:space="preserve"> </w:t>
      </w:r>
      <w:r>
        <w:t xml:space="preserve">6 Article 2 of Regulation (EU) 2018/1727.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with related offences, ensuring legal clarity while allowing operational flexibility. The</w:t>
      </w:r>
      <w:r>
        <w:t xml:space="preserve"> </w:t>
      </w:r>
      <w:r>
        <w:t xml:space="preserve">Regulation also clarifies the conditions under which Eurojust may act in cases involving a</w:t>
      </w:r>
      <w:r>
        <w:t xml:space="preserve"> </w:t>
      </w:r>
      <w:r>
        <w:t xml:space="preserve">single Member State where the interests of the Union or the effectiveness of judicial</w:t>
      </w:r>
      <w:r>
        <w:t xml:space="preserve"> </w:t>
      </w:r>
      <w:r>
        <w:t xml:space="preserve">cooperation so require, subject to consultation with the concerned national authorities.7</w:t>
      </w:r>
      <w:r>
        <w:br/>
      </w:r>
      <w:r>
        <w:t xml:space="preserve">A central element of the legal context is the delineation of Eurojust’s relationship with</w:t>
      </w:r>
      <w:r>
        <w:t xml:space="preserve"> </w:t>
      </w:r>
      <w:r>
        <w:t xml:space="preserve">the European Public Prosecutor’s Office. The Regulation establishes a principle of</w:t>
      </w:r>
      <w:r>
        <w:t xml:space="preserve"> </w:t>
      </w:r>
      <w:r>
        <w:t xml:space="preserve">complementarity, whereby Eurojust does not exercise competence for offences falling</w:t>
      </w:r>
      <w:r>
        <w:t xml:space="preserve"> </w:t>
      </w:r>
      <w:r>
        <w:t xml:space="preserve">within the EPPO’s remit once the EPPO has decided to act, while still preserving</w:t>
      </w:r>
      <w:r>
        <w:t xml:space="preserve"> </w:t>
      </w:r>
      <w:r>
        <w:t xml:space="preserve">Eurojust’s coordinating role for cases involving non-participating Member States or</w:t>
      </w:r>
      <w:r>
        <w:t xml:space="preserve"> </w:t>
      </w:r>
      <w:r>
        <w:t xml:space="preserve">requiring broader multilateral judicial coordination.8 This legal design aims to avoid</w:t>
      </w:r>
      <w:r>
        <w:t xml:space="preserve"> </w:t>
      </w:r>
      <w:r>
        <w:t xml:space="preserve">duplication while ensuring continuity of cooperation across the Union’s prosecution</w:t>
      </w:r>
      <w:r>
        <w:t xml:space="preserve"> </w:t>
      </w:r>
      <w:r>
        <w:t xml:space="preserve">landscape.</w:t>
      </w:r>
      <w:r>
        <w:t xml:space="preserve"> </w:t>
      </w:r>
      <w:r>
        <w:t xml:space="preserve">The Regulation translates Eurojust’s mandate into a set of clearly defined operational</w:t>
      </w:r>
      <w:r>
        <w:t xml:space="preserve"> </w:t>
      </w:r>
      <w:r>
        <w:t xml:space="preserve">tasks. These include facilitating the exchange of information between national authorities,</w:t>
      </w:r>
      <w:r>
        <w:t xml:space="preserve"> </w:t>
      </w:r>
      <w:r>
        <w:t xml:space="preserve">assisting in the coordination of investigations and prosecutions, supporting the resolution</w:t>
      </w:r>
      <w:r>
        <w:t xml:space="preserve"> </w:t>
      </w:r>
      <w:r>
        <w:t xml:space="preserve">of conflicts of jurisdiction, and enhancing judicial cooperation through instruments such</w:t>
      </w:r>
      <w:r>
        <w:t xml:space="preserve"> </w:t>
      </w:r>
      <w:r>
        <w:t xml:space="preserve">as Joint Investigation Teams. Eurojust is also tasked with assisting national authorities in</w:t>
      </w:r>
      <w:r>
        <w:t xml:space="preserve"> </w:t>
      </w:r>
      <w:r>
        <w:t xml:space="preserve">the execution of mutual legal assistance and mutual recognition instruments, thereby</w:t>
      </w:r>
      <w:r>
        <w:t xml:space="preserve"> </w:t>
      </w:r>
      <w:r>
        <w:t xml:space="preserve">supporting the practical application of Union law in criminal matters.9</w:t>
      </w:r>
      <w:r>
        <w:t xml:space="preserve"> </w:t>
      </w:r>
      <w:r>
        <w:t xml:space="preserve">While Eurojust does not exercise prosecutorial powers itself, the Regulation equips it with</w:t>
      </w:r>
      <w:r>
        <w:t xml:space="preserve"> </w:t>
      </w:r>
      <w:r>
        <w:t xml:space="preserve">structured coordination tools that go beyond informal facilitation. Eurojust may</w:t>
      </w:r>
      <w:r>
        <w:t xml:space="preserve"> </w:t>
      </w:r>
      <w:r>
        <w:t xml:space="preserve">request competent national authorities to initiate or coordinate investigations or</w:t>
      </w:r>
      <w:r>
        <w:t xml:space="preserve"> </w:t>
      </w:r>
      <w:r>
        <w:t xml:space="preserve">prosecutions, to accept that one authority may be better placed to prosecute, to set up a</w:t>
      </w:r>
      <w:r>
        <w:t xml:space="preserve"> </w:t>
      </w:r>
      <w:r>
        <w:t xml:space="preserve">Joint Investigation Team, or to take other measures necessary for effective judicial</w:t>
      </w:r>
      <w:r>
        <w:t xml:space="preserve"> </w:t>
      </w:r>
      <w:r>
        <w:t xml:space="preserve">cooperation. Where coordination difficulties persist, Eurojust may issue reasoned written</w:t>
      </w:r>
      <w:r>
        <w:t xml:space="preserve"> </w:t>
      </w:r>
      <w:r>
        <w:t xml:space="preserve">opinions. National authorities are required to respond without undue delay, subject to</w:t>
      </w:r>
      <w:r>
        <w:t xml:space="preserve"> </w:t>
      </w:r>
      <w:r>
        <w:t xml:space="preserve">limited and explicitly defined refusal grounds.10</w:t>
      </w:r>
      <w:r>
        <w:br/>
      </w:r>
      <w:r>
        <w:t xml:space="preserve">In practice, operational tasks are carried out primarily through the national members,</w:t>
      </w:r>
      <w:r>
        <w:t xml:space="preserve"> </w:t>
      </w:r>
      <w:r>
        <w:t xml:space="preserve">acting individually or jointly as the College, reflecting the Agency’s role as a facilitator</w:t>
      </w:r>
      <w:r>
        <w:t xml:space="preserve"> </w:t>
      </w:r>
      <w:r>
        <w:t xml:space="preserve">of national judicial action rather than an autonomous prosecutorial body. This reinforces</w:t>
      </w:r>
      <w:r>
        <w:t xml:space="preserve"> </w:t>
      </w:r>
      <w:r>
        <w:t xml:space="preserve">the principle that operational ownership of cases remains with Member States, while</w:t>
      </w:r>
      <w:r>
        <w:t xml:space="preserve"> </w:t>
      </w:r>
      <w:r>
        <w:t xml:space="preserve">Eurojust provides the institutional framework, continuity and coordination necessary to</w:t>
      </w:r>
      <w:r>
        <w:t xml:space="preserve"> </w:t>
      </w:r>
      <w:r>
        <w:t xml:space="preserve">align national actions in complex cross-border proceedings.11 The Regulation, after its</w:t>
      </w:r>
      <w:r>
        <w:t xml:space="preserve"> </w:t>
      </w:r>
      <w:r>
        <w:t xml:space="preserve">targeted amendment in 2022, also empowers Eurojust to establish and manage the Core</w:t>
      </w:r>
      <w:r>
        <w:t xml:space="preserve"> </w:t>
      </w:r>
      <w:r>
        <w:t xml:space="preserve">International Crimes Evidence Database (CICED), enabling the secure storage and</w:t>
      </w:r>
      <w:r>
        <w:t xml:space="preserve"> </w:t>
      </w:r>
      <w:r>
        <w:t xml:space="preserve">preservation of evidence relating to genocide, crimes against humanity and war crimes.12</w:t>
      </w:r>
      <w:r>
        <w:t xml:space="preserve"> </w:t>
      </w:r>
      <w:r>
        <w:t xml:space="preserve">Eurojust’s operational architecture is thus built around the national member model. Each</w:t>
      </w:r>
      <w:r>
        <w:t xml:space="preserve"> </w:t>
      </w:r>
      <w:r>
        <w:t xml:space="preserve">Member State is represented by a national member, supported by deputies and assistants,</w:t>
      </w:r>
      <w:r>
        <w:t xml:space="preserve"> </w:t>
      </w:r>
      <w:r>
        <w:t xml:space="preserve">who are in principle experienced prosecutors, judges or equivalent officials. This structure</w:t>
      </w:r>
    </w:p>
    <w:p>
      <w:pPr>
        <w:pStyle w:val="BodyText"/>
      </w:pPr>
      <w:r>
        <w:t xml:space="preserve">7 Article 3; Annex I of Regulation (EU) 2018/1727.</w:t>
      </w:r>
      <w:r>
        <w:t xml:space="preserve"> </w:t>
      </w:r>
      <w:r>
        <w:t xml:space="preserve">8 Recitals 5, 7-8; Article 3 of Regulation (EU) 2018/1727.</w:t>
      </w:r>
      <w:r>
        <w:t xml:space="preserve"> </w:t>
      </w:r>
      <w:r>
        <w:t xml:space="preserve">9 Recitals 12-15; Article 4 of Regulation (EU) 2018/1727.</w:t>
      </w:r>
      <w:r>
        <w:t xml:space="preserve"> </w:t>
      </w:r>
      <w:r>
        <w:t xml:space="preserve">10 Article 4 of Regulation (EU) 2018/1727.</w:t>
      </w:r>
      <w:r>
        <w:t xml:space="preserve"> </w:t>
      </w:r>
      <w:r>
        <w:t xml:space="preserve">11 Recital 12; Article 5 of Regulation (EU) 2018/1727.</w:t>
      </w:r>
      <w:r>
        <w:t xml:space="preserve"> </w:t>
      </w:r>
      <w:r>
        <w:t xml:space="preserve">12 Article 4(j) Regulation (EU) 2018/1727.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ensures that Eurojust’s actions and exercise of powers are grounded in national legal</w:t>
      </w:r>
      <w:r>
        <w:t xml:space="preserve"> </w:t>
      </w:r>
      <w:r>
        <w:t xml:space="preserve">systems while enabling rapid coordination across jurisdictions.13 The Regulation therefore</w:t>
      </w:r>
      <w:r>
        <w:t xml:space="preserve"> </w:t>
      </w:r>
      <w:r>
        <w:t xml:space="preserve">requires Member States to grant national members the powers necessary to fulfil</w:t>
      </w:r>
      <w:r>
        <w:t xml:space="preserve"> </w:t>
      </w:r>
      <w:r>
        <w:t xml:space="preserve">Eurojust’s tasks, in accordance with national law. These powers may include the ability</w:t>
      </w:r>
      <w:r>
        <w:t xml:space="preserve"> </w:t>
      </w:r>
      <w:r>
        <w:t xml:space="preserve">to issue, execute or transmit judicial cooperation requests, and to take urgent measures in</w:t>
      </w:r>
      <w:r>
        <w:t xml:space="preserve"> </w:t>
      </w:r>
      <w:r>
        <w:t xml:space="preserve">exceptional circumstances.14 This legal framework seeks to reduce delays caused by</w:t>
      </w:r>
      <w:r>
        <w:t xml:space="preserve"> </w:t>
      </w:r>
      <w:r>
        <w:t xml:space="preserve">fragmented competences while preserving constitutional and procedural safeguards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Next to the College - which is chaired by the President of Eurojust, who is also a National</w:t>
      </w:r>
      <w:r>
        <w:t xml:space="preserve"> </w:t>
      </w:r>
      <w:r>
        <w:t xml:space="preserve">Member - the Regulation also establishes an Executive Board and an Administrative</w:t>
      </w:r>
      <w:r>
        <w:t xml:space="preserve"> </w:t>
      </w:r>
      <w:r>
        <w:t xml:space="preserve">Director, introducing an agency-style governance framework aimed at improving strategic</w:t>
      </w:r>
      <w:r>
        <w:t xml:space="preserve"> </w:t>
      </w:r>
      <w:r>
        <w:t xml:space="preserve">planning, internal efficiency and accountability.15</w:t>
      </w:r>
      <w:r>
        <w:br/>
      </w:r>
      <w:r>
        <w:t xml:space="preserve">A cornerstone of the Regulation is the establishment of structured information-exchange</w:t>
      </w:r>
      <w:r>
        <w:t xml:space="preserve"> </w:t>
      </w:r>
      <w:r>
        <w:t xml:space="preserve">obligations. Member States are required to provide Eurojust with the information</w:t>
      </w:r>
      <w:r>
        <w:t xml:space="preserve"> </w:t>
      </w:r>
      <w:r>
        <w:t xml:space="preserve">necessary for the performance of its tasks, and the Regulation specifies categories of cases</w:t>
      </w:r>
      <w:r>
        <w:t xml:space="preserve"> </w:t>
      </w:r>
      <w:r>
        <w:t xml:space="preserve">and situations that should be transmitted, such as those involving multiple Member States,</w:t>
      </w:r>
      <w:r>
        <w:t xml:space="preserve"> </w:t>
      </w:r>
      <w:r>
        <w:t xml:space="preserve">potential conflicts of jurisdiction, or repeated difficulties in executing cooperation</w:t>
      </w:r>
      <w:r>
        <w:t xml:space="preserve"> </w:t>
      </w:r>
      <w:r>
        <w:t xml:space="preserve">requests. This moves judicial cooperation from a largely voluntary model toward a more</w:t>
      </w:r>
      <w:r>
        <w:t xml:space="preserve"> </w:t>
      </w:r>
      <w:r>
        <w:t xml:space="preserve">predictable and systematic exchange of information.16 To support this obligation at</w:t>
      </w:r>
      <w:r>
        <w:t xml:space="preserve"> </w:t>
      </w:r>
      <w:r>
        <w:t xml:space="preserve">national level, the Regulation requires each Member State to establish a Eurojust national</w:t>
      </w:r>
      <w:r>
        <w:t xml:space="preserve"> </w:t>
      </w:r>
      <w:r>
        <w:t xml:space="preserve">coordination system (ENCS), bringing together national correspondents, contact points</w:t>
      </w:r>
      <w:r>
        <w:t xml:space="preserve"> </w:t>
      </w:r>
      <w:r>
        <w:t xml:space="preserve">and relevant networks, including the European Judicial Network. To ensure operational</w:t>
      </w:r>
      <w:r>
        <w:t xml:space="preserve"> </w:t>
      </w:r>
      <w:r>
        <w:t xml:space="preserve">continuity, the Regulation also establishes an on-call coordination mechanism, requiring</w:t>
      </w:r>
      <w:r>
        <w:t xml:space="preserve"> </w:t>
      </w:r>
      <w:r>
        <w:t xml:space="preserve">Member States to ensure round-the-clock availability of national representatives capable</w:t>
      </w:r>
      <w:r>
        <w:t xml:space="preserve"> </w:t>
      </w:r>
      <w:r>
        <w:t xml:space="preserve">of responding to urgent cross-border judicial cooperation needs.17 For terrorism-related</w:t>
      </w:r>
      <w:r>
        <w:t xml:space="preserve"> </w:t>
      </w:r>
      <w:r>
        <w:t xml:space="preserve">cases, the Regulation after the 2023 amendment also introduces reinforced and</w:t>
      </w:r>
      <w:r>
        <w:t xml:space="preserve"> </w:t>
      </w:r>
      <w:r>
        <w:t xml:space="preserve">standardised information-sharing obligations, stipulating the particular importance of early</w:t>
      </w:r>
      <w:r>
        <w:t xml:space="preserve"> </w:t>
      </w:r>
      <w:r>
        <w:t xml:space="preserve">identification of cross-border links between proceedings in this area.18</w:t>
      </w:r>
      <w:r>
        <w:t xml:space="preserve"> </w:t>
      </w:r>
      <w:r>
        <w:t xml:space="preserve">The Regulation furthermore provides the legal basis for Eurojust’s Case Management</w:t>
      </w:r>
      <w:r>
        <w:t xml:space="preserve"> </w:t>
      </w:r>
      <w:r>
        <w:t xml:space="preserve">System (CMS) and for digital communication between Eurojust and national</w:t>
      </w:r>
      <w:r>
        <w:t xml:space="preserve"> </w:t>
      </w:r>
      <w:r>
        <w:t xml:space="preserve">authorities. It foresees the use of interoperable IT systems to support efficient, secure and</w:t>
      </w:r>
      <w:r>
        <w:t xml:space="preserve"> </w:t>
      </w:r>
      <w:r>
        <w:t xml:space="preserve">timely exchange of judicial information, thereby underpinning Eurojust’s ability to manage</w:t>
      </w:r>
      <w:r>
        <w:t xml:space="preserve"> </w:t>
      </w:r>
      <w:r>
        <w:t xml:space="preserve">growing volumes of complex case data.19 Given the sensitivity of judicial cooperation data,</w:t>
      </w:r>
      <w:r>
        <w:t xml:space="preserve"> </w:t>
      </w:r>
      <w:r>
        <w:t xml:space="preserve">the Regulation establishes specific rules governing the processing of operational</w:t>
      </w:r>
      <w:r>
        <w:t xml:space="preserve"> </w:t>
      </w:r>
      <w:r>
        <w:t xml:space="preserve">personal data by Eurojust and situates Eurojust within the overarching data</w:t>
      </w:r>
      <w:r>
        <w:t xml:space="preserve"> </w:t>
      </w:r>
      <w:r>
        <w:t xml:space="preserve">protection frameworks, especially for European agencies and law enforcement-data.</w:t>
      </w:r>
      <w:r>
        <w:t xml:space="preserve"> </w:t>
      </w:r>
      <w:r>
        <w:t xml:space="preserve">It defines the categories of data that may be processed, limits access within the Agency,</w:t>
      </w:r>
      <w:r>
        <w:t xml:space="preserve"> </w:t>
      </w:r>
      <w:r>
        <w:t xml:space="preserve">and subjects Eurojust to internal data protection safeguards and external supervision by the</w:t>
      </w:r>
      <w:r>
        <w:t xml:space="preserve"> </w:t>
      </w:r>
      <w:r>
        <w:t xml:space="preserve">European Data Protection Supervisor.20</w:t>
      </w:r>
    </w:p>
    <w:p>
      <w:pPr>
        <w:pStyle w:val="BodyText"/>
      </w:pPr>
      <w:r>
        <w:t xml:space="preserve">13 Articles 7-9 of Regulation (EU) 2018/1727.</w:t>
      </w:r>
      <w:r>
        <w:t xml:space="preserve"> </w:t>
      </w:r>
      <w:r>
        <w:t xml:space="preserve">14 Article 8-9 of Regulation (EU) 2018/1727.</w:t>
      </w:r>
      <w:r>
        <w:t xml:space="preserve"> </w:t>
      </w:r>
      <w:r>
        <w:t xml:space="preserve">15 Recitals 16-21; Articles 10-18 of Regulation (EU) 2018/1727.</w:t>
      </w:r>
      <w:r>
        <w:t xml:space="preserve"> </w:t>
      </w:r>
      <w:r>
        <w:t xml:space="preserve">16 Recital 27; Article 21 of Regulation (EU) 2018/1727.</w:t>
      </w:r>
      <w:r>
        <w:t xml:space="preserve"> </w:t>
      </w:r>
      <w:r>
        <w:t xml:space="preserve">17 Recital 25; Article 19 of Regulation (EU) 2018/1727.</w:t>
      </w:r>
      <w:r>
        <w:t xml:space="preserve"> </w:t>
      </w:r>
      <w:r>
        <w:t xml:space="preserve">18 Recital 26; Articles 20 of Regulation (EU) 2018/1727.</w:t>
      </w:r>
      <w:r>
        <w:t xml:space="preserve"> </w:t>
      </w:r>
      <w:r>
        <w:t xml:space="preserve">19 Articles 22-25 of Regulation (EU) 2018/1727.</w:t>
      </w:r>
      <w:r>
        <w:t xml:space="preserve"> </w:t>
      </w:r>
      <w:r>
        <w:t xml:space="preserve">20 Recitals 28-53; Chapter IV of Regulation (EU) 2018/1727.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Finally, the Regulation explicitly places Eurojust within the broader EU judicial</w:t>
      </w:r>
      <w:r>
        <w:t xml:space="preserve"> </w:t>
      </w:r>
      <w:r>
        <w:t xml:space="preserve">cooperation ecosystem. It provides a framework for cooperation with Europol, the</w:t>
      </w:r>
      <w:r>
        <w:t xml:space="preserve"> </w:t>
      </w:r>
      <w:r>
        <w:t xml:space="preserve">European Judicial Network (EJN), OLAF, the EPPO and third countries - including</w:t>
      </w:r>
      <w:r>
        <w:t xml:space="preserve"> </w:t>
      </w:r>
      <w:r>
        <w:t xml:space="preserve">through liaison prosecutors and coordination of multilateral judicial requests.21</w:t>
      </w:r>
      <w:r>
        <w:br/>
      </w:r>
      <w:r>
        <w:t xml:space="preserve">Taken together, the Eurojust Regulation establishes a comprehensive legal architecture</w:t>
      </w:r>
      <w:r>
        <w:t xml:space="preserve"> </w:t>
      </w:r>
      <w:r>
        <w:t xml:space="preserve">that defines Eurojust’s mandate, tasks and powers; structures its operational and</w:t>
      </w:r>
      <w:r>
        <w:t xml:space="preserve"> </w:t>
      </w:r>
      <w:r>
        <w:t xml:space="preserve">governance model; and equips it with modern information-exchange and data-processing</w:t>
      </w:r>
      <w:r>
        <w:t xml:space="preserve"> </w:t>
      </w:r>
      <w:r>
        <w:t xml:space="preserve">capacities. This framework underpins Eurojust’s role as the central hub for judicial</w:t>
      </w:r>
      <w:r>
        <w:t xml:space="preserve"> </w:t>
      </w:r>
      <w:r>
        <w:t xml:space="preserve">coordination in the Union, while ensuring safeguards, accountability and</w:t>
      </w:r>
      <w:r>
        <w:t xml:space="preserve"> </w:t>
      </w:r>
      <w:r>
        <w:t xml:space="preserve">complementarity within the evolving European criminal justice system.</w:t>
      </w:r>
    </w:p>
    <w:p>
      <w:pPr>
        <w:pStyle w:val="Compact"/>
        <w:numPr>
          <w:ilvl w:val="0"/>
          <w:numId w:val="1038"/>
        </w:numPr>
      </w:pPr>
      <w:r>
        <w:t xml:space="preserve">ENSURING FULL COMPLIANCE WITH FUNDAMENTAL RIGHTS</w:t>
      </w:r>
      <w:r>
        <w:t xml:space="preserve"> </w:t>
      </w:r>
      <w:r>
        <w:t xml:space="preserve">A revised Eurojust Regulation will fully observe the principles in the Charter of</w:t>
      </w:r>
      <w:r>
        <w:t xml:space="preserve"> </w:t>
      </w:r>
      <w:r>
        <w:t xml:space="preserve">Fundamental Rights of the European Union (the Charter) as recognised in the TEU, as well</w:t>
      </w:r>
      <w:r>
        <w:t xml:space="preserve"> </w:t>
      </w:r>
      <w:r>
        <w:t xml:space="preserve">as the general principles of EU law derived from the European Convention for the</w:t>
      </w:r>
      <w:r>
        <w:t xml:space="preserve"> </w:t>
      </w:r>
      <w:r>
        <w:t xml:space="preserve">Protection of Human Rights and Fundamental Freedoms (ECHR). This is particularly</w:t>
      </w:r>
      <w:r>
        <w:t xml:space="preserve"> </w:t>
      </w:r>
      <w:r>
        <w:t xml:space="preserve">important in areas where Eurojust’s expanded mandate would intersect with criminal</w:t>
      </w:r>
      <w:r>
        <w:t xml:space="preserve"> </w:t>
      </w:r>
      <w:r>
        <w:t xml:space="preserve">procedural safeguards and data protection.</w:t>
      </w:r>
      <w:r>
        <w:t xml:space="preserve"> </w:t>
      </w:r>
      <w:r>
        <w:t xml:space="preserve">The current EJR reflects a strong commitment to the Charter and the Convention for the</w:t>
      </w:r>
      <w:r>
        <w:t xml:space="preserve"> </w:t>
      </w:r>
      <w:r>
        <w:t xml:space="preserve">Protection of Human Rights and Fundamental Freedoms (ECHR), in particular human</w:t>
      </w:r>
      <w:r>
        <w:t xml:space="preserve"> </w:t>
      </w:r>
      <w:r>
        <w:t xml:space="preserve">dignity (Article 1 of the Charter), the right to integrity (Article 3 of the Charter), the right</w:t>
      </w:r>
      <w:r>
        <w:t xml:space="preserve"> </w:t>
      </w:r>
      <w:r>
        <w:t xml:space="preserve">to liberty and security (Article 6 of the Charter), respect for private and family life (Article</w:t>
      </w:r>
      <w:r>
        <w:t xml:space="preserve"> </w:t>
      </w:r>
      <w:r>
        <w:t xml:space="preserve">7 of the Charter), the protection of personal data (Article 8 of the Charter), non-</w:t>
      </w:r>
      <w:r>
        <w:t xml:space="preserve"> </w:t>
      </w:r>
      <w:r>
        <w:t xml:space="preserve">discrimination (Article 21 of the Charter), the rights of the child (Article 24 of the Charter),</w:t>
      </w:r>
      <w:r>
        <w:t xml:space="preserve"> </w:t>
      </w:r>
      <w:r>
        <w:t xml:space="preserve">the presumption of innocence and right of defence (Article 48 of the Charter), the</w:t>
      </w:r>
      <w:r>
        <w:t xml:space="preserve"> </w:t>
      </w:r>
      <w:r>
        <w:t xml:space="preserve">principles of legality and proportionality of criminal offences and penalties (Article 49 of</w:t>
      </w:r>
      <w:r>
        <w:t xml:space="preserve"> </w:t>
      </w:r>
      <w:r>
        <w:t xml:space="preserve">the Charter), and the right not to be tried or punished twice in criminal proceedings for the</w:t>
      </w:r>
      <w:r>
        <w:t xml:space="preserve"> </w:t>
      </w:r>
      <w:r>
        <w:t xml:space="preserve">same offence (Article 50 of the Charter).</w:t>
      </w:r>
      <w:r>
        <w:br/>
      </w:r>
      <w:r>
        <w:t xml:space="preserve">Given the importance of the access to personal data in Eurojust’s support for the work of</w:t>
      </w:r>
      <w:r>
        <w:t xml:space="preserve"> </w:t>
      </w:r>
      <w:r>
        <w:t xml:space="preserve">judicial authorities and of the processing, this impact assessment focuses specifically on</w:t>
      </w:r>
      <w:r>
        <w:t xml:space="preserve"> </w:t>
      </w:r>
      <w:r>
        <w:t xml:space="preserve">ensuring full compliance with the rights to the protection of personal data (Article 8 of</w:t>
      </w:r>
      <w:r>
        <w:t xml:space="preserve"> </w:t>
      </w:r>
      <w:r>
        <w:t xml:space="preserve">the Charter) and to respect for private life (Article 7 of the Charter).</w:t>
      </w:r>
      <w:r>
        <w:br/>
      </w:r>
      <w:r>
        <w:t xml:space="preserve">Rights to the protection of personal data and to respect for private life</w:t>
      </w:r>
      <w:r>
        <w:br/>
      </w:r>
      <w:r>
        <w:t xml:space="preserve">Strengthening the possibility of exchanging personal information between Eurojust and</w:t>
      </w:r>
      <w:r>
        <w:t xml:space="preserve"> </w:t>
      </w:r>
      <w:r>
        <w:t xml:space="preserve">other JHA IBOAs, especially Europol, as well as third-country authorities, raises</w:t>
      </w:r>
      <w:r>
        <w:t xml:space="preserve"> </w:t>
      </w:r>
      <w:r>
        <w:t xml:space="preserve">fundamental rights consideration. These considerations primarily concern the right to the</w:t>
      </w:r>
      <w:r>
        <w:t xml:space="preserve"> </w:t>
      </w:r>
      <w:r>
        <w:t xml:space="preserve">protection of personal data under Articles 7 and 8 of the Charter. These issues are</w:t>
      </w:r>
      <w:r>
        <w:t xml:space="preserve"> </w:t>
      </w:r>
      <w:r>
        <w:t xml:space="preserve">particularly important concerning the transfer of data to the national competent authorities</w:t>
      </w:r>
      <w:r>
        <w:t xml:space="preserve"> </w:t>
      </w:r>
      <w:r>
        <w:t xml:space="preserve">of third countries for which only data strictly necessary for judicial cooperation should be</w:t>
      </w:r>
      <w:r>
        <w:t xml:space="preserve"> </w:t>
      </w:r>
      <w:r>
        <w:t xml:space="preserve">shared, in compliance with the EU data protection framework, in particular the Chapter</w:t>
      </w:r>
    </w:p>
    <w:p>
      <w:pPr>
        <w:pStyle w:val="FirstParagraph"/>
      </w:pPr>
      <w:r>
        <w:t xml:space="preserve">21 Recitals 54-60; Chapter V of Regulation (EU) 2018/1727.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IX of the EUDPR. Enhanced data-sharing, while operationally valuable for combating</w:t>
      </w:r>
      <w:r>
        <w:t xml:space="preserve"> </w:t>
      </w:r>
      <w:r>
        <w:t xml:space="preserve">crime, introduces certain risks that must be carefully managed.</w:t>
      </w:r>
      <w:r>
        <w:br/>
      </w:r>
      <w:r>
        <w:t xml:space="preserve">A more frequent exchange of personal data, including sensitive data such as biometric or</w:t>
      </w:r>
      <w:r>
        <w:t xml:space="preserve"> </w:t>
      </w:r>
      <w:r>
        <w:t xml:space="preserve">criminal records, increases the number of actors with access to this information and</w:t>
      </w:r>
      <w:r>
        <w:t xml:space="preserve"> </w:t>
      </w:r>
      <w:r>
        <w:t xml:space="preserve">eventually a longer retention and broader reuse of data may occur. Such interference must</w:t>
      </w:r>
      <w:r>
        <w:t xml:space="preserve"> </w:t>
      </w:r>
      <w:r>
        <w:t xml:space="preserve">therefore meet strict necessity and proportionality requirements. Stronger data</w:t>
      </w:r>
      <w:r>
        <w:t xml:space="preserve"> </w:t>
      </w:r>
      <w:r>
        <w:t xml:space="preserve">exchange may risk blurring the boundary between intelligence and judicial use, a reuse of</w:t>
      </w:r>
      <w:r>
        <w:t xml:space="preserve"> </w:t>
      </w:r>
      <w:r>
        <w:t xml:space="preserve">data for purposes not originally envisaged and a potential reliance on unverified or</w:t>
      </w:r>
      <w:r>
        <w:t xml:space="preserve"> </w:t>
      </w:r>
      <w:r>
        <w:t xml:space="preserve">analytical data in judicial proceedings. Moreover, this threatens the purpose limitation</w:t>
      </w:r>
      <w:r>
        <w:t xml:space="preserve"> </w:t>
      </w:r>
      <w:r>
        <w:t xml:space="preserve">principle that is a core data-protection safeguard.</w:t>
      </w:r>
      <w:r>
        <w:t xml:space="preserve"> </w:t>
      </w:r>
      <w:r>
        <w:t xml:space="preserve">To mitigate these risks, enhanced exchange must be clearly defined in the legal basis</w:t>
      </w:r>
      <w:r>
        <w:t xml:space="preserve"> </w:t>
      </w:r>
      <w:r>
        <w:t xml:space="preserve">(which is EU secondary legislation), strictly limited to specific categories of data and</w:t>
      </w:r>
      <w:r>
        <w:t xml:space="preserve"> </w:t>
      </w:r>
      <w:r>
        <w:t xml:space="preserve">finally linked to precise objectives in accordance with the principle of proportionality.</w:t>
      </w:r>
      <w:r>
        <w:t xml:space="preserve"> </w:t>
      </w:r>
      <w:r>
        <w:t xml:space="preserve">Lastly, effective protection will require an oversight by the European Data Protection</w:t>
      </w:r>
      <w:r>
        <w:t xml:space="preserve"> </w:t>
      </w:r>
      <w:r>
        <w:t xml:space="preserve">Supervisor (EDPS).</w:t>
      </w:r>
      <w:r>
        <w:t xml:space="preserve"> </w:t>
      </w:r>
      <w:r>
        <w:t xml:space="preserve">This is why this impact assessment thoroughly takes into consideration these issues of data</w:t>
      </w:r>
      <w:r>
        <w:t xml:space="preserve"> </w:t>
      </w:r>
      <w:r>
        <w:t xml:space="preserve">protection and privacy and any consequences of the proposed amendments to the current</w:t>
      </w:r>
      <w:r>
        <w:t xml:space="preserve"> </w:t>
      </w:r>
      <w:r>
        <w:t xml:space="preserve">legal framework for the processing and sharing of personal data by Eurojust with its</w:t>
      </w:r>
      <w:r>
        <w:t xml:space="preserve"> </w:t>
      </w:r>
      <w:r>
        <w:t xml:space="preserve">European institutional partners (IBOAs or Member States) and third countries.</w:t>
      </w:r>
      <w:r>
        <w:t xml:space="preserve"> </w:t>
      </w:r>
      <w:r>
        <w:t xml:space="preserve">The preferred policy option, particularly the measures enhancing data exchange with</w:t>
      </w:r>
      <w:r>
        <w:t xml:space="preserve"> </w:t>
      </w:r>
      <w:r>
        <w:t xml:space="preserve">Europol, the EPPO, and third countries (such as D.PO3, E.PO2, and F.PO2), will</w:t>
      </w:r>
      <w:r>
        <w:t xml:space="preserve"> </w:t>
      </w:r>
      <w:r>
        <w:t xml:space="preserve">increase the volume and scope of personal data processing. While this strengthens</w:t>
      </w:r>
      <w:r>
        <w:t xml:space="preserve"> </w:t>
      </w:r>
      <w:r>
        <w:t xml:space="preserve">operational cooperation, it also introduces risks that must be carefully managed.</w:t>
      </w:r>
      <w:r>
        <w:t xml:space="preserve"> </w:t>
      </w:r>
      <w:r>
        <w:t xml:space="preserve">A more frequent exchange of personal data, including sensitive information such as</w:t>
      </w:r>
      <w:r>
        <w:t xml:space="preserve"> </w:t>
      </w:r>
      <w:r>
        <w:t xml:space="preserve">biometric or criminal records, raises concerns about expanded access by a broader range</w:t>
      </w:r>
      <w:r>
        <w:t xml:space="preserve"> </w:t>
      </w:r>
      <w:r>
        <w:t xml:space="preserve">of actors, potentially leading to longer retention periods and reuse of data beyond its</w:t>
      </w:r>
      <w:r>
        <w:t xml:space="preserve"> </w:t>
      </w:r>
      <w:r>
        <w:t xml:space="preserve">original purpose. Additionally, there is a risk of blurring the boundary between</w:t>
      </w:r>
      <w:r>
        <w:t xml:space="preserve"> </w:t>
      </w:r>
      <w:r>
        <w:t xml:space="preserve">intelligence and judicial use, where data collected for law enforcement purposes (e.g., by</w:t>
      </w:r>
      <w:r>
        <w:t xml:space="preserve"> </w:t>
      </w:r>
      <w:r>
        <w:t xml:space="preserve">Europol) might be repurposed for judicial proceedings without sufficient safeguards.</w:t>
      </w:r>
      <w:r>
        <w:t xml:space="preserve"> </w:t>
      </w:r>
      <w:r>
        <w:t xml:space="preserve">Furthermore, transfers to third countries pose challenges, as data protection standards in</w:t>
      </w:r>
      <w:r>
        <w:t xml:space="preserve"> </w:t>
      </w:r>
      <w:r>
        <w:t xml:space="preserve">those jurisdictions may not fully align with EU requirements, particularly under Chapter</w:t>
      </w:r>
      <w:r>
        <w:t xml:space="preserve"> </w:t>
      </w:r>
      <w:r>
        <w:t xml:space="preserve">IX of the EU Data Protection Regulation (EUDPR).</w:t>
      </w:r>
      <w:r>
        <w:t xml:space="preserve"> </w:t>
      </w:r>
      <w:r>
        <w:t xml:space="preserve">To mitigate these risks, strict legal bases for data exchange will be established, ensuring</w:t>
      </w:r>
      <w:r>
        <w:t xml:space="preserve"> </w:t>
      </w:r>
      <w:r>
        <w:t xml:space="preserve">that shared data is limited to what is necessary and proportionate for judicial cooperation.</w:t>
      </w:r>
      <w:r>
        <w:t xml:space="preserve"> </w:t>
      </w:r>
      <w:r>
        <w:t xml:space="preserve">Purpose limitation of safeguards will prevent the reuse of data for unintended objectives,</w:t>
      </w:r>
      <w:r>
        <w:t xml:space="preserve"> </w:t>
      </w:r>
      <w:r>
        <w:t xml:space="preserve">while oversight by the European Data Protection Supervisor (EDPS) will ensure</w:t>
      </w:r>
      <w:r>
        <w:t xml:space="preserve"> </w:t>
      </w:r>
      <w:r>
        <w:t xml:space="preserve">compliance with EU standards, particularly for transfers to third countries. A revision of</w:t>
      </w:r>
      <w:r>
        <w:t xml:space="preserve"> </w:t>
      </w:r>
      <w:r>
        <w:t xml:space="preserve">the EJR will also align with the parallel revision of the EUDPR, which will provide</w:t>
      </w:r>
      <w:r>
        <w:t xml:space="preserve"> </w:t>
      </w:r>
      <w:r>
        <w:t xml:space="preserve">harmonised rules for all Justice and Home Affairs (JHA) agencies, further reinforcing data</w:t>
      </w:r>
      <w:r>
        <w:t xml:space="preserve"> </w:t>
      </w:r>
      <w:r>
        <w:t xml:space="preserve">protection.</w:t>
      </w:r>
      <w:r>
        <w:t xml:space="preserve"> </w:t>
      </w:r>
      <w:r>
        <w:t xml:space="preserve">Procedural Safeguards in Criminal Proceedings</w:t>
      </w:r>
      <w:r>
        <w:t xml:space="preserve"> </w:t>
      </w:r>
      <w:r>
        <w:t xml:space="preserve">The preferred option aims to strengthen Eurojust’s operational role (e.g., through</w:t>
      </w:r>
      <w:r>
        <w:t xml:space="preserve"> </w:t>
      </w:r>
      <w:r>
        <w:t xml:space="preserve">A.PO3 and B.PO3) without compromising core principles of criminal justice. The</w:t>
      </w:r>
      <w:r>
        <w:t xml:space="preserve"> </w:t>
      </w:r>
      <w:r>
        <w:t xml:space="preserve">presumption of innocence and the right of defense (Article 48 of the Charter) must be</w:t>
      </w:r>
      <w:r>
        <w:t xml:space="preserve"> </w:t>
      </w:r>
      <w:r>
        <w:t xml:space="preserve">upheld, particularly in relation to Eurojust’s expanded analytical functions, such as</w:t>
      </w:r>
      <w:r>
        <w:t xml:space="preserve"> </w:t>
      </w:r>
      <w:r>
        <w:t xml:space="preserve">evidence databases for organised crime, which must avoid prejudicing ongoing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investigations or trials. The principle of ne bis in idem (Article 50 of the Charter) will be</w:t>
      </w:r>
      <w:r>
        <w:t xml:space="preserve"> </w:t>
      </w:r>
      <w:r>
        <w:t xml:space="preserve">safeguarded through enhanced coordination mechanisms, which reduce the risk of parallel</w:t>
      </w:r>
      <w:r>
        <w:t xml:space="preserve"> </w:t>
      </w:r>
      <w:r>
        <w:t xml:space="preserve">proceedings.</w:t>
      </w:r>
      <w:r>
        <w:t xml:space="preserve"> </w:t>
      </w:r>
      <w:r>
        <w:t xml:space="preserve">The legality and proportionality of penalties (Article 49 of the Charter) must also be</w:t>
      </w:r>
      <w:r>
        <w:t xml:space="preserve"> </w:t>
      </w:r>
      <w:r>
        <w:t xml:space="preserve">respected, particularly where Eurojust is granted new competences, such as issuing</w:t>
      </w:r>
      <w:r>
        <w:t xml:space="preserve"> </w:t>
      </w:r>
      <w:r>
        <w:t xml:space="preserve">freezing orders. These competences must align with national procedural autonomy and</w:t>
      </w:r>
      <w:r>
        <w:t xml:space="preserve"> </w:t>
      </w:r>
      <w:r>
        <w:t xml:space="preserve">EU-wide standards.</w:t>
      </w:r>
      <w:r>
        <w:t xml:space="preserve"> </w:t>
      </w:r>
      <w:r>
        <w:t xml:space="preserve">Key safeguards will ensure that Eurojust’s role remains supportive and coordinative,</w:t>
      </w:r>
      <w:r>
        <w:t xml:space="preserve"> </w:t>
      </w:r>
      <w:r>
        <w:t xml:space="preserve">avoiding any interference with national judicial independence. Transparency and legal</w:t>
      </w:r>
      <w:r>
        <w:t xml:space="preserve"> </w:t>
      </w:r>
      <w:r>
        <w:t xml:space="preserve">remedies will be embedded in operational procedures, providing clear avenues for</w:t>
      </w:r>
      <w:r>
        <w:t xml:space="preserve"> </w:t>
      </w:r>
      <w:r>
        <w:t xml:space="preserve">individuals to challenge data processing or operational decisions that may affect their</w:t>
      </w:r>
      <w:r>
        <w:t xml:space="preserve"> </w:t>
      </w:r>
      <w:r>
        <w:t xml:space="preserve">rights.</w:t>
      </w:r>
      <w:r>
        <w:t xml:space="preserve"> </w:t>
      </w:r>
      <w:r>
        <w:t xml:space="preserve">Non-Discrimination and Rights of Vulnerable Groups (Articles 21 and 24 of the</w:t>
      </w:r>
      <w:r>
        <w:t xml:space="preserve"> </w:t>
      </w:r>
      <w:r>
        <w:t xml:space="preserve">Charter)</w:t>
      </w:r>
      <w:r>
        <w:t xml:space="preserve"> </w:t>
      </w:r>
      <w:r>
        <w:t xml:space="preserve">The expansion of Eurojust’s mandate to include gender-based violence and victims’</w:t>
      </w:r>
      <w:r>
        <w:t xml:space="preserve"> </w:t>
      </w:r>
      <w:r>
        <w:t xml:space="preserve">rights (under A.PO3) must ensure non-discriminatory application and the protection</w:t>
      </w:r>
      <w:r>
        <w:t xml:space="preserve"> </w:t>
      </w:r>
      <w:r>
        <w:t xml:space="preserve">of victims, particularly in cross-border cases. Where cases involve minors, data processing</w:t>
      </w:r>
      <w:r>
        <w:t xml:space="preserve"> </w:t>
      </w:r>
      <w:r>
        <w:t xml:space="preserve">must fully comply with Article 24 of the Charter, which protects the rights of the child,</w:t>
      </w:r>
      <w:r>
        <w:t xml:space="preserve"> </w:t>
      </w:r>
      <w:r>
        <w:t xml:space="preserve">ensuring that procedures are child-sensitive and respectful of their specific needs.]</w:t>
      </w:r>
      <w:r>
        <w:t xml:space="preserve"> </w:t>
      </w:r>
      <w:r>
        <w:t xml:space="preserve">The preferred option minimises negative impacts on fundamental rights while</w:t>
      </w:r>
      <w:r>
        <w:t xml:space="preserve"> </w:t>
      </w:r>
      <w:r>
        <w:t xml:space="preserve">enhancing Eurojust’s operational effectiveness. The net effect is expected to be neutral</w:t>
      </w:r>
      <w:r>
        <w:t xml:space="preserve"> </w:t>
      </w:r>
      <w:r>
        <w:t xml:space="preserve">or positive, particularly through measures that:</w:t>
      </w:r>
      <w:r>
        <w:t xml:space="preserve"> </w:t>
      </w:r>
      <w:r>
        <w:t xml:space="preserve">• Reduce risks of jurisdictional conflicts, for example by implementing B.PO3’s</w:t>
      </w:r>
      <w:r>
        <w:t xml:space="preserve"> </w:t>
      </w:r>
      <w:r>
        <w:t xml:space="preserve">case allocation system, which ensures clearer and more consistent case handling.</w:t>
      </w:r>
      <w:r>
        <w:t xml:space="preserve"> </w:t>
      </w:r>
      <w:r>
        <w:t xml:space="preserve">• Improve coherence with EU data protection frameworks, particularly through</w:t>
      </w:r>
      <w:r>
        <w:t xml:space="preserve"> </w:t>
      </w:r>
      <w:r>
        <w:t xml:space="preserve">alignment with the revision of the EUDPR, which will establish harmonised rules</w:t>
      </w:r>
      <w:r>
        <w:t xml:space="preserve"> </w:t>
      </w:r>
      <w:r>
        <w:t xml:space="preserve">for data processing across JHA agencies.</w:t>
      </w:r>
      <w:r>
        <w:t xml:space="preserve"> </w:t>
      </w:r>
      <w:r>
        <w:t xml:space="preserve">• Embed procedural safeguards in operational tools, such as analytical databases,</w:t>
      </w:r>
      <w:r>
        <w:t xml:space="preserve"> </w:t>
      </w:r>
      <w:r>
        <w:t xml:space="preserve">ensuring that fundamental rights are protected throughout judicial cooperation</w:t>
      </w:r>
      <w:r>
        <w:t xml:space="preserve"> </w:t>
      </w:r>
      <w:r>
        <w:t xml:space="preserve">processes.</w:t>
      </w:r>
    </w:p>
    <w:p>
      <w:pPr>
        <w:pStyle w:val="Compact"/>
        <w:numPr>
          <w:ilvl w:val="0"/>
          <w:numId w:val="1039"/>
        </w:numPr>
      </w:pPr>
      <w:r>
        <w:t xml:space="preserve">LEGAL INSTRUMENTS AND STRATEGIES INCLUDING A ROLE FOR EUROJUST</w:t>
      </w:r>
      <w:r>
        <w:t xml:space="preserve"> </w:t>
      </w:r>
      <w:r>
        <w:t xml:space="preserve">●</w:t>
      </w:r>
      <w:r>
        <w:t xml:space="preserve"> </w:t>
      </w:r>
      <w:r>
        <w:t xml:space="preserve">European Arrest Warrant (EAW): Framework Decision 2002/584 of 13.06.2002,</w:t>
      </w:r>
      <w:r>
        <w:t xml:space="preserve"> </w:t>
      </w:r>
      <w:r>
        <w:t xml:space="preserve">Articles 16, 17. Eurojust can provide advice in the case of competing EAWs;</w:t>
      </w:r>
      <w:r>
        <w:br/>
      </w:r>
      <w:r>
        <w:t xml:space="preserve">Eurojust shall be notified when Member states cannot comply with the time limits</w:t>
      </w:r>
      <w:r>
        <w:t xml:space="preserve"> </w:t>
      </w:r>
      <w:r>
        <w:t xml:space="preserve">set out in the Framework Decision.</w:t>
      </w:r>
      <w:r>
        <w:br/>
      </w:r>
      <w:r>
        <w:t xml:space="preserve">●</w:t>
      </w:r>
      <w:r>
        <w:t xml:space="preserve"> </w:t>
      </w:r>
      <w:r>
        <w:t xml:space="preserve">Transfer of proceedings: Regulation 2024/3011 of 27.11.2024, Articles 18, 24, 26,</w:t>
      </w:r>
    </w:p>
    <w:p>
      <w:pPr>
        <w:pStyle w:val="Compact"/>
        <w:numPr>
          <w:ilvl w:val="0"/>
          <w:numId w:val="1039"/>
        </w:numPr>
      </w:pPr>
      <w:r>
        <w:t xml:space="preserve">Eurojust shall assist the authorities involved at any stage of the procedure, in</w:t>
      </w:r>
      <w:r>
        <w:t xml:space="preserve"> </w:t>
      </w:r>
      <w:r>
        <w:t xml:space="preserve">particular supporting (preliminary) consultations between the authorities, facilitating</w:t>
      </w:r>
      <w:r>
        <w:t xml:space="preserve"> </w:t>
      </w:r>
      <w:r>
        <w:t xml:space="preserve">an agreement on the concentration of the proceedings in one Member State, facilitate</w:t>
      </w:r>
      <w:r>
        <w:t xml:space="preserve"> </w:t>
      </w:r>
      <w:r>
        <w:t xml:space="preserve">the transmission of all communication between the authorities involved.</w:t>
      </w:r>
      <w:r>
        <w:t xml:space="preserve"> </w:t>
      </w:r>
      <w:r>
        <w:t xml:space="preserve">●</w:t>
      </w:r>
      <w:r>
        <w:t xml:space="preserve"> </w:t>
      </w:r>
      <w:r>
        <w:t xml:space="preserve">Conflicts of jurisdiction: Framework Decision 2009/948 of 30.11.2009, Article 12</w:t>
      </w:r>
      <w:r>
        <w:t xml:space="preserve"> </w:t>
      </w:r>
      <w:r>
        <w:t xml:space="preserve">and several recitals. Eurojust may facilitate consultations between the authorities, the</w:t>
      </w:r>
      <w:r>
        <w:t xml:space="preserve"> </w:t>
      </w:r>
      <w:r>
        <w:t xml:space="preserve">national authorities shall refer the case to Eurojust where they cannot reach a</w:t>
      </w:r>
      <w:r>
        <w:t xml:space="preserve"> </w:t>
      </w:r>
      <w:r>
        <w:t xml:space="preserve">consensus on how to solve a conflict of jurisdiction. Directive 2017/541 of</w:t>
      </w:r>
    </w:p>
    <w:p>
      <w:pPr>
        <w:pStyle w:val="FirstParagraph"/>
      </w:pPr>
      <w:r>
        <w:t xml:space="preserve">78</w:t>
      </w:r>
      <w:r>
        <w:t xml:space="preserve"> </w:t>
      </w:r>
      <w:r>
        <w:t xml:space="preserve">15.03.2017 on combating terrorism, Article 19 refers to the role of Eurojust in</w:t>
      </w:r>
      <w:r>
        <w:t xml:space="preserve"> </w:t>
      </w:r>
      <w:r>
        <w:t xml:space="preserve">conflicts of jurisdiction in terrorism cases.</w:t>
      </w:r>
      <w:r>
        <w:br/>
      </w:r>
      <w:r>
        <w:t xml:space="preserve">●</w:t>
      </w:r>
      <w:r>
        <w:t xml:space="preserve"> </w:t>
      </w:r>
      <w:r>
        <w:t xml:space="preserve">European Protection Order: Directive 2011/99 of 13.12.2011, Article 8. Eurojust</w:t>
      </w:r>
      <w:r>
        <w:t xml:space="preserve"> </w:t>
      </w:r>
      <w:r>
        <w:t xml:space="preserve">can support in the transmission phase and with obtaining the necessary information.</w:t>
      </w:r>
      <w:r>
        <w:br/>
      </w:r>
      <w:r>
        <w:t xml:space="preserve">●</w:t>
      </w:r>
      <w:r>
        <w:t xml:space="preserve"> </w:t>
      </w:r>
      <w:r>
        <w:t xml:space="preserve">European Investigation Order: Directive 2014/41 of 3.4.2014, recital 13. Eurojust</w:t>
      </w:r>
      <w:r>
        <w:t xml:space="preserve"> </w:t>
      </w:r>
      <w:r>
        <w:t xml:space="preserve">can support with a view to ensuring the transmission of the EIO to the competent</w:t>
      </w:r>
      <w:r>
        <w:t xml:space="preserve"> </w:t>
      </w:r>
      <w:r>
        <w:t xml:space="preserve">authority of the executing State.</w:t>
      </w:r>
      <w:r>
        <w:br/>
      </w:r>
      <w:r>
        <w:t xml:space="preserve">●</w:t>
      </w:r>
      <w:r>
        <w:t xml:space="preserve"> </w:t>
      </w:r>
      <w:r>
        <w:t xml:space="preserve">Asset tracing: Directive 2024/1260 of 24.4.2024, Article 30(2). Asset recovery</w:t>
      </w:r>
      <w:r>
        <w:t xml:space="preserve"> </w:t>
      </w:r>
      <w:r>
        <w:t xml:space="preserve">offices and asset management offices shall cooperate with Eurojust for the purposes</w:t>
      </w:r>
      <w:r>
        <w:t xml:space="preserve"> </w:t>
      </w:r>
      <w:r>
        <w:t xml:space="preserve">of facilitating the identification of assets to be frozen or confiscated in the course of</w:t>
      </w:r>
      <w:r>
        <w:t xml:space="preserve"> </w:t>
      </w:r>
      <w:r>
        <w:t xml:space="preserve">proceedings in criminal matters, to facilitate the management of frozen and</w:t>
      </w:r>
      <w:r>
        <w:t xml:space="preserve"> </w:t>
      </w:r>
      <w:r>
        <w:t xml:space="preserve">confiscated assets.</w:t>
      </w:r>
      <w:r>
        <w:br/>
      </w:r>
      <w:r>
        <w:t xml:space="preserve">●</w:t>
      </w:r>
      <w:r>
        <w:t xml:space="preserve"> </w:t>
      </w:r>
      <w:r>
        <w:t xml:space="preserve">Freezing and confiscation: Regulation 2018/1805 of 14.11.2018, Article 31 and</w:t>
      </w:r>
      <w:r>
        <w:t xml:space="preserve"> </w:t>
      </w:r>
      <w:r>
        <w:t xml:space="preserve">Recital 24, 27, 43, 44. Eurojust may facilitate consultations on the sharing of the</w:t>
      </w:r>
      <w:r>
        <w:t xml:space="preserve"> </w:t>
      </w:r>
      <w:r>
        <w:t xml:space="preserve">costs, facilitate the transmission of freezing and confiscation orders, coordinate</w:t>
      </w:r>
      <w:r>
        <w:t xml:space="preserve"> </w:t>
      </w:r>
      <w:r>
        <w:t xml:space="preserve">freezing/confiscation orders issued to several Member States to avoid excessive</w:t>
      </w:r>
      <w:r>
        <w:t xml:space="preserve"> </w:t>
      </w:r>
      <w:r>
        <w:t xml:space="preserve">confiscations, provide assistance in relation to the procedures for the execution of a</w:t>
      </w:r>
      <w:r>
        <w:t xml:space="preserve"> </w:t>
      </w:r>
      <w:r>
        <w:t xml:space="preserve">freezing/confiscation order given that they may be very different in the two Member</w:t>
      </w:r>
      <w:r>
        <w:t xml:space="preserve"> </w:t>
      </w:r>
      <w:r>
        <w:t xml:space="preserve">States involved, facilitate coordination for the simultaneous execution of</w:t>
      </w:r>
      <w:r>
        <w:t xml:space="preserve"> </w:t>
      </w:r>
      <w:r>
        <w:t xml:space="preserve">freezing/confiscation orders in several Member States.</w:t>
      </w:r>
      <w:r>
        <w:t xml:space="preserve"> </w:t>
      </w:r>
      <w:r>
        <w:t xml:space="preserve">●</w:t>
      </w:r>
      <w:r>
        <w:t xml:space="preserve"> </w:t>
      </w:r>
      <w:r>
        <w:t xml:space="preserve">European Production and Preservation Order (e-Evidence): Regulation</w:t>
      </w:r>
      <w:r>
        <w:t xml:space="preserve"> </w:t>
      </w:r>
      <w:r>
        <w:t xml:space="preserve">2023/1543 of 12.07.2023, Article 5(10). Issuing authorities may seek clarification</w:t>
      </w:r>
      <w:r>
        <w:t xml:space="preserve"> </w:t>
      </w:r>
      <w:r>
        <w:t xml:space="preserve">via Eurojust before issuing a European Production Order, including by consulting</w:t>
      </w:r>
      <w:r>
        <w:t xml:space="preserve"> </w:t>
      </w:r>
      <w:r>
        <w:t xml:space="preserve">the competent authorities of the enforcing State, if the issuing authority has reasons</w:t>
      </w:r>
      <w:r>
        <w:t xml:space="preserve"> </w:t>
      </w:r>
      <w:r>
        <w:t xml:space="preserve">to believe that the data requested are protected by immunities or privileges or are</w:t>
      </w:r>
      <w:r>
        <w:t xml:space="preserve"> </w:t>
      </w:r>
      <w:r>
        <w:t xml:space="preserve">subject to rules on determination and limitation of criminal liability relating to</w:t>
      </w:r>
      <w:r>
        <w:t xml:space="preserve"> </w:t>
      </w:r>
      <w:r>
        <w:t xml:space="preserve">freedom of the press or freedom of expression in other media.</w:t>
      </w:r>
      <w:r>
        <w:br/>
      </w:r>
      <w:r>
        <w:t xml:space="preserve">●</w:t>
      </w:r>
      <w:r>
        <w:t xml:space="preserve"> </w:t>
      </w:r>
      <w:r>
        <w:t xml:space="preserve">Sanctions evasion: Directive 2024/1226 of 24.04.2024 defining criminal offences</w:t>
      </w:r>
      <w:r>
        <w:t xml:space="preserve"> </w:t>
      </w:r>
      <w:r>
        <w:t xml:space="preserve">and penalties for the violation of EU restrictive measures - Violation of EU restrictive</w:t>
      </w:r>
      <w:r>
        <w:t xml:space="preserve"> </w:t>
      </w:r>
      <w:r>
        <w:t xml:space="preserve">measures/sanctions evasions is now a crime EU-wide and should be explicitly</w:t>
      </w:r>
      <w:r>
        <w:t xml:space="preserve"> </w:t>
      </w:r>
      <w:r>
        <w:t xml:space="preserve">reflected in Annex I EJR. Eurojust has been supporting a growing number of such</w:t>
      </w:r>
      <w:r>
        <w:t xml:space="preserve"> </w:t>
      </w:r>
      <w:r>
        <w:t xml:space="preserve">operational cases. Violation of EU restrictive measures/ sanctions evasions is now a</w:t>
      </w:r>
      <w:r>
        <w:t xml:space="preserve"> </w:t>
      </w:r>
      <w:r>
        <w:t xml:space="preserve">predicate offence to money laundering. Directive on combating money laundering</w:t>
      </w:r>
      <w:r>
        <w:t xml:space="preserve"> </w:t>
      </w:r>
      <w:r>
        <w:t xml:space="preserve">by criminal law has been amended (Article 2(1) (w), by virtue of the Directive on</w:t>
      </w:r>
      <w:r>
        <w:t xml:space="preserve"> </w:t>
      </w:r>
      <w:r>
        <w:t xml:space="preserve">restrictive measures. The scope of Directive 2024/1260 on asset recovery and</w:t>
      </w:r>
      <w:r>
        <w:t xml:space="preserve"> </w:t>
      </w:r>
      <w:r>
        <w:t xml:space="preserve">confiscation has been extended to encompass violation of EU restrictive</w:t>
      </w:r>
      <w:r>
        <w:t xml:space="preserve"> </w:t>
      </w:r>
      <w:r>
        <w:t xml:space="preserve">measures/sanctions violations.</w:t>
      </w:r>
      <w:r>
        <w:br/>
      </w:r>
      <w:r>
        <w:t xml:space="preserve">●</w:t>
      </w:r>
      <w:r>
        <w:t xml:space="preserve"> </w:t>
      </w:r>
      <w:r>
        <w:t xml:space="preserve">Support to EU Seize Freeze and Task Force: the EU ‘Freeze and Seize’ Task Force</w:t>
      </w:r>
      <w:r>
        <w:t xml:space="preserve"> </w:t>
      </w:r>
      <w:r>
        <w:t xml:space="preserve">does not have an operational mandate and cannot interfere with the conduct of</w:t>
      </w:r>
      <w:r>
        <w:t xml:space="preserve"> </w:t>
      </w:r>
      <w:r>
        <w:t xml:space="preserve">individual administrative or judicial procedures. This is one of the reasons why</w:t>
      </w:r>
      <w:r>
        <w:t xml:space="preserve"> </w:t>
      </w:r>
      <w:r>
        <w:t xml:space="preserve">Eurojust and Europol have been invited to support the Task Force, within the</w:t>
      </w:r>
      <w:r>
        <w:t xml:space="preserve"> </w:t>
      </w:r>
      <w:r>
        <w:t xml:space="preserve">framework of their respective mandates. At the JHA Council meeting of 4 March</w:t>
      </w:r>
      <w:r>
        <w:t xml:space="preserve"> </w:t>
      </w:r>
      <w:r>
        <w:t xml:space="preserve">2022 referred to above, Eurojust was invited to exercise its coordination role with</w:t>
      </w:r>
      <w:r>
        <w:t xml:space="preserve"> </w:t>
      </w:r>
      <w:r>
        <w:t xml:space="preserve">regard to both the EU “Freeze and Seize” Task Force and the investigation of core</w:t>
      </w:r>
      <w:r>
        <w:t xml:space="preserve"> </w:t>
      </w:r>
      <w:r>
        <w:t xml:space="preserve">international crimes allegedly committed in Ukraine further to Russia’s invasion of</w:t>
      </w:r>
      <w:r>
        <w:t xml:space="preserve"> </w:t>
      </w:r>
      <w:r>
        <w:t xml:space="preserve">Ukraine.</w:t>
      </w:r>
      <w:r>
        <w:t xml:space="preserve"> </w:t>
      </w:r>
      <w:r>
        <w:t xml:space="preserve">●</w:t>
      </w:r>
      <w:r>
        <w:t xml:space="preserve"> </w:t>
      </w:r>
      <w:r>
        <w:t xml:space="preserve">Victims’ rights: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o</w:t>
      </w:r>
      <w:r>
        <w:t xml:space="preserve"> </w:t>
      </w:r>
      <w:r>
        <w:t xml:space="preserve">EU Strategy on Victims’ rights 2020-2025, on page 20 whereby Eurojust, in</w:t>
      </w:r>
      <w:r>
        <w:t xml:space="preserve"> </w:t>
      </w:r>
      <w:r>
        <w:t xml:space="preserve">coordination with other EU agencies/networks, “should report on how to</w:t>
      </w:r>
      <w:r>
        <w:t xml:space="preserve"> </w:t>
      </w:r>
      <w:r>
        <w:t xml:space="preserve">improve the cooperation and exchange of information and good practices</w:t>
      </w:r>
      <w:r>
        <w:t xml:space="preserve"> </w:t>
      </w:r>
      <w:r>
        <w:t xml:space="preserve">between the competent authorities in cross-border cases”.</w:t>
      </w:r>
      <w:r>
        <w:t xml:space="preserve"> </w:t>
      </w:r>
      <w:r>
        <w:t xml:space="preserve">o</w:t>
      </w:r>
      <w:r>
        <w:t xml:space="preserve"> </w:t>
      </w:r>
      <w:r>
        <w:t xml:space="preserve">Directive 2024/1385 of 14.05.2024 against domestic violence and violence</w:t>
      </w:r>
      <w:r>
        <w:t xml:space="preserve"> </w:t>
      </w:r>
      <w:r>
        <w:t xml:space="preserve">against women, recital 87 (exchanging best practices and consulting in</w:t>
      </w:r>
      <w:r>
        <w:t xml:space="preserve"> </w:t>
      </w:r>
      <w:r>
        <w:t xml:space="preserve">individual cases), Article 43(b) (whereby MS are invited to “consult each other</w:t>
      </w:r>
      <w:r>
        <w:t xml:space="preserve"> </w:t>
      </w:r>
      <w:r>
        <w:t xml:space="preserve">in individual cases, including through Eurojust and the European Judicial</w:t>
      </w:r>
      <w:r>
        <w:t xml:space="preserve"> </w:t>
      </w:r>
      <w:r>
        <w:t xml:space="preserve">Network in criminal matters, within their respective mandates”).</w:t>
      </w:r>
      <w:r>
        <w:t xml:space="preserve"> </w:t>
      </w:r>
      <w:r>
        <w:t xml:space="preserve">o</w:t>
      </w:r>
      <w:r>
        <w:t xml:space="preserve"> </w:t>
      </w:r>
      <w:r>
        <w:t xml:space="preserve">Amendments to Directive 2012/29/EU establishing minimum standards on the</w:t>
      </w:r>
      <w:r>
        <w:t xml:space="preserve"> </w:t>
      </w:r>
      <w:r>
        <w:t xml:space="preserve">rights, support and protection of victims of crime (amendments adopted on 10</w:t>
      </w:r>
      <w:r>
        <w:t xml:space="preserve"> </w:t>
      </w:r>
      <w:r>
        <w:t xml:space="preserve">December 2025 being finalised but not yet published. Expected reference to</w:t>
      </w:r>
      <w:r>
        <w:t xml:space="preserve"> </w:t>
      </w:r>
      <w:r>
        <w:t xml:space="preserve">Eurojust in Article 17(4) in a supporting role to national authorities in cases</w:t>
      </w:r>
      <w:r>
        <w:t xml:space="preserve"> </w:t>
      </w:r>
      <w:r>
        <w:t xml:space="preserve">involving victims).</w:t>
      </w:r>
      <w:r>
        <w:t xml:space="preserve"> </w:t>
      </w:r>
      <w:r>
        <w:t xml:space="preserve">●</w:t>
      </w:r>
      <w:r>
        <w:t xml:space="preserve"> </w:t>
      </w:r>
      <w:r>
        <w:t xml:space="preserve">Joint investigation teams (JITs): Regulation 2023/969 of 10 May 2023 establishing</w:t>
      </w:r>
      <w:r>
        <w:t xml:space="preserve"> </w:t>
      </w:r>
      <w:r>
        <w:t xml:space="preserve">a collaboration platform to support the functioning of joint investigation teams and</w:t>
      </w:r>
      <w:r>
        <w:t xml:space="preserve"> </w:t>
      </w:r>
      <w:r>
        <w:t xml:space="preserve">amending Regulation 2018/1726, Articles 9-10. The tasks are for JITs Network</w:t>
      </w:r>
      <w:r>
        <w:t xml:space="preserve"> </w:t>
      </w:r>
      <w:r>
        <w:t xml:space="preserve">Secretariat explicitly, as well as for Eurojust regarding the technical arrangement to</w:t>
      </w:r>
      <w:r>
        <w:t xml:space="preserve"> </w:t>
      </w:r>
      <w:r>
        <w:t xml:space="preserve">enable the use of the JITs CP and connection with IT tool managed by Eurojust, in</w:t>
      </w:r>
      <w:r>
        <w:t xml:space="preserve"> </w:t>
      </w:r>
      <w:r>
        <w:t xml:space="preserve">particular JIT Funding.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1"/>
  </w:num>
  <w:num w:numId="1030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2026-07-31T16:48:48Z</dcterms:created>
  <dcterms:modified xsi:type="dcterms:W3CDTF">2026-07-31T16:48:48Z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