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17.7.2026</w:t>
      </w:r>
      <w:r>
        <w:br/>
      </w:r>
      <w:r>
        <w:t xml:space="preserve">SWD(2026) 616 final</w:t>
      </w:r>
      <w:r>
        <w:t xml:space="preserve"> </w:t>
      </w:r>
      <w:r>
        <w:t xml:space="preserve">PART 1/5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 Directive 2003/87/EC and Decision (EU) 2015/1814 as regards driving</w:t>
      </w:r>
      <w:r>
        <w:t xml:space="preserve"> </w:t>
      </w:r>
      <w:r>
        <w:t xml:space="preserve">competitiveness and cost-effective decarbonisation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Directive 2003/87/EC as regards revised benchmark values for the heat and</w:t>
      </w:r>
      <w:r>
        <w:t xml:space="preserve"> </w:t>
      </w:r>
      <w:r>
        <w:t xml:space="preserve">fuel benchmarks for the period from 2026 to 2030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Regulations (EU) 2015/757 and (EU) 2023/1805 to simplify and streamline</w:t>
      </w:r>
      <w:r>
        <w:t xml:space="preserve"> </w:t>
      </w:r>
      <w:r>
        <w:t xml:space="preserve">monitoring, reporting and verification and to align with revisions of the EU Emissions</w:t>
      </w:r>
      <w:r>
        <w:t xml:space="preserve"> </w:t>
      </w:r>
      <w:r>
        <w:t xml:space="preserve">Trading System</w:t>
      </w:r>
      <w:r>
        <w:t xml:space="preserve"> </w:t>
      </w:r>
      <w:r>
        <w:t xml:space="preserve">{COM(2026) 616 final} - {COM(2026) 619 final} - {COM(2026) 620 final} -</w:t>
      </w:r>
      <w:r>
        <w:t xml:space="preserve"> </w:t>
      </w:r>
      <w:r>
        <w:t xml:space="preserve">{SEC(2026) 616 final} - {SWD(2026) 617 final} - {SWD(2026) 618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GLOSSARY ……………………………………………………………………………………………………………… 2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…………………………………………………………………………………. 9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 9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 10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 ……………………………………………………………. 12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………………………………………………………………………. 12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 12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…………………………………………………………….. 13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 13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………………………………………………. 13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…………………………………….. 14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……………………………………. 14</w:t>
      </w:r>
      <w:r>
        <w:t xml:space="preserve"> </w:t>
      </w:r>
      <w:r>
        <w:t xml:space="preserve">5.2.</w:t>
      </w:r>
      <w:r>
        <w:t xml:space="preserve"> </w:t>
      </w:r>
      <w:r>
        <w:t xml:space="preserve">Policy options…………………………………………………………………………………………….. 16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……………………………………………………………….. 21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 22</w:t>
      </w:r>
      <w:r>
        <w:t xml:space="preserve"> </w:t>
      </w:r>
      <w:r>
        <w:t xml:space="preserve">6.1.</w:t>
      </w:r>
      <w:r>
        <w:t xml:space="preserve"> </w:t>
      </w:r>
      <w:r>
        <w:t xml:space="preserve">Environmental impacts ……………………………………………………………………………….. 22</w:t>
      </w:r>
      <w:r>
        <w:t xml:space="preserve"> </w:t>
      </w:r>
      <w:r>
        <w:t xml:space="preserve">6.1.1.</w:t>
      </w:r>
      <w:r>
        <w:t xml:space="preserve"> </w:t>
      </w:r>
      <w:r>
        <w:t xml:space="preserve">Climate ………………………………………………………………………………………………. 22</w:t>
      </w:r>
      <w:r>
        <w:t xml:space="preserve"> </w:t>
      </w:r>
      <w:r>
        <w:t xml:space="preserve">6.1.2.</w:t>
      </w:r>
      <w:r>
        <w:t xml:space="preserve"> </w:t>
      </w:r>
      <w:r>
        <w:t xml:space="preserve">Other environmental impacts (e.g. biodiversity and pollution) ………………….. 43</w:t>
      </w:r>
      <w:r>
        <w:t xml:space="preserve"> </w:t>
      </w:r>
      <w:r>
        <w:t xml:space="preserve">6.2.</w:t>
      </w:r>
      <w:r>
        <w:t xml:space="preserve"> </w:t>
      </w:r>
      <w:r>
        <w:t xml:space="preserve">Economic impacts ………………………………………………………………………………………. 45</w:t>
      </w:r>
      <w:r>
        <w:t xml:space="preserve"> </w:t>
      </w:r>
      <w:r>
        <w:t xml:space="preserve">6.2.1.</w:t>
      </w:r>
      <w:r>
        <w:t xml:space="preserve"> </w:t>
      </w:r>
      <w:r>
        <w:t xml:space="preserve">Cost of compliance ……………………………………………………………………………… 45</w:t>
      </w:r>
      <w:r>
        <w:t xml:space="preserve"> </w:t>
      </w:r>
      <w:r>
        <w:t xml:space="preserve">6.2.2.</w:t>
      </w:r>
      <w:r>
        <w:t xml:space="preserve"> </w:t>
      </w:r>
      <w:r>
        <w:t xml:space="preserve">Administrative effort for the private sector …………………………………………….. 54</w:t>
      </w:r>
      <w:r>
        <w:t xml:space="preserve"> </w:t>
      </w:r>
      <w:r>
        <w:t xml:space="preserve">6.2.3.</w:t>
      </w:r>
      <w:r>
        <w:t xml:space="preserve"> </w:t>
      </w:r>
      <w:r>
        <w:t xml:space="preserve">Sectoral competitiveness, trade and investment flows ……………………………… 58</w:t>
      </w:r>
      <w:r>
        <w:t xml:space="preserve"> </w:t>
      </w:r>
      <w:r>
        <w:t xml:space="preserve">6.2.4.</w:t>
      </w:r>
      <w:r>
        <w:t xml:space="preserve"> </w:t>
      </w:r>
      <w:r>
        <w:t xml:space="preserve">SMEs …………………………………………………………………………………………………. 72</w:t>
      </w:r>
      <w:r>
        <w:t xml:space="preserve"> </w:t>
      </w:r>
      <w:r>
        <w:t xml:space="preserve">6.2.5.</w:t>
      </w:r>
      <w:r>
        <w:t xml:space="preserve"> </w:t>
      </w:r>
      <w:r>
        <w:t xml:space="preserve">Public authorities ………………………………………………………………………………… 74</w:t>
      </w:r>
      <w:r>
        <w:t xml:space="preserve"> </w:t>
      </w:r>
      <w:r>
        <w:t xml:space="preserve">6.2.6.</w:t>
      </w:r>
      <w:r>
        <w:t xml:space="preserve"> </w:t>
      </w:r>
      <w:r>
        <w:t xml:space="preserve">Impacts on the functioning of the internal market ……………………………………. 79</w:t>
      </w:r>
      <w:r>
        <w:t xml:space="preserve"> </w:t>
      </w:r>
      <w:r>
        <w:t xml:space="preserve">6.3.</w:t>
      </w:r>
      <w:r>
        <w:t xml:space="preserve"> </w:t>
      </w:r>
      <w:r>
        <w:t xml:space="preserve">Social impacts ……………………………………………………………………………………………. 81</w:t>
      </w:r>
      <w:r>
        <w:t xml:space="preserve"> </w:t>
      </w:r>
      <w:r>
        <w:t xml:space="preserve">6.3.1.</w:t>
      </w:r>
      <w:r>
        <w:t xml:space="preserve"> </w:t>
      </w:r>
      <w:r>
        <w:t xml:space="preserve">Impacts on employment and skills …………………………………………………………. 81</w:t>
      </w:r>
      <w:r>
        <w:t xml:space="preserve"> </w:t>
      </w:r>
      <w:r>
        <w:t xml:space="preserve">6.3.2.</w:t>
      </w:r>
      <w:r>
        <w:t xml:space="preserve"> </w:t>
      </w:r>
      <w:r>
        <w:t xml:space="preserve">Impacts on fundamental rights ………………………………………………………………. 85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………………………………………………………….. 85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 85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………………………………………………………………………………………………….. 92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…………………………………………………………………………………………………. 95</w:t>
      </w:r>
      <w:r>
        <w:t xml:space="preserve"> </w:t>
      </w:r>
      <w:r>
        <w:t xml:space="preserve">7.4.</w:t>
      </w:r>
      <w:r>
        <w:t xml:space="preserve"> </w:t>
      </w:r>
      <w:r>
        <w:t xml:space="preserve">Summary …………………………………………………………………………………………………… 96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 97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…………………………………………………… 97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……………………………………………. 99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….. 100</w:t>
      </w:r>
      <w:r>
        <w:t xml:space="preserve"> </w:t>
      </w:r>
      <w:r>
        <w:t xml:space="preserve">LIST OF TABLES ………………………………………………………………………………………………….. 102</w:t>
      </w:r>
      <w:r>
        <w:t xml:space="preserve"> </w:t>
      </w:r>
      <w:r>
        <w:t xml:space="preserve">LIST OF FIGURES ………………………………………………………………………………………………… 103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BECCS</w:t>
      </w:r>
      <w:r>
        <w:t xml:space="preserve"> </w:t>
      </w:r>
      <w:r>
        <w:t xml:space="preserve">Bioenergy with carbon capture and storage</w:t>
      </w:r>
      <w:r>
        <w:t xml:space="preserve"> </w:t>
      </w:r>
      <w:r>
        <w:t xml:space="preserve">CCfD</w:t>
      </w:r>
      <w:r>
        <w:t xml:space="preserve"> </w:t>
      </w:r>
      <w:r>
        <w:t xml:space="preserve">Carbon contract for difference</w:t>
      </w:r>
      <w:r>
        <w:t xml:space="preserve"> </w:t>
      </w:r>
      <w:r>
        <w:t xml:space="preserve">CCS</w:t>
      </w:r>
      <w:r>
        <w:t xml:space="preserve"> </w:t>
      </w:r>
      <w:r>
        <w:t xml:space="preserve">Carbon Capture and Storage: a set of technologies aimed at</w:t>
      </w:r>
      <w:r>
        <w:t xml:space="preserve"> </w:t>
      </w:r>
      <w:r>
        <w:t xml:space="preserve">capturing, transporting, and permanently storing CO₂</w:t>
      </w:r>
      <w:r>
        <w:br/>
      </w:r>
      <w:r>
        <w:t xml:space="preserve">CCUS</w:t>
      </w:r>
      <w:r>
        <w:t xml:space="preserve"> </w:t>
      </w:r>
      <w:r>
        <w:t xml:space="preserve">Carbon capture, utilisation, and storage</w:t>
      </w:r>
      <w:r>
        <w:t xml:space="preserve"> </w:t>
      </w:r>
      <w:r>
        <w:t xml:space="preserve">CBAM</w:t>
      </w:r>
      <w:r>
        <w:t xml:space="preserve"> </w:t>
      </w:r>
      <w:r>
        <w:t xml:space="preserve">Carbon Border Adjustment Mechanism</w:t>
      </w:r>
      <w:r>
        <w:t xml:space="preserve"> </w:t>
      </w:r>
      <w:r>
        <w:t xml:space="preserve">CDR</w:t>
      </w:r>
      <w:r>
        <w:t xml:space="preserve"> </w:t>
      </w:r>
      <w:r>
        <w:t xml:space="preserve">Carbon Dioxide Removal</w:t>
      </w:r>
      <w:r>
        <w:t xml:space="preserve"> </w:t>
      </w:r>
      <w:r>
        <w:t xml:space="preserve">CHP</w:t>
      </w:r>
      <w:r>
        <w:t xml:space="preserve"> </w:t>
      </w:r>
      <w:r>
        <w:t xml:space="preserve">Combined Heat and Power: a combined heat and power unit is an</w:t>
      </w:r>
      <w:r>
        <w:t xml:space="preserve"> </w:t>
      </w:r>
      <w:r>
        <w:t xml:space="preserve">installation producing both electrical energy and heat</w:t>
      </w:r>
      <w:r>
        <w:t xml:space="preserve"> </w:t>
      </w:r>
      <w:r>
        <w:t xml:space="preserve">CO₂‑eq</w:t>
      </w:r>
      <w:r>
        <w:t xml:space="preserve"> </w:t>
      </w:r>
      <w:r>
        <w:t xml:space="preserve">Carbon dioxide‑equivalent: a measure used to compare quantities</w:t>
      </w:r>
      <w:r>
        <w:t xml:space="preserve"> </w:t>
      </w:r>
      <w:r>
        <w:t xml:space="preserve">of different greenhouse gases in a common unit based on their</w:t>
      </w:r>
      <w:r>
        <w:t xml:space="preserve"> </w:t>
      </w:r>
      <w:r>
        <w:t xml:space="preserve">global warming potential over a given period</w:t>
      </w:r>
      <w:r>
        <w:t xml:space="preserve"> </w:t>
      </w:r>
      <w:r>
        <w:t xml:space="preserve">CORSIA</w:t>
      </w:r>
      <w:r>
        <w:t xml:space="preserve"> </w:t>
      </w:r>
      <w:r>
        <w:t xml:space="preserve">Carbon Offsetting and Reduction Scheme for International</w:t>
      </w:r>
      <w:r>
        <w:t xml:space="preserve"> </w:t>
      </w:r>
      <w:r>
        <w:t xml:space="preserve">Aviation</w:t>
      </w:r>
      <w:r>
        <w:t xml:space="preserve"> </w:t>
      </w:r>
      <w:r>
        <w:t xml:space="preserve">CRCF</w:t>
      </w:r>
      <w:r>
        <w:t xml:space="preserve"> </w:t>
      </w:r>
      <w:r>
        <w:t xml:space="preserve">Carbon Removals and Carbon Farming framework, established</w:t>
      </w:r>
      <w:r>
        <w:t xml:space="preserve"> </w:t>
      </w:r>
      <w:r>
        <w:t xml:space="preserve">under Regulation (EU/2024/3012)</w:t>
      </w:r>
      <w:r>
        <w:t xml:space="preserve"> </w:t>
      </w:r>
      <w:r>
        <w:t xml:space="preserve">CSCF</w:t>
      </w:r>
      <w:r>
        <w:t xml:space="preserve"> </w:t>
      </w:r>
      <w:r>
        <w:t xml:space="preserve">Cross‑sectoral correction factor: a factor by which free allocation</w:t>
      </w:r>
      <w:r>
        <w:t xml:space="preserve"> </w:t>
      </w:r>
      <w:r>
        <w:t xml:space="preserve">of emission allowances is reduced uniformly across all industry</w:t>
      </w:r>
      <w:r>
        <w:t xml:space="preserve"> </w:t>
      </w:r>
      <w:r>
        <w:t xml:space="preserve">sectors, if the demand for free allocation exceeds the total amount</w:t>
      </w:r>
      <w:r>
        <w:t xml:space="preserve"> </w:t>
      </w:r>
      <w:r>
        <w:t xml:space="preserve">of available free allowances</w:t>
      </w:r>
      <w:r>
        <w:t xml:space="preserve"> </w:t>
      </w:r>
      <w:r>
        <w:t xml:space="preserve">DACCS</w:t>
      </w:r>
      <w:r>
        <w:t xml:space="preserve"> </w:t>
      </w:r>
      <w:r>
        <w:t xml:space="preserve">Direct Air Capture with Carbon Storage</w:t>
      </w:r>
      <w:r>
        <w:t xml:space="preserve"> </w:t>
      </w:r>
      <w:r>
        <w:t xml:space="preserve">E‑fuels</w:t>
      </w:r>
      <w:r>
        <w:t xml:space="preserve"> </w:t>
      </w:r>
      <w:r>
        <w:t xml:space="preserve">Liquid fuels produced based on hydrogen obtained from electricity</w:t>
      </w:r>
      <w:r>
        <w:t xml:space="preserve"> </w:t>
      </w:r>
      <w:r>
        <w:t xml:space="preserve">via electrolysis.</w:t>
      </w:r>
    </w:p>
    <w:p>
      <w:pPr>
        <w:pStyle w:val="BodyText"/>
      </w:pP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ESR</w:t>
      </w:r>
      <w:r>
        <w:t xml:space="preserve"> </w:t>
      </w:r>
      <w:r>
        <w:t xml:space="preserve">Effort Sharing Regulation</w:t>
      </w:r>
      <w:r>
        <w:t xml:space="preserve"> </w:t>
      </w:r>
      <w:r>
        <w:t xml:space="preserve">EU ETS</w:t>
      </w:r>
      <w:r>
        <w:t xml:space="preserve"> </w:t>
      </w:r>
      <w:r>
        <w:t xml:space="preserve">European Union Emissions Trading System covering stationary</w:t>
      </w:r>
      <w:r>
        <w:t xml:space="preserve"> </w:t>
      </w:r>
      <w:r>
        <w:t xml:space="preserve">installations, aviation, and maritime transport</w:t>
      </w:r>
      <w:r>
        <w:t xml:space="preserve"> </w:t>
      </w:r>
      <w:r>
        <w:t xml:space="preserve">ETS2</w:t>
      </w:r>
      <w:r>
        <w:t xml:space="preserve"> </w:t>
      </w:r>
      <w:r>
        <w:t xml:space="preserve">Emissions Trading System covering Buildings, Road Transport and</w:t>
      </w:r>
      <w:r>
        <w:t xml:space="preserve"> </w:t>
      </w:r>
      <w:r>
        <w:t xml:space="preserve">Additional Sectors in accordance with Chapter IVa of the ETS</w:t>
      </w:r>
      <w:r>
        <w:t xml:space="preserve"> </w:t>
      </w:r>
      <w:r>
        <w:t xml:space="preserve">Directive</w:t>
      </w:r>
      <w:r>
        <w:t xml:space="preserve"> </w:t>
      </w:r>
      <w:r>
        <w:t xml:space="preserve">EUA</w:t>
      </w:r>
      <w:r>
        <w:t xml:space="preserve"> </w:t>
      </w:r>
      <w:r>
        <w:t xml:space="preserve">European Union Allowance: the tradable unit under the EU ETS,</w:t>
      </w:r>
      <w:r>
        <w:t xml:space="preserve"> </w:t>
      </w:r>
      <w:r>
        <w:t xml:space="preserve">giving the holder the right to emit one tonne of CO₂‑eq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GEM‑E3</w:t>
      </w:r>
      <w:r>
        <w:t xml:space="preserve"> </w:t>
      </w:r>
      <w:r>
        <w:t xml:space="preserve">General Equilibrium Model for Energy‑Economy‑Environment</w:t>
      </w:r>
      <w:r>
        <w:t xml:space="preserve"> </w:t>
      </w:r>
      <w:r>
        <w:t xml:space="preserve">interactions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GT</w:t>
      </w:r>
      <w:r>
        <w:t xml:space="preserve"> </w:t>
      </w:r>
      <w:r>
        <w:t xml:space="preserve">Gross Tonnage</w:t>
      </w:r>
      <w:r>
        <w:t xml:space="preserve"> </w:t>
      </w:r>
      <w:r>
        <w:t xml:space="preserve">HWI</w:t>
      </w:r>
      <w:r>
        <w:t xml:space="preserve"> </w:t>
      </w:r>
      <w:r>
        <w:t xml:space="preserve">Hazardous waste incineration</w:t>
      </w:r>
      <w:r>
        <w:t xml:space="preserve"> </w:t>
      </w:r>
      <w:r>
        <w:t xml:space="preserve">ICC</w:t>
      </w:r>
      <w:r>
        <w:t xml:space="preserve"> </w:t>
      </w:r>
      <w:r>
        <w:t xml:space="preserve">Indirect carbon cost</w:t>
      </w:r>
      <w:r>
        <w:t xml:space="preserve"> </w:t>
      </w:r>
      <w:r>
        <w:t xml:space="preserve">IDB</w:t>
      </w:r>
      <w:r>
        <w:t xml:space="preserve"> </w:t>
      </w:r>
      <w:r>
        <w:t xml:space="preserve">Industrial Decarbonisation Bank</w:t>
      </w:r>
      <w:r>
        <w:t xml:space="preserve"> </w:t>
      </w:r>
      <w:r>
        <w:t xml:space="preserve">IF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IMO</w:t>
      </w:r>
      <w:r>
        <w:t xml:space="preserve"> </w:t>
      </w:r>
      <w:r>
        <w:t xml:space="preserve">International Maritime Organization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 of the European Commission</w:t>
      </w:r>
      <w:r>
        <w:t xml:space="preserve"> </w:t>
      </w:r>
      <w:r>
        <w:t xml:space="preserve">LDC</w:t>
      </w:r>
      <w:r>
        <w:t xml:space="preserve"> </w:t>
      </w:r>
      <w:r>
        <w:t xml:space="preserve">Least developed countries</w:t>
      </w:r>
    </w:p>
    <w:p>
      <w:pPr>
        <w:pStyle w:val="BodyText"/>
      </w:pPr>
      <w:r>
        <w:t xml:space="preserve">LRF</w:t>
      </w:r>
      <w:r>
        <w:t xml:space="preserve"> </w:t>
      </w:r>
      <w:r>
        <w:t xml:space="preserve">Linear Reduction Factor: a factor by which the ETS cap is reduced</w:t>
      </w:r>
      <w:r>
        <w:t xml:space="preserve"> </w:t>
      </w:r>
      <w:r>
        <w:t xml:space="preserve">yearly</w:t>
      </w:r>
      <w:r>
        <w:t xml:space="preserve"> </w:t>
      </w:r>
      <w:r>
        <w:t xml:space="preserve">MF</w:t>
      </w:r>
      <w:r>
        <w:t xml:space="preserve"> </w:t>
      </w:r>
      <w:r>
        <w:t xml:space="preserve">Modernisation Fund</w:t>
      </w:r>
      <w:r>
        <w:t xml:space="preserve"> </w:t>
      </w:r>
      <w:r>
        <w:t xml:space="preserve">MSR</w:t>
      </w:r>
      <w:r>
        <w:t xml:space="preserve"> </w:t>
      </w:r>
      <w:r>
        <w:t xml:space="preserve">Market Stability Reserve</w:t>
      </w:r>
      <w:r>
        <w:t xml:space="preserve"> </w:t>
      </w:r>
      <w:r>
        <w:t xml:space="preserve">MtCO₂</w:t>
      </w:r>
      <w:r>
        <w:t xml:space="preserve"> </w:t>
      </w:r>
      <w:r>
        <w:t xml:space="preserve">Million tonnes of CO₂</w:t>
      </w:r>
      <w:r>
        <w:t xml:space="preserve"> </w:t>
      </w:r>
      <w:r>
        <w:t xml:space="preserve">MW</w:t>
      </w:r>
      <w:r>
        <w:t xml:space="preserve"> </w:t>
      </w:r>
      <w:r>
        <w:t xml:space="preserve">Megawatt</w:t>
      </w:r>
      <w:r>
        <w:t xml:space="preserve"> </w:t>
      </w:r>
      <w:r>
        <w:t xml:space="preserve">MWI</w:t>
      </w:r>
      <w:r>
        <w:t xml:space="preserve"> </w:t>
      </w:r>
      <w:r>
        <w:t xml:space="preserve">Municipal waste incineration</w:t>
      </w:r>
      <w:r>
        <w:t xml:space="preserve"> </w:t>
      </w:r>
      <w:r>
        <w:t xml:space="preserve">NECP</w:t>
      </w:r>
      <w:r>
        <w:t xml:space="preserve"> </w:t>
      </w:r>
      <w:r>
        <w:t xml:space="preserve">National Energy and Climate Plan</w:t>
      </w:r>
      <w:r>
        <w:t xml:space="preserve"> </w:t>
      </w:r>
      <w:r>
        <w:t xml:space="preserve">NIMs</w:t>
      </w:r>
      <w:r>
        <w:t xml:space="preserve"> </w:t>
      </w:r>
      <w:r>
        <w:t xml:space="preserve">National implementation measures under Article 11 ETS Directive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PRIMES</w:t>
      </w:r>
      <w:r>
        <w:t xml:space="preserve"> </w:t>
      </w:r>
      <w:r>
        <w:t xml:space="preserve">Price‑Induced Market Equilibrium System model</w:t>
      </w:r>
      <w:r>
        <w:t xml:space="preserve"> </w:t>
      </w:r>
      <w:r>
        <w:t xml:space="preserve">PRIMES‑TREMOVE Integrated transport component of PRIMES model</w:t>
      </w:r>
      <w:r>
        <w:t xml:space="preserve"> </w:t>
      </w:r>
      <w:r>
        <w:t xml:space="preserve">SAF</w:t>
      </w:r>
      <w:r>
        <w:t xml:space="preserve"> </w:t>
      </w:r>
      <w:r>
        <w:t xml:space="preserve">Sustainable Aviation Fuel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medium‑sized enterprise</w:t>
      </w:r>
      <w:r>
        <w:t xml:space="preserve"> </w:t>
      </w:r>
      <w:r>
        <w:t xml:space="preserve">SIDS</w:t>
      </w:r>
      <w:r>
        <w:t xml:space="preserve"> </w:t>
      </w:r>
      <w:r>
        <w:t xml:space="preserve">Small island developing states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TNAC</w:t>
      </w:r>
      <w:r>
        <w:t xml:space="preserve"> </w:t>
      </w:r>
      <w:r>
        <w:t xml:space="preserve">Total number of allowances in circulation</w:t>
      </w:r>
      <w:r>
        <w:t xml:space="preserve"> </w:t>
      </w:r>
      <w:r>
        <w:t xml:space="preserve">UNFCCC</w:t>
      </w:r>
      <w:r>
        <w:t xml:space="preserve"> </w:t>
      </w:r>
      <w:r>
        <w:t xml:space="preserve">United Nations Framework Convention on Climate Change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The European Commission 2025 Foresight1 report points out that climate change is a risk</w:t>
      </w:r>
      <w:r>
        <w:t xml:space="preserve"> </w:t>
      </w:r>
      <w:r>
        <w:t xml:space="preserve">multiplier that should be addressed, and that the green transition for many countries can result</w:t>
      </w:r>
      <w:r>
        <w:t xml:space="preserve"> </w:t>
      </w:r>
      <w:r>
        <w:t xml:space="preserve">in more independence and growth. Particularly for Europe, a successful transition to</w:t>
      </w:r>
      <w:r>
        <w:t xml:space="preserve"> </w:t>
      </w:r>
      <w:r>
        <w:t xml:space="preserve">sustainable growth provides the opportunity to simultaneously enhance the Union’s strategic</w:t>
      </w:r>
      <w:r>
        <w:t xml:space="preserve"> </w:t>
      </w:r>
      <w:r>
        <w:t xml:space="preserve">autonomy. In the same vein, the Draghi Report2 points out that “if Europe’s ambitious climate</w:t>
      </w:r>
      <w:r>
        <w:t xml:space="preserve"> </w:t>
      </w:r>
      <w:r>
        <w:t xml:space="preserve">targets are matched by a coherent plan to achieve them, decarbonisation will be an opportunity</w:t>
      </w:r>
      <w:r>
        <w:t xml:space="preserve"> </w:t>
      </w:r>
      <w:r>
        <w:t xml:space="preserve">for Europe. But if we fail to coordinate our policies, there is a risk that decarbonisation could</w:t>
      </w:r>
      <w:r>
        <w:t xml:space="preserve"> </w:t>
      </w:r>
      <w:r>
        <w:t xml:space="preserve">run contrary to competitiveness and growth.”</w:t>
      </w:r>
      <w:r>
        <w:t xml:space="preserve"> </w:t>
      </w:r>
      <w:r>
        <w:t xml:space="preserve">The EU Emissions Trading System (EU ETS) is the cornerstone of EU climate policy.</w:t>
      </w:r>
      <w:r>
        <w:t xml:space="preserve"> </w:t>
      </w:r>
      <w:r>
        <w:t xml:space="preserve">Directive 2003/87/EC (the ‘ETS Directive’) lays down the rules for greenhouse gas emission</w:t>
      </w:r>
      <w:r>
        <w:t xml:space="preserve"> </w:t>
      </w:r>
      <w:r>
        <w:t xml:space="preserve">allowance trading within the European Union. The Market Stability Reserve (MSR) for the EU</w:t>
      </w:r>
      <w:r>
        <w:t xml:space="preserve"> </w:t>
      </w:r>
      <w:r>
        <w:t xml:space="preserve">Emissions Trading System (EU ETS) was established by Decision (EU) 2015/1814 (the ‘MSR</w:t>
      </w:r>
      <w:r>
        <w:t xml:space="preserve"> </w:t>
      </w:r>
      <w:r>
        <w:t xml:space="preserve">Decision’).</w:t>
      </w:r>
      <w:r>
        <w:br/>
      </w:r>
      <w:r>
        <w:t xml:space="preserve">Figure 1:</w:t>
      </w:r>
      <w:r>
        <w:t xml:space="preserve"> </w:t>
      </w:r>
      <w:r>
        <w:t xml:space="preserve">How the EU ETS works</w:t>
      </w:r>
    </w:p>
    <w:p>
      <w:pPr>
        <w:pStyle w:val="BodyText"/>
      </w:pPr>
      <w:r>
        <w:t xml:space="preserve">Regulation (EU) 2021/1119 of the European Parliament and of the Council (‘the European</w:t>
      </w:r>
      <w:r>
        <w:t xml:space="preserve"> </w:t>
      </w:r>
      <w:r>
        <w:t xml:space="preserve">Climate Law’)3 sets a legally binding economy-wide target of net zero greenhouse gas</w:t>
      </w:r>
      <w:r>
        <w:t xml:space="preserve"> </w:t>
      </w:r>
      <w:r>
        <w:t xml:space="preserve">emissions at the latest by 2050, and an intermediate target of reducing net greenhouse gas</w:t>
      </w:r>
      <w:r>
        <w:t xml:space="preserve"> </w:t>
      </w:r>
      <w:r>
        <w:t xml:space="preserve">emissions by at least 55% by 2030, compared to 1990 levels. The ‘Fit for 55’ package of</w:t>
      </w:r>
      <w:r>
        <w:t xml:space="preserve"> </w:t>
      </w:r>
      <w:r>
        <w:t xml:space="preserve">legislation under the European Green Deal makes all sectors of the EU’s economy fit to meet</w:t>
      </w:r>
    </w:p>
    <w:p>
      <w:pPr>
        <w:pStyle w:val="BodyText"/>
      </w:pPr>
      <w:r>
        <w:t xml:space="preserve">1</w:t>
      </w:r>
      <w:r>
        <w:br/>
      </w:r>
      <w:r>
        <w:t xml:space="preserve">European Commission, Foresight Report 2025: Resilience 2.0: Empowering the EU to thrive amid turbulence</w:t>
      </w:r>
      <w:r>
        <w:t xml:space="preserve"> </w:t>
      </w:r>
      <w:r>
        <w:t xml:space="preserve">and uncertainty, 2025, Publications Office of the European Union, https://commission.europa.eu/strategy-</w:t>
      </w:r>
      <w:r>
        <w:t xml:space="preserve"> </w:t>
      </w:r>
      <w:r>
        <w:t xml:space="preserve">and-policy/strategic-foresight/2025-strategic-foresight-report_en.</w:t>
      </w:r>
      <w:r>
        <w:t xml:space="preserve"> </w:t>
      </w:r>
      <w:r>
        <w:t xml:space="preserve">2</w:t>
      </w:r>
      <w:r>
        <w:br/>
      </w:r>
      <w:r>
        <w:t xml:space="preserve">European Commission, The Future of European Competitiveness: Part A: A competitiveness strategy for</w:t>
      </w:r>
      <w:r>
        <w:t xml:space="preserve"> </w:t>
      </w:r>
      <w:r>
        <w:t xml:space="preserve">Europe,</w:t>
      </w:r>
      <w:r>
        <w:t xml:space="preserve"> </w:t>
      </w:r>
      <w:r>
        <w:t xml:space="preserve">2024,https://commission.europa.eu/document/download/97e481fd-2dc3-412d-be4c-</w:t>
      </w:r>
      <w:r>
        <w:t xml:space="preserve"> </w:t>
      </w:r>
      <w:r>
        <w:t xml:space="preserve">f152a8232961_en?filename=The%20future%20of%20European%20competitiveness%20_%20A%20comp</w:t>
      </w:r>
      <w:r>
        <w:t xml:space="preserve"> </w:t>
      </w:r>
      <w:r>
        <w:t xml:space="preserve">etitiveness%20strategy%20for%20Europe.pdf.</w:t>
      </w:r>
      <w:r>
        <w:t xml:space="preserve"> </w:t>
      </w:r>
      <w:r>
        <w:t xml:space="preserve">3</w:t>
      </w:r>
      <w:r>
        <w:br/>
      </w:r>
      <w:r>
        <w:t xml:space="preserve">Regulation (EU) 2021/1119 of the European Parliament and of the Council of 30 June 2021 establishing the</w:t>
      </w:r>
      <w:r>
        <w:t xml:space="preserve"> </w:t>
      </w:r>
      <w:r>
        <w:t xml:space="preserve">framework for achieving climate neutrality and amending Regulations (EC) No 401/2009 and (EU)</w:t>
      </w:r>
      <w:r>
        <w:t xml:space="preserve"> </w:t>
      </w:r>
      <w:r>
        <w:t xml:space="preserve">2018/1999 (‘European Climate Law’) (OJ L 243, 9.7.2021, p. 1).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this target. The ETS Directive and the MSR Decision were revised by Directive (EU) 2023/958</w:t>
      </w:r>
      <w:r>
        <w:t xml:space="preserve"> </w:t>
      </w:r>
      <w:r>
        <w:t xml:space="preserve">and (EU) 2023/9594 and amended in 2023 as part of that package.</w:t>
      </w:r>
      <w:r>
        <w:br/>
      </w:r>
      <w:r>
        <w:t xml:space="preserve">Most changes introduced by these amendments took effect from January 2024 or take effect</w:t>
      </w:r>
      <w:r>
        <w:t xml:space="preserve"> </w:t>
      </w:r>
      <w:r>
        <w:t xml:space="preserve">from 2026. However, some have applied since the entry into force of Directive (EU) 2023/959</w:t>
      </w:r>
      <w:r>
        <w:t xml:space="preserve"> </w:t>
      </w:r>
      <w:r>
        <w:t xml:space="preserve">in June 2023.</w:t>
      </w:r>
      <w:r>
        <w:br/>
      </w:r>
      <w:r>
        <w:t xml:space="preserve">The ETS Directive sets an emission reduction target of 62% for stationary installations,</w:t>
      </w:r>
      <w:r>
        <w:t xml:space="preserve"> </w:t>
      </w:r>
      <w:r>
        <w:t xml:space="preserve">aviation and maritime (EU ETS) by 2030 compared to 2005. Stability and full implementation</w:t>
      </w:r>
      <w:r>
        <w:t xml:space="preserve"> </w:t>
      </w:r>
      <w:r>
        <w:t xml:space="preserve">of the legislative framework in place for meeting the 2030 climate and energy targets is a</w:t>
      </w:r>
      <w:r>
        <w:t xml:space="preserve"> </w:t>
      </w:r>
      <w:r>
        <w:t xml:space="preserve">precondition for the EU to stay on course to reach climate neutrality in 2050.</w:t>
      </w:r>
      <w:r>
        <w:br/>
      </w:r>
      <w:r>
        <w:t xml:space="preserve">The evaluation of the EU ETS (see Annex 15) concludes that the EU ETS continues to be well</w:t>
      </w:r>
      <w:r>
        <w:t xml:space="preserve"> </w:t>
      </w:r>
      <w:r>
        <w:t xml:space="preserve">aligned to the broader EU climate policies.</w:t>
      </w:r>
      <w:r>
        <w:br/>
      </w:r>
      <w:r>
        <w:t xml:space="preserve">The ETS covered sectors delivered more economically efficient emissions reductions</w:t>
      </w:r>
      <w:r>
        <w:t xml:space="preserve"> </w:t>
      </w:r>
      <w:r>
        <w:t xml:space="preserve">compared to non-ETS sectors. The EU ETS has effectively met its objectives, achieving over</w:t>
      </w:r>
      <w:r>
        <w:t xml:space="preserve"> </w:t>
      </w:r>
      <w:r>
        <w:t xml:space="preserve">50% emissions reductions by 2025, compared to the 43% target initially set in 2018 to be</w:t>
      </w:r>
      <w:r>
        <w:t xml:space="preserve"> </w:t>
      </w:r>
      <w:r>
        <w:t xml:space="preserve">achieved by 2030, prior to the amendment in 2023. The EU ETS remains not only relevant for</w:t>
      </w:r>
      <w:r>
        <w:t xml:space="preserve"> </w:t>
      </w:r>
      <w:r>
        <w:t xml:space="preserve">the future, but the key policy instrument to achieve the EU’s climate goals for the next decade.</w:t>
      </w:r>
      <w:r>
        <w:t xml:space="preserve"> </w:t>
      </w:r>
      <w:r>
        <w:t xml:space="preserve">The evaluation and recent report by the European Securities and Markets Authority (ESMA)5</w:t>
      </w:r>
      <w:r>
        <w:t xml:space="preserve"> </w:t>
      </w:r>
      <w:r>
        <w:t xml:space="preserve">showed that the ETS functions in line with market trends and underlying fundamentals and</w:t>
      </w:r>
      <w:r>
        <w:t xml:space="preserve"> </w:t>
      </w:r>
      <w:r>
        <w:t xml:space="preserve">ESMA did not identify any issue in the integrity or transparency of EU carbon markets.</w:t>
      </w:r>
      <w:r>
        <w:t xml:space="preserve"> </w:t>
      </w:r>
      <w:r>
        <w:t xml:space="preserve">Figure 2:</w:t>
      </w:r>
      <w:r>
        <w:t xml:space="preserve"> </w:t>
      </w:r>
      <w:r>
        <w:t xml:space="preserve">EU ETS in the context of the EU’s climate and energy policy framework</w:t>
      </w:r>
    </w:p>
    <w:p>
      <w:pPr>
        <w:pStyle w:val="BodyText"/>
      </w:pPr>
      <w:r>
        <w:t xml:space="preserve">The EU has adopted a legally binding climate target of 90% reduction in net greenhouse gas</w:t>
      </w:r>
      <w:r>
        <w:t xml:space="preserve"> </w:t>
      </w:r>
      <w:r>
        <w:t xml:space="preserve">(GHG) emissions for 2040. The 2040 climate target takes full account of the current economic,</w:t>
      </w:r>
      <w:r>
        <w:t xml:space="preserve"> </w:t>
      </w:r>
      <w:r>
        <w:t xml:space="preserve">security and geopolitical landscape in alignment with the EU Competitiveness Compass6,</w:t>
      </w:r>
    </w:p>
    <w:p>
      <w:pPr>
        <w:pStyle w:val="BodyText"/>
      </w:pPr>
      <w:r>
        <w:t xml:space="preserve">4</w:t>
      </w:r>
      <w:r>
        <w:br/>
      </w:r>
      <w:r>
        <w:t xml:space="preserve">Directive (EU) 2023/958 of the European Parliament and of the Council of 10 May 2023 amending Directive</w:t>
      </w:r>
      <w:r>
        <w:t xml:space="preserve"> </w:t>
      </w:r>
      <w:r>
        <w:t xml:space="preserve">2003/87/EC as regards aviation’s contribution to the Union’s economy-wide emission reduction target and</w:t>
      </w:r>
      <w:r>
        <w:t xml:space="preserve"> </w:t>
      </w:r>
      <w:r>
        <w:t xml:space="preserve">the appropriate implementation of a global market-based measure (OJ L 130, 16.5.2023) and Directive (EU)</w:t>
      </w:r>
      <w:r>
        <w:t xml:space="preserve"> </w:t>
      </w:r>
      <w:r>
        <w:t xml:space="preserve">2023/959 of the European Parliament and of the Council of 10 May 2023 amending Directive 2003/87/EC</w:t>
      </w:r>
      <w:r>
        <w:t xml:space="preserve"> </w:t>
      </w:r>
      <w:r>
        <w:t xml:space="preserve">establishing a system for greenhouse gas emission allowance trading within the Union and Decision (EU)</w:t>
      </w:r>
      <w:r>
        <w:t xml:space="preserve"> </w:t>
      </w:r>
      <w:r>
        <w:t xml:space="preserve">2015/1814 concerning the establishment and operation of a market stability reserve for the Union greenhouse</w:t>
      </w:r>
      <w:r>
        <w:t xml:space="preserve"> </w:t>
      </w:r>
      <w:r>
        <w:t xml:space="preserve">gas emission trading system (OJ L 130, 16.5.2023).</w:t>
      </w:r>
      <w:r>
        <w:t xml:space="preserve"> </w:t>
      </w:r>
      <w:r>
        <w:t xml:space="preserve">5</w:t>
      </w:r>
      <w:r>
        <w:br/>
      </w:r>
      <w:r>
        <w:t xml:space="preserve">European Securities and Markets Authority, ESMA Market Report: EU carbon markets 2025, 2025,</w:t>
      </w:r>
      <w:r>
        <w:t xml:space="preserve"> </w:t>
      </w:r>
      <w:r>
        <w:t xml:space="preserve">https://www.esma.europa.eu/sites/default/files/2025-10/ESMA50-481369926-</w:t>
      </w:r>
      <w:r>
        <w:t xml:space="preserve"> </w:t>
      </w:r>
      <w:r>
        <w:t xml:space="preserve">30552_Carbon_Markets_Report_2025.pdf.</w:t>
      </w:r>
      <w:r>
        <w:t xml:space="preserve"> </w:t>
      </w:r>
      <w:r>
        <w:t xml:space="preserve">6</w:t>
      </w:r>
      <w:r>
        <w:br/>
      </w:r>
      <w:r>
        <w:t xml:space="preserve">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Regions: A Competitiveness Compass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COM(2025)</w:t>
      </w:r>
      <w:r>
        <w:t xml:space="preserve"> </w:t>
      </w:r>
      <w:r>
        <w:t xml:space="preserve">30</w:t>
      </w:r>
      <w:r>
        <w:t xml:space="preserve"> </w:t>
      </w:r>
      <w:r>
        <w:t xml:space="preserve">final,</w:t>
      </w:r>
      <w:r>
        <w:t xml:space="preserve"> </w:t>
      </w:r>
      <w:r>
        <w:t xml:space="preserve">29.1.2025,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content/EN/TXT/?uri=celex:52025DC0030.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Clean Industrial Deal7, and Affordable Energy Action Plan8. It provides the necessary</w:t>
      </w:r>
      <w:r>
        <w:t xml:space="preserve"> </w:t>
      </w:r>
      <w:r>
        <w:t xml:space="preserve">predictability and stability for investments in the EU’s clean energy transition and for driving</w:t>
      </w:r>
      <w:r>
        <w:t xml:space="preserve"> </w:t>
      </w:r>
      <w:r>
        <w:t xml:space="preserve">industrial competitiveness.</w:t>
      </w:r>
      <w:r>
        <w:t xml:space="preserve"> </w:t>
      </w:r>
      <w:r>
        <w:t xml:space="preserve">The initiative seeks to ensure achievement of the climate targets in the European Climate Law.</w:t>
      </w:r>
      <w:r>
        <w:t xml:space="preserve"> </w:t>
      </w:r>
      <w:r>
        <w:t xml:space="preserve">Therefore, this impact assessment includes the Commission’s assessment of the consistency of</w:t>
      </w:r>
      <w:r>
        <w:t xml:space="preserve"> </w:t>
      </w:r>
      <w:r>
        <w:t xml:space="preserve">the initiative with the European Climate Law’s objectives, as required by Article 6(4) of the</w:t>
      </w:r>
      <w:r>
        <w:t xml:space="preserve"> </w:t>
      </w:r>
      <w:r>
        <w:t xml:space="preserve">European Climate Law.</w:t>
      </w:r>
      <w:r>
        <w:br/>
      </w:r>
      <w:r>
        <w:t xml:space="preserve">The 2040 target includes a possibility to use a limited quantity of high-quality international</w:t>
      </w:r>
      <w:r>
        <w:t xml:space="preserve"> </w:t>
      </w:r>
      <w:r>
        <w:t xml:space="preserve">credits to make an ‘adequate contribution’ towards the 2040 target, starting in 2036. This</w:t>
      </w:r>
      <w:r>
        <w:t xml:space="preserve"> </w:t>
      </w:r>
      <w:r>
        <w:t xml:space="preserve">amount can be up to 5% of 1990 EU net GHG emissions, corresponding to a domestic</w:t>
      </w:r>
      <w:r>
        <w:t xml:space="preserve"> </w:t>
      </w:r>
      <w:r>
        <w:t xml:space="preserve">reduction of net GHG emissions of at least by 85% compared to 1990 levels by 2040. A pilot</w:t>
      </w:r>
      <w:r>
        <w:t xml:space="preserve"> </w:t>
      </w:r>
      <w:r>
        <w:t xml:space="preserve">period in 2031-2035 may be considered.</w:t>
      </w:r>
      <w:r>
        <w:t xml:space="preserve"> </w:t>
      </w:r>
      <w:r>
        <w:t xml:space="preserve">International credits should be integrated to the future climate legislation in a way which</w:t>
      </w:r>
      <w:r>
        <w:t xml:space="preserve"> </w:t>
      </w:r>
      <w:r>
        <w:t xml:space="preserve">ensures reaching the climate target cost-efficiently using high-quality and integrity credits.</w:t>
      </w:r>
      <w:r>
        <w:t xml:space="preserve"> </w:t>
      </w:r>
      <w:r>
        <w:t xml:space="preserve">High credit integrity must be ensured taking the rules developed under Article 6.4 of the Paris</w:t>
      </w:r>
      <w:r>
        <w:t xml:space="preserve"> </w:t>
      </w:r>
      <w:r>
        <w:t xml:space="preserve">Agreement as a baseline. The specific role and deployment of international credits will be based</w:t>
      </w:r>
      <w:r>
        <w:t xml:space="preserve"> </w:t>
      </w:r>
      <w:r>
        <w:t xml:space="preserve">on a thorough impact assessment and subject to the development of Union law setting robust</w:t>
      </w:r>
      <w:r>
        <w:t xml:space="preserve"> </w:t>
      </w:r>
      <w:r>
        <w:t xml:space="preserve">and high integrity criteria and other safeguards.</w:t>
      </w:r>
      <w:r>
        <w:br/>
      </w:r>
      <w:r>
        <w:t xml:space="preserve">Nevertheless, this impact assessment concludes that a direct integration of international credits</w:t>
      </w:r>
      <w:r>
        <w:t xml:space="preserve"> </w:t>
      </w:r>
      <w:r>
        <w:t xml:space="preserve">in the ETS is not appropriate. The EU has had experience of direct integration of Certified</w:t>
      </w:r>
      <w:r>
        <w:t xml:space="preserve"> </w:t>
      </w:r>
      <w:r>
        <w:t xml:space="preserve">Emission Reductions (CERs) from the Clean Development Mechanism (CDM) into the EU</w:t>
      </w:r>
      <w:r>
        <w:t xml:space="preserve"> </w:t>
      </w:r>
      <w:r>
        <w:t xml:space="preserve">ETS and discontinued this approach due to negative impacts on the effectiveness and integrity</w:t>
      </w:r>
      <w:r>
        <w:t xml:space="preserve"> </w:t>
      </w:r>
      <w:r>
        <w:t xml:space="preserve">of the EU ETS. Repeating these results should be avoided. By contrast, adjusting the ETS cap</w:t>
      </w:r>
      <w:r>
        <w:t xml:space="preserve"> </w:t>
      </w:r>
      <w:r>
        <w:t xml:space="preserve">equivalent to the amount of international credits that would be centrally purchased from</w:t>
      </w:r>
      <w:r>
        <w:t xml:space="preserve"> </w:t>
      </w:r>
      <w:r>
        <w:t xml:space="preserve">mitigation outside of the EU under strict criteria and oversight, is a simpler, straightforward</w:t>
      </w:r>
      <w:r>
        <w:t xml:space="preserve"> </w:t>
      </w:r>
      <w:r>
        <w:t xml:space="preserve">approach that aligns with the fundamental principles of the system, ensuring a clearly defined</w:t>
      </w:r>
      <w:r>
        <w:t xml:space="preserve"> </w:t>
      </w:r>
      <w:r>
        <w:t xml:space="preserve">cap and environmental integrity, while still granting additional emission space to the EU ETS.</w:t>
      </w:r>
      <w:r>
        <w:t xml:space="preserve"> </w:t>
      </w:r>
      <w:r>
        <w:t xml:space="preserve">Revenues associated with the additional allowances that can be auctioned could be earmarked</w:t>
      </w:r>
      <w:r>
        <w:t xml:space="preserve"> </w:t>
      </w:r>
      <w:r>
        <w:t xml:space="preserve">to finance the international credits that justify the additional emissions space in the EU ETS.</w:t>
      </w:r>
      <w:r>
        <w:t xml:space="preserve"> </w:t>
      </w:r>
      <w:r>
        <w:t xml:space="preserve">This impact assessment therefore uses (modelled) scenarios aiming at an economy-wide</w:t>
      </w:r>
      <w:r>
        <w:t xml:space="preserve"> </w:t>
      </w:r>
      <w:r>
        <w:t xml:space="preserve">reduction of net greenhouse gas emissions by 85% in 2040 as indicative of the domestic</w:t>
      </w:r>
      <w:r>
        <w:t xml:space="preserve"> </w:t>
      </w:r>
      <w:r>
        <w:t xml:space="preserve">impacts of the Climate Law, in particular on EU ETS sectors. It could be decided later that less</w:t>
      </w:r>
      <w:r>
        <w:t xml:space="preserve"> </w:t>
      </w:r>
      <w:r>
        <w:t xml:space="preserve">than 5% of international credits are used, which would enable more investment in domestic</w:t>
      </w:r>
      <w:r>
        <w:t xml:space="preserve"> </w:t>
      </w:r>
      <w:r>
        <w:t xml:space="preserve">action. Consequently, the domestic reduction of net GHG emissions could be higher than 85%.</w:t>
      </w:r>
      <w:r>
        <w:t xml:space="preserve"> </w:t>
      </w:r>
      <w:r>
        <w:t xml:space="preserve">However, this target was chosen as the basis for the impact assessment to consider the</w:t>
      </w:r>
      <w:r>
        <w:t xml:space="preserve"> </w:t>
      </w:r>
      <w:r>
        <w:t xml:space="preserve">maximum potential use of the international credit flexibility allowed in the European Climate</w:t>
      </w:r>
      <w:r>
        <w:t xml:space="preserve"> </w:t>
      </w:r>
      <w:r>
        <w:t xml:space="preserve">Law. The costs and full impacts of purchases of international credits are not included in this</w:t>
      </w:r>
      <w:r>
        <w:t xml:space="preserve"> </w:t>
      </w:r>
      <w:r>
        <w:t xml:space="preserve">impact assessment. Allowing direct use of international credits for operators for their ETS</w:t>
      </w:r>
    </w:p>
    <w:p>
      <w:pPr>
        <w:pStyle w:val="BodyText"/>
      </w:pPr>
      <w:r>
        <w:t xml:space="preserve">7</w:t>
      </w:r>
      <w:r>
        <w:br/>
      </w:r>
      <w:r>
        <w:t xml:space="preserve">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Regions: The Clean Industrial Deal: A</w:t>
      </w:r>
      <w:r>
        <w:t xml:space="preserve"> </w:t>
      </w:r>
      <w:r>
        <w:t xml:space="preserve">Joint Roadmap for Competitiveness and Decarbonisation, COM(2025) 85 final, 26.2.2025, https://eur-</w:t>
      </w:r>
      <w:r>
        <w:t xml:space="preserve"> </w:t>
      </w:r>
      <w:r>
        <w:t xml:space="preserve">lex.europa.eu/legal-content/EN/TXT/?uri=celex:52025DC0085.</w:t>
      </w:r>
      <w:r>
        <w:t xml:space="preserve"> </w:t>
      </w:r>
      <w:r>
        <w:t xml:space="preserve">8</w:t>
      </w:r>
      <w:r>
        <w:br/>
      </w:r>
      <w:r>
        <w:t xml:space="preserve">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Regions: Action Plan for Affordable</w:t>
      </w:r>
      <w:r>
        <w:t xml:space="preserve"> </w:t>
      </w:r>
      <w:r>
        <w:t xml:space="preserve">Energy: Unlocking the True Value of Our Energy Union to Secure Affordable, Efficient and Clean Energy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Europeans,</w:t>
      </w:r>
      <w:r>
        <w:t xml:space="preserve"> </w:t>
      </w:r>
      <w:r>
        <w:t xml:space="preserve">COM(2025)</w:t>
      </w:r>
      <w:r>
        <w:t xml:space="preserve"> </w:t>
      </w:r>
      <w:r>
        <w:t xml:space="preserve">79</w:t>
      </w:r>
      <w:r>
        <w:t xml:space="preserve"> </w:t>
      </w:r>
      <w:r>
        <w:t xml:space="preserve">final,</w:t>
      </w:r>
      <w:r>
        <w:t xml:space="preserve"> </w:t>
      </w:r>
      <w:r>
        <w:t xml:space="preserve">26.2.2025,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content/EN/TXT/?uri=celex:52025DC0079.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compliance obligations as means to create additional emissions space is an option which cannot</w:t>
      </w:r>
      <w:r>
        <w:t xml:space="preserve"> </w:t>
      </w:r>
      <w:r>
        <w:t xml:space="preserve">be implemented simultaneously with the adjustment of the ETS cap to the EU-wide 85%</w:t>
      </w:r>
      <w:r>
        <w:t xml:space="preserve"> </w:t>
      </w:r>
      <w:r>
        <w:t xml:space="preserve">domestic ambition target.</w:t>
      </w:r>
      <w:r>
        <w:t xml:space="preserve"> </w:t>
      </w:r>
      <w:r>
        <w:t xml:space="preserve">The 2023 review under the Fit for 55 package introduced several review clauses relating to the</w:t>
      </w:r>
      <w:r>
        <w:t xml:space="preserve"> </w:t>
      </w:r>
      <w:r>
        <w:t xml:space="preserve">EU ETS, under Article 3gg, Article 28b and Article 30 to assess potential adjustments to the</w:t>
      </w:r>
      <w:r>
        <w:t xml:space="preserve"> </w:t>
      </w:r>
      <w:r>
        <w:t xml:space="preserve">system on aviation, maritime and stationary installations in 2026. In addition, Article 3 of the</w:t>
      </w:r>
      <w:r>
        <w:t xml:space="preserve"> </w:t>
      </w:r>
      <w:r>
        <w:t xml:space="preserve">MSR Decision sets a legal obligation for a review of this instrument, with the next review due</w:t>
      </w:r>
      <w:r>
        <w:t xml:space="preserve"> </w:t>
      </w:r>
      <w:r>
        <w:t xml:space="preserve">in 2026.</w:t>
      </w:r>
      <w:r>
        <w:br/>
      </w:r>
      <w:r>
        <w:t xml:space="preserve">Following the ‘evaluate first’ principle, the ETS Directive and the MSR Decision should be</w:t>
      </w:r>
      <w:r>
        <w:t xml:space="preserve"> </w:t>
      </w:r>
      <w:r>
        <w:t xml:space="preserve">evaluated before undergoing revision. A new emissions trading system covering CO2</w:t>
      </w:r>
      <w:r>
        <w:t xml:space="preserve"> </w:t>
      </w:r>
      <w:r>
        <w:t xml:space="preserve">emissions from fuel combustion in buildings, road transport and small industry (ETS2) was</w:t>
      </w:r>
      <w:r>
        <w:t xml:space="preserve"> </w:t>
      </w:r>
      <w:r>
        <w:t xml:space="preserve">created in the 2023 revision of the ETS Directive. As the ETS2 becomes fully operational in</w:t>
      </w:r>
      <w:r>
        <w:t xml:space="preserve"> </w:t>
      </w:r>
      <w:r>
        <w:t xml:space="preserve">2028, it is excluded from the scope of this impact assessment. Furthermore, the application of</w:t>
      </w:r>
      <w:r>
        <w:t xml:space="preserve"> </w:t>
      </w:r>
      <w:r>
        <w:t xml:space="preserve">the ETS2 is due to be reviewed by 2028 and any assessment of the feasibility of integrating</w:t>
      </w:r>
      <w:r>
        <w:t xml:space="preserve"> </w:t>
      </w:r>
      <w:r>
        <w:t xml:space="preserve">the sectors under ETS2 into the EU ETS is subject to a review clause due in 2031, as set out</w:t>
      </w:r>
      <w:r>
        <w:t xml:space="preserve"> </w:t>
      </w:r>
      <w:r>
        <w:t xml:space="preserve">in Article 30i of Directive 2003/87/EC.</w:t>
      </w:r>
      <w:r>
        <w:t xml:space="preserve"> </w:t>
      </w:r>
      <w:r>
        <w:t xml:space="preserve">Based on the Climate Law and the Paris Agreement, all sectors of the economy must contribute</w:t>
      </w:r>
      <w:r>
        <w:t xml:space="preserve"> </w:t>
      </w:r>
      <w:r>
        <w:t xml:space="preserve">to reducing emissions, including all the sectors covered by the EU ETS. This contribution risks</w:t>
      </w:r>
      <w:r>
        <w:t xml:space="preserve"> </w:t>
      </w:r>
      <w:r>
        <w:t xml:space="preserve">being hampered by potential residual emissions from sectors where there is currently a lack of</w:t>
      </w:r>
      <w:r>
        <w:t xml:space="preserve"> </w:t>
      </w:r>
      <w:r>
        <w:t xml:space="preserve">business case for decarbonisation technologies, notably in the energy intensive industries (EIIs)</w:t>
      </w:r>
      <w:r>
        <w:t xml:space="preserve"> </w:t>
      </w:r>
      <w:r>
        <w:t xml:space="preserve">where many processes are ‘hard-to-abate’9; from sectors with low incentives to shift to clean</w:t>
      </w:r>
      <w:r>
        <w:t xml:space="preserve"> </w:t>
      </w:r>
      <w:r>
        <w:t xml:space="preserve">solutions due to incomplete internalisation of the climate cost; and from sectors where</w:t>
      </w:r>
      <w:r>
        <w:t xml:space="preserve"> </w:t>
      </w:r>
      <w:r>
        <w:t xml:space="preserve">alternative low-carbon technologies remain constrained.</w:t>
      </w:r>
      <w:r>
        <w:br/>
      </w:r>
      <w:r>
        <w:t xml:space="preserve">Aviation accounts for 2-3% of global CO2 emissions10 and is a source of non-CO2 climate</w:t>
      </w:r>
      <w:r>
        <w:t xml:space="preserve"> </w:t>
      </w:r>
      <w:r>
        <w:t xml:space="preserve">impacts at least as significant as those of CO2. Aviation’s share of EU transport emissions today</w:t>
      </w:r>
      <w:r>
        <w:t xml:space="preserve"> </w:t>
      </w:r>
      <w:r>
        <w:t xml:space="preserve">is 13.9%, or around 4% of the EU’s total CO2 emissions. By 2050, aviation’s share is expected</w:t>
      </w:r>
      <w:r>
        <w:t xml:space="preserve"> </w:t>
      </w:r>
      <w:r>
        <w:t xml:space="preserve">to grow to around 90%11. Long-haul flights fuel this growth. Globally, the International Civil</w:t>
      </w:r>
      <w:r>
        <w:t xml:space="preserve"> </w:t>
      </w:r>
      <w:r>
        <w:t xml:space="preserve">Aviation Organization (ICAO) projects that international aviation emissions will continue to</w:t>
      </w:r>
      <w:r>
        <w:t xml:space="preserve"> </w:t>
      </w:r>
      <w:r>
        <w:t xml:space="preserve">grow, although Carbon Offsetting and Reduction Scheme for International Aviation (CORSIA)</w:t>
      </w:r>
      <w:r>
        <w:t xml:space="preserve"> </w:t>
      </w:r>
      <w:r>
        <w:t xml:space="preserve">aims to offset most of that growth12. Aviation, like shipping, has important decarbonisation</w:t>
      </w:r>
    </w:p>
    <w:p>
      <w:pPr>
        <w:pStyle w:val="BodyText"/>
      </w:pPr>
      <w:r>
        <w:t xml:space="preserve">9</w:t>
      </w:r>
      <w:r>
        <w:br/>
      </w:r>
      <w:r>
        <w:t xml:space="preserve">European Commission, The Future of European Competitiveness: Part B: In-depth analysis and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https://commission.europa.eu/document/download/97e481fd-2dc3-412d-be4c-</w:t>
      </w:r>
      <w:r>
        <w:t xml:space="preserve"> </w:t>
      </w:r>
      <w:r>
        <w:t xml:space="preserve">f152a8232961_en?filename=The%20future%20of%20European%20competitiveness%20_%20A%20comp</w:t>
      </w:r>
      <w:r>
        <w:t xml:space="preserve"> </w:t>
      </w:r>
      <w:r>
        <w:t xml:space="preserve">etitiveness%20strategy%20for%20Europe.pdf.</w:t>
      </w:r>
      <w:r>
        <w:t xml:space="preserve"> </w:t>
      </w:r>
      <w:r>
        <w:t xml:space="preserve">10 European Union Aviation Safety Agency, European Aviation Environmental Report 2025, 2025,</w:t>
      </w:r>
      <w:r>
        <w:t xml:space="preserve"> </w:t>
      </w:r>
      <w:r>
        <w:t xml:space="preserve">https://www.easa.europa.eu/en/domains/environment/eaer/downloads#download-2025.</w:t>
      </w:r>
      <w:r>
        <w:t xml:space="preserve"> </w:t>
      </w:r>
      <w:r>
        <w:t xml:space="preserve">11 Source: Figure 76, Direct CO2 emissions from the EU transport sector by mode, Annex 8, and Section 1.5.5,</w:t>
      </w:r>
      <w:r>
        <w:t xml:space="preserve"> </w:t>
      </w:r>
      <w:r>
        <w:t xml:space="preserve">page 97, in: European Commission, Commission Staff Working Document: Impact Assessment Report: Part</w:t>
      </w:r>
      <w:r>
        <w:t xml:space="preserve"> </w:t>
      </w:r>
      <w:r>
        <w:t xml:space="preserve">3: Accompanying the document: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Regions: Securing our</w:t>
      </w:r>
      <w:r>
        <w:t xml:space="preserve"> </w:t>
      </w:r>
      <w:r>
        <w:t xml:space="preserve">future: Europe’s 2040 climate target and path to climate neutrality by 2050 building a sustainable, just and</w:t>
      </w:r>
      <w:r>
        <w:t xml:space="preserve"> </w:t>
      </w:r>
      <w:r>
        <w:t xml:space="preserve">prosperous</w:t>
      </w:r>
      <w:r>
        <w:t xml:space="preserve"> </w:t>
      </w:r>
      <w:r>
        <w:t xml:space="preserve">society,</w:t>
      </w:r>
      <w:r>
        <w:t xml:space="preserve"> </w:t>
      </w:r>
      <w:r>
        <w:t xml:space="preserve">SWD(2024)</w:t>
      </w:r>
      <w:r>
        <w:t xml:space="preserve"> </w:t>
      </w:r>
      <w:r>
        <w:t xml:space="preserve">63</w:t>
      </w:r>
      <w:r>
        <w:t xml:space="preserve"> </w:t>
      </w:r>
      <w:r>
        <w:t xml:space="preserve">final,</w:t>
      </w:r>
      <w:r>
        <w:t xml:space="preserve"> </w:t>
      </w:r>
      <w:r>
        <w:t xml:space="preserve">6.2.2024,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lex.europa.eu/resource.html?uri=cellar:6c154426-c5a6-11ee-95d9-</w:t>
      </w:r>
      <w:r>
        <w:t xml:space="preserve"> </w:t>
      </w:r>
      <w:r>
        <w:t xml:space="preserve">01aa75ed71a1.0001.02/DOC_3&amp;format=PDF.</w:t>
      </w:r>
      <w:r>
        <w:t xml:space="preserve"> </w:t>
      </w:r>
      <w:r>
        <w:t xml:space="preserve">12 ICAO notes that due to partial participation in CORSIA, international aviation emissions will continue to</w:t>
      </w:r>
      <w:r>
        <w:t xml:space="preserve"> </w:t>
      </w:r>
      <w:r>
        <w:t xml:space="preserve">grow above the CORSIA baseline level (~500 MtCO2 per year). Source: ICAO, A42-WP/28 Report –</w:t>
      </w:r>
      <w:r>
        <w:t xml:space="preserve"> </w:t>
      </w:r>
      <w:r>
        <w:t xml:space="preserve">Technical</w:t>
      </w:r>
      <w:r>
        <w:t xml:space="preserve"> </w:t>
      </w:r>
      <w:r>
        <w:t xml:space="preserve">Assessments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2025</w:t>
      </w:r>
      <w:r>
        <w:t xml:space="preserve"> </w:t>
      </w:r>
      <w:r>
        <w:t xml:space="preserve">CORSIA</w:t>
      </w:r>
      <w:r>
        <w:t xml:space="preserve"> </w:t>
      </w:r>
      <w:r>
        <w:t xml:space="preserve">Periodic</w:t>
      </w:r>
      <w:r>
        <w:t xml:space="preserve"> </w:t>
      </w:r>
      <w:r>
        <w:t xml:space="preserve">Review,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https://www.icao.int/sites/default/files/Meetings/a42/Documents/WP/wp_028_en.pdf.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challenges as a hard-to-abate sector, marked by long asset lifetimes, significant capital</w:t>
      </w:r>
      <w:r>
        <w:t xml:space="preserve"> </w:t>
      </w:r>
      <w:r>
        <w:t xml:space="preserve">intensity, and a current scarcity of immediate alternatives to fossil fuels.</w:t>
      </w:r>
      <w:r>
        <w:br/>
      </w:r>
      <w:r>
        <w:t xml:space="preserve">Maritime transport represents around 14% of the total EU transport emissions, or around 4%</w:t>
      </w:r>
      <w:r>
        <w:t xml:space="preserve"> </w:t>
      </w:r>
      <w:r>
        <w:t xml:space="preserve">of the EU’s total CO2 emissions. Its green transition will require the mobilisation of the whole</w:t>
      </w:r>
      <w:r>
        <w:t xml:space="preserve"> </w:t>
      </w:r>
      <w:r>
        <w:t xml:space="preserve">EU maritime value chain and will require substantial investment in enhancing vessel efficiency,</w:t>
      </w:r>
      <w:r>
        <w:t xml:space="preserve"> </w:t>
      </w:r>
      <w:r>
        <w:t xml:space="preserve">developing new sustainable propulsion technologies, and scaling up the production and</w:t>
      </w:r>
      <w:r>
        <w:t xml:space="preserve"> </w:t>
      </w:r>
      <w:r>
        <w:t xml:space="preserve">distribution of sustainable renewable and low-carbon fuels, including the upgrade of port and</w:t>
      </w:r>
      <w:r>
        <w:t xml:space="preserve"> </w:t>
      </w:r>
      <w:r>
        <w:t xml:space="preserve">energy infrastructures.</w:t>
      </w:r>
      <w:r>
        <w:br/>
      </w:r>
      <w:r>
        <w:t xml:space="preserve">For aviation and maritime, complementary policies such as FuelEU Maritime and ReFuelEU</w:t>
      </w:r>
      <w:r>
        <w:t xml:space="preserve"> </w:t>
      </w:r>
      <w:r>
        <w:t xml:space="preserve">Aviation work in synergy with the ETS’s multiple incentives supporting the uptake of more</w:t>
      </w:r>
      <w:r>
        <w:t xml:space="preserve"> </w:t>
      </w:r>
      <w:r>
        <w:t xml:space="preserve">sustainable fuels13.</w:t>
      </w:r>
      <w:r>
        <w:br/>
      </w:r>
      <w:r>
        <w:t xml:space="preserve">Over the coming decade and to achieve climate neutrality by 2050, industry has to go through</w:t>
      </w:r>
      <w:r>
        <w:t xml:space="preserve"> </w:t>
      </w:r>
      <w:r>
        <w:t xml:space="preserve">a significant transformation to decarbonise and switch to cleaner and more energy efficient</w:t>
      </w:r>
      <w:r>
        <w:t xml:space="preserve"> </w:t>
      </w:r>
      <w:r>
        <w:t xml:space="preserve">technologies, such as electrification, the use hydrogen from renewable sources, or deploying</w:t>
      </w:r>
      <w:r>
        <w:t xml:space="preserve"> </w:t>
      </w:r>
      <w:r>
        <w:t xml:space="preserve">CCUS, as well as generating carbon removals. At the same time, it needs to remain</w:t>
      </w:r>
      <w:r>
        <w:t xml:space="preserve"> </w:t>
      </w:r>
      <w:r>
        <w:t xml:space="preserve">competitive in a global market and ensure quality jobs consistent with the objectives of the</w:t>
      </w:r>
      <w:r>
        <w:t xml:space="preserve"> </w:t>
      </w:r>
      <w:r>
        <w:t xml:space="preserve">Clean Industrial Deal. This transformation requires stepping up investments substantially.</w:t>
      </w:r>
      <w:r>
        <w:t xml:space="preserve"> </w:t>
      </w:r>
      <w:r>
        <w:t xml:space="preserve">Scenario S2 in the 2040 Climate Target Impact Assessment, reaching -88% GHG reductions</w:t>
      </w:r>
      <w:r>
        <w:t xml:space="preserve"> </w:t>
      </w:r>
      <w:r>
        <w:t xml:space="preserve">by 2040 compared to 1990, estimates the investment needs to transform the iron and steel</w:t>
      </w:r>
      <w:r>
        <w:t xml:space="preserve"> </w:t>
      </w:r>
      <w:r>
        <w:t xml:space="preserve">sector at around EUR 80 billion between 2031 and 2040; at around EUR 330 billion for the</w:t>
      </w:r>
      <w:r>
        <w:t xml:space="preserve"> </w:t>
      </w:r>
      <w:r>
        <w:t xml:space="preserve">five largest EIIs together (chemicals, basic metals, non-metallic minerals, and pulp and paper</w:t>
      </w:r>
      <w:r>
        <w:t xml:space="preserve"> </w:t>
      </w:r>
      <w:r>
        <w:t xml:space="preserve">industry) for the same period14.</w:t>
      </w:r>
      <w:r>
        <w:t xml:space="preserve"> </w:t>
      </w:r>
      <w:r>
        <w:t xml:space="preserve">The carbon price signal, together with the phase-in of the Carbon Border Adjustment</w:t>
      </w:r>
      <w:r>
        <w:t xml:space="preserve"> </w:t>
      </w:r>
      <w:r>
        <w:t xml:space="preserve">Mechanism (CBAM) already provides an incentive for industrial decarbonisation, while</w:t>
      </w:r>
      <w:r>
        <w:t xml:space="preserve"> </w:t>
      </w:r>
      <w:r>
        <w:t xml:space="preserve">protecting against carbon leakage. In addition, carbon pricing works hand in hand with</w:t>
      </w:r>
      <w:r>
        <w:t xml:space="preserve"> </w:t>
      </w:r>
      <w:r>
        <w:t xml:space="preserve">regulatory measures such as targets and requirements on energy efficiency, renewable energy</w:t>
      </w:r>
      <w:r>
        <w:t xml:space="preserve"> </w:t>
      </w:r>
      <w:r>
        <w:t xml:space="preserve">or decarbonised mobility and industry. In many sectors (e.g. steel, cement or chemicals),</w:t>
      </w:r>
      <w:r>
        <w:t xml:space="preserve"> </w:t>
      </w:r>
      <w:r>
        <w:t xml:space="preserve">however, the price signal (together with regulatory framework) has not been strong enough to</w:t>
      </w:r>
      <w:r>
        <w:t xml:space="preserve"> </w:t>
      </w:r>
      <w:r>
        <w:t xml:space="preserve">drive the transformational change and in the near future, investments will still be lacking a</w:t>
      </w:r>
      <w:r>
        <w:t xml:space="preserve"> </w:t>
      </w:r>
      <w:r>
        <w:t xml:space="preserve">business case at prevailing and anticipated carbon prices and as the regulatory measures still</w:t>
      </w:r>
      <w:r>
        <w:t xml:space="preserve"> </w:t>
      </w:r>
      <w:r>
        <w:t xml:space="preserve">need time to be fully implemented. This is why the Clean Industrial Deal Communication</w:t>
      </w:r>
      <w:r>
        <w:t xml:space="preserve"> </w:t>
      </w:r>
      <w:r>
        <w:t xml:space="preserve">announced the Industrial Decarbonisation Bank (IDB) to address the scale-up and roll-out of</w:t>
      </w:r>
      <w:r>
        <w:t xml:space="preserve"> </w:t>
      </w:r>
      <w:r>
        <w:t xml:space="preserve">more mature industrial decarbonisation projects, notably in EIIs across all Member States to</w:t>
      </w:r>
      <w:r>
        <w:t xml:space="preserve"> </w:t>
      </w:r>
      <w:r>
        <w:t xml:space="preserve">be funded mostly by a dedicated part of ETS revenues15. With the IDB focussing on scale-up</w:t>
      </w:r>
    </w:p>
    <w:p>
      <w:pPr>
        <w:pStyle w:val="BodyText"/>
      </w:pPr>
      <w:r>
        <w:t xml:space="preserve">13 For aviation, ReFuelEU aviation sets targets for fuel producers to supply an increasing share of sustainable</w:t>
      </w:r>
      <w:r>
        <w:t xml:space="preserve"> </w:t>
      </w:r>
      <w:r>
        <w:t xml:space="preserve">aviation fuels, starting with 2% of certain biofuels in 2025, 6% in 2030 (of which 0.7% synthetic fuels). For</w:t>
      </w:r>
      <w:r>
        <w:t xml:space="preserve"> </w:t>
      </w:r>
      <w:r>
        <w:t xml:space="preserve">the maritime sector, FuelEU Maritime sets maximum limits for the yearly average greenhouse gas (GHG)</w:t>
      </w:r>
      <w:r>
        <w:t xml:space="preserve"> </w:t>
      </w:r>
      <w:r>
        <w:t xml:space="preserve">intensity of the energy used by ships above 5 000 gross tonnage calling at European ports, regardless of their</w:t>
      </w:r>
      <w:r>
        <w:t xml:space="preserve"> </w:t>
      </w:r>
      <w:r>
        <w:t xml:space="preserve">flag.</w:t>
      </w:r>
      <w:r>
        <w:t xml:space="preserve"> </w:t>
      </w:r>
      <w:r>
        <w:t xml:space="preserve">14 European Commission, Commission Staff Working Document: Impact Assessment Report, Europe’s 2040</w:t>
      </w:r>
      <w:r>
        <w:t xml:space="preserve"> </w:t>
      </w:r>
      <w:r>
        <w:t xml:space="preserve">climate target and path to climate neutrality by 2050 building a sustainable, just and prosperous society, Part</w:t>
      </w:r>
      <w:r>
        <w:t xml:space="preserve"> </w:t>
      </w:r>
      <w:r>
        <w:t xml:space="preserve">3,pp.164-167,https://eur-lex.europa.eu/resource.html?uri=cellar:6c154426-c5a6-11ee-95d9-</w:t>
      </w:r>
      <w:r>
        <w:t xml:space="preserve"> </w:t>
      </w:r>
      <w:r>
        <w:t xml:space="preserve">01aa75ed71a1.0001.02/DOC_3&amp;format=PDF.</w:t>
      </w:r>
      <w:r>
        <w:t xml:space="preserve"> </w:t>
      </w:r>
      <w:r>
        <w:t xml:space="preserve">15 The IDB will be placed within the governance of the future European Competitiveness Fund to ensure that</w:t>
      </w:r>
      <w:r>
        <w:t xml:space="preserve"> </w:t>
      </w:r>
      <w:r>
        <w:t xml:space="preserve">both funding instruments are complementary. European Competitiveness Fund will also support</w:t>
      </w:r>
      <w:r>
        <w:t xml:space="preserve"> </w:t>
      </w:r>
      <w:r>
        <w:t xml:space="preserve">decarbonisation of the EIIs. Considering the high investment needs of these sectors both instruments are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and roll-out, there is also need for continuation of the Innovation Fund (also funded by ETS</w:t>
      </w:r>
      <w:r>
        <w:t xml:space="preserve"> </w:t>
      </w:r>
      <w:r>
        <w:t xml:space="preserve">resources) to continue supporting innovative and first of a kind technology that can address the</w:t>
      </w:r>
      <w:r>
        <w:t xml:space="preserve"> </w:t>
      </w:r>
      <w:r>
        <w:t xml:space="preserve">sectors that currently do not yet have technically viable decarbonisation solutions. Importantly,</w:t>
      </w:r>
      <w:r>
        <w:t xml:space="preserve"> </w:t>
      </w:r>
      <w:r>
        <w:t xml:space="preserve">the rollout of decarbonisation technologies in EIIs will lead to a significant increase in</w:t>
      </w:r>
      <w:r>
        <w:t xml:space="preserve"> </w:t>
      </w:r>
      <w:r>
        <w:t xml:space="preserve">electricity demand so expansion of the power generation capacities will be needed.</w:t>
      </w:r>
      <w:r>
        <w:t xml:space="preserve"> </w:t>
      </w:r>
      <w:r>
        <w:t xml:space="preserve">The EU ETS thus supports the objectives of the Clean Industrial Deal by providing a clear and</w:t>
      </w:r>
      <w:r>
        <w:t xml:space="preserve"> </w:t>
      </w:r>
      <w:r>
        <w:t xml:space="preserve">predictable carbon price, incentivising investment in decarbonisation solutions and funding the</w:t>
      </w:r>
      <w:r>
        <w:t xml:space="preserve"> </w:t>
      </w:r>
      <w:r>
        <w:t xml:space="preserve">investments which still lack the business case or where decarbonisation solutions have yet to</w:t>
      </w:r>
      <w:r>
        <w:t xml:space="preserve"> </w:t>
      </w:r>
      <w:r>
        <w:t xml:space="preserve">be demonstrated, while continuing to provide carbon-leakage protection and financial support</w:t>
      </w:r>
      <w:r>
        <w:t xml:space="preserve"> </w:t>
      </w:r>
      <w:r>
        <w:t xml:space="preserve">from the auction revenues with more than EUR 260 billion generated since the start of the</w:t>
      </w:r>
      <w:r>
        <w:t xml:space="preserve"> </w:t>
      </w:r>
      <w:r>
        <w:t xml:space="preserve">system. In the same way, the ETS will complement other initiatives in support of the Clean</w:t>
      </w:r>
      <w:r>
        <w:t xml:space="preserve"> </w:t>
      </w:r>
      <w:r>
        <w:t xml:space="preserve">Industrial Deal objectives. Examples include: action to speed up permitting for industrial</w:t>
      </w:r>
      <w:r>
        <w:t xml:space="preserve"> </w:t>
      </w:r>
      <w:r>
        <w:t xml:space="preserve">decarbonisation investments, build lead markets for European clean technologies and industrial</w:t>
      </w:r>
      <w:r>
        <w:t xml:space="preserve"> </w:t>
      </w:r>
      <w:r>
        <w:t xml:space="preserve">products through the Industrial Accelerator Act; action to lower industrial energy costs through</w:t>
      </w:r>
      <w:r>
        <w:t xml:space="preserve"> </w:t>
      </w:r>
      <w:r>
        <w:t xml:space="preserve">the Affordable Energy Action Plan, including the European Grids Package that will accelerate</w:t>
      </w:r>
      <w:r>
        <w:t xml:space="preserve"> </w:t>
      </w:r>
      <w:r>
        <w:t xml:space="preserve">electrification and integration of cheaper renewables by enabling energy to flow efficiently</w:t>
      </w:r>
      <w:r>
        <w:t xml:space="preserve"> </w:t>
      </w:r>
      <w:r>
        <w:t xml:space="preserve">across all Member States; and action to stimulate supply and demand for secondary raw</w:t>
      </w:r>
      <w:r>
        <w:t xml:space="preserve"> </w:t>
      </w:r>
      <w:r>
        <w:t xml:space="preserve">materials, most notably through the Circular Economy Act.</w:t>
      </w:r>
      <w:r>
        <w:br/>
      </w:r>
      <w:r>
        <w:t xml:space="preserve">GHG emissions from waste treatment are not subject to carbon pricing in most Member States.</w:t>
      </w:r>
      <w:r>
        <w:t xml:space="preserve"> </w:t>
      </w:r>
      <w:r>
        <w:t xml:space="preserve">Waste accounts for about 3% of the EU’s total greenhouse gas (GHG) emissions – excluding</w:t>
      </w:r>
      <w:r>
        <w:t xml:space="preserve"> </w:t>
      </w:r>
      <w:r>
        <w:t xml:space="preserve">waste incineration with energy recovery (waste-to-energy), which is estimated to account for a</w:t>
      </w:r>
      <w:r>
        <w:t xml:space="preserve"> </w:t>
      </w:r>
      <w:r>
        <w:t xml:space="preserve">further 2-3% of the EUs GHG emissions. In addition to losing valuable resources, waste can</w:t>
      </w:r>
      <w:r>
        <w:t xml:space="preserve"> </w:t>
      </w:r>
      <w:r>
        <w:t xml:space="preserve">have significant negative impacts on human health and the environment. For example,</w:t>
      </w:r>
      <w:r>
        <w:t xml:space="preserve"> </w:t>
      </w:r>
      <w:r>
        <w:t xml:space="preserve">incinerating waste can contribute to air pollution, while landfills might contaminate water and</w:t>
      </w:r>
      <w:r>
        <w:t xml:space="preserve"> </w:t>
      </w:r>
      <w:r>
        <w:t xml:space="preserve">land. Waste sector emissions could decrease further once all current EU waste policies are fully</w:t>
      </w:r>
      <w:r>
        <w:t xml:space="preserve"> </w:t>
      </w:r>
      <w:r>
        <w:t xml:space="preserve">implemented. However, new policy instruments, including the sector’s inclusion in the ETS,</w:t>
      </w:r>
      <w:r>
        <w:t xml:space="preserve"> </w:t>
      </w:r>
      <w:r>
        <w:t xml:space="preserve">could support GHG emissions reductions from the sector.</w:t>
      </w:r>
      <w:r>
        <w:br/>
      </w:r>
      <w:r>
        <w:t xml:space="preserve">In addition, the EU ETS’s contribution to the necessary emissions reductions may be hampered</w:t>
      </w:r>
      <w:r>
        <w:t xml:space="preserve"> </w:t>
      </w:r>
      <w:r>
        <w:t xml:space="preserve">by market inefficiencies resulting from a decreasing market size, which is intrinsic to the</w:t>
      </w:r>
      <w:r>
        <w:t xml:space="preserve"> </w:t>
      </w:r>
      <w:r>
        <w:t xml:space="preserve">system design. The MSR rules under the ETS aim to tackle structural supply-demand</w:t>
      </w:r>
      <w:r>
        <w:t xml:space="preserve"> </w:t>
      </w:r>
      <w:r>
        <w:t xml:space="preserve">imbalances between the available allowances to emit CO2 and the emissions of the compliance</w:t>
      </w:r>
      <w:r>
        <w:t xml:space="preserve"> </w:t>
      </w:r>
      <w:r>
        <w:t xml:space="preserve">entities covered. The impact assessment therefore analyses whether the rules governing the</w:t>
      </w:r>
      <w:r>
        <w:t xml:space="preserve"> </w:t>
      </w:r>
      <w:r>
        <w:t xml:space="preserve">operation of the MSR remain appropriate in the context of a declining supply of allowances.</w:t>
      </w:r>
      <w:r>
        <w:t xml:space="preserve"> </w:t>
      </w:r>
      <w:r>
        <w:t xml:space="preserve">And more precisely, this involves: (i) ensuring that the market remains efficient and creates an</w:t>
      </w:r>
      <w:r>
        <w:t xml:space="preserve"> </w:t>
      </w:r>
      <w:r>
        <w:t xml:space="preserve">incentive to invest in decarbonisation in the global context; and (ii) addressing specific</w:t>
      </w:r>
      <w:r>
        <w:t xml:space="preserve"> </w:t>
      </w:r>
      <w:r>
        <w:t xml:space="preserve">challenges faced by covered sectors to facilitate the uptake of available solutions. This</w:t>
      </w:r>
      <w:r>
        <w:t xml:space="preserve"> </w:t>
      </w:r>
      <w:r>
        <w:t xml:space="preserve">assessment is carried out in consideration of other legislative acts that facilitate the clean</w:t>
      </w:r>
      <w:r>
        <w:t xml:space="preserve"> </w:t>
      </w:r>
      <w:r>
        <w:t xml:space="preserve">transition and the competitiveness of EU industry. The impact assessment also examines how</w:t>
      </w:r>
      <w:r>
        <w:t xml:space="preserve"> </w:t>
      </w:r>
      <w:r>
        <w:t xml:space="preserve">to optimise the use of ETS revenues in support of decarbonisation investments.</w:t>
      </w:r>
      <w:r>
        <w:t xml:space="preserve"> </w:t>
      </w:r>
      <w:r>
        <w:t xml:space="preserve">In consequence, the impact assessment explores a broad variety of options compared to the</w:t>
      </w:r>
      <w:r>
        <w:t xml:space="preserve"> </w:t>
      </w:r>
      <w:r>
        <w:t xml:space="preserve">baseline (in general terms, the continuation of the current EU ETS framework) for the</w:t>
      </w:r>
      <w:r>
        <w:t xml:space="preserve"> </w:t>
      </w:r>
      <w:r>
        <w:t xml:space="preserve">following aspects. These aspects were selected because they correspond to the topics</w:t>
      </w:r>
      <w:r>
        <w:t xml:space="preserve"> </w:t>
      </w:r>
      <w:r>
        <w:t xml:space="preserve">established in the review clauses introduced with the Fit for 55 package (Article 3gg, Article</w:t>
      </w:r>
    </w:p>
    <w:p>
      <w:pPr>
        <w:pStyle w:val="BodyText"/>
      </w:pPr>
      <w:r>
        <w:t xml:space="preserve">needed but should be designed as complementary in the support of technologies development, types of</w:t>
      </w:r>
      <w:r>
        <w:t xml:space="preserve"> </w:t>
      </w:r>
      <w:r>
        <w:t xml:space="preserve">instruments offered and role in the project’s investment journey. This will be also facilitated by the common</w:t>
      </w:r>
      <w:r>
        <w:t xml:space="preserve"> </w:t>
      </w:r>
      <w:r>
        <w:t xml:space="preserve">governance framework.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28b and Article 30 of the ETS Directive) and the regular review of the MSR Decision (Article</w:t>
      </w:r>
      <w:r>
        <w:t xml:space="preserve"> </w:t>
      </w:r>
      <w:r>
        <w:t xml:space="preserve">3), and more broadly because they need to be reviewed to ensure that the EU ETS continues to</w:t>
      </w:r>
      <w:r>
        <w:t xml:space="preserve"> </w:t>
      </w:r>
      <w:r>
        <w:t xml:space="preserve">contribute in the most cost-effective and economically efficient manner to the overall goal of</w:t>
      </w:r>
      <w:r>
        <w:t xml:space="preserve"> </w:t>
      </w:r>
      <w:r>
        <w:t xml:space="preserve">reaching economy-wide carbon neutrality by 2050 and to the 2040 target, taking into account</w:t>
      </w:r>
      <w:r>
        <w:t xml:space="preserve"> </w:t>
      </w:r>
      <w:r>
        <w:t xml:space="preserve">the broader policy framework and the need for all sectors to contribute to the EU climate</w:t>
      </w:r>
      <w:r>
        <w:t xml:space="preserve"> </w:t>
      </w:r>
      <w:r>
        <w:t xml:space="preserve">efforts, while growing our economy and preserving competitiveness:</w:t>
      </w:r>
      <w:r>
        <w:t xml:space="preserve"> </w:t>
      </w:r>
      <w:r>
        <w:t xml:space="preserve">•</w:t>
      </w:r>
      <w:r>
        <w:t xml:space="preserve"> </w:t>
      </w:r>
      <w:r>
        <w:t xml:space="preserve">Carbon removals: this covers the possible inclusion of domestic permanent carbon</w:t>
      </w:r>
      <w:r>
        <w:t xml:space="preserve"> </w:t>
      </w:r>
      <w:r>
        <w:t xml:space="preserve">removals in the EU ETS. More specifically, it looks at (i) how the EU ETS could</w:t>
      </w:r>
      <w:r>
        <w:t xml:space="preserve"> </w:t>
      </w:r>
      <w:r>
        <w:t xml:space="preserve">account for negative emissions resulting from GHGs that are removed from the</w:t>
      </w:r>
      <w:r>
        <w:t xml:space="preserve"> </w:t>
      </w:r>
      <w:r>
        <w:t xml:space="preserve">atmosphere and safely and permanently stored (such as biogenic emissions with carbon</w:t>
      </w:r>
      <w:r>
        <w:t xml:space="preserve"> </w:t>
      </w:r>
      <w:r>
        <w:t xml:space="preserve">capture and storage or direct air capture with carbon storage); (ii) how those negative</w:t>
      </w:r>
      <w:r>
        <w:t xml:space="preserve"> </w:t>
      </w:r>
      <w:r>
        <w:t xml:space="preserve">emissions, if appropriate, could be covered by ‘emissions trading’, setting a clear scope</w:t>
      </w:r>
      <w:r>
        <w:t xml:space="preserve"> </w:t>
      </w:r>
      <w:r>
        <w:t xml:space="preserve">and strict criteria; (iii) putting in place of safeguards to ensure that such removals do</w:t>
      </w:r>
      <w:r>
        <w:t xml:space="preserve"> </w:t>
      </w:r>
      <w:r>
        <w:t xml:space="preserve">not deter necessary emissions reductions.</w:t>
      </w:r>
      <w:r>
        <w:t xml:space="preserve"> </w:t>
      </w:r>
      <w:r>
        <w:t xml:space="preserve">•</w:t>
      </w:r>
      <w:r>
        <w:t xml:space="preserve"> </w:t>
      </w:r>
      <w:r>
        <w:t xml:space="preserve">Market Stability Reserve: the review considers the parameters of the reserve (intake</w:t>
      </w:r>
      <w:r>
        <w:t xml:space="preserve"> </w:t>
      </w:r>
      <w:r>
        <w:t xml:space="preserve">and release rates, thresholds, and their potential alignment with a declining market) and</w:t>
      </w:r>
      <w:r>
        <w:t xml:space="preserve"> </w:t>
      </w:r>
      <w:r>
        <w:t xml:space="preserve">analyses if the MSR is adequately designed for the ETS of the next decade, which will</w:t>
      </w:r>
      <w:r>
        <w:t xml:space="preserve"> </w:t>
      </w:r>
      <w:r>
        <w:t xml:space="preserve">be characterized by a shrinking market.</w:t>
      </w:r>
      <w:r>
        <w:br/>
      </w:r>
      <w:r>
        <w:t xml:space="preserve">•</w:t>
      </w:r>
      <w:r>
        <w:t xml:space="preserve"> </w:t>
      </w:r>
      <w:r>
        <w:t xml:space="preserve">Industrial Decarbonisation Bank: the Clean Industrial Deal announced the Industrial</w:t>
      </w:r>
      <w:r>
        <w:t xml:space="preserve"> </w:t>
      </w:r>
      <w:r>
        <w:t xml:space="preserve">Decarbonisation Bank, aiming for the budget of EUR 100 billion drawing on the ETS</w:t>
      </w:r>
      <w:r>
        <w:t xml:space="preserve"> </w:t>
      </w:r>
      <w:r>
        <w:t xml:space="preserve">auction revenues and the revision of InvestEU so that a sizable impact can be made on</w:t>
      </w:r>
      <w:r>
        <w:t xml:space="preserve"> </w:t>
      </w:r>
      <w:r>
        <w:t xml:space="preserve">the industrial decarbonisation in the EU. The policy options assessed concern: possible</w:t>
      </w:r>
      <w:r>
        <w:t xml:space="preserve"> </w:t>
      </w:r>
      <w:r>
        <w:t xml:space="preserve">ways to allocate the support by the Bank; different forms that the support could take</w:t>
      </w:r>
      <w:r>
        <w:t xml:space="preserve"> </w:t>
      </w:r>
      <w:r>
        <w:t xml:space="preserve">and measures to ensure the geographical balance in allocating the support. The IDB will</w:t>
      </w:r>
      <w:r>
        <w:t xml:space="preserve"> </w:t>
      </w:r>
      <w:r>
        <w:t xml:space="preserve">operate alongside the Innovation Fund (IF) and the European Competitiveness Fund</w:t>
      </w:r>
      <w:r>
        <w:t xml:space="preserve"> </w:t>
      </w:r>
      <w:r>
        <w:t xml:space="preserve">(ECF). This assessment also considers the role the IDB can play in addressing residual</w:t>
      </w:r>
      <w:r>
        <w:t xml:space="preserve"> </w:t>
      </w:r>
      <w:r>
        <w:t xml:space="preserve">risks of carbon leakage for CBAM sectors. For the IF, the Fund’s evaluation</w:t>
      </w:r>
      <w:r>
        <w:t xml:space="preserve"> </w:t>
      </w:r>
      <w:r>
        <w:t xml:space="preserve">recommends the continuation of the programme with improvements, notably in terms</w:t>
      </w:r>
      <w:r>
        <w:t xml:space="preserve"> </w:t>
      </w:r>
      <w:r>
        <w:t xml:space="preserve">of simplification without, however fundamental change to its operation and objectives</w:t>
      </w:r>
      <w:r>
        <w:t xml:space="preserve"> </w:t>
      </w:r>
      <w:r>
        <w:t xml:space="preserve">(i.e. support for innovative, First-of-a-Kind projects).</w:t>
      </w:r>
      <w:r>
        <w:br/>
      </w:r>
      <w:r>
        <w:t xml:space="preserve">•</w:t>
      </w:r>
      <w:r>
        <w:t xml:space="preserve"> </w:t>
      </w:r>
      <w:r>
        <w:t xml:space="preserve">Modernisation Fund: the evaluation indicates that it is succeeding in supporting</w:t>
      </w:r>
      <w:r>
        <w:t xml:space="preserve"> </w:t>
      </w:r>
      <w:r>
        <w:t xml:space="preserve">relevant investments to decarbonise the energy systems of Member States with high</w:t>
      </w:r>
      <w:r>
        <w:t xml:space="preserve"> </w:t>
      </w:r>
      <w:r>
        <w:t xml:space="preserve">needs and low-income. The distinction between priority area and non-priority area and</w:t>
      </w:r>
      <w:r>
        <w:t xml:space="preserve"> </w:t>
      </w:r>
      <w:r>
        <w:t xml:space="preserve">the rules attached to each category have proved effective to foster those investments</w:t>
      </w:r>
      <w:r>
        <w:t xml:space="preserve"> </w:t>
      </w:r>
      <w:r>
        <w:t xml:space="preserve">most closely aligned with EU climate and energy targets, while allowing room for some</w:t>
      </w:r>
      <w:r>
        <w:t xml:space="preserve"> </w:t>
      </w:r>
      <w:r>
        <w:t xml:space="preserve">investments in transitional technologies. The impact assessment considers the</w:t>
      </w:r>
      <w:r>
        <w:t xml:space="preserve"> </w:t>
      </w:r>
      <w:r>
        <w:t xml:space="preserve">possibility to increase the scope of priority investment to more decarbonation</w:t>
      </w:r>
      <w:r>
        <w:t xml:space="preserve"> </w:t>
      </w:r>
      <w:r>
        <w:t xml:space="preserve">technologies; to discontinue financing investments related to fossil fuels and waste-to-</w:t>
      </w:r>
      <w:r>
        <w:t xml:space="preserve"> </w:t>
      </w:r>
      <w:r>
        <w:t xml:space="preserve">energy, the respective shares of priority/non-priority investments and the governance</w:t>
      </w:r>
      <w:r>
        <w:t xml:space="preserve"> </w:t>
      </w:r>
      <w:r>
        <w:t xml:space="preserve">related to the confirmation of priority investments.</w:t>
      </w:r>
      <w:r>
        <w:t xml:space="preserve"> </w:t>
      </w:r>
      <w:r>
        <w:t xml:space="preserve">•</w:t>
      </w:r>
      <w:r>
        <w:t xml:space="preserve"> </w:t>
      </w:r>
      <w:r>
        <w:t xml:space="preserve">Aviation emissions: While legally the ETS covers emissions from January 2027 from</w:t>
      </w:r>
      <w:r>
        <w:t xml:space="preserve"> </w:t>
      </w:r>
      <w:r>
        <w:t xml:space="preserve">flights landing in (unless exempted) and departing from the European Economic Area</w:t>
      </w:r>
      <w:r>
        <w:t xml:space="preserve"> </w:t>
      </w:r>
      <w:r>
        <w:t xml:space="preserve">(EEA), the EU has temporarily limited the scope to intra-EEA flights and departing</w:t>
      </w:r>
      <w:r>
        <w:t xml:space="preserve"> </w:t>
      </w:r>
      <w:r>
        <w:t xml:space="preserve">flights to the UK and Switzerland. This is to encourage the development of an effective</w:t>
      </w:r>
      <w:r>
        <w:t xml:space="preserve"> </w:t>
      </w:r>
      <w:r>
        <w:t xml:space="preserve">global carbon pricing scheme by ICAO. This impact assessment examines CORSIA in</w:t>
      </w:r>
      <w:r>
        <w:t xml:space="preserve"> </w:t>
      </w:r>
      <w:r>
        <w:t xml:space="preserve">line with the ETS Directive assessment criteria and indications on geographical scope.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•</w:t>
      </w:r>
      <w:r>
        <w:t xml:space="preserve"> </w:t>
      </w:r>
      <w:r>
        <w:t xml:space="preserve">Maritime emissions16: the impact assessment examines the possibility of a dedicated</w:t>
      </w:r>
      <w:r>
        <w:t xml:space="preserve"> </w:t>
      </w:r>
      <w:r>
        <w:t xml:space="preserve">EU mechanism to directly support shipping companies with ETS allowances in their</w:t>
      </w:r>
      <w:r>
        <w:t xml:space="preserve"> </w:t>
      </w:r>
      <w:r>
        <w:t xml:space="preserve">efforts to use sustainable fuels and clean propulsion technologies. Furthermore, it</w:t>
      </w:r>
      <w:r>
        <w:t xml:space="preserve"> </w:t>
      </w:r>
      <w:r>
        <w:t xml:space="preserve">considers legislative improvements to ensure the effective implementation of ETS</w:t>
      </w:r>
      <w:r>
        <w:t xml:space="preserve"> </w:t>
      </w:r>
      <w:r>
        <w:t xml:space="preserve">application to maritime transport, notably in relation to the possible risk of evasion/</w:t>
      </w:r>
      <w:r>
        <w:t xml:space="preserve"> </w:t>
      </w:r>
      <w:r>
        <w:t xml:space="preserve">circumvention. It also examines opportunities for simplification and other measures to</w:t>
      </w:r>
      <w:r>
        <w:t xml:space="preserve"> </w:t>
      </w:r>
      <w:r>
        <w:t xml:space="preserve">enhance the robustness and effectiveness of the system’s implementation, including in</w:t>
      </w:r>
      <w:r>
        <w:t xml:space="preserve"> </w:t>
      </w:r>
      <w:r>
        <w:t xml:space="preserve">terms of alignment with other EU legislation and the need for derogations to maintain</w:t>
      </w:r>
      <w:r>
        <w:t xml:space="preserve"> </w:t>
      </w:r>
      <w:r>
        <w:t xml:space="preserve">territorial continuity and connectivity. The impact assessment further examines design</w:t>
      </w:r>
      <w:r>
        <w:t xml:space="preserve"> </w:t>
      </w:r>
      <w:r>
        <w:t xml:space="preserve">options to ensure coherence between the EU ETS and any global measure at the</w:t>
      </w:r>
      <w:r>
        <w:t xml:space="preserve"> </w:t>
      </w:r>
      <w:r>
        <w:t xml:space="preserve">International Maritime Organization (IMO) implementing the 2023 IMO GHG</w:t>
      </w:r>
      <w:r>
        <w:t xml:space="preserve"> </w:t>
      </w:r>
      <w:r>
        <w:t xml:space="preserve">Strategy, notably in order to avoid double payment of the same emissions. It also</w:t>
      </w:r>
      <w:r>
        <w:t xml:space="preserve"> </w:t>
      </w:r>
      <w:r>
        <w:t xml:space="preserve">examines the feasibility and possible impacts of including emissions from small ships</w:t>
      </w:r>
      <w:r>
        <w:t xml:space="preserve"> </w:t>
      </w:r>
      <w:r>
        <w:t xml:space="preserve">(i.e. below 5 000 gross tonnage but not below 400 gross tonnage).</w:t>
      </w:r>
      <w:r>
        <w:t xml:space="preserve"> </w:t>
      </w:r>
      <w:r>
        <w:t xml:space="preserve">•</w:t>
      </w:r>
      <w:r>
        <w:t xml:space="preserve"> </w:t>
      </w:r>
      <w:r>
        <w:t xml:space="preserve">Risk of carbon leakage: this involves the assessment of measures that aim to protect</w:t>
      </w:r>
      <w:r>
        <w:t xml:space="preserve"> </w:t>
      </w:r>
      <w:r>
        <w:t xml:space="preserve">industrial installations exposed to a risk of transfer of production or investments to other</w:t>
      </w:r>
      <w:r>
        <w:t xml:space="preserve"> </w:t>
      </w:r>
      <w:r>
        <w:t xml:space="preserve">countries with laxer emission constraints as a result of having to pay for their</w:t>
      </w:r>
      <w:r>
        <w:t xml:space="preserve"> </w:t>
      </w:r>
      <w:r>
        <w:t xml:space="preserve">greenhouse gas emissions (directly or indirectly), while ensuring the necessary</w:t>
      </w:r>
      <w:r>
        <w:t xml:space="preserve"> </w:t>
      </w:r>
      <w:r>
        <w:t xml:space="preserve">incentives for emissions reductions. Carbon leakage can occur due to the cost of both</w:t>
      </w:r>
      <w:r>
        <w:t xml:space="preserve"> </w:t>
      </w:r>
      <w:r>
        <w:t xml:space="preserve">direct emissions (ETS costs paid by installations) and indirect emissions (carbon costs</w:t>
      </w:r>
      <w:r>
        <w:t xml:space="preserve"> </w:t>
      </w:r>
      <w:r>
        <w:t xml:space="preserve">in the power sector that are passed onto electro-intensive industries). The impact</w:t>
      </w:r>
      <w:r>
        <w:t xml:space="preserve"> </w:t>
      </w:r>
      <w:r>
        <w:t xml:space="preserve">assessment will consider primarily carbon leakage protection options for emissions not</w:t>
      </w:r>
      <w:r>
        <w:t xml:space="preserve"> </w:t>
      </w:r>
      <w:r>
        <w:t xml:space="preserve">covered by CBAM. For CBAM sectors CBAM’s full but gradual implementation from</w:t>
      </w:r>
      <w:r>
        <w:t xml:space="preserve"> </w:t>
      </w:r>
      <w:r>
        <w:t xml:space="preserve">2026 and the corresponding gradual phase-out of free allocation to CBAM sectors</w:t>
      </w:r>
      <w:r>
        <w:t xml:space="preserve"> </w:t>
      </w:r>
      <w:r>
        <w:t xml:space="preserve">provide for a change of mechanism to address carbon leakage risks. Nevertheless, this</w:t>
      </w:r>
      <w:r>
        <w:t xml:space="preserve"> </w:t>
      </w:r>
      <w:r>
        <w:t xml:space="preserve">assessment will also consider the impacts of a slowdown of the phase-out of free</w:t>
      </w:r>
      <w:r>
        <w:t xml:space="preserve"> </w:t>
      </w:r>
      <w:r>
        <w:t xml:space="preserve">allocation for CBAM sectors, addressing residual risks of carbon leakage. For indirect</w:t>
      </w:r>
      <w:r>
        <w:t xml:space="preserve"> </w:t>
      </w:r>
      <w:r>
        <w:t xml:space="preserve">emissions, the impact assessment will consider how to address carbon leakage risk post-</w:t>
      </w:r>
      <w:r>
        <w:t xml:space="preserve"> </w:t>
      </w:r>
      <w:r>
        <w:t xml:space="preserve">2030, in particular whether to continue to encourage Member States to provide indirect</w:t>
      </w:r>
      <w:r>
        <w:t xml:space="preserve"> </w:t>
      </w:r>
      <w:r>
        <w:t xml:space="preserve">carbon cost compensation (ICC) through State aid, and/or whether to harmonise the</w:t>
      </w:r>
      <w:r>
        <w:t xml:space="preserve"> </w:t>
      </w:r>
      <w:r>
        <w:t xml:space="preserve">provision of compensation through an EU instrument.</w:t>
      </w:r>
      <w:r>
        <w:br/>
      </w:r>
      <w:r>
        <w:t xml:space="preserve">•</w:t>
      </w:r>
      <w:r>
        <w:t xml:space="preserve"> </w:t>
      </w:r>
      <w:r>
        <w:t xml:space="preserve">Thermal input thresholds: this examines the feasibility of lowering the 20 MW total</w:t>
      </w:r>
      <w:r>
        <w:t xml:space="preserve"> </w:t>
      </w:r>
      <w:r>
        <w:t xml:space="preserve">rated thermal input thresholds for the activities listed in Annex I from 2031 onwards</w:t>
      </w:r>
      <w:r>
        <w:t xml:space="preserve"> </w:t>
      </w:r>
      <w:r>
        <w:t xml:space="preserve">(minimum threshold for inclusion in the ETS for several activities), considering ETS2.</w:t>
      </w:r>
      <w:r>
        <w:t xml:space="preserve"> </w:t>
      </w:r>
      <w:r>
        <w:t xml:space="preserve">•</w:t>
      </w:r>
      <w:r>
        <w:t xml:space="preserve"> </w:t>
      </w:r>
      <w:r>
        <w:t xml:space="preserve">Municipal waste incineration: this considers the feasibility of including emissions</w:t>
      </w:r>
      <w:r>
        <w:t xml:space="preserve"> </w:t>
      </w:r>
      <w:r>
        <w:t xml:space="preserve">from municipal waste incineration in the EU ETS from 2028 (with possible opt-outs</w:t>
      </w:r>
      <w:r>
        <w:t xml:space="preserve"> </w:t>
      </w:r>
      <w:r>
        <w:t xml:space="preserve">until 2030). The Commission must also assess the possibility of including in the EU</w:t>
      </w:r>
      <w:r>
        <w:t xml:space="preserve"> </w:t>
      </w:r>
      <w:r>
        <w:t xml:space="preserve">ETS other waste management processes, in particular landfilling, which creates</w:t>
      </w:r>
      <w:r>
        <w:t xml:space="preserve"> </w:t>
      </w:r>
      <w:r>
        <w:t xml:space="preserve">significant methane and nitrous oxide emissions. The analysis on the possible scope</w:t>
      </w:r>
      <w:r>
        <w:t xml:space="preserve"> </w:t>
      </w:r>
      <w:r>
        <w:t xml:space="preserve">expansion of the EU ETS to waste management processes must take into account the</w:t>
      </w:r>
      <w:r>
        <w:t xml:space="preserve"> </w:t>
      </w:r>
      <w:r>
        <w:t xml:space="preserve">alignment with the waste hierarchy.</w:t>
      </w:r>
      <w:r>
        <w:t xml:space="preserve"> </w:t>
      </w:r>
      <w:r>
        <w:t xml:space="preserve">•</w:t>
      </w:r>
      <w:r>
        <w:t xml:space="preserve"> </w:t>
      </w:r>
      <w:r>
        <w:t xml:space="preserve">Non-permanent carbon capture and use (CCU): the impact assessment examines</w:t>
      </w:r>
      <w:r>
        <w:t xml:space="preserve"> </w:t>
      </w:r>
      <w:r>
        <w:t xml:space="preserve">whether, in view of providing incentives for emission reductions, all GHG emissions</w:t>
      </w:r>
      <w:r>
        <w:t xml:space="preserve"> </w:t>
      </w:r>
      <w:r>
        <w:t xml:space="preserve">covered by the ETS are effectively accounted for and whether double counting is</w:t>
      </w:r>
    </w:p>
    <w:p>
      <w:pPr>
        <w:pStyle w:val="BodyText"/>
      </w:pPr>
      <w:r>
        <w:t xml:space="preserve">16 Further detail in the Ricardo/WSP (forthcoming), Support for the 2026 review of the ETS maritime study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avoided, in particular regarding emissions considered to have been captured and utilised</w:t>
      </w:r>
      <w:r>
        <w:t xml:space="preserve"> </w:t>
      </w:r>
      <w:r>
        <w:t xml:space="preserve">in a product that does not permanently chemically bind CO2.</w:t>
      </w:r>
      <w:r>
        <w:t xml:space="preserve"> </w:t>
      </w:r>
      <w:r>
        <w:t xml:space="preserve">•</w:t>
      </w:r>
      <w:r>
        <w:t xml:space="preserve"> </w:t>
      </w:r>
      <w:r>
        <w:t xml:space="preserve">Linking with other carbon markets: a standalone annex considers how effective links</w:t>
      </w:r>
      <w:r>
        <w:t xml:space="preserve"> </w:t>
      </w:r>
      <w:r>
        <w:t xml:space="preserve">can be established between the revised EU ETS and other carbon market to realise the</w:t>
      </w:r>
      <w:r>
        <w:t xml:space="preserve"> </w:t>
      </w:r>
      <w:r>
        <w:t xml:space="preserve">benefits of a reduced cost of emission abatement, an increased market liquidity, an</w:t>
      </w:r>
      <w:r>
        <w:t xml:space="preserve"> </w:t>
      </w:r>
      <w:r>
        <w:t xml:space="preserve">effective mitigation of the risk of carbon leakage, without impeding achievement of the</w:t>
      </w:r>
      <w:r>
        <w:t xml:space="preserve"> </w:t>
      </w:r>
      <w:r>
        <w:t xml:space="preserve">climate-neutrality objective and EU climate targets.</w:t>
      </w:r>
      <w:r>
        <w:t xml:space="preserve"> </w:t>
      </w:r>
      <w:r>
        <w:t xml:space="preserve">Overall, the impact assessment assesses the consistency with other EU legislative acts and</w:t>
      </w:r>
      <w:r>
        <w:t xml:space="preserve"> </w:t>
      </w:r>
      <w:r>
        <w:t xml:space="preserve">possible simplification options, including evaluation of the administrative costs linked to ETS</w:t>
      </w:r>
      <w:r>
        <w:t xml:space="preserve"> </w:t>
      </w:r>
      <w:r>
        <w:t xml:space="preserve">implementation and the risk of additional burden resulting from monitoring and reporting</w:t>
      </w:r>
      <w:r>
        <w:t xml:space="preserve"> </w:t>
      </w:r>
      <w:r>
        <w:t xml:space="preserve">obligations. Impacts on third countries are catered for in current policies, such as the CBAM</w:t>
      </w:r>
      <w:r>
        <w:t xml:space="preserve"> </w:t>
      </w:r>
      <w:r>
        <w:t xml:space="preserve">application based on effective EU ETS price, or assessed as part of separate dedicated</w:t>
      </w:r>
      <w:r>
        <w:t xml:space="preserve"> </w:t>
      </w:r>
      <w:r>
        <w:t xml:space="preserve">processes, such as linking or EU enlargement frameworks.</w:t>
      </w:r>
      <w:r>
        <w:br/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Problem 1: Risk of not contributing cost-effectively (i) to the EU emissions reduction</w:t>
      </w:r>
      <w:r>
        <w:t xml:space="preserve"> </w:t>
      </w:r>
      <w:r>
        <w:t xml:space="preserve">target in line with climate neutrality and the 2040 target, and (ii) to addressing the EU</w:t>
      </w:r>
      <w:r>
        <w:t xml:space="preserve"> </w:t>
      </w:r>
      <w:r>
        <w:t xml:space="preserve">ETS’s fair share of international emissions</w:t>
      </w:r>
      <w:r>
        <w:t xml:space="preserve"> </w:t>
      </w:r>
      <w:r>
        <w:t xml:space="preserve">The overarching objective of the EU ETS is to contribute to reduce GHG emissions cost-</w:t>
      </w:r>
      <w:r>
        <w:t xml:space="preserve"> </w:t>
      </w:r>
      <w:r>
        <w:t xml:space="preserve">effectively through-out the EU economy, including its fair share of international emissions, in</w:t>
      </w:r>
      <w:r>
        <w:t xml:space="preserve"> </w:t>
      </w:r>
      <w:r>
        <w:t xml:space="preserve">a way that is in line with the climate neutrality objective by 2050 and the intermediate 2040</w:t>
      </w:r>
      <w:r>
        <w:t xml:space="preserve"> </w:t>
      </w:r>
      <w:r>
        <w:t xml:space="preserve">climate target. However, there is a risk that the EU ETS is not contributing to these emissions</w:t>
      </w:r>
      <w:r>
        <w:t xml:space="preserve"> </w:t>
      </w:r>
      <w:r>
        <w:t xml:space="preserve">reductions cost-effectively for several reasons:</w:t>
      </w:r>
      <w:r>
        <w:t xml:space="preserve"> </w:t>
      </w:r>
      <w:r>
        <w:t xml:space="preserve">o The current legislative framework was designed in view of the 2030 climate target, so</w:t>
      </w:r>
      <w:r>
        <w:t xml:space="preserve"> </w:t>
      </w:r>
      <w:r>
        <w:t xml:space="preserve">the EU ETS cap trajectory is not aligned with the overall climate policy framework that</w:t>
      </w:r>
      <w:r>
        <w:t xml:space="preserve"> </w:t>
      </w:r>
      <w:r>
        <w:t xml:space="preserve">ensures a balanced and cost-effective contribution of all sectors to greenhouse gas</w:t>
      </w:r>
      <w:r>
        <w:t xml:space="preserve"> </w:t>
      </w:r>
      <w:r>
        <w:t xml:space="preserve">emission reductions and carbon removals towards the 2040 target.</w:t>
      </w:r>
      <w:r>
        <w:t xml:space="preserve"> </w:t>
      </w:r>
      <w:r>
        <w:t xml:space="preserve">o As the cap is reduced towards climate neutrality, the carbon price is expected to rise. In</w:t>
      </w:r>
      <w:r>
        <w:t xml:space="preserve"> </w:t>
      </w:r>
      <w:r>
        <w:t xml:space="preserve">a market which functions perfectly otherwise, this expectation would be sufficient to</w:t>
      </w:r>
      <w:r>
        <w:t xml:space="preserve"> </w:t>
      </w:r>
      <w:r>
        <w:t xml:space="preserve">guarantee long term investment. However, there are other market failures, such as</w:t>
      </w:r>
      <w:r>
        <w:t xml:space="preserve"> </w:t>
      </w:r>
      <w:r>
        <w:t xml:space="preserve">insufficient incentive for investing in R&amp;D&amp;I as a public good, or the more myopic</w:t>
      </w:r>
      <w:r>
        <w:t xml:space="preserve"> </w:t>
      </w:r>
      <w:r>
        <w:t xml:space="preserve">perspective of investors. Therefore, other risks remain:</w:t>
      </w:r>
      <w:r>
        <w:t xml:space="preserve"> </w:t>
      </w:r>
      <w:r>
        <w:t xml:space="preserve">o Insufficient long-term investments will be made to decarbonise certain sectors,</w:t>
      </w:r>
      <w:r>
        <w:t xml:space="preserve"> </w:t>
      </w:r>
      <w:r>
        <w:t xml:space="preserve">among other things, due to lack of sufficiently strong carbon price signal as</w:t>
      </w:r>
      <w:r>
        <w:t xml:space="preserve"> </w:t>
      </w:r>
      <w:r>
        <w:t xml:space="preserve">perceived by investors. This risk is confirmed by the findings of the evaluation</w:t>
      </w:r>
      <w:r>
        <w:t xml:space="preserve"> </w:t>
      </w:r>
      <w:r>
        <w:t xml:space="preserve">(see Annex 15). While the EU ETS has delivered significant emissions</w:t>
      </w:r>
      <w:r>
        <w:t xml:space="preserve"> </w:t>
      </w:r>
      <w:r>
        <w:t xml:space="preserve">reductions in the power sector, the relatively low carbon prices, and high share</w:t>
      </w:r>
      <w:r>
        <w:t xml:space="preserve"> </w:t>
      </w:r>
      <w:r>
        <w:t xml:space="preserve">of free allocation to industry reduced the incentives to invest in decarbonisation</w:t>
      </w:r>
      <w:r>
        <w:t xml:space="preserve"> </w:t>
      </w:r>
      <w:r>
        <w:t xml:space="preserve">technologies.</w:t>
      </w:r>
      <w:r>
        <w:br/>
      </w:r>
      <w:r>
        <w:t xml:space="preserve">o Lack of funding mechanisms of sufficient duration and magnitude to support</w:t>
      </w:r>
      <w:r>
        <w:t xml:space="preserve"> </w:t>
      </w:r>
      <w:r>
        <w:t xml:space="preserve">the business case for industrial decarbonisations and thus investments17. In this</w:t>
      </w:r>
      <w:r>
        <w:t xml:space="preserve"> </w:t>
      </w:r>
      <w:r>
        <w:t xml:space="preserve">case, ETS risks leading to GHG emissions reductions mainly through a decrease</w:t>
      </w:r>
    </w:p>
    <w:p>
      <w:pPr>
        <w:pStyle w:val="BodyText"/>
      </w:pPr>
      <w:r>
        <w:t xml:space="preserve">17 In scenarios for reaching the 2040 climate target, investment needs are estimated at approximately EUR 30-</w:t>
      </w:r>
      <w:r>
        <w:t xml:space="preserve"> </w:t>
      </w:r>
      <w:r>
        <w:t xml:space="preserve">50 billion annually between 2031 and 2040 for industry (around EUR 25-40 billion for energy-intensive</w:t>
      </w:r>
      <w:r>
        <w:t xml:space="preserve"> </w:t>
      </w:r>
      <w:r>
        <w:t xml:space="preserve">industries).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 production levels rather than by a decrease in carbon emissions intensity of</w:t>
      </w:r>
      <w:r>
        <w:t xml:space="preserve"> </w:t>
      </w:r>
      <w:r>
        <w:t xml:space="preserve">industrial activities.</w:t>
      </w:r>
      <w:r>
        <w:br/>
      </w:r>
      <w:r>
        <w:t xml:space="preserve">These issues are particularly acute for climate solutions which are not yet18 market ready,</w:t>
      </w:r>
      <w:r>
        <w:t xml:space="preserve"> </w:t>
      </w:r>
      <w:r>
        <w:t xml:space="preserve">or which require infrastructure to be built, such as carbon or hydrogen transport networks.</w:t>
      </w:r>
      <w:r>
        <w:br/>
      </w:r>
      <w:r>
        <w:t xml:space="preserve">o The EU ETS risks not contributing cost-effectively to the reduction of the EU’s fair</w:t>
      </w:r>
      <w:r>
        <w:t xml:space="preserve"> </w:t>
      </w:r>
      <w:r>
        <w:t xml:space="preserve">share of international emissions, if there is a lack of implementation of or coherence</w:t>
      </w:r>
      <w:r>
        <w:t xml:space="preserve"> </w:t>
      </w:r>
      <w:r>
        <w:t xml:space="preserve">between the ETS and global measures, for example in case transport is subject to double</w:t>
      </w:r>
      <w:r>
        <w:t xml:space="preserve"> </w:t>
      </w:r>
      <w:r>
        <w:t xml:space="preserve">carbon pricing.</w:t>
      </w:r>
      <w:r>
        <w:br/>
      </w:r>
      <w:r>
        <w:t xml:space="preserve">Problem 2: Risk of market inefficiencies</w:t>
      </w:r>
      <w:r>
        <w:br/>
      </w:r>
      <w:r>
        <w:t xml:space="preserve">The EU ETS is designed as a cap-and-trade system, with the cap limiting the total amount of</w:t>
      </w:r>
      <w:r>
        <w:t xml:space="preserve"> </w:t>
      </w:r>
      <w:r>
        <w:t xml:space="preserve">GHG that can be emitted by installations and operators covered under the scope of the system.</w:t>
      </w:r>
      <w:r>
        <w:t xml:space="preserve"> </w:t>
      </w:r>
      <w:r>
        <w:t xml:space="preserve">As the price of allowances is determined by the market at the intersection of demand and a pre-</w:t>
      </w:r>
      <w:r>
        <w:t xml:space="preserve"> </w:t>
      </w:r>
      <w:r>
        <w:t xml:space="preserve">determined supply, the European carbon market can be exposed to a certain risk of market</w:t>
      </w:r>
      <w:r>
        <w:t xml:space="preserve"> </w:t>
      </w:r>
      <w:r>
        <w:t xml:space="preserve">inefficiencies (e.g. trading frictions, price volatility) as it becomes smaller.</w:t>
      </w:r>
      <w:r>
        <w:br/>
      </w:r>
      <w:r>
        <w:t xml:space="preserve">Figure 3:</w:t>
      </w:r>
      <w:r>
        <w:t xml:space="preserve"> </w:t>
      </w:r>
      <w:r>
        <w:t xml:space="preserve">Problem tree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Associated with Problem 1:</w:t>
      </w:r>
      <w:r>
        <w:br/>
      </w:r>
      <w:r>
        <w:t xml:space="preserve">• D1: Residual emissions inconsistent with EU ETS cap trajectory. The climate</w:t>
      </w:r>
      <w:r>
        <w:t xml:space="preserve"> </w:t>
      </w:r>
      <w:r>
        <w:t xml:space="preserve">neutrality objective is at the heart of the European Green Deal, and is a legally binding</w:t>
      </w:r>
      <w:r>
        <w:t xml:space="preserve"> </w:t>
      </w:r>
      <w:r>
        <w:t xml:space="preserve">objective set out in the European Climate Law (ECL). The 2040 climate target is the</w:t>
      </w:r>
      <w:r>
        <w:t xml:space="preserve"> </w:t>
      </w:r>
      <w:r>
        <w:t xml:space="preserve">EU’s intermediate step after 2030 on the path to climate neutrality. In December 2025,</w:t>
      </w:r>
    </w:p>
    <w:p>
      <w:pPr>
        <w:pStyle w:val="BodyText"/>
      </w:pPr>
      <w:r>
        <w:t xml:space="preserve">18 For the bulk of technologies needed to reach the 2040 targets, the Technology Readiness Level already</w:t>
      </w:r>
      <w:r>
        <w:t xml:space="preserve"> </w:t>
      </w:r>
      <w:r>
        <w:t xml:space="preserve">amounts to at least 8 (out of 9), meaning that they are in an advanced deployment stage. Examples include</w:t>
      </w:r>
      <w:r>
        <w:t xml:space="preserve"> </w:t>
      </w:r>
      <w:r>
        <w:t xml:space="preserve">capture in cement production (TRL 9), low temperature industrial heat pump at TRL 9, while medium and</w:t>
      </w:r>
      <w:r>
        <w:t xml:space="preserve"> </w:t>
      </w:r>
      <w:r>
        <w:t xml:space="preserve">high temperature industrial heat pumps are at lower TRL levels, as is some hydrogen-based direct iron ore</w:t>
      </w:r>
      <w:r>
        <w:t xml:space="preserve"> </w:t>
      </w:r>
      <w:r>
        <w:t xml:space="preserve">reduction to produce steel (TRL 6-8).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European Parliament and the Council reached agreement on amending the European</w:t>
      </w:r>
      <w:r>
        <w:t xml:space="preserve"> </w:t>
      </w:r>
      <w:r>
        <w:t xml:space="preserve">Climate Law, introducing a binding intermediate climate target for 2040 of a 90%</w:t>
      </w:r>
      <w:r>
        <w:t xml:space="preserve"> </w:t>
      </w:r>
      <w:r>
        <w:t xml:space="preserve">reduction in net greenhouse gas (GHG) emissions compared to 1990 levels. The</w:t>
      </w:r>
      <w:r>
        <w:t xml:space="preserve"> </w:t>
      </w:r>
      <w:r>
        <w:t xml:space="preserve">agreement also sets out certain areas of flexibility to support the achievement of the</w:t>
      </w:r>
      <w:r>
        <w:t xml:space="preserve"> </w:t>
      </w:r>
      <w:r>
        <w:t xml:space="preserve">2040 target including on the contribution of high-quality international carbon credits to</w:t>
      </w:r>
      <w:r>
        <w:t xml:space="preserve"> </w:t>
      </w:r>
      <w:r>
        <w:t xml:space="preserve">the target. However, there will still be residual emissions in industry, aviation and</w:t>
      </w:r>
      <w:r>
        <w:t xml:space="preserve"> </w:t>
      </w:r>
      <w:r>
        <w:t xml:space="preserve">maritime that need to be abated in order to align to the carbon budget and target that</w:t>
      </w:r>
      <w:r>
        <w:t xml:space="preserve"> </w:t>
      </w:r>
      <w:r>
        <w:t xml:space="preserve">are given by the cap trajectory.</w:t>
      </w:r>
      <w:r>
        <w:t xml:space="preserve"> </w:t>
      </w:r>
      <w:r>
        <w:t xml:space="preserve">The following sub-drivers have been identified:</w:t>
      </w:r>
      <w:r>
        <w:t xml:space="preserve"> </w:t>
      </w:r>
      <w:r>
        <w:t xml:space="preserve">o D1.1 (P9+10) CO2 generation is currently unavoidable for certain activities,</w:t>
      </w:r>
      <w:r>
        <w:t xml:space="preserve"> </w:t>
      </w:r>
      <w:r>
        <w:t xml:space="preserve">which needs to be recognised in the cap setting and/or role of removals.</w:t>
      </w:r>
      <w:r>
        <w:t xml:space="preserve"> </w:t>
      </w:r>
      <w:r>
        <w:t xml:space="preserve">o D1.2 (P1) Insufficient financing for innovation, scale-up and roll-out of</w:t>
      </w:r>
      <w:r>
        <w:t xml:space="preserve"> </w:t>
      </w:r>
      <w:r>
        <w:t xml:space="preserve">decarbonisation technologies and clean fuels to address the lack of business case</w:t>
      </w:r>
      <w:r>
        <w:t xml:space="preserve"> </w:t>
      </w:r>
      <w:r>
        <w:t xml:space="preserve">and high investment needs in carbon-intensive, in particular in low-income</w:t>
      </w:r>
      <w:r>
        <w:t xml:space="preserve"> </w:t>
      </w:r>
      <w:r>
        <w:t xml:space="preserve">Member States.</w:t>
      </w:r>
      <w:r>
        <w:br/>
      </w:r>
      <w:r>
        <w:t xml:space="preserve">o D1.3 (P2) Unlevel playing field for CCU and double counting of emissions.</w:t>
      </w:r>
    </w:p>
    <w:p>
      <w:pPr>
        <w:pStyle w:val="BodyText"/>
      </w:pPr>
      <w:r>
        <w:t xml:space="preserve">• D2: Lack of internalisation of the climate impact (insufficient carbon price signal).</w:t>
      </w:r>
      <w:r>
        <w:t xml:space="preserve"> </w:t>
      </w:r>
      <w:r>
        <w:t xml:space="preserve">The reason for setting a cap and letting the market put a price on carbon emissions is to</w:t>
      </w:r>
      <w:r>
        <w:t xml:space="preserve"> </w:t>
      </w:r>
      <w:r>
        <w:t xml:space="preserve">trigger a behavioural and investment change that should result in reduced emissions in</w:t>
      </w:r>
      <w:r>
        <w:t xml:space="preserve"> </w:t>
      </w:r>
      <w:r>
        <w:t xml:space="preserve">line with the climate change mitigation pathway. The price signal of the EU ETS adds</w:t>
      </w:r>
      <w:r>
        <w:t xml:space="preserve"> </w:t>
      </w:r>
      <w:r>
        <w:t xml:space="preserve">to the cost of activities that generate greenhouse gases,</w:t>
      </w:r>
      <w:r>
        <w:t xml:space="preserve"> </w:t>
      </w:r>
      <w:r>
        <w:t xml:space="preserve">‘internalising’</w:t>
      </w:r>
      <w:r>
        <w:t xml:space="preserve"> </w:t>
      </w:r>
      <w:r>
        <w:t xml:space="preserve">the harmful effect</w:t>
      </w:r>
      <w:r>
        <w:t xml:space="preserve"> </w:t>
      </w:r>
      <w:r>
        <w:t xml:space="preserve">on the environment, known as</w:t>
      </w:r>
      <w:r>
        <w:t xml:space="preserve"> </w:t>
      </w:r>
      <w:r>
        <w:t xml:space="preserve">‘negative externalities’</w:t>
      </w:r>
      <w:r>
        <w:t xml:space="preserve">, in accordance with the</w:t>
      </w:r>
      <w:r>
        <w:t xml:space="preserve"> </w:t>
      </w:r>
      <w:r>
        <w:t xml:space="preserve">‘polluter</w:t>
      </w:r>
      <w:r>
        <w:t xml:space="preserve"> </w:t>
      </w:r>
      <w:r>
        <w:t xml:space="preserve">pays’</w:t>
      </w:r>
      <w:r>
        <w:t xml:space="preserve"> </w:t>
      </w:r>
      <w:r>
        <w:t xml:space="preserve">principle. When the EU ETS does not cover certain activities, it does not play a</w:t>
      </w:r>
      <w:r>
        <w:t xml:space="preserve"> </w:t>
      </w:r>
      <w:r>
        <w:t xml:space="preserve">role in the internalisation of their carbon cost. As a result, they may lack the incentive</w:t>
      </w:r>
      <w:r>
        <w:t xml:space="preserve"> </w:t>
      </w:r>
      <w:r>
        <w:t xml:space="preserve">to reduce their emissions, unless other regulatory measures achieve the reductions fully</w:t>
      </w:r>
      <w:r>
        <w:t xml:space="preserve"> </w:t>
      </w:r>
      <w:r>
        <w:t xml:space="preserve">(e.g. targets or prohibitions). Lack of internalisation of carbon cost concerns for</w:t>
      </w:r>
      <w:r>
        <w:t xml:space="preserve"> </w:t>
      </w:r>
      <w:r>
        <w:t xml:space="preserve">instance the emissions of small ships. It is estimated that all categories of small ships</w:t>
      </w:r>
      <w:r>
        <w:t xml:space="preserve"> </w:t>
      </w:r>
      <w:r>
        <w:t xml:space="preserve">(below 5000 gross tonnage, but not below 400 gross tonnage) could add a total of 14.6</w:t>
      </w:r>
      <w:r>
        <w:t xml:space="preserve"> </w:t>
      </w:r>
      <w:r>
        <w:t xml:space="preserve">MtCO2 in the ETS scope. Similarly, measures to address carbon leakage (assigning</w:t>
      </w:r>
      <w:r>
        <w:t xml:space="preserve"> </w:t>
      </w:r>
      <w:r>
        <w:t xml:space="preserve">allowances free of charge and allowing compensation for indirect emission costs) can</w:t>
      </w:r>
      <w:r>
        <w:t xml:space="preserve"> </w:t>
      </w:r>
      <w:r>
        <w:t xml:space="preserve">also dampen the carbon price signal and reduce incentives to decarbonise. This is</w:t>
      </w:r>
      <w:r>
        <w:t xml:space="preserve"> </w:t>
      </w:r>
      <w:r>
        <w:t xml:space="preserve">confirmed by the findings of the evaluation, which indicates, based on literature review,</w:t>
      </w:r>
      <w:r>
        <w:t xml:space="preserve"> </w:t>
      </w:r>
      <w:r>
        <w:t xml:space="preserve">that the effect of the EU ETS prices on carbon efficiency and emissions reduction is</w:t>
      </w:r>
      <w:r>
        <w:t xml:space="preserve"> </w:t>
      </w:r>
      <w:r>
        <w:t xml:space="preserve">more pronounced for sectors transitioning away from free allocation and into auctioning</w:t>
      </w:r>
      <w:r>
        <w:t xml:space="preserve"> </w:t>
      </w:r>
      <w:r>
        <w:t xml:space="preserve">(see Annex 15, Section 4).</w:t>
      </w:r>
      <w:r>
        <w:t xml:space="preserve"> </w:t>
      </w:r>
      <w:r>
        <w:t xml:space="preserve">The following sub-drivers have been identified:</w:t>
      </w:r>
      <w:r>
        <w:t xml:space="preserve"> </w:t>
      </w:r>
      <w:r>
        <w:t xml:space="preserve">o D2.1 (P3) Free allocation dampens the carbon price signal. Indirect carbon cost</w:t>
      </w:r>
      <w:r>
        <w:t xml:space="preserve"> </w:t>
      </w:r>
      <w:r>
        <w:t xml:space="preserve">(ICC) passed through in electricity disincentivises industry electrification.</w:t>
      </w:r>
      <w:r>
        <w:t xml:space="preserve"> </w:t>
      </w:r>
      <w:r>
        <w:t xml:space="preserve">o D2.2 (P8) Current regulations exempt small installations under 20MW</w:t>
      </w:r>
      <w:r>
        <w:t xml:space="preserve"> </w:t>
      </w:r>
      <w:r>
        <w:t xml:space="preserve">o D2.3 (P4) Lack of equivalent GHG pricing signal for maritime emissions in</w:t>
      </w:r>
      <w:r>
        <w:t xml:space="preserve"> </w:t>
      </w:r>
      <w:r>
        <w:t xml:space="preserve">neighbouring non-EU countries leading to a possible risk of evasion (including</w:t>
      </w:r>
      <w:r>
        <w:t xml:space="preserve"> </w:t>
      </w:r>
      <w:r>
        <w:t xml:space="preserve">via relocation of transhipment activities).</w:t>
      </w:r>
      <w:r>
        <w:t xml:space="preserve"> </w:t>
      </w:r>
      <w:r>
        <w:t xml:space="preserve">o D2.4 (P6/7/8) Limited scope of aviation and maritime</w:t>
      </w:r>
      <w:r>
        <w:t xml:space="preserve"> </w:t>
      </w:r>
      <w:r>
        <w:t xml:space="preserve">o D2.4 (P5) No comprehensive coverage of waste emissions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• D3: International carbon pricing measures in transport. In terms of interaction</w:t>
      </w:r>
      <w:r>
        <w:t xml:space="preserve"> </w:t>
      </w:r>
      <w:r>
        <w:t xml:space="preserve">between the implementation of the EU ETS and the implementation of global measures</w:t>
      </w:r>
      <w:r>
        <w:t xml:space="preserve"> </w:t>
      </w:r>
      <w:r>
        <w:t xml:space="preserve">to reduce emissions from aviation and shipping, the following sub-drivers have been</w:t>
      </w:r>
      <w:r>
        <w:t xml:space="preserve"> </w:t>
      </w:r>
      <w:r>
        <w:t xml:space="preserve">identified:</w:t>
      </w:r>
      <w:r>
        <w:t xml:space="preserve"> </w:t>
      </w:r>
      <w:r>
        <w:t xml:space="preserve">o D3.1 (P6) Possible non-implementation of CORSIA by third countries: A wide</w:t>
      </w:r>
      <w:r>
        <w:t xml:space="preserve"> </w:t>
      </w:r>
      <w:r>
        <w:t xml:space="preserve">range of quantification scenarios would be possible, as the impact of the driver</w:t>
      </w:r>
      <w:r>
        <w:t xml:space="preserve"> </w:t>
      </w:r>
      <w:r>
        <w:t xml:space="preserve">depends on which countries outside the EEA implement CORSIA, and how and</w:t>
      </w:r>
      <w:r>
        <w:t xml:space="preserve"> </w:t>
      </w:r>
      <w:r>
        <w:t xml:space="preserve">to what extent (if any) it is strengthened. Table 5 compares emissions coverage</w:t>
      </w:r>
      <w:r>
        <w:t xml:space="preserve"> </w:t>
      </w:r>
      <w:r>
        <w:t xml:space="preserve">in two key participation scenarios (PO1 and PO2/3, where assumed</w:t>
      </w:r>
      <w:r>
        <w:t xml:space="preserve"> </w:t>
      </w:r>
      <w:r>
        <w:t xml:space="preserve">participation is the same), and Annex 10 Section 5 provides further context,</w:t>
      </w:r>
      <w:r>
        <w:t xml:space="preserve"> </w:t>
      </w:r>
      <w:r>
        <w:t xml:space="preserve">including Table 19 which examines six participation scenarios.</w:t>
      </w:r>
      <w:r>
        <w:t xml:space="preserve"> </w:t>
      </w:r>
      <w:r>
        <w:t xml:space="preserve">o D3.2 (P7) Potential lack of coherence between ETS implementation and the</w:t>
      </w:r>
      <w:r>
        <w:t xml:space="preserve"> </w:t>
      </w:r>
      <w:r>
        <w:t xml:space="preserve">implementation of possible IMO mid-term measures in the future</w:t>
      </w:r>
      <w:r>
        <w:t xml:space="preserve"> </w:t>
      </w:r>
      <w:r>
        <w:t xml:space="preserve">Associated with Problem 2:</w:t>
      </w:r>
      <w:r>
        <w:t xml:space="preserve"> </w:t>
      </w:r>
      <w:r>
        <w:t xml:space="preserve">• D4: Decreasing market size. The decreasing market size can have a negative impact</w:t>
      </w:r>
      <w:r>
        <w:t xml:space="preserve"> </w:t>
      </w:r>
      <w:r>
        <w:t xml:space="preserve">on trading. This is because a low market size entails the risk of thin or illiquid trading19,</w:t>
      </w:r>
      <w:r>
        <w:t xml:space="preserve"> </w:t>
      </w:r>
      <w:r>
        <w:t xml:space="preserve">which would in turn cause price volatility and uncertainty.</w:t>
      </w:r>
      <w:r>
        <w:t xml:space="preserve"> </w:t>
      </w:r>
      <w:r>
        <w:t xml:space="preserve">The following sub-driver has been identified:</w:t>
      </w:r>
      <w:r>
        <w:t xml:space="preserve"> </w:t>
      </w:r>
      <w:r>
        <w:t xml:space="preserve">o D4.1 (P10/11) Intrinsic functioning of the EU ETS (as the cap reduces over time</w:t>
      </w:r>
      <w:r>
        <w:t xml:space="preserve"> </w:t>
      </w:r>
      <w:r>
        <w:t xml:space="preserve">so will the size of the market), which, under certain circumstances, can lead to</w:t>
      </w:r>
      <w:r>
        <w:t xml:space="preserve"> </w:t>
      </w:r>
      <w:r>
        <w:t xml:space="preserve">market failure.</w:t>
      </w:r>
      <w:r>
        <w:t xml:space="preserve"> </w:t>
      </w:r>
      <w:r>
        <w:t xml:space="preserve">The individual sub-drivers are further developed in Annex 7.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risk that the EU ETS does not contribute cost-effectively to the EU emissions reduction</w:t>
      </w:r>
      <w:r>
        <w:t xml:space="preserve"> </w:t>
      </w:r>
      <w:r>
        <w:t xml:space="preserve">target in line with 2050 economy-wide climate neutrality and the 2040 target and fails to</w:t>
      </w:r>
      <w:r>
        <w:t xml:space="preserve"> </w:t>
      </w:r>
      <w:r>
        <w:t xml:space="preserve">address the EU’s fair share of international emissions, is likely to persist because the current</w:t>
      </w:r>
      <w:r>
        <w:t xml:space="preserve"> </w:t>
      </w:r>
      <w:r>
        <w:t xml:space="preserve">legislative framework was designed to achieve the 2030 climate target for the sectors covered.</w:t>
      </w:r>
      <w:r>
        <w:t xml:space="preserve"> </w:t>
      </w:r>
      <w:r>
        <w:t xml:space="preserve">The continuation of the current provisions post-2030, in particular the cap trajectory, without</w:t>
      </w:r>
      <w:r>
        <w:t xml:space="preserve"> </w:t>
      </w:r>
      <w:r>
        <w:t xml:space="preserve">adjustments risk market inefficiencies (e.g. trading frictions, price volatility) and excessive</w:t>
      </w:r>
      <w:r>
        <w:t xml:space="preserve"> </w:t>
      </w:r>
      <w:r>
        <w:t xml:space="preserve">costs. These effects can be seen in the analysis of the baseline in Section 5.1.</w:t>
      </w:r>
      <w:r>
        <w:br/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Articles 191, 192 and 193 of the Treaty on the Functioning of the European Union empower</w:t>
      </w:r>
      <w:r>
        <w:t xml:space="preserve"> </w:t>
      </w:r>
      <w:r>
        <w:t xml:space="preserve">the EU to act to preserve, protect, and improve the quality of the environment; protect human</w:t>
      </w:r>
      <w:r>
        <w:t xml:space="preserve"> </w:t>
      </w:r>
      <w:r>
        <w:t xml:space="preserve">health; and promote measures at the international level to deal with regional or worldwide</w:t>
      </w:r>
      <w:r>
        <w:t xml:space="preserve"> </w:t>
      </w:r>
      <w:r>
        <w:t xml:space="preserve">environmental problems. The legal basis of this impact assessment is in Article 192(1), as this</w:t>
      </w:r>
      <w:r>
        <w:t xml:space="preserve"> </w:t>
      </w:r>
      <w:r>
        <w:t xml:space="preserve">impact assessment is action being taken to combat climate change and to serve the other</w:t>
      </w:r>
      <w:r>
        <w:t xml:space="preserve"> </w:t>
      </w:r>
      <w:r>
        <w:t xml:space="preserve">environmental objectives specified in Article 191. The ETS has been operating on this legal</w:t>
      </w:r>
      <w:r>
        <w:t xml:space="preserve"> </w:t>
      </w:r>
      <w:r>
        <w:t xml:space="preserve">basis since 2003. The European Parliament and Council adopted all amendments to the ETS</w:t>
      </w:r>
      <w:r>
        <w:t xml:space="preserve"> </w:t>
      </w:r>
      <w:r>
        <w:t xml:space="preserve">Directive on this legal basis.</w:t>
      </w:r>
    </w:p>
    <w:p>
      <w:pPr>
        <w:pStyle w:val="BodyText"/>
      </w:pPr>
      <w:r>
        <w:t xml:space="preserve">19 Note that the concept of liquidity of the market, referring to the amount of allowances available for trading,</w:t>
      </w:r>
      <w:r>
        <w:t xml:space="preserve"> </w:t>
      </w:r>
      <w:r>
        <w:t xml:space="preserve">should be differentiated from the concept of market tightness, which can occur regardless of the market size</w:t>
      </w:r>
      <w:r>
        <w:t xml:space="preserve"> </w:t>
      </w:r>
      <w:r>
        <w:t xml:space="preserve">if the supply of allowances is very tight in relation to the demand of allowances (i.e. actual emissions).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Climate change is a trans-boundary problem and both international and EU action can</w:t>
      </w:r>
      <w:r>
        <w:t xml:space="preserve"> </w:t>
      </w:r>
      <w:r>
        <w:t xml:space="preserve">effectively complement and reinforce regional, national and local action. Adjusting the ETS to</w:t>
      </w:r>
      <w:r>
        <w:t xml:space="preserve"> </w:t>
      </w:r>
      <w:r>
        <w:t xml:space="preserve">the 2040 target for EU GHG reductions will affect many sectors across the EU economy and</w:t>
      </w:r>
      <w:r>
        <w:t xml:space="preserve"> </w:t>
      </w:r>
      <w:r>
        <w:t xml:space="preserve">coordinated action at the EU level is therefore indispensable and has a much bigger chance of</w:t>
      </w:r>
      <w:r>
        <w:t xml:space="preserve"> </w:t>
      </w:r>
      <w:r>
        <w:t xml:space="preserve">leading to the necessary transformation, acting as a strong driver for cost-effective change and</w:t>
      </w:r>
      <w:r>
        <w:t xml:space="preserve"> </w:t>
      </w:r>
      <w:r>
        <w:t xml:space="preserve">upward convergence. Furthermore, many of the policy elements assessed in this impact</w:t>
      </w:r>
      <w:r>
        <w:t xml:space="preserve"> </w:t>
      </w:r>
      <w:r>
        <w:t xml:space="preserve">assessment have an important internal market dimension, in particular the options related to</w:t>
      </w:r>
      <w:r>
        <w:t xml:space="preserve"> </w:t>
      </w:r>
      <w:r>
        <w:t xml:space="preserve">the carbon leakage protection and the low-carbon funding mechanisms. EU action can also</w:t>
      </w:r>
      <w:r>
        <w:t xml:space="preserve"> </w:t>
      </w:r>
      <w:r>
        <w:t xml:space="preserve">inspire and promote the development of other market-based measures, including at global level.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As a carbon market, the ETS incentivises emission reductions made by cost-effective solutions</w:t>
      </w:r>
      <w:r>
        <w:t xml:space="preserve"> </w:t>
      </w:r>
      <w:r>
        <w:t xml:space="preserve">first across the activities it covers, achieving greater efficiency by virtue of its scale.</w:t>
      </w:r>
      <w:r>
        <w:t xml:space="preserve"> </w:t>
      </w:r>
      <w:r>
        <w:t xml:space="preserve">Implementing a similar measure nationally would result in smaller, fragmented carbon markets,</w:t>
      </w:r>
      <w:r>
        <w:t xml:space="preserve"> </w:t>
      </w:r>
      <w:r>
        <w:t xml:space="preserve">risking distortions of competition and likely lead to higher overall abatement costs. The same</w:t>
      </w:r>
      <w:r>
        <w:t xml:space="preserve"> </w:t>
      </w:r>
      <w:r>
        <w:t xml:space="preserve">logic holds for the extension of carbon pricing to new sectors.</w:t>
      </w:r>
      <w:r>
        <w:br/>
      </w:r>
      <w:r>
        <w:t xml:space="preserve">4. OBJECTIVES: WHAT IS TO BE ACHIEVED?</w:t>
      </w:r>
      <w:r>
        <w:t xml:space="preserve"> </w:t>
      </w:r>
      <w:r>
        <w:t xml:space="preserve">To address the problems identified, the revision of the ETS Directive and the MSR Decision</w:t>
      </w:r>
      <w:r>
        <w:t xml:space="preserve"> </w:t>
      </w:r>
      <w:r>
        <w:t xml:space="preserve">has a number of general objectives.</w:t>
      </w:r>
      <w:r>
        <w:br/>
      </w:r>
      <w:r>
        <w:t xml:space="preserve">As regards the risk of not contributing cost-effectively to the EU emissions reduction target</w:t>
      </w:r>
      <w:r>
        <w:t xml:space="preserve"> </w:t>
      </w:r>
      <w:r>
        <w:t xml:space="preserve">in line with climate neutrality and the 2040 climate target including addressing the EU’s</w:t>
      </w:r>
      <w:r>
        <w:t xml:space="preserve"> </w:t>
      </w:r>
      <w:r>
        <w:t xml:space="preserve">fair share of emissions (problem 1), the impact assessment aims to:</w:t>
      </w:r>
      <w:r>
        <w:t xml:space="preserve"> </w:t>
      </w:r>
      <w:r>
        <w:t xml:space="preserve">• O1.1 Incentivise further emission reductions: to ensure the EU ETS contributes cost-</w:t>
      </w:r>
      <w:r>
        <w:t xml:space="preserve"> </w:t>
      </w:r>
      <w:r>
        <w:t xml:space="preserve">effectively to economy-wide efforts (including transport) of achieving emission</w:t>
      </w:r>
      <w:r>
        <w:t xml:space="preserve"> </w:t>
      </w:r>
      <w:r>
        <w:t xml:space="preserve">reductions of the EU in line with climate neutrality and to contribute cost-effectively to</w:t>
      </w:r>
      <w:r>
        <w:t xml:space="preserve"> </w:t>
      </w:r>
      <w:r>
        <w:t xml:space="preserve">the EU’s fair share of economy-wide emissions reductions. The following specific</w:t>
      </w:r>
      <w:r>
        <w:t xml:space="preserve"> </w:t>
      </w:r>
      <w:r>
        <w:t xml:space="preserve">objectives have been identified for O1.1:</w:t>
      </w:r>
      <w:r>
        <w:t xml:space="preserve"> </w:t>
      </w:r>
      <w:r>
        <w:t xml:space="preserve">o SO1.1.1 Enable investments in decarbonisation technologies (both innovative</w:t>
      </w:r>
      <w:r>
        <w:t xml:space="preserve"> </w:t>
      </w:r>
      <w:r>
        <w:t xml:space="preserve">ones and those ready for scale-up/roll-out) that currently do not yet have the</w:t>
      </w:r>
      <w:r>
        <w:t xml:space="preserve"> </w:t>
      </w:r>
      <w:r>
        <w:t xml:space="preserve">business cases.</w:t>
      </w:r>
      <w:r>
        <w:br/>
      </w:r>
      <w:r>
        <w:t xml:space="preserve">o SO1.1.2 Ensure full carbon price signal is applied to emissions sources which</w:t>
      </w:r>
      <w:r>
        <w:t xml:space="preserve"> </w:t>
      </w:r>
      <w:r>
        <w:t xml:space="preserve">are currently not in the scope of the EU ETS but would be well suited for its</w:t>
      </w:r>
      <w:r>
        <w:t xml:space="preserve"> </w:t>
      </w:r>
      <w:r>
        <w:t xml:space="preserve">coverage, and to sectors where currently dampened.</w:t>
      </w:r>
      <w:r>
        <w:t xml:space="preserve"> </w:t>
      </w:r>
      <w:r>
        <w:t xml:space="preserve">o SO1.1.3 Address risk of carbon leakage.</w:t>
      </w:r>
      <w:r>
        <w:br/>
      </w:r>
      <w:r>
        <w:t xml:space="preserve">• O1.2 Reach a pre-set emissions reduction target provided by the 2040 policy package</w:t>
      </w:r>
      <w:r>
        <w:t xml:space="preserve"> </w:t>
      </w:r>
      <w:r>
        <w:t xml:space="preserve">and with a net emissions calculation: exploring if the EU ETS gross emissions could be</w:t>
      </w:r>
      <w:r>
        <w:t xml:space="preserve"> </w:t>
      </w:r>
      <w:r>
        <w:t xml:space="preserve">increased without compromising the sectors’ contribution to economy-wide net</w:t>
      </w:r>
      <w:r>
        <w:t xml:space="preserve"> </w:t>
      </w:r>
      <w:r>
        <w:t xml:space="preserve">emission reductions in line with climate neutrality, including exploring if the emission</w:t>
      </w:r>
      <w:r>
        <w:t xml:space="preserve"> </w:t>
      </w:r>
      <w:r>
        <w:t xml:space="preserve">reduction efforts could be complemented with carbon removals. The following specific</w:t>
      </w:r>
      <w:r>
        <w:t xml:space="preserve"> </w:t>
      </w:r>
      <w:r>
        <w:t xml:space="preserve">objectives have been identified for O1.2:</w:t>
      </w:r>
      <w:r>
        <w:t xml:space="preserve"> </w:t>
      </w:r>
      <w:r>
        <w:t xml:space="preserve">o SO1.2.1 Consider how carbon removals can be integrated in the EU ETS with</w:t>
      </w:r>
      <w:r>
        <w:t xml:space="preserve"> </w:t>
      </w:r>
      <w:r>
        <w:t xml:space="preserve">sufficient environmental safeguards while preserving cost efficiency in</w:t>
      </w:r>
      <w:r>
        <w:t xml:space="preserve"> </w:t>
      </w:r>
      <w:r>
        <w:t xml:space="preserve">achieving the ETS/EU climate objectives before 2040.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 SO1.2.2 Adjust EU ETS cap in line with pre-set climate target for 2040.</w:t>
      </w:r>
      <w:r>
        <w:br/>
      </w:r>
      <w:r>
        <w:t xml:space="preserve">• O1.3 Ensure effective EU climate action on transport emissions.</w:t>
      </w:r>
      <w:r>
        <w:br/>
      </w:r>
      <w:r>
        <w:t xml:space="preserve">To ensure effective EU climate action means to ensure that there is a meaningful carbon</w:t>
      </w:r>
      <w:r>
        <w:t xml:space="preserve"> </w:t>
      </w:r>
      <w:r>
        <w:t xml:space="preserve">price on the EU’s fair share of international transport emissions.</w:t>
      </w:r>
      <w:r>
        <w:br/>
      </w:r>
      <w:r>
        <w:t xml:space="preserve">▪ For aviation, the objective is to ensure a meaningful carbon price on the</w:t>
      </w:r>
      <w:r>
        <w:t xml:space="preserve"> </w:t>
      </w:r>
      <w:r>
        <w:t xml:space="preserve">EU’s fair share of international aviation emissions, which can be a</w:t>
      </w:r>
      <w:r>
        <w:t xml:space="preserve"> </w:t>
      </w:r>
      <w:r>
        <w:t xml:space="preserve">complement to CORSIA.</w:t>
      </w:r>
      <w:r>
        <w:t xml:space="preserve"> </w:t>
      </w:r>
      <w:r>
        <w:t xml:space="preserve">▪ For maritime, the objective is to ensure coherence between any IMO</w:t>
      </w:r>
      <w:r>
        <w:t xml:space="preserve"> </w:t>
      </w:r>
      <w:r>
        <w:t xml:space="preserve">mid-term measures and the EU ETS while addressing possible risk of</w:t>
      </w:r>
      <w:r>
        <w:t xml:space="preserve"> </w:t>
      </w:r>
      <w:r>
        <w:t xml:space="preserve">significant double burden when (and if) payments are made due to IMO</w:t>
      </w:r>
      <w:r>
        <w:t xml:space="preserve"> </w:t>
      </w:r>
      <w:r>
        <w:t xml:space="preserve">regulations in relation to emissions already priced under the EU ETS</w:t>
      </w:r>
      <w:r>
        <w:t xml:space="preserve"> </w:t>
      </w:r>
      <w:r>
        <w:t xml:space="preserve">maritime, in a way that prevents environmental backsliding.</w:t>
      </w:r>
      <w:r>
        <w:t xml:space="preserve"> </w:t>
      </w:r>
      <w:r>
        <w:t xml:space="preserve">The following specific objectives have been identified for O1.3:</w:t>
      </w:r>
      <w:r>
        <w:t xml:space="preserve"> </w:t>
      </w:r>
      <w:r>
        <w:t xml:space="preserve">o SO1.3.1 Ensure effective action on EU’s fair share of aviation emissions in the</w:t>
      </w:r>
      <w:r>
        <w:t xml:space="preserve"> </w:t>
      </w:r>
      <w:r>
        <w:t xml:space="preserve">period 2031-2040</w:t>
      </w:r>
      <w:r>
        <w:t xml:space="preserve"> </w:t>
      </w:r>
      <w:r>
        <w:t xml:space="preserve">o SO1.3.2 Preserve the effectiveness of the implementation of the EU ETS</w:t>
      </w:r>
      <w:r>
        <w:t xml:space="preserve"> </w:t>
      </w:r>
      <w:r>
        <w:t xml:space="preserve">extension to maritime.</w:t>
      </w:r>
      <w:r>
        <w:br/>
      </w:r>
      <w:r>
        <w:t xml:space="preserve">As regards the risk of market inefficiencies (problem 2), the impact assessment aims to:</w:t>
      </w:r>
      <w:r>
        <w:t xml:space="preserve"> </w:t>
      </w:r>
      <w:r>
        <w:t xml:space="preserve">• O2.1 Ensure efficient market functioning: this means ensuring that, in spite of a</w:t>
      </w:r>
      <w:r>
        <w:t xml:space="preserve"> </w:t>
      </w:r>
      <w:r>
        <w:t xml:space="preserve">decreasing market, there is sufficient liquidity in the market so as to prevent trading</w:t>
      </w:r>
      <w:r>
        <w:t xml:space="preserve"> </w:t>
      </w:r>
      <w:r>
        <w:t xml:space="preserve">frictions and excessive price volatility. The following specific objectives have been</w:t>
      </w:r>
      <w:r>
        <w:t xml:space="preserve"> </w:t>
      </w:r>
      <w:r>
        <w:t xml:space="preserve">identified for O2.1:</w:t>
      </w:r>
      <w:r>
        <w:t xml:space="preserve"> </w:t>
      </w:r>
      <w:r>
        <w:t xml:space="preserve">o SO2.1.1 Increase size of the market until 2040.</w:t>
      </w:r>
      <w:r>
        <w:br/>
      </w:r>
      <w:r>
        <w:t xml:space="preserve">o SO2.1.2 Adjust MSR parameters to ensure a healthy supply-demand balance</w:t>
      </w:r>
      <w:r>
        <w:t xml:space="preserve"> </w:t>
      </w:r>
      <w:r>
        <w:t xml:space="preserve">until 2040.</w:t>
      </w:r>
      <w:r>
        <w:t xml:space="preserve"> </w:t>
      </w:r>
      <w:r>
        <w:t xml:space="preserve">The specific objectives are further developed in Annex 7.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of this impact assessment assumes the continuation of the ETS Directive as</w:t>
      </w:r>
      <w:r>
        <w:t xml:space="preserve"> </w:t>
      </w:r>
      <w:r>
        <w:t xml:space="preserve">currently in legislation, and the continuation of all other relevant legislation, most notably</w:t>
      </w:r>
      <w:r>
        <w:t xml:space="preserve"> </w:t>
      </w:r>
      <w:r>
        <w:t xml:space="preserve">Renewable Energy Directive20, the Effort Sharing Regulation21 (until 2030), the Waste</w:t>
      </w:r>
    </w:p>
    <w:p>
      <w:pPr>
        <w:pStyle w:val="BodyText"/>
      </w:pPr>
      <w:r>
        <w:t xml:space="preserve">20 Directive (EU) 2018/2001 of the European Parliament and of the Council of 11 December 2018 on the</w:t>
      </w:r>
      <w:r>
        <w:t xml:space="preserve"> </w:t>
      </w:r>
      <w:r>
        <w:t xml:space="preserve">promotion of the use of energy from renewable sources (recast) (OJ L 328, 21.12.2018,</w:t>
      </w:r>
      <w:r>
        <w:t xml:space="preserve"> </w:t>
      </w:r>
      <w:r>
        <w:t xml:space="preserve">ELI: http://data.europa.eu/eli/dir/2018/2001/2024-07-16).</w:t>
      </w:r>
      <w:r>
        <w:t xml:space="preserve"> </w:t>
      </w:r>
      <w:r>
        <w:t xml:space="preserve">21 Regulation (EU) 2024/1028 of the European Parliament and of the Council of 11 April 2024 on data collection</w:t>
      </w:r>
      <w:r>
        <w:t xml:space="preserve"> </w:t>
      </w:r>
      <w:r>
        <w:t xml:space="preserve">and sharing relating to short-term accommodation rental services and amending Regulation (EU)</w:t>
      </w:r>
      <w:r>
        <w:br/>
      </w:r>
      <w:r>
        <w:t xml:space="preserve">2018/1724 (OJ L, 2024/1028, 29.4.2024, ELI: http://data.europa.eu/eli/reg/2024/1028/oj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Framework Directive22, the Landfill Directive23, ReFuelEU Aviation24, FuelEU Maritime25</w:t>
      </w:r>
      <w:r>
        <w:t xml:space="preserve"> </w:t>
      </w:r>
      <w:r>
        <w:t xml:space="preserve">Regulations.</w:t>
      </w:r>
      <w:r>
        <w:t xml:space="preserve"> </w:t>
      </w:r>
      <w:r>
        <w:t xml:space="preserve">This means, most notably, a continuation of the legislated linear reduction factor of 4.4 % from</w:t>
      </w:r>
      <w:r>
        <w:t xml:space="preserve"> </w:t>
      </w:r>
      <w:r>
        <w:t xml:space="preserve">2028 onwards, leading to a 2040 cap of 69 Mt; the continuation of the current MSR parameters;</w:t>
      </w:r>
      <w:r>
        <w:t xml:space="preserve"> </w:t>
      </w:r>
      <w:r>
        <w:t xml:space="preserve">application of EU ETS to departing and arriving flights from the EEA from the start of 2027</w:t>
      </w:r>
      <w:r>
        <w:t xml:space="preserve"> </w:t>
      </w:r>
      <w:r>
        <w:t xml:space="preserve">and ending of ETS SAF support in 2030; the Modernisation Fund runs up to 2030, and Member</w:t>
      </w:r>
      <w:r>
        <w:t xml:space="preserve"> </w:t>
      </w:r>
      <w:r>
        <w:t xml:space="preserve">States receive all the allowances that are not issued for free, placed in the MSR or established</w:t>
      </w:r>
      <w:r>
        <w:t xml:space="preserve"> </w:t>
      </w:r>
      <w:r>
        <w:t xml:space="preserve">as own resources; the maritime scope remains as legislated26 with temporary derogations</w:t>
      </w:r>
      <w:r>
        <w:t xml:space="preserve"> </w:t>
      </w:r>
      <w:r>
        <w:t xml:space="preserve">ending in 2030, while taking into account the effect of global policies and strategies at IMO;</w:t>
      </w:r>
      <w:r>
        <w:t xml:space="preserve"> </w:t>
      </w:r>
      <w:r>
        <w:t xml:space="preserve">accounting of emissions that are captured in the EU ETS installations for utilisation in products</w:t>
      </w:r>
      <w:r>
        <w:t xml:space="preserve"> </w:t>
      </w:r>
      <w:r>
        <w:t xml:space="preserve">(CCU) takes place upstream; the 20 MW threshold continues to apply; the incineration of</w:t>
      </w:r>
      <w:r>
        <w:t xml:space="preserve"> </w:t>
      </w:r>
      <w:r>
        <w:t xml:space="preserve">municipal or hazardous or waste are generally excluded from the full scope of the EU ETS</w:t>
      </w:r>
      <w:r>
        <w:t xml:space="preserve"> </w:t>
      </w:r>
      <w:r>
        <w:t xml:space="preserve">(with co-incineration, however, fully covered).</w:t>
      </w:r>
      <w:r>
        <w:t xml:space="preserve"> </w:t>
      </w:r>
      <w:r>
        <w:t xml:space="preserve">As an exception, the baseline for free allocation for sectors not covered by CBAM results from</w:t>
      </w:r>
      <w:r>
        <w:t xml:space="preserve"> </w:t>
      </w:r>
      <w:r>
        <w:t xml:space="preserve">the continuation of the current rules post-2030, based on the provisions set out in Article 10a</w:t>
      </w:r>
      <w:r>
        <w:t xml:space="preserve"> </w:t>
      </w:r>
      <w:r>
        <w:t xml:space="preserve">of the ETS Directive. This does not correspond to the legal default, as the provisions of Article</w:t>
      </w:r>
      <w:r>
        <w:t xml:space="preserve"> </w:t>
      </w:r>
      <w:r>
        <w:t xml:space="preserve">10a of the ETS Directive apply only until 2030. However, assuming a baseline of continued</w:t>
      </w:r>
      <w:r>
        <w:t xml:space="preserve"> </w:t>
      </w:r>
      <w:r>
        <w:t xml:space="preserve">free allocation post-2030 allows for a more meaningful analysis of the proposed measures</w:t>
      </w:r>
      <w:r>
        <w:t xml:space="preserve"> </w:t>
      </w:r>
      <w:r>
        <w:t xml:space="preserve">based on comparable scenarios. For the sectors covered by CBAM, free allocation is phased</w:t>
      </w:r>
      <w:r>
        <w:t xml:space="preserve"> </w:t>
      </w:r>
      <w:r>
        <w:t xml:space="preserve">out up to 2034 in parallel with the gradual phase-on of CBAM. The quantity of allowances</w:t>
      </w:r>
      <w:r>
        <w:t xml:space="preserve"> </w:t>
      </w:r>
      <w:r>
        <w:t xml:space="preserve">available for free allocation is based on 43% share of the baseline cap trajectory, resulting from</w:t>
      </w:r>
      <w:r>
        <w:t xml:space="preserve"> </w:t>
      </w:r>
      <w:r>
        <w:t xml:space="preserve">the provision in Article 10 of the ETS Directive that 57% will be allocated via auctioning.</w:t>
      </w:r>
      <w:r>
        <w:t xml:space="preserve"> </w:t>
      </w:r>
      <w:r>
        <w:t xml:space="preserve">Equally, the baseline on instruments to support investments assumes continuation of the</w:t>
      </w:r>
      <w:r>
        <w:t xml:space="preserve"> </w:t>
      </w:r>
      <w:r>
        <w:t xml:space="preserve">Innovation Fund (IF) as defined in the ETS Directive using existing instruments (‘regular’</w:t>
      </w:r>
      <w:r>
        <w:t xml:space="preserve"> </w:t>
      </w:r>
      <w:r>
        <w:t xml:space="preserve">grants and, to lesser extent, auctions and financial instruments) to address technology and early</w:t>
      </w:r>
      <w:r>
        <w:t xml:space="preserve"> </w:t>
      </w:r>
      <w:r>
        <w:t xml:space="preserve">commercialisation risks across innovative decarbonisation technologies in the ETS covered</w:t>
      </w:r>
      <w:r>
        <w:t xml:space="preserve"> </w:t>
      </w:r>
      <w:r>
        <w:t xml:space="preserve">sectors. The baseline also assumes the establishment of the Industrial Decarbonisation Bank</w:t>
      </w:r>
      <w:r>
        <w:t xml:space="preserve"> </w:t>
      </w:r>
      <w:r>
        <w:t xml:space="preserve">(IDB) with a EUR 100 billion envelope as announced under the Clean Industrial Deal to focus</w:t>
      </w:r>
      <w:r>
        <w:t xml:space="preserve"> </w:t>
      </w:r>
      <w:r>
        <w:t xml:space="preserve">addressing market risks for scale-up and roll-out of decarbonisation technologies in Energy</w:t>
      </w:r>
      <w:r>
        <w:t xml:space="preserve"> </w:t>
      </w:r>
      <w:r>
        <w:t xml:space="preserve">Intensive Industries. The current ETS Directive foresees the ETS revenues to be set aside for</w:t>
      </w:r>
      <w:r>
        <w:t xml:space="preserve"> </w:t>
      </w:r>
      <w:r>
        <w:t xml:space="preserve">the IF for the period 2031-40 that are sufficient serve both the IDB endowment and the IF</w:t>
      </w:r>
      <w:r>
        <w:t xml:space="preserve"> </w:t>
      </w:r>
      <w:r>
        <w:t xml:space="preserve">continuation. In line with necessary specialisations of the two instruments – with the IF serving</w:t>
      </w:r>
      <w:r>
        <w:t xml:space="preserve"> </w:t>
      </w:r>
      <w:r>
        <w:t xml:space="preserve">as the ‘innovation pillar’ and the IDB becoming the ‘roll-out pillar’ - and reflecting the</w:t>
      </w:r>
    </w:p>
    <w:p>
      <w:pPr>
        <w:pStyle w:val="BodyText"/>
      </w:pPr>
      <w:r>
        <w:t xml:space="preserve">22 Directive 2008/98/EC of the European Parliament and of the Council of 19 November 2008 on waste and</w:t>
      </w:r>
      <w:r>
        <w:t xml:space="preserve"> </w:t>
      </w:r>
      <w:r>
        <w:t xml:space="preserve">repealing certain Directives (OJ L 312, 22.11.2008, ELI: http://data.europa.eu/eli/dir/2008/98/oj).</w:t>
      </w:r>
      <w:r>
        <w:t xml:space="preserve"> </w:t>
      </w:r>
      <w:r>
        <w:t xml:space="preserve">23 Council Directive 1999/31/EC of 26 April 1999 on the landfill of waste (OJ L 182,</w:t>
      </w:r>
      <w:r>
        <w:t xml:space="preserve"> </w:t>
      </w:r>
      <w:r>
        <w:t xml:space="preserve">16.7.1999, ELI: http://data.europa.eu/eli/dir/1999/31/oj).</w:t>
      </w:r>
      <w:r>
        <w:t xml:space="preserve"> </w:t>
      </w:r>
      <w:r>
        <w:t xml:space="preserve">24 Regulation (EU) 2023/2405 of the European Parliament and of the Council of 18 October 2023 on ensuring</w:t>
      </w:r>
      <w:r>
        <w:t xml:space="preserve"> </w:t>
      </w:r>
      <w:r>
        <w:t xml:space="preserve">a level playing field for sustainable air transport (ReFuelEU Aviation) (OJ L, 2023/2405,</w:t>
      </w:r>
      <w:r>
        <w:t xml:space="preserve"> </w:t>
      </w:r>
      <w:r>
        <w:t xml:space="preserve">ELI: http://data.europa.eu/eli/reg/2023/2405/oj)</w:t>
      </w:r>
      <w:r>
        <w:t xml:space="preserve"> </w:t>
      </w:r>
      <w:r>
        <w:t xml:space="preserve">25 Regulation (EU) 2023/1805 of the European Parliament and of the Council of 13 September 2023 on the use</w:t>
      </w:r>
      <w:r>
        <w:t xml:space="preserve"> </w:t>
      </w:r>
      <w:r>
        <w:t xml:space="preserve">of</w:t>
      </w:r>
      <w:r>
        <w:t xml:space="preserve"> </w:t>
      </w:r>
      <w:r>
        <w:t xml:space="preserve">renewable</w:t>
      </w:r>
      <w:r>
        <w:t xml:space="preserve"> </w:t>
      </w:r>
      <w:r>
        <w:t xml:space="preserve">and</w:t>
      </w:r>
      <w:r>
        <w:t xml:space="preserve"> </w:t>
      </w:r>
      <w:r>
        <w:t xml:space="preserve">low-carbon</w:t>
      </w:r>
      <w:r>
        <w:t xml:space="preserve"> </w:t>
      </w:r>
      <w:r>
        <w:t xml:space="preserve">fuels</w:t>
      </w:r>
      <w:r>
        <w:t xml:space="preserve"> </w:t>
      </w:r>
      <w:r>
        <w:t xml:space="preserve">in</w:t>
      </w:r>
      <w:r>
        <w:t xml:space="preserve"> </w:t>
      </w:r>
      <w:r>
        <w:t xml:space="preserve">maritime</w:t>
      </w:r>
      <w:r>
        <w:t xml:space="preserve"> </w:t>
      </w:r>
      <w:r>
        <w:t xml:space="preserve">transport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234,</w:t>
      </w:r>
      <w:r>
        <w:t xml:space="preserve"> </w:t>
      </w:r>
      <w:r>
        <w:t xml:space="preserve">22.9.2023,</w:t>
      </w:r>
      <w:r>
        <w:t xml:space="preserve"> </w:t>
      </w:r>
      <w:r>
        <w:t xml:space="preserve">ELI: http://data.europa.eu/eli/reg/2023/1805/oj).</w:t>
      </w:r>
      <w:r>
        <w:t xml:space="preserve"> </w:t>
      </w:r>
      <w:r>
        <w:t xml:space="preserve">26 For maritime, the ETS Directive applies to ships of or above 5 000 gross tonnage. All emissions of voyages</w:t>
      </w:r>
      <w:r>
        <w:t xml:space="preserve"> </w:t>
      </w:r>
      <w:r>
        <w:t xml:space="preserve">between EU ports, as well as emissions within EU ports are covered but only 50% of emissions of voyages</w:t>
      </w:r>
      <w:r>
        <w:t xml:space="preserve"> </w:t>
      </w:r>
      <w:r>
        <w:t xml:space="preserve">between EU and non-EU ports. Methane and nitrous oxide emissions from maritime transport are covered</w:t>
      </w:r>
      <w:r>
        <w:t xml:space="preserve"> </w:t>
      </w:r>
      <w:r>
        <w:t xml:space="preserve">under the ETS1 as from 2026 and emissions from large offshore vessels will be covered as from 2027.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expected technology deployment needs after 2030, the ETS revenues will be allocated between</w:t>
      </w:r>
      <w:r>
        <w:t xml:space="preserve"> </w:t>
      </w:r>
      <w:r>
        <w:t xml:space="preserve">the two instruments.</w:t>
      </w:r>
      <w:r>
        <w:br/>
      </w:r>
      <w:r>
        <w:t xml:space="preserve">The Baseline described above needs to be distinguished from modelled 85% target scenarios</w:t>
      </w:r>
      <w:r>
        <w:t xml:space="preserve"> </w:t>
      </w:r>
      <w:r>
        <w:t xml:space="preserve">which will be used in the quantitative sections of the impact assessment focused on economic</w:t>
      </w:r>
      <w:r>
        <w:t xml:space="preserve"> </w:t>
      </w:r>
      <w:r>
        <w:t xml:space="preserve">impacts. These are model-based scenarios which optimise the technological investments</w:t>
      </w:r>
      <w:r>
        <w:t xml:space="preserve"> </w:t>
      </w:r>
      <w:r>
        <w:t xml:space="preserve">required to hit an 85% net emissions reduction target by 2040 compared to 1990, and climate</w:t>
      </w:r>
      <w:r>
        <w:t xml:space="preserve"> </w:t>
      </w:r>
      <w:r>
        <w:t xml:space="preserve">neutrality in 2050. However, this economy-wide optimisation does not provide sufficient</w:t>
      </w:r>
      <w:r>
        <w:t xml:space="preserve"> </w:t>
      </w:r>
      <w:r>
        <w:t xml:space="preserve">information about detailed policies to achieve the necessary technology deployments. The</w:t>
      </w:r>
      <w:r>
        <w:t xml:space="preserve"> </w:t>
      </w:r>
      <w:r>
        <w:t xml:space="preserve">reason to use these scenarios for further analysis is that they allow us to abstract out the</w:t>
      </w:r>
      <w:r>
        <w:t xml:space="preserve"> </w:t>
      </w:r>
      <w:r>
        <w:t xml:space="preserve">economic impact of the change in the LRF, which would otherwise dominate all other policy</w:t>
      </w:r>
      <w:r>
        <w:t xml:space="preserve"> </w:t>
      </w:r>
      <w:r>
        <w:t xml:space="preserve">measures. Furthermore, the key purpose of this impact assessment is not to assess the overall</w:t>
      </w:r>
      <w:r>
        <w:t xml:space="preserve"> </w:t>
      </w:r>
      <w:r>
        <w:t xml:space="preserve">economy-wide ambition level, but to assess the policy measures through which the EU ETS</w:t>
      </w:r>
      <w:r>
        <w:t xml:space="preserve"> </w:t>
      </w:r>
      <w:r>
        <w:t xml:space="preserve">could best contribute to attaining it. The ambition level as a whole was assessed in the impact</w:t>
      </w:r>
      <w:r>
        <w:t xml:space="preserve"> </w:t>
      </w:r>
      <w:r>
        <w:t xml:space="preserve">assessment of the 2040 Climate Target27.</w:t>
      </w:r>
      <w:r>
        <w:t xml:space="preserve"> </w:t>
      </w:r>
      <w:r>
        <w:t xml:space="preserve">5.2.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Three policy options have been developed that ensure that the ETS contributes cost-effectively</w:t>
      </w:r>
      <w:r>
        <w:t xml:space="preserve"> </w:t>
      </w:r>
      <w:r>
        <w:t xml:space="preserve">to the EU emissions reduction target in line with climate neutrality and the 2040 target and to</w:t>
      </w:r>
      <w:r>
        <w:t xml:space="preserve"> </w:t>
      </w:r>
      <w:r>
        <w:t xml:space="preserve">addressing the EU’s fair share of international emissions. The options differ in the degree of</w:t>
      </w:r>
      <w:r>
        <w:t xml:space="preserve"> </w:t>
      </w:r>
      <w:r>
        <w:t xml:space="preserve">change that they entail to the current system. Policy option 1 Aligning ambition and improving</w:t>
      </w:r>
      <w:r>
        <w:t xml:space="preserve"> </w:t>
      </w:r>
      <w:r>
        <w:t xml:space="preserve">incentives includes the measures that, overall, lead to least change compared to policies in place</w:t>
      </w:r>
      <w:r>
        <w:t xml:space="preserve"> </w:t>
      </w:r>
      <w:r>
        <w:t xml:space="preserve">in 2026. Policy option 2 Aligning ambition and extending scope and corresponding incentives</w:t>
      </w:r>
      <w:r>
        <w:t xml:space="preserve"> </w:t>
      </w:r>
      <w:r>
        <w:t xml:space="preserve">includes measures that introduce moderate innovations or changes to the system. Policy option</w:t>
      </w:r>
      <w:r>
        <w:t xml:space="preserve"> </w:t>
      </w:r>
      <w:r>
        <w:t xml:space="preserve">3 Aligning ambition and extending scope and incentives comprehensively alters most</w:t>
      </w:r>
      <w:r>
        <w:t xml:space="preserve"> </w:t>
      </w:r>
      <w:r>
        <w:t xml:space="preserve">substantially how the system works. Annex 7 explains why each measure was included in the</w:t>
      </w:r>
      <w:r>
        <w:t xml:space="preserve"> </w:t>
      </w:r>
      <w:r>
        <w:t xml:space="preserve">relevant policy option. In addition, the concluding sections of Annexes 8 to 13 summarise the</w:t>
      </w:r>
      <w:r>
        <w:t xml:space="preserve"> </w:t>
      </w:r>
      <w:r>
        <w:t xml:space="preserve">assessment of each measure. Not all the measures analysed for each topic in the annexes were</w:t>
      </w:r>
      <w:r>
        <w:t xml:space="preserve"> </w:t>
      </w:r>
      <w:r>
        <w:t xml:space="preserve">included in the policy options.</w:t>
      </w:r>
      <w:r>
        <w:t xml:space="preserve"> </w:t>
      </w:r>
      <w:r>
        <w:t xml:space="preserve">The most impactful measures in the policy options are those related to scope (aviation and</w:t>
      </w:r>
      <w:r>
        <w:t xml:space="preserve"> </w:t>
      </w:r>
      <w:r>
        <w:t xml:space="preserve">waste), ambition (cap, removals and MSR), and use of allowances (in particular, for the IDB</w:t>
      </w:r>
      <w:r>
        <w:t xml:space="preserve"> </w:t>
      </w:r>
      <w:r>
        <w:t xml:space="preserve">and free allocation), impacting for example costs of production or the business case for</w:t>
      </w:r>
      <w:r>
        <w:t xml:space="preserve"> </w:t>
      </w:r>
      <w:r>
        <w:t xml:space="preserve">investments in emissions reductions. Regarding the scope, the combined extension of the</w:t>
      </w:r>
      <w:r>
        <w:t xml:space="preserve"> </w:t>
      </w:r>
      <w:r>
        <w:t xml:space="preserve">system to departing flights and all waste incineration installations and landfills of non-</w:t>
      </w:r>
      <w:r>
        <w:t xml:space="preserve"> </w:t>
      </w:r>
      <w:r>
        <w:t xml:space="preserve">hazardous waste (PO3 – largest scope extension) could increase the size of the ETS by around</w:t>
      </w:r>
      <w:r>
        <w:t xml:space="preserve"> </w:t>
      </w:r>
      <w:r>
        <w:t xml:space="preserve">30% compared to PO1 in terms of cumulative budget over 2031-2040.</w:t>
      </w:r>
      <w:r>
        <w:t xml:space="preserve"> </w:t>
      </w:r>
      <w:r>
        <w:t xml:space="preserve">Regarding the ambition, all policy options include the same measure for the cap, meaning that</w:t>
      </w:r>
      <w:r>
        <w:t xml:space="preserve"> </w:t>
      </w:r>
      <w:r>
        <w:t xml:space="preserve">the impact is driven by the integration of carbon removals and the MSR. This choice has been</w:t>
      </w:r>
      <w:r>
        <w:t xml:space="preserve"> </w:t>
      </w:r>
      <w:r>
        <w:t xml:space="preserve">made for the pragmatic reason that the other measures, not related to the cap, need to be</w:t>
      </w:r>
      <w:r>
        <w:t xml:space="preserve"> </w:t>
      </w:r>
      <w:r>
        <w:t xml:space="preserve">assessed without this assessment being affected by changes in overall ambition level. The cap</w:t>
      </w:r>
      <w:r>
        <w:t xml:space="preserve"> </w:t>
      </w:r>
      <w:r>
        <w:t xml:space="preserve">section of Annex 8 and chapter 6 of this impact assessment will nevertheless show</w:t>
      </w:r>
      <w:r>
        <w:t xml:space="preserve"> </w:t>
      </w:r>
      <w:r>
        <w:t xml:space="preserve">environmental and economic impacts of comparing CAP2 and CAP4 to CAP3.Various other</w:t>
      </w:r>
      <w:r>
        <w:t xml:space="preserve"> </w:t>
      </w:r>
      <w:r>
        <w:t xml:space="preserve">caps and targets are also illustrated in the Annex. The relative impacts of the other measures,</w:t>
      </w:r>
      <w:r>
        <w:t xml:space="preserve"> </w:t>
      </w:r>
      <w:r>
        <w:t xml:space="preserve">such as those on removals, carbon leakage or CCU, will not be affected by changes in cap</w:t>
      </w:r>
      <w:r>
        <w:t xml:space="preserve"> </w:t>
      </w:r>
      <w:r>
        <w:t xml:space="preserve">trajectory: if a policy measure performs better under certain criteria than an alternative measure</w:t>
      </w:r>
      <w:r>
        <w:t xml:space="preserve"> </w:t>
      </w:r>
      <w:r>
        <w:t xml:space="preserve">under CAP1, it can be expected to perform better under CAP3 as well. By keeping the same</w:t>
      </w:r>
    </w:p>
    <w:p>
      <w:pPr>
        <w:pStyle w:val="BodyText"/>
      </w:pPr>
      <w:r>
        <w:t xml:space="preserve">27 COM(2024) 63 final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CAP measure under all POs, such relative performance can be isolated, without being</w:t>
      </w:r>
      <w:r>
        <w:t xml:space="preserve"> </w:t>
      </w:r>
      <w:r>
        <w:t xml:space="preserve">dominated by the environmental and economic impacts of changing the cap.</w:t>
      </w:r>
      <w:r>
        <w:br/>
      </w:r>
      <w:r>
        <w:t xml:space="preserve">For removals, the differences in the degree of change among the policy options are not based</w:t>
      </w:r>
      <w:r>
        <w:t xml:space="preserve"> </w:t>
      </w:r>
      <w:r>
        <w:t xml:space="preserve">on the level of the increase of the emissions space (all POs count on the same amount of</w:t>
      </w:r>
      <w:r>
        <w:t xml:space="preserve"> </w:t>
      </w:r>
      <w:r>
        <w:t xml:space="preserve">removals being eligible for integration) but rather on the certainty on the net and gross</w:t>
      </w:r>
      <w:r>
        <w:t xml:space="preserve"> </w:t>
      </w:r>
      <w:r>
        <w:t xml:space="preserve">emissions28. For the MSR, the differences between the policy options stem from changing from</w:t>
      </w:r>
      <w:r>
        <w:t xml:space="preserve"> </w:t>
      </w:r>
      <w:r>
        <w:t xml:space="preserve">static parameters (PO1) to dynamic parameters (PO2-PO3), in which MSR parameters decline</w:t>
      </w:r>
      <w:r>
        <w:t xml:space="preserve"> </w:t>
      </w:r>
      <w:r>
        <w:t xml:space="preserve">at a fixed proportional rate from 2028 onwards. This ensures a MSR design that dynamically</w:t>
      </w:r>
      <w:r>
        <w:t xml:space="preserve"> </w:t>
      </w:r>
      <w:r>
        <w:t xml:space="preserve">accompanies the overall decreasing market of allowances. Regarding the use of allowances,</w:t>
      </w:r>
      <w:r>
        <w:t xml:space="preserve"> </w:t>
      </w:r>
      <w:r>
        <w:t xml:space="preserve">the most impactful changes relate to the deployment of the 100 billion of the IDB (already in</w:t>
      </w:r>
      <w:r>
        <w:t xml:space="preserve"> </w:t>
      </w:r>
      <w:r>
        <w:t xml:space="preserve">the baseline), and the changes to rules on free allowances – ranging from targeted</w:t>
      </w:r>
      <w:r>
        <w:t xml:space="preserve"> </w:t>
      </w:r>
      <w:r>
        <w:t xml:space="preserve">improvements (PO1), to introducing their conditional use (PO2) and their phase-out (PO3).</w:t>
      </w:r>
      <w:r>
        <w:t xml:space="preserve"> </w:t>
      </w:r>
      <w:r>
        <w:t xml:space="preserve">More in-depth analysis of options is provided in Annex 9.</w:t>
      </w:r>
      <w:r>
        <w:t xml:space="preserve"> </w:t>
      </w:r>
      <w:r>
        <w:t xml:space="preserve">The policy options all address the main risk that the ETS does not contribute cost-effectively</w:t>
      </w:r>
      <w:r>
        <w:t xml:space="preserve"> </w:t>
      </w:r>
      <w:r>
        <w:t xml:space="preserve">to the EU emissions reduction target – this is because all options align the cap trajectory with</w:t>
      </w:r>
      <w:r>
        <w:t xml:space="preserve"> </w:t>
      </w:r>
      <w:r>
        <w:t xml:space="preserve">the 2040 climate ambition of the EU. In all cap options, the reduction rate can continue at a</w:t>
      </w:r>
      <w:r>
        <w:t xml:space="preserve"> </w:t>
      </w:r>
      <w:r>
        <w:t xml:space="preserve">slower pace than the currently legislated LRF. This means more allowances can be issued each</w:t>
      </w:r>
      <w:r>
        <w:t xml:space="preserve"> </w:t>
      </w:r>
      <w:r>
        <w:t xml:space="preserve">year and new allowances will continue to be issued well beyond 2040. The integration of</w:t>
      </w:r>
      <w:r>
        <w:t xml:space="preserve"> </w:t>
      </w:r>
      <w:r>
        <w:t xml:space="preserve">removals and adjustments to the MSR can also improve the cost-effectiveness of the ETS</w:t>
      </w:r>
      <w:r>
        <w:t xml:space="preserve"> </w:t>
      </w:r>
      <w:r>
        <w:t xml:space="preserve">contribution to the EU’s climate ambition, by increasing the emissions space in the system</w:t>
      </w:r>
      <w:r>
        <w:t xml:space="preserve"> </w:t>
      </w:r>
      <w:r>
        <w:t xml:space="preserve">through removals and adjusting the MSR so it can maintain a healthy supply and demand</w:t>
      </w:r>
      <w:r>
        <w:t xml:space="preserve"> </w:t>
      </w:r>
      <w:r>
        <w:t xml:space="preserve">balance. The stability of the system and its environmental integrity act as constraints to any</w:t>
      </w:r>
      <w:r>
        <w:t xml:space="preserve"> </w:t>
      </w:r>
      <w:r>
        <w:t xml:space="preserve">changes on either topic. Beyond that, differences in achieving a cost-effective contribution</w:t>
      </w:r>
      <w:r>
        <w:t xml:space="preserve"> </w:t>
      </w:r>
      <w:r>
        <w:t xml:space="preserve">depend mainly on the scope extensions and use of allowances. Broader scope extensions allow</w:t>
      </w:r>
      <w:r>
        <w:t xml:space="preserve"> </w:t>
      </w:r>
      <w:r>
        <w:t xml:space="preserve">the system to contribute to more emissions reductions and increase market efficiency by</w:t>
      </w:r>
      <w:r>
        <w:t xml:space="preserve"> </w:t>
      </w:r>
      <w:r>
        <w:t xml:space="preserve">making it larger, but this needs to be measured against the efficiency of the extension (emission</w:t>
      </w:r>
      <w:r>
        <w:t xml:space="preserve"> </w:t>
      </w:r>
      <w:r>
        <w:t xml:space="preserve">reduction potential and implementation costs). Introduction conditions on free allocation or</w:t>
      </w:r>
      <w:r>
        <w:t xml:space="preserve"> </w:t>
      </w:r>
      <w:r>
        <w:t xml:space="preserve">reducing free allowances can improve incentives to decarbonise and lead to greater emissions</w:t>
      </w:r>
      <w:r>
        <w:t xml:space="preserve"> </w:t>
      </w:r>
      <w:r>
        <w:t xml:space="preserve">reductions, as long as it does not lead to carbon leakage. This carbon leakage risk is in turn</w:t>
      </w:r>
      <w:r>
        <w:t xml:space="preserve"> </w:t>
      </w:r>
      <w:r>
        <w:t xml:space="preserve">mitigated in part by the financing support provided through the IDB. Regarding the risk of not</w:t>
      </w:r>
      <w:r>
        <w:t xml:space="preserve"> </w:t>
      </w:r>
      <w:r>
        <w:t xml:space="preserve">contributing cost-effectively on the EU’s fair share of international emissions, it is assessed</w:t>
      </w:r>
      <w:r>
        <w:t xml:space="preserve"> </w:t>
      </w:r>
      <w:r>
        <w:t xml:space="preserve">whether the international scheme CORSIA is providing this contribution, or whether a</w:t>
      </w:r>
      <w:r>
        <w:t xml:space="preserve"> </w:t>
      </w:r>
      <w:r>
        <w:t xml:space="preserve">complement through application of the ETS carbon price is required. Cost effectiveness is</w:t>
      </w:r>
      <w:r>
        <w:t xml:space="preserve"> </w:t>
      </w:r>
      <w:r>
        <w:t xml:space="preserve">preserved through a deduction of CORSIA offsetting costs in case a complementary ETS price</w:t>
      </w:r>
      <w:r>
        <w:t xml:space="preserve"> </w:t>
      </w:r>
      <w:r>
        <w:t xml:space="preserve">is applied, and additional financial support for aviation decarbonisation is provided.</w:t>
      </w:r>
      <w:r>
        <w:br/>
      </w:r>
      <w:r>
        <w:t xml:space="preserve">Table 1: Overview of policy measures and policy options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Cap</w:t>
      </w:r>
      <w:r>
        <w:t xml:space="preserve"> </w:t>
      </w:r>
      <w:r>
        <w:t xml:space="preserve">CAP1: “Linear” measure - it follows a linear</w:t>
      </w:r>
      <w:r>
        <w:t xml:space="preserve"> </w:t>
      </w:r>
      <w:r>
        <w:t xml:space="preserve">trajectory from 2030 to 2040 towards and 85%</w:t>
      </w:r>
      <w:r>
        <w:t xml:space="preserve"> </w:t>
      </w:r>
      <w:r>
        <w:t xml:space="preserve">consistent target in 2040</w:t>
      </w:r>
    </w:p>
    <w:p>
      <w:pPr>
        <w:pStyle w:val="BodyText"/>
      </w:pPr>
      <w:r>
        <w:t xml:space="preserve">28 PO1 providing relative certainty in both, under the condition that the public authority receives sufficient</w:t>
      </w:r>
      <w:r>
        <w:t xml:space="preserve"> </w:t>
      </w:r>
      <w:r>
        <w:t xml:space="preserve">financing; PO2 providing certainty on net emissions; and PO3 providing certainty on gross emissions.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CAP2: Default modelled trajectory to 85%: it</w:t>
      </w:r>
      <w:r>
        <w:t xml:space="preserve"> </w:t>
      </w:r>
      <w:r>
        <w:t xml:space="preserve">follows the 2031-2040 trajectory of GHGs currently</w:t>
      </w:r>
      <w:r>
        <w:t xml:space="preserve"> </w:t>
      </w:r>
      <w:r>
        <w:t xml:space="preserve">under ETS towards the estimated cost-effective</w:t>
      </w:r>
      <w:r>
        <w:t xml:space="preserve"> </w:t>
      </w:r>
      <w:r>
        <w:t xml:space="preserve">contribution of the EU ETS to a reduction of</w:t>
      </w:r>
      <w:r>
        <w:t xml:space="preserve"> </w:t>
      </w:r>
      <w:r>
        <w:t xml:space="preserve">economy-wide net GHGs by 85% in 2040.</w:t>
      </w:r>
      <w:r>
        <w:br/>
      </w:r>
      <w:r>
        <w:t xml:space="preserve">This option is illustrated by the scenario “85%”.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CAP3: Until 2035 it follows the trajectory of GHGs</w:t>
      </w:r>
      <w:r>
        <w:t xml:space="preserve"> </w:t>
      </w:r>
      <w:r>
        <w:t xml:space="preserve">currently under ETS towards the estimated cost-</w:t>
      </w:r>
      <w:r>
        <w:t xml:space="preserve"> </w:t>
      </w:r>
      <w:r>
        <w:t xml:space="preserve">effective contribution of the EU ETS to a reduction</w:t>
      </w:r>
      <w:r>
        <w:t xml:space="preserve"> </w:t>
      </w:r>
      <w:r>
        <w:t xml:space="preserve">pathway for economy-wide net GHGs moving</w:t>
      </w:r>
      <w:r>
        <w:t xml:space="preserve"> </w:t>
      </w:r>
      <w:r>
        <w:t xml:space="preserve">linearly towards 90% in 2040, but in the second half</w:t>
      </w:r>
      <w:r>
        <w:t xml:space="preserve"> </w:t>
      </w:r>
      <w:r>
        <w:t xml:space="preserve">of the decade the trajectory flattens to move towards</w:t>
      </w:r>
      <w:r>
        <w:t xml:space="preserve"> </w:t>
      </w:r>
      <w:r>
        <w:t xml:space="preserve">the estimated cost-effective contribution of the EU</w:t>
      </w:r>
      <w:r>
        <w:t xml:space="preserve"> </w:t>
      </w:r>
      <w:r>
        <w:t xml:space="preserve">ETS to a reduction of economy-wide net GHGs by</w:t>
      </w:r>
      <w:r>
        <w:t xml:space="preserve"> </w:t>
      </w:r>
      <w:r>
        <w:t xml:space="preserve">85% in 2040.</w:t>
      </w:r>
      <w:r>
        <w:t xml:space="preserve"> </w:t>
      </w:r>
      <w:r>
        <w:t xml:space="preserve">This option is illustrated by the scenarios labelled</w:t>
      </w:r>
      <w:r>
        <w:t xml:space="preserve"> </w:t>
      </w:r>
      <w:r>
        <w:t xml:space="preserve">“9085”.</w:t>
      </w:r>
    </w:p>
    <w:p>
      <w:pPr>
        <w:pStyle w:val="BodyText"/>
      </w:pPr>
      <w:r>
        <w:t xml:space="preserve">CAP4: An accelerated version of CAP3, comparable</w:t>
      </w:r>
      <w:r>
        <w:t xml:space="preserve"> </w:t>
      </w:r>
      <w:r>
        <w:t xml:space="preserve">to a non-linear pathway towards the 90% target in the</w:t>
      </w:r>
      <w:r>
        <w:t xml:space="preserve"> </w:t>
      </w:r>
      <w:r>
        <w:t xml:space="preserve">first five years, then flattening to be compatible with</w:t>
      </w:r>
      <w:r>
        <w:t xml:space="preserve"> </w:t>
      </w:r>
      <w:r>
        <w:t xml:space="preserve">an 85% target in 2040.</w:t>
      </w:r>
    </w:p>
    <w:p>
      <w:pPr>
        <w:pStyle w:val="BodyText"/>
      </w:pPr>
      <w:r>
        <w:t xml:space="preserve">CAP5: “90% extended legal default”, extending the</w:t>
      </w:r>
      <w:r>
        <w:t xml:space="preserve"> </w:t>
      </w:r>
      <w:r>
        <w:t xml:space="preserve">legal default LRF until 2035, followed by a lower</w:t>
      </w:r>
      <w:r>
        <w:t xml:space="preserve"> </w:t>
      </w:r>
      <w:r>
        <w:t xml:space="preserve">LRF to be compatible with the 90% target in 2040</w:t>
      </w:r>
    </w:p>
    <w:p>
      <w:pPr>
        <w:pStyle w:val="BodyText"/>
      </w:pPr>
      <w:r>
        <w:t xml:space="preserve">Removals29, 30</w:t>
      </w:r>
      <w:r>
        <w:t xml:space="preserve"> </w:t>
      </w:r>
      <w:r>
        <w:t xml:space="preserve">CR1: Limited operator integration on top of the cap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CR3: Limited operator integration under the cap</w:t>
      </w:r>
      <w:r>
        <w:t xml:space="preserve"> </w:t>
      </w:r>
      <w:r>
        <w:t xml:space="preserve">(one-in-one-out)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CR4: Public authority integration through regular</w:t>
      </w:r>
      <w:r>
        <w:t xml:space="preserve"> </w:t>
      </w:r>
      <w:r>
        <w:t xml:space="preserve">auctions under the cap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MSR</w:t>
      </w:r>
      <w:r>
        <w:t xml:space="preserve"> </w:t>
      </w:r>
      <w:r>
        <w:t xml:space="preserve">MSR1: Static parameters, new thresholds (Adjust</w:t>
      </w:r>
      <w:r>
        <w:t xml:space="preserve"> </w:t>
      </w:r>
      <w:r>
        <w:t xml:space="preserve">current parameter values based on updated</w:t>
      </w:r>
      <w:r>
        <w:t xml:space="preserve"> </w:t>
      </w:r>
      <w:r>
        <w:t xml:space="preserve">assessments of market conditions and hedging needs</w:t>
      </w:r>
      <w:r>
        <w:t xml:space="preserve"> </w:t>
      </w:r>
      <w:r>
        <w:t xml:space="preserve">(e.g. reduced upper and lower threshold, buffer also</w:t>
      </w:r>
      <w:r>
        <w:t xml:space="preserve"> </w:t>
      </w:r>
      <w:r>
        <w:t xml:space="preserve">for lower threshold))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29 As explained in Annex 8 – Part II, all measures consider only the inclusion of CCS-based permanent carbon</w:t>
      </w:r>
      <w:r>
        <w:t xml:space="preserve"> </w:t>
      </w:r>
      <w:r>
        <w:t xml:space="preserve">removals certified under the CRCF (BioCCS and DACCS) generated inside or outside the ETS.</w:t>
      </w:r>
      <w:r>
        <w:t xml:space="preserve"> </w:t>
      </w:r>
      <w:r>
        <w:t xml:space="preserve">30 On top of the cap, refers to when gross emissions are limited by the cap plus the number of allowable removal</w:t>
      </w:r>
      <w:r>
        <w:t xml:space="preserve"> </w:t>
      </w:r>
      <w:r>
        <w:t xml:space="preserve">units; under the cap, to where the cap determined the gross emissions level and removal units do not generate</w:t>
      </w:r>
      <w:r>
        <w:t xml:space="preserve"> </w:t>
      </w:r>
      <w:r>
        <w:t xml:space="preserve">additional emissions space. For further explanations see Section 2.1. of Annex 8 – Part II.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MSR2: Dynamic parameters (MSR 1 + rates</w:t>
      </w:r>
      <w:r>
        <w:t xml:space="preserve"> </w:t>
      </w:r>
      <w:r>
        <w:t xml:space="preserve">changing over time by the LRF)</w:t>
      </w:r>
    </w:p>
    <w:p>
      <w:pPr>
        <w:pStyle w:val="BodyText"/>
      </w:pPr>
      <w:r>
        <w:t xml:space="preserve">MSR3: Dynamic parameters (Adjusted release rate,</w:t>
      </w:r>
      <w:r>
        <w:t xml:space="preserve"> </w:t>
      </w:r>
      <w:r>
        <w:t xml:space="preserve">upper and lower at declining fixed rate)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IDB - allocation</w:t>
      </w:r>
      <w:r>
        <w:t xml:space="preserve"> </w:t>
      </w:r>
      <w:r>
        <w:t xml:space="preserve">mechanism</w:t>
      </w:r>
      <w:r>
        <w:t xml:space="preserve"> </w:t>
      </w:r>
      <w:r>
        <w:t xml:space="preserve">AM 1: Multi-criteria call for proposals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AM 2: Auctions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AM 3: First-in, first served administrative schemes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IDB - form of</w:t>
      </w:r>
      <w:r>
        <w:t xml:space="preserve"> </w:t>
      </w:r>
      <w:r>
        <w:t xml:space="preserve">support</w:t>
      </w:r>
      <w:r>
        <w:t xml:space="preserve"> </w:t>
      </w:r>
      <w:r>
        <w:t xml:space="preserve">FS 1: ‘Regular’ grants covering the funding gap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FS 2: Carbon Fixed Premium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FS 3: Carbon Contracts for Difference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IDB - ensuring</w:t>
      </w:r>
      <w:r>
        <w:t xml:space="preserve"> </w:t>
      </w:r>
      <w:r>
        <w:t xml:space="preserve">geographical</w:t>
      </w:r>
      <w:r>
        <w:t xml:space="preserve"> </w:t>
      </w:r>
      <w:r>
        <w:t xml:space="preserve">balance</w:t>
      </w:r>
      <w:r>
        <w:t xml:space="preserve"> </w:t>
      </w:r>
      <w:r>
        <w:t xml:space="preserve">GB 1: EU-level competition, no geographical</w:t>
      </w:r>
      <w:r>
        <w:t xml:space="preserve"> </w:t>
      </w:r>
      <w:r>
        <w:t xml:space="preserve">balance measures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GB 2: balance between EU-level competition and</w:t>
      </w:r>
      <w:r>
        <w:t xml:space="preserve"> </w:t>
      </w:r>
      <w:r>
        <w:t xml:space="preserve">national allocations for the overall IDB spending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GB 3: strong national allocations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Modernisation Fund</w:t>
      </w:r>
      <w:r>
        <w:t xml:space="preserve"> </w:t>
      </w:r>
      <w:r>
        <w:t xml:space="preserve">- Eligibility of</w:t>
      </w:r>
      <w:r>
        <w:t xml:space="preserve"> </w:t>
      </w:r>
      <w:r>
        <w:t xml:space="preserve">gas/Waste- to-</w:t>
      </w:r>
      <w:r>
        <w:t xml:space="preserve"> </w:t>
      </w:r>
      <w:r>
        <w:t xml:space="preserve">energy</w:t>
      </w:r>
      <w:r>
        <w:t xml:space="preserve"> </w:t>
      </w:r>
      <w:r>
        <w:t xml:space="preserve">GAS/WtE1: PI: Exclusion. NPI: Status quo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GAS/WtE2: PI: Exclusion. NPI: Allowed under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GAS/WtE3: PI/NPI: Exclusion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Modernisation Fund</w:t>
      </w:r>
      <w:r>
        <w:t xml:space="preserve"> </w:t>
      </w:r>
      <w:r>
        <w:t xml:space="preserve">- Respective shares</w:t>
      </w:r>
      <w:r>
        <w:t xml:space="preserve"> </w:t>
      </w:r>
      <w:r>
        <w:t xml:space="preserve">of Priority (PI)/Non-</w:t>
      </w:r>
      <w:r>
        <w:t xml:space="preserve"> </w:t>
      </w:r>
      <w:r>
        <w:t xml:space="preserve">Priority investments</w:t>
      </w:r>
      <w:r>
        <w:t xml:space="preserve"> </w:t>
      </w:r>
      <w:r>
        <w:t xml:space="preserve">(NPI)</w:t>
      </w:r>
      <w:r>
        <w:t xml:space="preserve"> </w:t>
      </w:r>
      <w:r>
        <w:t xml:space="preserve">PI/NPI0: NPI share = 10%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PI/NPI1: NPI share = 5%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PI/NPI2: No NPI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Modernisation Fund</w:t>
      </w:r>
      <w:r>
        <w:t xml:space="preserve"> </w:t>
      </w:r>
      <w:r>
        <w:t xml:space="preserve">- confirmation</w:t>
      </w:r>
      <w:r>
        <w:t xml:space="preserve"> </w:t>
      </w:r>
      <w:r>
        <w:t xml:space="preserve">process of priority</w:t>
      </w:r>
      <w:r>
        <w:t xml:space="preserve"> </w:t>
      </w:r>
      <w:r>
        <w:t xml:space="preserve">investments</w:t>
      </w:r>
      <w:r>
        <w:br/>
      </w:r>
      <w:r>
        <w:t xml:space="preserve">GOV0: on rolling basis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GOV1: Status quo (as in current MF)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GOV2: vetting by Investment Committee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Aviation -</w:t>
      </w:r>
      <w:r>
        <w:t xml:space="preserve"> </w:t>
      </w:r>
      <w:r>
        <w:t xml:space="preserve">Geographic Scope</w:t>
      </w:r>
      <w:r>
        <w:t xml:space="preserve"> </w:t>
      </w:r>
      <w:r>
        <w:t xml:space="preserve">AS1: clean cut – intra-EEA flights and departing</w:t>
      </w:r>
      <w:r>
        <w:t xml:space="preserve"> </w:t>
      </w:r>
      <w:r>
        <w:t xml:space="preserve">flights to Switzerland and the UK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AS2: departing flights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Aviation - SAF</w:t>
      </w:r>
      <w:r>
        <w:t xml:space="preserve"> </w:t>
      </w:r>
      <w:r>
        <w:t xml:space="preserve">support</w:t>
      </w:r>
      <w:r>
        <w:t xml:space="preserve"> </w:t>
      </w:r>
      <w:r>
        <w:t xml:space="preserve">SAF0: status quo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SAF1: medium extension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SAF2: larger extension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Maritime -Support</w:t>
      </w:r>
      <w:r>
        <w:t xml:space="preserve"> </w:t>
      </w:r>
      <w:r>
        <w:t xml:space="preserve">for emissions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shipping sector</w:t>
      </w:r>
      <w:r>
        <w:t xml:space="preserve"> </w:t>
      </w:r>
      <w:r>
        <w:t xml:space="preserve">LCF0: No dedicated ETS support mechanism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LCF1: EU ETS support mechanism for Sustainable</w:t>
      </w:r>
      <w:r>
        <w:t xml:space="preserve"> </w:t>
      </w:r>
      <w:r>
        <w:t xml:space="preserve">Maritime Alternative Propulsion (SMAP)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 -Evasion</w:t>
      </w:r>
      <w:r>
        <w:t xml:space="preserve"> </w:t>
      </w:r>
      <w:r>
        <w:t xml:space="preserve">Risk</w:t>
      </w:r>
      <w:r>
        <w:t xml:space="preserve"> </w:t>
      </w:r>
      <w:r>
        <w:t xml:space="preserve">RΕ0: Current measures on evasion</w:t>
      </w:r>
      <w:r>
        <w:br/>
      </w:r>
      <w:r>
        <w:t xml:space="preserve">X</w:t>
      </w:r>
    </w:p>
    <w:p>
      <w:pPr>
        <w:pStyle w:val="BodyText"/>
      </w:pPr>
      <w:r>
        <w:t xml:space="preserve">RE1: Revise the list of neighbouring container</w:t>
      </w:r>
      <w:r>
        <w:t xml:space="preserve"> </w:t>
      </w:r>
      <w:r>
        <w:t xml:space="preserve">transhipment ports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RE2: Ensure that offshore activities by ships</w:t>
      </w:r>
      <w:r>
        <w:t xml:space="preserve"> </w:t>
      </w:r>
      <w:r>
        <w:t xml:space="preserve">operating in EU waters are covered, independently</w:t>
      </w:r>
      <w:r>
        <w:t xml:space="preserve"> </w:t>
      </w:r>
      <w:r>
        <w:t xml:space="preserve">from their port of origin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 -</w:t>
      </w:r>
      <w:r>
        <w:t xml:space="preserve"> </w:t>
      </w:r>
      <w:r>
        <w:t xml:space="preserve">Simplification</w:t>
      </w:r>
      <w:r>
        <w:br/>
      </w:r>
      <w:r>
        <w:t xml:space="preserve">SI1: Simplification, and targeted enhancement</w:t>
      </w:r>
      <w:r>
        <w:t xml:space="preserve"> </w:t>
      </w:r>
      <w:r>
        <w:t xml:space="preserve">measures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 -</w:t>
      </w:r>
      <w:r>
        <w:t xml:space="preserve"> </w:t>
      </w:r>
      <w:r>
        <w:t xml:space="preserve">Derogations</w:t>
      </w:r>
      <w:r>
        <w:t xml:space="preserve"> </w:t>
      </w:r>
      <w:r>
        <w:t xml:space="preserve">DE0: no extension of derogations</w:t>
      </w:r>
      <w:r>
        <w:br/>
      </w:r>
      <w:r>
        <w:t xml:space="preserve">X</w:t>
      </w:r>
    </w:p>
    <w:p>
      <w:pPr>
        <w:pStyle w:val="BodyText"/>
      </w:pPr>
      <w:r>
        <w:t xml:space="preserve">DE1: Extension of derogations for limited time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 – IMO</w:t>
      </w:r>
      <w:r>
        <w:t xml:space="preserve"> </w:t>
      </w:r>
      <w:r>
        <w:t xml:space="preserve">adjustments</w:t>
      </w:r>
      <w:r>
        <w:t xml:space="preserve"> </w:t>
      </w:r>
      <w:r>
        <w:t xml:space="preserve">IMO0: No adjustment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IMO1: Deduction from the ETS surrendering</w:t>
      </w:r>
      <w:r>
        <w:t xml:space="preserve"> </w:t>
      </w:r>
      <w:r>
        <w:t xml:space="preserve">obligations of emissions subject to pricing by IMO.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 - Smaller</w:t>
      </w:r>
      <w:r>
        <w:t xml:space="preserve"> </w:t>
      </w:r>
      <w:r>
        <w:t xml:space="preserve">Ships</w:t>
      </w:r>
      <w:r>
        <w:t xml:space="preserve"> </w:t>
      </w:r>
      <w:r>
        <w:t xml:space="preserve">MSS0: The existing scope in terms of ship categories</w:t>
      </w:r>
      <w:r>
        <w:t xml:space="preserve"> </w:t>
      </w:r>
      <w:r>
        <w:t xml:space="preserve">and sizes remains unchanged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MSS1: Targeted extension of the scope of the EU</w:t>
      </w:r>
      <w:r>
        <w:t xml:space="preserve"> </w:t>
      </w:r>
      <w:r>
        <w:t xml:space="preserve">ETS to emissions from smaller ships, by including</w:t>
      </w:r>
      <w:r>
        <w:t xml:space="preserve"> </w:t>
      </w:r>
      <w:r>
        <w:t xml:space="preserve">ship categories emitting the most among small ship</w:t>
      </w:r>
      <w:r>
        <w:t xml:space="preserve"> </w:t>
      </w:r>
      <w:r>
        <w:t xml:space="preserve">categories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MSS2: Extension of the scope of the EU ETS to all</w:t>
      </w:r>
      <w:r>
        <w:t xml:space="preserve"> </w:t>
      </w:r>
      <w:r>
        <w:t xml:space="preserve">smaller vessels (from categories non-exempt from</w:t>
      </w:r>
      <w:r>
        <w:t xml:space="preserve"> </w:t>
      </w:r>
      <w:r>
        <w:t xml:space="preserve">MRV, plus fishing vessels and non-commercial</w:t>
      </w:r>
      <w:r>
        <w:t xml:space="preserve"> </w:t>
      </w:r>
      <w:r>
        <w:t xml:space="preserve">yachts)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Stationary</w:t>
      </w:r>
      <w:r>
        <w:t xml:space="preserve"> </w:t>
      </w:r>
      <w:r>
        <w:t xml:space="preserve">installations -</w:t>
      </w:r>
      <w:r>
        <w:t xml:space="preserve"> </w:t>
      </w:r>
      <w:r>
        <w:t xml:space="preserve">Carbon Leakage</w:t>
      </w:r>
      <w:r>
        <w:t xml:space="preserve"> </w:t>
      </w:r>
      <w:r>
        <w:t xml:space="preserve">CL1: Improved current approach</w:t>
      </w:r>
      <w:r>
        <w:br/>
      </w:r>
      <w:r>
        <w:t xml:space="preserve">X</w:t>
      </w:r>
    </w:p>
    <w:p>
      <w:pPr>
        <w:pStyle w:val="BodyText"/>
      </w:pPr>
      <w:r>
        <w:t xml:space="preserve">CL2: Conditional Free allocation for investments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CL3: No free allocation and partial surrender of</w:t>
      </w:r>
      <w:r>
        <w:t xml:space="preserve"> </w:t>
      </w:r>
      <w:r>
        <w:t xml:space="preserve">allowances until 2034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Stationary</w:t>
      </w:r>
      <w:r>
        <w:t xml:space="preserve"> </w:t>
      </w:r>
      <w:r>
        <w:t xml:space="preserve">installations -</w:t>
      </w:r>
      <w:r>
        <w:t xml:space="preserve"> </w:t>
      </w:r>
      <w:r>
        <w:t xml:space="preserve">Indirect Cost</w:t>
      </w:r>
      <w:r>
        <w:t xml:space="preserve"> </w:t>
      </w:r>
      <w:r>
        <w:t xml:space="preserve">Compensation</w:t>
      </w:r>
      <w:r>
        <w:br/>
      </w:r>
      <w:r>
        <w:t xml:space="preserve">ICC1: Continue state aid encouragement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ICC2: Harmonised ICC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Stationary</w:t>
      </w:r>
      <w:r>
        <w:t xml:space="preserve"> </w:t>
      </w:r>
      <w:r>
        <w:t xml:space="preserve">Installations - Waste</w:t>
      </w:r>
      <w:r>
        <w:t xml:space="preserve"> </w:t>
      </w:r>
      <w:r>
        <w:t xml:space="preserve">W0: No inclusion of additional waste management</w:t>
      </w:r>
      <w:r>
        <w:t xml:space="preserve"> </w:t>
      </w:r>
      <w:r>
        <w:t xml:space="preserve">processes in the EU ETS.</w:t>
      </w:r>
      <w:r>
        <w:br/>
      </w:r>
      <w:r>
        <w:t xml:space="preserve">X</w:t>
      </w:r>
    </w:p>
    <w:p>
      <w:pPr>
        <w:pStyle w:val="BodyText"/>
      </w:pPr>
      <w:r>
        <w:t xml:space="preserve">W1: Inclusion of municipal waste incineration</w:t>
      </w:r>
      <w:r>
        <w:t xml:space="preserve"> </w:t>
      </w:r>
      <w:r>
        <w:t xml:space="preserve">installations in the EU ETS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W3: Inclusion of all waste incineration installations</w:t>
      </w:r>
      <w:r>
        <w:t xml:space="preserve"> </w:t>
      </w:r>
      <w:r>
        <w:t xml:space="preserve">and landfills of non-hazardous waste in the EU ETS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Stationary</w:t>
      </w:r>
      <w:r>
        <w:t xml:space="preserve"> </w:t>
      </w:r>
      <w:r>
        <w:t xml:space="preserve">installations - CCU</w:t>
      </w:r>
      <w:r>
        <w:t xml:space="preserve"> </w:t>
      </w:r>
      <w:r>
        <w:t xml:space="preserve">CCU0: ‘Upstream accounting’ with current waste</w:t>
      </w:r>
      <w:r>
        <w:t xml:space="preserve"> </w:t>
      </w:r>
      <w:r>
        <w:t xml:space="preserve">scope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CCU1: ‘Upstream accounting’ with MWI inclusion</w:t>
      </w:r>
    </w:p>
    <w:p>
      <w:pPr>
        <w:pStyle w:val="BodyText"/>
      </w:pPr>
      <w:r>
        <w:t xml:space="preserve">CCU3</w:t>
      </w:r>
      <w:r>
        <w:t xml:space="preserve"> </w:t>
      </w:r>
      <w:r>
        <w:t xml:space="preserve">‘Hybrid</w:t>
      </w:r>
      <w:r>
        <w:t xml:space="preserve"> </w:t>
      </w:r>
      <w:r>
        <w:t xml:space="preserve">Downstream</w:t>
      </w:r>
      <w:r>
        <w:t xml:space="preserve"> </w:t>
      </w:r>
      <w:r>
        <w:t xml:space="preserve">&amp;</w:t>
      </w:r>
      <w:r>
        <w:t xml:space="preserve"> </w:t>
      </w:r>
      <w:r>
        <w:t xml:space="preserve">Midstream</w:t>
      </w:r>
      <w:r>
        <w:t xml:space="preserve"> </w:t>
      </w:r>
      <w:r>
        <w:t xml:space="preserve">accounting’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Several measures were discarded to address the specific problems, as set out in the description</w:t>
      </w:r>
      <w:r>
        <w:t xml:space="preserve"> </w:t>
      </w:r>
      <w:r>
        <w:t xml:space="preserve">the policy options with reference to Annexes 8 to 13. In addition, alternative options that could</w:t>
      </w:r>
      <w:r>
        <w:t xml:space="preserve"> </w:t>
      </w:r>
      <w:r>
        <w:t xml:space="preserve">address the problem as a whole by replacing the ETS for another instrument, either harmonised</w:t>
      </w:r>
      <w:r>
        <w:t xml:space="preserve"> </w:t>
      </w:r>
      <w:r>
        <w:t xml:space="preserve">at EU-level or for Member State implementation, instead of adjusting the EU ETS through the</w:t>
      </w:r>
      <w:r>
        <w:t xml:space="preserve"> </w:t>
      </w:r>
      <w:r>
        <w:t xml:space="preserve">measures examined in the Annexes 8 to 13, were discarded at an early stage.</w:t>
      </w:r>
      <w:r>
        <w:t xml:space="preserve"> </w:t>
      </w:r>
      <w:r>
        <w:t xml:space="preserve">Beyond the theoretical advantages of the EU ETS over its alternative policies (e.g. carbon taxes</w:t>
      </w:r>
      <w:r>
        <w:t xml:space="preserve"> </w:t>
      </w:r>
      <w:r>
        <w:t xml:space="preserve">or command-and-control measures), the discontinuation or narrowing of the EU ETS would</w:t>
      </w:r>
      <w:r>
        <w:t xml:space="preserve"> </w:t>
      </w:r>
      <w:r>
        <w:t xml:space="preserve">lead to economic losses, weaken low carbon investments signals, penalise early movers, reduce</w:t>
      </w:r>
      <w:r>
        <w:t xml:space="preserve"> </w:t>
      </w:r>
      <w:r>
        <w:t xml:space="preserve">investor confidence, distort competition, reduce revenues, reduce employment in affected</w:t>
      </w:r>
      <w:r>
        <w:t xml:space="preserve"> </w:t>
      </w:r>
      <w:r>
        <w:t xml:space="preserve">firms, and jeopardise climate-related jobs in sectors. These sectors include clean tech,</w:t>
      </w:r>
      <w:r>
        <w:t xml:space="preserve"> </w:t>
      </w:r>
      <w:r>
        <w:t xml:space="preserve">renewable energy, energy efficiency, and also monitoring and verification, consulting, and</w:t>
      </w:r>
      <w:r>
        <w:t xml:space="preserve"> </w:t>
      </w:r>
      <w:r>
        <w:t xml:space="preserve">innovation support. At an international level, dismantling the EU ETS would undermine the</w:t>
      </w:r>
      <w:r>
        <w:t xml:space="preserve"> </w:t>
      </w:r>
      <w:r>
        <w:t xml:space="preserve">EU’s credibility in international climate diplomacy and weaken the EU’s position on shaping</w:t>
      </w:r>
      <w:r>
        <w:t xml:space="preserve"> </w:t>
      </w:r>
      <w:r>
        <w:t xml:space="preserve">global carbon pricing mechanisms and border adjustment instruments (see Evaluation Report</w:t>
      </w:r>
      <w:r>
        <w:t xml:space="preserve"> </w:t>
      </w:r>
      <w:r>
        <w:t xml:space="preserve">in Annex 15, Section 6.3). Final impacts on the economy and on the credibility of the EU would</w:t>
      </w:r>
      <w:r>
        <w:t xml:space="preserve"> </w:t>
      </w:r>
      <w:r>
        <w:t xml:space="preserve">depend on whether the EU ETS is replaced by another policy, by which, and the transition</w:t>
      </w:r>
      <w:r>
        <w:t xml:space="preserve"> </w:t>
      </w:r>
      <w:r>
        <w:t xml:space="preserve">period for the new system to function. Feedback from the stakeholder consultation broadly</w:t>
      </w:r>
      <w:r>
        <w:t xml:space="preserve"> </w:t>
      </w:r>
      <w:r>
        <w:t xml:space="preserve">confirms the findings. Respondents most frequently emphasised the EU’s added value in</w:t>
      </w:r>
      <w:r>
        <w:t xml:space="preserve"> </w:t>
      </w:r>
      <w:r>
        <w:t xml:space="preserve">harmonising implementation across Member States, avoiding a fragmented patchwork of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national schemes31 and ensuring a common price signal. Similarly for maritime,</w:t>
      </w:r>
      <w:r>
        <w:t xml:space="preserve"> </w:t>
      </w:r>
      <w:r>
        <w:t xml:space="preserve">discontinuation of EU ETS maritime would put at risk the fair contribution of the maritime</w:t>
      </w:r>
      <w:r>
        <w:t xml:space="preserve"> </w:t>
      </w:r>
      <w:r>
        <w:t xml:space="preserve">sector to the EU’s climate objectives and undermine the shipping companies that have already</w:t>
      </w:r>
      <w:r>
        <w:t xml:space="preserve"> </w:t>
      </w:r>
      <w:r>
        <w:t xml:space="preserve">invested in cleaner vessels and fuels.</w:t>
      </w:r>
      <w:r>
        <w:t xml:space="preserve"> </w:t>
      </w:r>
      <w:r>
        <w:t xml:space="preserve">Beyond alternatives to the EU ETS as a whole, in relation to specific measures to modify the</w:t>
      </w:r>
      <w:r>
        <w:t xml:space="preserve"> </w:t>
      </w:r>
      <w:r>
        <w:t xml:space="preserve">system, the implications of lowering the 20 MW threshold (the thermal capacity below which</w:t>
      </w:r>
      <w:r>
        <w:t xml:space="preserve"> </w:t>
      </w:r>
      <w:r>
        <w:t xml:space="preserve">stationary installations are exempt from EU ETS) is considered in detail in Annex 12 of this</w:t>
      </w:r>
      <w:r>
        <w:t xml:space="preserve"> </w:t>
      </w:r>
      <w:r>
        <w:t xml:space="preserve">Impact Assessment. Based on that assessment, the option of lowering the threshold is not taken</w:t>
      </w:r>
      <w:r>
        <w:t xml:space="preserve"> </w:t>
      </w:r>
      <w:r>
        <w:t xml:space="preserve">further. Most emissions from small installations will be covered under EU ETS2, which will</w:t>
      </w:r>
      <w:r>
        <w:t xml:space="preserve"> </w:t>
      </w:r>
      <w:r>
        <w:t xml:space="preserve">become fully operational in 2028 and is outside the scope of this impact assessment. Therefore,</w:t>
      </w:r>
      <w:r>
        <w:t xml:space="preserve"> </w:t>
      </w:r>
      <w:r>
        <w:t xml:space="preserve">the environmental gains from lowering the threshold would be very small compared to the</w:t>
      </w:r>
      <w:r>
        <w:t xml:space="preserve"> </w:t>
      </w:r>
      <w:r>
        <w:t xml:space="preserve">substantial increase in administrative effort.</w:t>
      </w:r>
      <w:r>
        <w:t xml:space="preserve"> </w:t>
      </w:r>
      <w:r>
        <w:t xml:space="preserve">As regards the Market Stability Reserve, the evaluation and impact assessment demonstrate</w:t>
      </w:r>
      <w:r>
        <w:t xml:space="preserve"> </w:t>
      </w:r>
      <w:r>
        <w:t xml:space="preserve">that the MSR should remain a rule-based and transparent framework for supply adjustments in</w:t>
      </w:r>
      <w:r>
        <w:t xml:space="preserve"> </w:t>
      </w:r>
      <w:r>
        <w:t xml:space="preserve">the EU ETS, able to respond to external shocks without discretionary and price-based</w:t>
      </w:r>
      <w:r>
        <w:t xml:space="preserve"> </w:t>
      </w:r>
      <w:r>
        <w:t xml:space="preserve">interventions or political interference. Alternative far-reaching reforms such as a carbon central</w:t>
      </w:r>
      <w:r>
        <w:t xml:space="preserve"> </w:t>
      </w:r>
      <w:r>
        <w:t xml:space="preserve">bank are therefore discarded as they represent departures from the MSR’s established</w:t>
      </w:r>
      <w:r>
        <w:t xml:space="preserve"> </w:t>
      </w:r>
      <w:r>
        <w:t xml:space="preserve">operational principles, would require multi-year preparatory timelines and hence are not</w:t>
      </w:r>
      <w:r>
        <w:t xml:space="preserve"> </w:t>
      </w:r>
      <w:r>
        <w:t xml:space="preserve">feasible for implementation by 2028.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section assesses the main environmental impacts associated with the measures under each</w:t>
      </w:r>
      <w:r>
        <w:t xml:space="preserve"> </w:t>
      </w:r>
      <w:r>
        <w:t xml:space="preserve">topic in Table 1. The focus of this assessment is on both the impact of the policy options on</w:t>
      </w:r>
      <w:r>
        <w:t xml:space="preserve"> </w:t>
      </w:r>
      <w:r>
        <w:t xml:space="preserve">GHG emission reductions both within the EU (in terms of annual and cumulative emissions)</w:t>
      </w:r>
      <w:r>
        <w:t xml:space="preserve"> </w:t>
      </w:r>
      <w:r>
        <w:t xml:space="preserve">and other environmental impacts. Additional details on the environmental impacts for each of</w:t>
      </w:r>
      <w:r>
        <w:t xml:space="preserve"> </w:t>
      </w:r>
      <w:r>
        <w:t xml:space="preserve">the measures considered can be found in the thematic Annexes 8-13.</w:t>
      </w:r>
      <w:r>
        <w:t xml:space="preserve"> </w:t>
      </w:r>
      <w:r>
        <w:t xml:space="preserve">Based on the assessed environmental impacts for the individual policy measures, a summary</w:t>
      </w:r>
      <w:r>
        <w:t xml:space="preserve"> </w:t>
      </w:r>
      <w:r>
        <w:t xml:space="preserve">is provided with an overview of the impacts per policy options scenarios.</w:t>
      </w:r>
      <w:r>
        <w:br/>
      </w:r>
      <w:r>
        <w:t xml:space="preserve">6.1.1. Climate</w:t>
      </w:r>
      <w:r>
        <w:t xml:space="preserve"> </w:t>
      </w:r>
      <w:r>
        <w:t xml:space="preserve">6.1.1.1.Cap</w:t>
      </w:r>
      <w:r>
        <w:t xml:space="preserve"> </w:t>
      </w:r>
      <w:r>
        <w:t xml:space="preserve">All measures considered for the cap in Annex 8 reach the same ETS contribution to the 2040</w:t>
      </w:r>
      <w:r>
        <w:t xml:space="preserve"> </w:t>
      </w:r>
      <w:r>
        <w:t xml:space="preserve">objectives for gross and net emissions, as they are modelled on the basis of the same EU</w:t>
      </w:r>
      <w:r>
        <w:t xml:space="preserve"> </w:t>
      </w:r>
      <w:r>
        <w:t xml:space="preserve">domestic climate target. In addition, all policy options use deliberately the same cap measure</w:t>
      </w:r>
      <w:r>
        <w:t xml:space="preserve"> </w:t>
      </w:r>
      <w:r>
        <w:t xml:space="preserve">(‘CAP2’ the modelled cost-efficient trajectory to 85%), so they will follow a similar budget</w:t>
      </w:r>
      <w:r>
        <w:t xml:space="preserve"> </w:t>
      </w:r>
      <w:r>
        <w:t xml:space="preserve">trajectory, differing as a result of the changes in scope. Nevertheless the 9085 and other</w:t>
      </w:r>
      <w:r>
        <w:t xml:space="preserve"> </w:t>
      </w:r>
      <w:r>
        <w:t xml:space="preserve">pathways will also be illustrated here.</w:t>
      </w:r>
      <w:r>
        <w:t xml:space="preserve"> </w:t>
      </w:r>
      <w:r>
        <w:t xml:space="preserve">The below table shows the range of outcomes in the PRIMES and POTEnCIA models,</w:t>
      </w:r>
      <w:r>
        <w:t xml:space="preserve"> </w:t>
      </w:r>
      <w:r>
        <w:t xml:space="preserve">rounded to five, in order to represent the uncertainty range resulting from using the different</w:t>
      </w:r>
      <w:r>
        <w:t xml:space="preserve"> </w:t>
      </w:r>
      <w:r>
        <w:t xml:space="preserve">models:</w:t>
      </w:r>
    </w:p>
    <w:p>
      <w:pPr>
        <w:pStyle w:val="BodyText"/>
      </w:pPr>
      <w:r>
        <w:t xml:space="preserve">31 For an overview of carbon pricing instruments, see Annex B of World Bank, State and Trends of Carbon</w:t>
      </w:r>
      <w:r>
        <w:t xml:space="preserve"> </w:t>
      </w:r>
      <w:r>
        <w:t xml:space="preserve">Pricing 2025, https://www.worldbank.org/en/publication/state-and-trends-of-carbon-pricing.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Table 2: Table showing approximate cap trajectories, when including extra EEA aviation in the</w:t>
      </w:r>
      <w:r>
        <w:t xml:space="preserve"> </w:t>
      </w:r>
      <w:r>
        <w:t xml:space="preserve">target</w:t>
      </w:r>
      <w:r>
        <w:t xml:space="preserve"> </w:t>
      </w:r>
      <w:r>
        <w:t xml:space="preserve">EEA Caps (Mt), LRF (%) and</w:t>
      </w:r>
      <w:r>
        <w:t xml:space="preserve"> </w:t>
      </w:r>
      <w:r>
        <w:t xml:space="preserve">Carbon Budget (Mt)</w:t>
      </w:r>
      <w:r>
        <w:t xml:space="preserve"> </w:t>
      </w:r>
      <w:r>
        <w:t xml:space="preserve">CAP1: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br/>
      </w:r>
      <w:r>
        <w:t xml:space="preserve">CAP2: cost effective</w:t>
      </w:r>
      <w:r>
        <w:t xml:space="preserve"> </w:t>
      </w:r>
      <w:r>
        <w:t xml:space="preserve">trajectory</w:t>
      </w:r>
      <w:r>
        <w:br/>
      </w:r>
      <w:r>
        <w:t xml:space="preserve">CAP3: 90-85</w:t>
      </w:r>
      <w:r>
        <w:t xml:space="preserve"> </w:t>
      </w:r>
      <w:r>
        <w:t xml:space="preserve">pathway</w:t>
      </w:r>
      <w:r>
        <w:t xml:space="preserve"> </w:t>
      </w:r>
      <w:r>
        <w:t xml:space="preserve">2030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620-645</w:t>
      </w:r>
      <w:r>
        <w:t xml:space="preserve"> </w:t>
      </w:r>
      <w:r>
        <w:t xml:space="preserve">580-670</w:t>
      </w:r>
      <w:r>
        <w:t xml:space="preserve"> </w:t>
      </w:r>
      <w:r>
        <w:t xml:space="preserve">560-605</w:t>
      </w:r>
      <w:r>
        <w:t xml:space="preserve"> </w:t>
      </w:r>
      <w:r>
        <w:t xml:space="preserve">2040</w:t>
      </w:r>
      <w:r>
        <w:t xml:space="preserve"> </w:t>
      </w:r>
      <w:r>
        <w:t xml:space="preserve">330-375</w:t>
      </w:r>
      <w:r>
        <w:t xml:space="preserve"> </w:t>
      </w:r>
      <w:r>
        <w:t xml:space="preserve">330-375</w:t>
      </w:r>
      <w:r>
        <w:t xml:space="preserve"> </w:t>
      </w:r>
      <w:r>
        <w:t xml:space="preserve">330-375</w:t>
      </w:r>
      <w:r>
        <w:t xml:space="preserve"> </w:t>
      </w:r>
      <w:r>
        <w:t xml:space="preserve">LRF 2030-2035</w:t>
      </w:r>
      <w:r>
        <w:t xml:space="preserve"> </w:t>
      </w:r>
      <w:r>
        <w:t xml:space="preserve">2.7-2.5%</w:t>
      </w:r>
      <w:r>
        <w:t xml:space="preserve"> </w:t>
      </w:r>
      <w:r>
        <w:t xml:space="preserve">3.1-2.3%</w:t>
      </w:r>
      <w:r>
        <w:t xml:space="preserve"> </w:t>
      </w:r>
      <w:r>
        <w:t xml:space="preserve">3.3-2.9%</w:t>
      </w:r>
      <w:r>
        <w:t xml:space="preserve"> </w:t>
      </w:r>
      <w:r>
        <w:t xml:space="preserve">LRF 2035-2040</w:t>
      </w:r>
      <w:r>
        <w:t xml:space="preserve"> </w:t>
      </w:r>
      <w:r>
        <w:t xml:space="preserve">2.7-2.5%</w:t>
      </w:r>
      <w:r>
        <w:t xml:space="preserve"> </w:t>
      </w:r>
      <w:r>
        <w:t xml:space="preserve">2.3-2.7%</w:t>
      </w:r>
      <w:r>
        <w:t xml:space="preserve"> </w:t>
      </w:r>
      <w:r>
        <w:t xml:space="preserve">2.1-2.1%</w:t>
      </w:r>
      <w:r>
        <w:t xml:space="preserve"> </w:t>
      </w:r>
      <w:r>
        <w:t xml:space="preserve">Carbon Budget 2031-2040</w:t>
      </w:r>
      <w:r>
        <w:t xml:space="preserve"> </w:t>
      </w:r>
      <w:r>
        <w:t xml:space="preserve">5915-6175</w:t>
      </w:r>
      <w:r>
        <w:t xml:space="preserve"> </w:t>
      </w:r>
      <w:r>
        <w:t xml:space="preserve">5705-6295</w:t>
      </w:r>
      <w:r>
        <w:t xml:space="preserve"> </w:t>
      </w:r>
      <w:r>
        <w:t xml:space="preserve">5605-5965</w:t>
      </w:r>
      <w:r>
        <w:t xml:space="preserve"> </w:t>
      </w:r>
      <w:r>
        <w:t xml:space="preserve">The table above shows that, for a given model, the two-step trajectory would have smaller total</w:t>
      </w:r>
      <w:r>
        <w:t xml:space="preserve"> </w:t>
      </w:r>
      <w:r>
        <w:t xml:space="preserve">emissions (i.e. carbon budget) over the 2031-2040 period than either the linear or modelled</w:t>
      </w:r>
      <w:r>
        <w:t xml:space="preserve"> </w:t>
      </w:r>
      <w:r>
        <w:t xml:space="preserve">trajectories unconstrained in 2035. However, we see that there is overlap in the ranges, due to</w:t>
      </w:r>
      <w:r>
        <w:t xml:space="preserve"> </w:t>
      </w:r>
      <w:r>
        <w:t xml:space="preserve">the different models used.</w:t>
      </w:r>
      <w:r>
        <w:t xml:space="preserve"> </w:t>
      </w:r>
      <w:r>
        <w:t xml:space="preserve">Here it should be noted that this modelling has been performed under the assumption that (one-</w:t>
      </w:r>
      <w:r>
        <w:t xml:space="preserve"> </w:t>
      </w:r>
      <w:r>
        <w:t xml:space="preserve">way) international extra EU aviation has been included in the EU target. See Annex 8 on a</w:t>
      </w:r>
      <w:r>
        <w:t xml:space="preserve"> </w:t>
      </w:r>
      <w:r>
        <w:t xml:space="preserve">qualitative economy-wide assessment and modelling results on the caps if international extra</w:t>
      </w:r>
      <w:r>
        <w:t xml:space="preserve"> </w:t>
      </w:r>
      <w:r>
        <w:t xml:space="preserve">EU aviation is not regarded as part of the target scope. The above numbers include the current</w:t>
      </w:r>
      <w:r>
        <w:t xml:space="preserve"> </w:t>
      </w:r>
      <w:r>
        <w:t xml:space="preserve">scope of EU ETS, including international extra EEA aviation, and maritime non-CO2. They</w:t>
      </w:r>
      <w:r>
        <w:t xml:space="preserve"> </w:t>
      </w:r>
      <w:r>
        <w:t xml:space="preserve">exclude waste and are set at gross emissions.</w:t>
      </w:r>
      <w:r>
        <w:br/>
      </w:r>
      <w:r>
        <w:t xml:space="preserve">In terms of the inclusion of municipal waste incineration in PO2 and landfills and hazardous</w:t>
      </w:r>
      <w:r>
        <w:t xml:space="preserve"> </w:t>
      </w:r>
      <w:r>
        <w:t xml:space="preserve">waste incineration in PO3, the environmental impact will depend on how the additions to the</w:t>
      </w:r>
      <w:r>
        <w:t xml:space="preserve"> </w:t>
      </w:r>
      <w:r>
        <w:t xml:space="preserve">cap compare to hypothetical policies to reduce waste emissions outside the EU ETS (see</w:t>
      </w:r>
      <w:r>
        <w:t xml:space="preserve"> </w:t>
      </w:r>
      <w:r>
        <w:t xml:space="preserve">Section 6.1.1.8.). Inclusion in the EU ETS would increase the (long term) certainty and</w:t>
      </w:r>
      <w:r>
        <w:t xml:space="preserve"> </w:t>
      </w:r>
      <w:r>
        <w:t xml:space="preserve">investment signal that the sector contributes its share in emissions reductions by reducing</w:t>
      </w:r>
      <w:r>
        <w:t xml:space="preserve"> </w:t>
      </w:r>
      <w:r>
        <w:t xml:space="preserve">emissions or paying for reductions elsewhere. The increases in the cap in the scenarios PO2</w:t>
      </w:r>
      <w:r>
        <w:t xml:space="preserve"> </w:t>
      </w:r>
      <w:r>
        <w:t xml:space="preserve">and PO3 are relatively generous compared to reductions by 2040 expected from other sectors.</w:t>
      </w:r>
      <w:r>
        <w:br/>
      </w:r>
      <w:r>
        <w:t xml:space="preserve">In PO1, EU ETS includes intra-EU flights but not international extra EU flights, and the cap is</w:t>
      </w:r>
      <w:r>
        <w:t xml:space="preserve"> </w:t>
      </w:r>
      <w:r>
        <w:t xml:space="preserve">therefore lower. Implicitly, other policies will apply to international aviation. In PO2 and PO3,</w:t>
      </w:r>
      <w:r>
        <w:t xml:space="preserve"> </w:t>
      </w:r>
      <w:r>
        <w:t xml:space="preserve">outgoing international aviation is included in the EU ETS, as well as emissions from smaller</w:t>
      </w:r>
      <w:r>
        <w:t xml:space="preserve"> </w:t>
      </w:r>
      <w:r>
        <w:t xml:space="preserve">ships.</w:t>
      </w:r>
      <w:r>
        <w:br/>
      </w:r>
      <w:r>
        <w:t xml:space="preserve">However, there are other possible ways to design the cap measure, as described in Annex 8. If</w:t>
      </w:r>
      <w:r>
        <w:t xml:space="preserve"> </w:t>
      </w:r>
      <w:r>
        <w:t xml:space="preserve">international aviation were to be excluded from the target, total emissions under the EU target</w:t>
      </w:r>
      <w:r>
        <w:t xml:space="preserve"> </w:t>
      </w:r>
      <w:r>
        <w:t xml:space="preserve">would be lower. As international aviation is a hard-to-abate sector with lower reduction</w:t>
      </w:r>
      <w:r>
        <w:t xml:space="preserve"> </w:t>
      </w:r>
      <w:r>
        <w:t xml:space="preserve">potential by 2040 than other sectors, this would nevertheless create additional emissions space</w:t>
      </w:r>
      <w:r>
        <w:t xml:space="preserve"> </w:t>
      </w:r>
      <w:r>
        <w:t xml:space="preserve">of ca. 45 Mt for other sectors of the economy.</w:t>
      </w:r>
      <w:r>
        <w:t xml:space="preserve"> </w:t>
      </w:r>
      <w:r>
        <w:t xml:space="preserve">In addition, if the EU ETS is assumed to benefit from the total amount of industrial removals</w:t>
      </w:r>
      <w:r>
        <w:t xml:space="preserve"> </w:t>
      </w:r>
      <w:r>
        <w:t xml:space="preserve">in the models, the cap can be decomposed into a more ambitious cap set at the level of net</w:t>
      </w:r>
      <w:r>
        <w:t xml:space="preserve"> </w:t>
      </w:r>
      <w:r>
        <w:t xml:space="preserve">emissions plus an amount of removals-linked allowances, which together add up to a total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gross emissions carbon budget; this is in particular relevant to PO1. The result of both</w:t>
      </w:r>
      <w:r>
        <w:t xml:space="preserve"> </w:t>
      </w:r>
      <w:r>
        <w:t xml:space="preserve">excluding international extra EU aviation from the cap, as well as the decomposition in net</w:t>
      </w:r>
      <w:r>
        <w:t xml:space="preserve"> </w:t>
      </w:r>
      <w:r>
        <w:t xml:space="preserve">trajectory and removals-linked allowances is estimated below for the POTEnCIA model:</w:t>
      </w:r>
      <w:r>
        <w:t xml:space="preserve"> </w:t>
      </w:r>
      <w:r>
        <w:t xml:space="preserve">Table 3: Net caps trajectories for POTEnCIA, excluding international extra EEA aviation and</w:t>
      </w:r>
      <w:r>
        <w:t xml:space="preserve"> </w:t>
      </w:r>
      <w:r>
        <w:t xml:space="preserve">with added removals linked allowances</w:t>
      </w:r>
      <w:r>
        <w:t xml:space="preserve"> </w:t>
      </w:r>
      <w:r>
        <w:t xml:space="preserve">EEA Caps (Mt), LRF</w:t>
      </w:r>
      <w:r>
        <w:t xml:space="preserve"> </w:t>
      </w:r>
      <w:r>
        <w:t xml:space="preserve">(%) and Carbon</w:t>
      </w:r>
      <w:r>
        <w:t xml:space="preserve"> </w:t>
      </w:r>
      <w:r>
        <w:t xml:space="preserve">Budget (Mt)</w:t>
      </w:r>
      <w:r>
        <w:t xml:space="preserve"> </w:t>
      </w:r>
      <w:r>
        <w:t xml:space="preserve">CAP1: 85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t xml:space="preserve"> </w:t>
      </w:r>
      <w:r>
        <w:t xml:space="preserve">CAP2: 85</w:t>
      </w:r>
      <w:r>
        <w:t xml:space="preserve"> </w:t>
      </w:r>
      <w:r>
        <w:t xml:space="preserve">trajectory</w:t>
      </w:r>
      <w:r>
        <w:br/>
      </w:r>
      <w:r>
        <w:t xml:space="preserve">CAP3:</w:t>
      </w:r>
      <w:r>
        <w:t xml:space="preserve"> </w:t>
      </w:r>
      <w:r>
        <w:t xml:space="preserve">90linear-85</w:t>
      </w:r>
      <w:r>
        <w:t xml:space="preserve"> </w:t>
      </w:r>
      <w:r>
        <w:t xml:space="preserve">pathway</w:t>
      </w:r>
      <w:r>
        <w:br/>
      </w:r>
      <w:r>
        <w:t xml:space="preserve">CAP4:</w:t>
      </w:r>
      <w:r>
        <w:t xml:space="preserve"> </w:t>
      </w:r>
      <w:r>
        <w:t xml:space="preserve">accelerated 90-85</w:t>
      </w:r>
      <w:r>
        <w:t xml:space="preserve"> </w:t>
      </w:r>
      <w:r>
        <w:t xml:space="preserve">pathway</w:t>
      </w:r>
      <w:r>
        <w:br/>
      </w:r>
      <w:r>
        <w:t xml:space="preserve">2030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2035</w:t>
      </w:r>
      <w:r>
        <w:t xml:space="preserve"> </w:t>
      </w:r>
      <w:r>
        <w:t xml:space="preserve">570</w:t>
      </w:r>
      <w:r>
        <w:t xml:space="preserve"> </w:t>
      </w:r>
      <w:r>
        <w:t xml:space="preserve">600</w:t>
      </w:r>
      <w:r>
        <w:t xml:space="preserve"> </w:t>
      </w:r>
      <w:r>
        <w:t xml:space="preserve">555</w:t>
      </w:r>
      <w:r>
        <w:t xml:space="preserve"> </w:t>
      </w:r>
      <w:r>
        <w:t xml:space="preserve">485</w:t>
      </w:r>
      <w:r>
        <w:t xml:space="preserve"> </w:t>
      </w:r>
      <w:r>
        <w:t xml:space="preserve">2040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285</w:t>
      </w:r>
      <w:r>
        <w:t xml:space="preserve"> </w:t>
      </w:r>
      <w:r>
        <w:t xml:space="preserve">285</w:t>
      </w:r>
      <w:r>
        <w:t xml:space="preserve"> </w:t>
      </w:r>
      <w:r>
        <w:t xml:space="preserve">LRF 2030-2035</w:t>
      </w:r>
      <w:r>
        <w:br/>
      </w:r>
      <w:r>
        <w:t xml:space="preserve">-2.7%</w:t>
      </w:r>
      <w:r>
        <w:t xml:space="preserve"> </w:t>
      </w:r>
      <w:r>
        <w:t xml:space="preserve">-2.4%</w:t>
      </w:r>
      <w:r>
        <w:t xml:space="preserve"> </w:t>
      </w:r>
      <w:r>
        <w:t xml:space="preserve">-2.8%</w:t>
      </w:r>
      <w:r>
        <w:t xml:space="preserve"> </w:t>
      </w:r>
      <w:r>
        <w:t xml:space="preserve">-3.5%</w:t>
      </w:r>
      <w:r>
        <w:t xml:space="preserve"> </w:t>
      </w:r>
      <w:r>
        <w:t xml:space="preserve">LRF 2036-2040</w:t>
      </w:r>
      <w:r>
        <w:br/>
      </w:r>
      <w:r>
        <w:t xml:space="preserve">-2.7%</w:t>
      </w:r>
      <w:r>
        <w:t xml:space="preserve"> </w:t>
      </w:r>
      <w:r>
        <w:t xml:space="preserve">-3.0%</w:t>
      </w:r>
      <w:r>
        <w:t xml:space="preserve"> </w:t>
      </w:r>
      <w:r>
        <w:t xml:space="preserve">-2.6%</w:t>
      </w:r>
      <w:r>
        <w:t xml:space="preserve"> </w:t>
      </w:r>
      <w:r>
        <w:t xml:space="preserve">-1.9%</w:t>
      </w:r>
      <w:r>
        <w:t xml:space="preserve"> </w:t>
      </w:r>
      <w:r>
        <w:t xml:space="preserve">Added</w:t>
      </w:r>
      <w:r>
        <w:t xml:space="preserve"> </w:t>
      </w:r>
      <w:r>
        <w:t xml:space="preserve">removals-</w:t>
      </w:r>
      <w:r>
        <w:t xml:space="preserve"> </w:t>
      </w:r>
      <w:r>
        <w:t xml:space="preserve">linked allowances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Carbon Budget 2031-</w:t>
      </w:r>
      <w:r>
        <w:t xml:space="preserve"> </w:t>
      </w:r>
      <w:r>
        <w:t xml:space="preserve">2040</w:t>
      </w:r>
      <w:r>
        <w:t xml:space="preserve"> </w:t>
      </w:r>
      <w:r>
        <w:t xml:space="preserve">5720</w:t>
      </w:r>
      <w:r>
        <w:t xml:space="preserve"> </w:t>
      </w:r>
      <w:r>
        <w:t xml:space="preserve">5885</w:t>
      </w:r>
      <w:r>
        <w:t xml:space="preserve"> </w:t>
      </w:r>
      <w:r>
        <w:t xml:space="preserve">5640</w:t>
      </w:r>
      <w:r>
        <w:t xml:space="preserve"> </w:t>
      </w:r>
      <w:r>
        <w:t xml:space="preserve">5290</w:t>
      </w:r>
      <w:r>
        <w:t xml:space="preserve"> </w:t>
      </w:r>
      <w:r>
        <w:t xml:space="preserve">In PRIMES the emissions space would be lower for CAP1, CAP2 and CAP3: as an example,</w:t>
      </w:r>
      <w:r>
        <w:t xml:space="preserve"> </w:t>
      </w:r>
      <w:r>
        <w:t xml:space="preserve">the gross emissions carbon budget for the modelled 85% trajectory would be 5205 Mt</w:t>
      </w:r>
      <w:r>
        <w:t xml:space="preserve"> </w:t>
      </w:r>
      <w:r>
        <w:t xml:space="preserve">including 170 Mt of removals linked allowances. CAP4 is comparable to a non-linear</w:t>
      </w:r>
      <w:r>
        <w:t xml:space="preserve"> </w:t>
      </w:r>
      <w:r>
        <w:t xml:space="preserve">pathway towards the 90% target in the first five years, then flattens to be compatible with an</w:t>
      </w:r>
      <w:r>
        <w:t xml:space="preserve"> </w:t>
      </w:r>
      <w:r>
        <w:t xml:space="preserve">85% target for the second five years. From all the net cap options in Table 3, CAP4 shows the</w:t>
      </w:r>
      <w:r>
        <w:t xml:space="preserve"> </w:t>
      </w:r>
      <w:r>
        <w:t xml:space="preserve">lowest carbon budget over the period, contributing with the highest emissions reductions.</w:t>
      </w:r>
      <w:r>
        <w:t xml:space="preserve"> </w:t>
      </w:r>
      <w:r>
        <w:t xml:space="preserve">6.1.1.2. Removals</w:t>
      </w:r>
      <w:r>
        <w:t xml:space="preserve"> </w:t>
      </w:r>
      <w:r>
        <w:t xml:space="preserve">• Net and gross emissions</w:t>
      </w:r>
      <w:r>
        <w:t xml:space="preserve"> </w:t>
      </w:r>
      <w:r>
        <w:t xml:space="preserve">The policy options in this impact assessment integrate removals as a way to provide additional</w:t>
      </w:r>
      <w:r>
        <w:t xml:space="preserve"> </w:t>
      </w:r>
      <w:r>
        <w:t xml:space="preserve">emissions space. The policy options should ensure the generation of all the removals that are</w:t>
      </w:r>
      <w:r>
        <w:t xml:space="preserve"> </w:t>
      </w:r>
      <w:r>
        <w:t xml:space="preserve">taken into account in the design of the cap:</w:t>
      </w:r>
      <w:r>
        <w:br/>
      </w:r>
      <w:r>
        <w:t xml:space="preserve">1. for ETS to achieve its net objective and</w:t>
      </w:r>
      <w:r>
        <w:br/>
      </w:r>
      <w:r>
        <w:t xml:space="preserve">2. for the ETS sectors to benefit from the emissions space that is represented by the</w:t>
      </w:r>
      <w:r>
        <w:t xml:space="preserve"> </w:t>
      </w:r>
      <w:r>
        <w:t xml:space="preserve">relevant removals (i.e. the gross objective).</w:t>
      </w:r>
      <w:r>
        <w:br/>
      </w:r>
      <w:r>
        <w:t xml:space="preserve">The net objective for each policy option is the gross emissions limit in that option minus an</w:t>
      </w:r>
      <w:r>
        <w:t xml:space="preserve"> </w:t>
      </w:r>
      <w:r>
        <w:t xml:space="preserve">amount of eligible removals32 modelled for the 85% scenario33 of between 175 and 330 Mt.</w:t>
      </w:r>
    </w:p>
    <w:p>
      <w:pPr>
        <w:pStyle w:val="BodyText"/>
      </w:pPr>
      <w:r>
        <w:t xml:space="preserve">32 Eligible for inclusion based on the assessment carried out in Annex 8: removals from DACCS, and for</w:t>
      </w:r>
      <w:r>
        <w:t xml:space="preserve"> </w:t>
      </w:r>
      <w:r>
        <w:t xml:space="preserve">BECCS stored underground and removals from biomass processing and stored underground (jointly called</w:t>
      </w:r>
      <w:r>
        <w:t xml:space="preserve"> </w:t>
      </w:r>
      <w:r>
        <w:t xml:space="preserve">‘BioCCS’).</w:t>
      </w:r>
      <w:r>
        <w:t xml:space="preserve"> </w:t>
      </w:r>
      <w:r>
        <w:t xml:space="preserve">33 See Table 3 in Annex 8 – Part II.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This section assesses the likelihood that each policy option would reach the net and gross</w:t>
      </w:r>
      <w:r>
        <w:t xml:space="preserve"> </w:t>
      </w:r>
      <w:r>
        <w:t xml:space="preserve">objectives.</w:t>
      </w:r>
      <w:r>
        <w:br/>
      </w:r>
      <w:r>
        <w:t xml:space="preserve">PO1 includes measure CR4 (‘Public authority integration through regular auctions under the</w:t>
      </w:r>
      <w:r>
        <w:t xml:space="preserve"> </w:t>
      </w:r>
      <w:r>
        <w:t xml:space="preserve">cap’). As shown in Annex 8, the purchase of removal units and corresponding issuance of</w:t>
      </w:r>
      <w:r>
        <w:t xml:space="preserve"> </w:t>
      </w:r>
      <w:r>
        <w:t xml:space="preserve">additional (removal-backed) allowances by the regulator would allow gross emissions in the</w:t>
      </w:r>
      <w:r>
        <w:t xml:space="preserve"> </w:t>
      </w:r>
      <w:r>
        <w:t xml:space="preserve">ETS to increase, while maintaining the same level of net emissions, conditional on the purchase</w:t>
      </w:r>
      <w:r>
        <w:t xml:space="preserve"> </w:t>
      </w:r>
      <w:r>
        <w:t xml:space="preserve">by the public authority of the relevant removals. The public authority would commit to the</w:t>
      </w:r>
      <w:r>
        <w:t xml:space="preserve"> </w:t>
      </w:r>
      <w:r>
        <w:t xml:space="preserve">purchase of between 170 and 330 Mt of removals from BECCS and DACCS, pre-increasing</w:t>
      </w:r>
      <w:r>
        <w:t xml:space="preserve"> </w:t>
      </w:r>
      <w:r>
        <w:t xml:space="preserve">the cap by that amount, and guaranteeing the gross emissions for the ETS sectors. Assuming</w:t>
      </w:r>
      <w:r>
        <w:t xml:space="preserve"> </w:t>
      </w:r>
      <w:r>
        <w:t xml:space="preserve">the purchasing programme is endowed with sufficient budget and the expected supply</w:t>
      </w:r>
      <w:r>
        <w:t xml:space="preserve"> </w:t>
      </w:r>
      <w:r>
        <w:t xml:space="preserve">materialises, there is thus, in principle, certainty on the achievement of both the net and gross</w:t>
      </w:r>
      <w:r>
        <w:t xml:space="preserve"> </w:t>
      </w:r>
      <w:r>
        <w:t xml:space="preserve">emissions objectives34. Therefore, PO1 integration of removals should not generate uncertainty</w:t>
      </w:r>
      <w:r>
        <w:t xml:space="preserve"> </w:t>
      </w:r>
      <w:r>
        <w:t xml:space="preserve">on reaching climate targets in comparison to the baseline scenario of an ETS without the</w:t>
      </w:r>
      <w:r>
        <w:t xml:space="preserve"> </w:t>
      </w:r>
      <w:r>
        <w:t xml:space="preserve">integration of removals and reduces the risk of carbon leakage by increasing the gross</w:t>
      </w:r>
      <w:r>
        <w:t xml:space="preserve"> </w:t>
      </w:r>
      <w:r>
        <w:t xml:space="preserve">emissions space. Moreover, modelling results in an overachievement of the removals objective,</w:t>
      </w:r>
      <w:r>
        <w:t xml:space="preserve"> </w:t>
      </w:r>
      <w:r>
        <w:t xml:space="preserve">generating 222 Mt instead of 175 Mt as per the design of the measure, due to the certainty</w:t>
      </w:r>
      <w:r>
        <w:t xml:space="preserve"> </w:t>
      </w:r>
      <w:r>
        <w:t xml:space="preserve">provided by the public commitment to purchase removals which in the model is represented</w:t>
      </w:r>
      <w:r>
        <w:t xml:space="preserve"> </w:t>
      </w:r>
      <w:r>
        <w:t xml:space="preserve">by a lower discount rate. However, the modelling results are subject to significant uncertainty</w:t>
      </w:r>
      <w:r>
        <w:t xml:space="preserve"> </w:t>
      </w:r>
      <w:r>
        <w:t xml:space="preserve">given the wide range of possible future technology costs and deployment constraints. In</w:t>
      </w:r>
      <w:r>
        <w:t xml:space="preserve"> </w:t>
      </w:r>
      <w:r>
        <w:t xml:space="preserve">addition, if the public authority had a limited budget and/or carbon removal prices were higher</w:t>
      </w:r>
      <w:r>
        <w:t xml:space="preserve"> </w:t>
      </w:r>
      <w:r>
        <w:t xml:space="preserve">than projected, there would be a risk of not attaining the net emissions target.</w:t>
      </w:r>
      <w:r>
        <w:br/>
      </w:r>
      <w:r>
        <w:t xml:space="preserve">Meanwhile PO2, implementing CR1 (‘Limited operator integration on top of the cap’),</w:t>
      </w:r>
      <w:r>
        <w:t xml:space="preserve"> </w:t>
      </w:r>
      <w:r>
        <w:t xml:space="preserve">provides certainty in reaching net emissions, as the cap is set at the level of the targeted net</w:t>
      </w:r>
      <w:r>
        <w:t xml:space="preserve"> </w:t>
      </w:r>
      <w:r>
        <w:t xml:space="preserve">emissions. However, in the absence of support measures, CR1 creates uncertainty on gross</w:t>
      </w:r>
      <w:r>
        <w:t xml:space="preserve"> </w:t>
      </w:r>
      <w:r>
        <w:t xml:space="preserve">emissions (within bounds). Removals will only be used, providing additional emissions space</w:t>
      </w:r>
      <w:r>
        <w:t xml:space="preserve"> </w:t>
      </w:r>
      <w:r>
        <w:t xml:space="preserve">on top of the net cap, when they become cost competitive. This could lead to lower investment</w:t>
      </w:r>
      <w:r>
        <w:t xml:space="preserve"> </w:t>
      </w:r>
      <w:r>
        <w:t xml:space="preserve">in removals (due to uncertainty of the size of the market) and higher investment in mitigation</w:t>
      </w:r>
      <w:r>
        <w:t xml:space="preserve"> </w:t>
      </w:r>
      <w:r>
        <w:t xml:space="preserve">(due to the uncertainty that removals will materialise and enable hitting the net target). Under</w:t>
      </w:r>
      <w:r>
        <w:t xml:space="preserve"> </w:t>
      </w:r>
      <w:r>
        <w:t xml:space="preserve">these assumptions, represented by an increase in discount rates for removals (due to</w:t>
      </w:r>
      <w:r>
        <w:t xml:space="preserve"> </w:t>
      </w:r>
      <w:r>
        <w:t xml:space="preserve">uncertainty), modelling shows 110 Mt tonnes of eligible removals come into the EU ETS on</w:t>
      </w:r>
      <w:r>
        <w:t xml:space="preserve"> </w:t>
      </w:r>
      <w:r>
        <w:t xml:space="preserve">top of the cap). However, perceptions are hard to predict: an equilibrium in which there is</w:t>
      </w:r>
      <w:r>
        <w:t xml:space="preserve"> </w:t>
      </w:r>
      <w:r>
        <w:t xml:space="preserve">underinvestment in mitigation (due to optimism about removals) and high investment in</w:t>
      </w:r>
      <w:r>
        <w:t xml:space="preserve"> </w:t>
      </w:r>
      <w:r>
        <w:t xml:space="preserve">removals as a result thereof cannot be ruled out.</w:t>
      </w:r>
      <w:r>
        <w:br/>
      </w:r>
      <w:r>
        <w:t xml:space="preserve">In PO3, implementing CR3 (‘Limited operator integration under the cap (one-in-one-out)’),</w:t>
      </w:r>
      <w:r>
        <w:t xml:space="preserve"> </w:t>
      </w:r>
      <w:r>
        <w:t xml:space="preserve">introduces an uncertainty that does not exist in the baseline, regarding the net contribution of</w:t>
      </w:r>
      <w:r>
        <w:t xml:space="preserve"> </w:t>
      </w:r>
      <w:r>
        <w:t xml:space="preserve">the ETS – there is a maximum level of net emissions (how low net emissions can go) but not a</w:t>
      </w:r>
      <w:r>
        <w:t xml:space="preserve"> </w:t>
      </w:r>
      <w:r>
        <w:t xml:space="preserve">minimum that would be reached. PO3 operates as PO1, with a pre-increase of the cap, but in</w:t>
      </w:r>
      <w:r>
        <w:t xml:space="preserve"> </w:t>
      </w:r>
      <w:r>
        <w:t xml:space="preserve">PO3 the central regulator is not responsible for procuring removals, and their realization</w:t>
      </w:r>
      <w:r>
        <w:t xml:space="preserve"> </w:t>
      </w:r>
      <w:r>
        <w:t xml:space="preserve">depends on market dynamics. Removals are remunerated at the prevailing EU ETS price,</w:t>
      </w:r>
      <w:r>
        <w:t xml:space="preserve"> </w:t>
      </w:r>
      <w:r>
        <w:t xml:space="preserve">meaning that their volume remains uncertain and not guaranteed, introducing potential</w:t>
      </w:r>
      <w:r>
        <w:t xml:space="preserve"> </w:t>
      </w:r>
      <w:r>
        <w:t xml:space="preserve">variability in both net emissions outcomes and investment behaviour. Modelling shows all the</w:t>
      </w:r>
      <w:r>
        <w:t xml:space="preserve"> </w:t>
      </w:r>
      <w:r>
        <w:t xml:space="preserve">eligible carbon removals are generated as the model is constrained to hit the economy-wide</w:t>
      </w:r>
      <w:r>
        <w:t xml:space="preserve"> </w:t>
      </w:r>
      <w:r>
        <w:t xml:space="preserve">2040 and 2050 climate target. However, in reality, as long as removals are not cost competitive,</w:t>
      </w:r>
      <w:r>
        <w:t xml:space="preserve"> </w:t>
      </w:r>
      <w:r>
        <w:t xml:space="preserve">there is a risk of insufficient removal being incentivised, causing the EU ETS to miss its net</w:t>
      </w:r>
    </w:p>
    <w:p>
      <w:pPr>
        <w:pStyle w:val="BodyText"/>
      </w:pPr>
      <w:r>
        <w:t xml:space="preserve">34 As shown in Annex 8 – Part II, by 2040 removals can cover 10-13% of the gross emissions of the ETS by</w:t>
      </w:r>
      <w:r>
        <w:t xml:space="preserve"> </w:t>
      </w:r>
      <w:r>
        <w:t xml:space="preserve">2040.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objective. This should be kept in mind when interpreting the results for PO3. The risk in PO3</w:t>
      </w:r>
      <w:r>
        <w:t xml:space="preserve"> </w:t>
      </w:r>
      <w:r>
        <w:t xml:space="preserve">is that the modelled assumptions would simply not be met.</w:t>
      </w:r>
      <w:r>
        <w:br/>
      </w:r>
      <w:r>
        <w:t xml:space="preserve">Considering the price difference, the removals entering EU ETS in PO3 should be closer in</w:t>
      </w:r>
      <w:r>
        <w:t xml:space="preserve"> </w:t>
      </w:r>
      <w:r>
        <w:t xml:space="preserve">quantity to those in PO2, or less, as the pre-increase of the cap should lower EU ETS prices,</w:t>
      </w:r>
      <w:r>
        <w:t xml:space="preserve"> </w:t>
      </w:r>
      <w:r>
        <w:t xml:space="preserve">increasing the cost-differential. In the 85% scenario, removal units from BECCS are expected</w:t>
      </w:r>
      <w:r>
        <w:t xml:space="preserve"> </w:t>
      </w:r>
      <w:r>
        <w:t xml:space="preserve">to become cost competitive vis à vis the allowance price in 2038, whereas DACCS removal</w:t>
      </w:r>
      <w:r>
        <w:t xml:space="preserve"> </w:t>
      </w:r>
      <w:r>
        <w:t xml:space="preserve">units would not reach cost competitiveness within the period35. As with PO2 regarding gross</w:t>
      </w:r>
      <w:r>
        <w:t xml:space="preserve"> </w:t>
      </w:r>
      <w:r>
        <w:t xml:space="preserve">emissions, the uncertainty on net emission in PO3 can be reduced if financing is provided to</w:t>
      </w:r>
      <w:r>
        <w:t xml:space="preserve"> </w:t>
      </w:r>
      <w:r>
        <w:t xml:space="preserve">support removals, e.g. through contracts for difference36.</w:t>
      </w:r>
      <w:r>
        <w:t xml:space="preserve"> </w:t>
      </w:r>
      <w:r>
        <w:t xml:space="preserve">Finally, from a broader perspective, it should be noted that funding from ETS revenues</w:t>
      </w:r>
      <w:r>
        <w:t xml:space="preserve"> </w:t>
      </w:r>
      <w:r>
        <w:t xml:space="preserve">provided to support the integration of removals – in particular in PO1 which is designed with</w:t>
      </w:r>
      <w:r>
        <w:t xml:space="preserve"> </w:t>
      </w:r>
      <w:r>
        <w:t xml:space="preserve">the funding as essential element - necessarily reallocates scarce fiscal resources away from</w:t>
      </w:r>
      <w:r>
        <w:t xml:space="preserve"> </w:t>
      </w:r>
      <w:r>
        <w:t xml:space="preserve">other uses. An alternative use of ETS revenues can be mitigation and enabling investments,</w:t>
      </w:r>
      <w:r>
        <w:t xml:space="preserve"> </w:t>
      </w:r>
      <w:r>
        <w:t xml:space="preserve">e.g. via the Innovation Fund or of Member State’s climate spending. It raises a question of</w:t>
      </w:r>
      <w:r>
        <w:t xml:space="preserve"> </w:t>
      </w:r>
      <w:r>
        <w:t xml:space="preserve">whether the subsidization of removals leads to crowding out cheaper emission reductions in</w:t>
      </w:r>
      <w:r>
        <w:t xml:space="preserve"> </w:t>
      </w:r>
      <w:r>
        <w:t xml:space="preserve">the short term and potentially increasing the overall cost of achieving EU targets, while</w:t>
      </w:r>
      <w:r>
        <w:t xml:space="preserve"> </w:t>
      </w:r>
      <w:r>
        <w:t xml:space="preserve">supporting the long-term objective of scaling up removals to make them cost-competitive.</w:t>
      </w:r>
      <w:r>
        <w:t xml:space="preserve"> </w:t>
      </w:r>
      <w:r>
        <w:t xml:space="preserve">• Abatement deterrence</w:t>
      </w:r>
      <w:r>
        <w:t xml:space="preserve"> </w:t>
      </w:r>
      <w:r>
        <w:t xml:space="preserve">We must distinguish the abatement deterrence (when carbon removals substitute otherwise</w:t>
      </w:r>
      <w:r>
        <w:t xml:space="preserve"> </w:t>
      </w:r>
      <w:r>
        <w:t xml:space="preserve">expected emissions reductions) linked to expectations on carbon removals, from that happening</w:t>
      </w:r>
      <w:r>
        <w:t xml:space="preserve"> </w:t>
      </w:r>
      <w:r>
        <w:t xml:space="preserve">immediately due to the introduction of carbon removals in EU ETS as a means to increase in</w:t>
      </w:r>
      <w:r>
        <w:t xml:space="preserve"> </w:t>
      </w:r>
      <w:r>
        <w:t xml:space="preserve">the cap. PO1 and PO3 see an upfront increase of the cap. As a result, abatement efforts are</w:t>
      </w:r>
      <w:r>
        <w:t xml:space="preserve"> </w:t>
      </w:r>
      <w:r>
        <w:t xml:space="preserve">reduced in both cases.</w:t>
      </w:r>
      <w:r>
        <w:br/>
      </w:r>
      <w:r>
        <w:t xml:space="preserve">Meanwhile, abatement deterrence37, can also result from the risk that the overoptimistic</w:t>
      </w:r>
      <w:r>
        <w:t xml:space="preserve"> </w:t>
      </w:r>
      <w:r>
        <w:t xml:space="preserve">expectations of market participants on removals supply or prices in the future will lead them to</w:t>
      </w:r>
      <w:r>
        <w:t xml:space="preserve"> </w:t>
      </w:r>
      <w:r>
        <w:t xml:space="preserve">excessively reduce or delay current abatement measures38. This is particularly relevant for the</w:t>
      </w:r>
    </w:p>
    <w:p>
      <w:pPr>
        <w:pStyle w:val="BodyText"/>
      </w:pPr>
      <w:r>
        <w:t xml:space="preserve">35 Based on technology costs from European Commission: Directorate-General for Climate Action, Ramboll</w:t>
      </w:r>
      <w:r>
        <w:t xml:space="preserve"> </w:t>
      </w:r>
      <w:r>
        <w:t xml:space="preserve">Management Consulting, Witteveen, E., Marton, C., Bert, N. et al., Carbon removals in the EU – Review of</w:t>
      </w:r>
      <w:r>
        <w:t xml:space="preserve"> </w:t>
      </w:r>
      <w:r>
        <w:t xml:space="preserve">current carbon removal projects and early-stage financing, Publications Office of the European Union, 2025,</w:t>
      </w:r>
      <w:r>
        <w:t xml:space="preserve"> </w:t>
      </w:r>
      <w:r>
        <w:t xml:space="preserve">https://data.europa.eu/doi/10.2834/0004994.</w:t>
      </w:r>
      <w:r>
        <w:t xml:space="preserve"> </w:t>
      </w:r>
      <w:r>
        <w:t xml:space="preserve">36 PO2 and PO3 are designed without support measures because the private integration option allows for it,</w:t>
      </w:r>
      <w:r>
        <w:t xml:space="preserve"> </w:t>
      </w:r>
      <w:r>
        <w:t xml:space="preserve">while the public authority integration, per definition does not. These differences in design allow testing the</w:t>
      </w:r>
      <w:r>
        <w:t xml:space="preserve"> </w:t>
      </w:r>
      <w:r>
        <w:t xml:space="preserve">range of results. See Section 4.6.3 in Annex 8 – Part II for more details on how the support would operate.</w:t>
      </w:r>
      <w:r>
        <w:br/>
      </w:r>
      <w:r>
        <w:t xml:space="preserve">37 Abatement deterrence lies at the heart of the Commission consideration of the possible inclusion of removals</w:t>
      </w:r>
      <w:r>
        <w:t xml:space="preserve"> </w:t>
      </w:r>
      <w:r>
        <w:t xml:space="preserve">in the EU ETS. Article 30 paragraph 5(a) requires the Commission to consider “safeguards to ensure that</w:t>
      </w:r>
      <w:r>
        <w:t xml:space="preserve"> </w:t>
      </w:r>
      <w:r>
        <w:t xml:space="preserve">such removals do not offset necessary emission reductions in accordance with Union climate targets laid</w:t>
      </w:r>
      <w:r>
        <w:t xml:space="preserve"> </w:t>
      </w:r>
      <w:r>
        <w:t xml:space="preserve">down in Regulation (EU) 2021/1119”. The effect by which removals could displace emission reductions is</w:t>
      </w:r>
      <w:r>
        <w:t xml:space="preserve"> </w:t>
      </w:r>
      <w:r>
        <w:t xml:space="preserve">often referred to as ‘mitigation deterrence’. However, ‘mitigation deterrence’ can be a misleading term, as</w:t>
      </w:r>
      <w:r>
        <w:t xml:space="preserve"> </w:t>
      </w:r>
      <w:r>
        <w:t xml:space="preserve">CDR is also a type of mitigation action (Honegger et al., Is carbon dioxide removal ‘mitigation of climate</w:t>
      </w:r>
      <w:r>
        <w:t xml:space="preserve"> </w:t>
      </w:r>
      <w:r>
        <w:t xml:space="preserve">change’?, 2021, https://doi.org/10.1111/reel.12401). Therefore, the term abatement deterrence is used.</w:t>
      </w:r>
      <w:r>
        <w:t xml:space="preserve"> </w:t>
      </w:r>
      <w:r>
        <w:t xml:space="preserve">38 Abatement deterrence is not inherently a problem, provided that CDR delivers similar outcomes as compared</w:t>
      </w:r>
      <w:r>
        <w:t xml:space="preserve"> </w:t>
      </w:r>
      <w:r>
        <w:t xml:space="preserve">to emission reductions with regards to climate and other societal objectives. The effect could also be desirable</w:t>
      </w:r>
      <w:r>
        <w:t xml:space="preserve"> </w:t>
      </w:r>
      <w:r>
        <w:t xml:space="preserve">if, all things considered, removals are used to offset emissions that are prohibitively expensive to abate.</w:t>
      </w:r>
      <w:r>
        <w:t xml:space="preserve"> </w:t>
      </w:r>
      <w:r>
        <w:t xml:space="preserve">However, several factors impact if removals deliver outcomes (climate and societal) that are similar or better</w:t>
      </w:r>
      <w:r>
        <w:t xml:space="preserve"> </w:t>
      </w:r>
      <w:r>
        <w:t xml:space="preserve">than those of abatement: (1) risk of failure that would make it impossible to retroactively reduce emissions if</w:t>
      </w:r>
      <w:r>
        <w:t xml:space="preserve"> </w:t>
      </w:r>
      <w:r>
        <w:t xml:space="preserve">these technologies do not materialise as expected; (2) delaying near-term emissions reductions in favour of</w:t>
      </w:r>
      <w:r>
        <w:t xml:space="preserve"> </w:t>
      </w:r>
      <w:r>
        <w:t xml:space="preserve">future removals temporarily increases GHG concentrations; (3) carbon removal efforts may deliver fewer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ETS, where abatement in the short term is mostly only possible through a lowering of</w:t>
      </w:r>
      <w:r>
        <w:t xml:space="preserve"> </w:t>
      </w:r>
      <w:r>
        <w:t xml:space="preserve">production volumes (which is undesirable). Abatement in the long run requires investment</w:t>
      </w:r>
      <w:r>
        <w:t xml:space="preserve"> </w:t>
      </w:r>
      <w:r>
        <w:t xml:space="preserve">decisions that only lead to abatement after several years. As a result, long-run abatement and</w:t>
      </w:r>
      <w:r>
        <w:t xml:space="preserve"> </w:t>
      </w:r>
      <w:r>
        <w:t xml:space="preserve">the ETS-price are highly dependent on future expectations. Integrating removals exposes the</w:t>
      </w:r>
      <w:r>
        <w:t xml:space="preserve"> </w:t>
      </w:r>
      <w:r>
        <w:t xml:space="preserve">abatement investment decisions of ETS sectors to the long-term uncertainty of permanent</w:t>
      </w:r>
      <w:r>
        <w:t xml:space="preserve"> </w:t>
      </w:r>
      <w:r>
        <w:t xml:space="preserve">carbon removals (e.g. limited/incomplete information on future costs and availability of</w:t>
      </w:r>
      <w:r>
        <w:t xml:space="preserve"> </w:t>
      </w:r>
      <w:r>
        <w:t xml:space="preserve">BioCCS, DACCS). As the ETS is capped, the realisation of this risk (i.e., that the expected</w:t>
      </w:r>
      <w:r>
        <w:t xml:space="preserve"> </w:t>
      </w:r>
      <w:r>
        <w:t xml:space="preserve">supply or lower prices of removals do not materialise as expected) would not translate in higher</w:t>
      </w:r>
      <w:r>
        <w:t xml:space="preserve"> </w:t>
      </w:r>
      <w:r>
        <w:t xml:space="preserve">gross emissions but in an increase in prices and/or a lowering of production volumes, resulting</w:t>
      </w:r>
      <w:r>
        <w:t xml:space="preserve"> </w:t>
      </w:r>
      <w:r>
        <w:t xml:space="preserve">in an avoidable lowering of economic output.</w:t>
      </w:r>
      <w:r>
        <w:br/>
      </w:r>
      <w:r>
        <w:t xml:space="preserve">PO1 is shielded from this effect because the ETS market does not have direct access to</w:t>
      </w:r>
      <w:r>
        <w:t xml:space="preserve"> </w:t>
      </w:r>
      <w:r>
        <w:t xml:space="preserve">removals. Thus, the expectation on removals supply or prices should not impact the abatement</w:t>
      </w:r>
      <w:r>
        <w:t xml:space="preserve"> </w:t>
      </w:r>
      <w:r>
        <w:t xml:space="preserve">actions of ETS market participants, which are just determined by the cap. This is valid as long</w:t>
      </w:r>
      <w:r>
        <w:t xml:space="preserve"> </w:t>
      </w:r>
      <w:r>
        <w:t xml:space="preserve">as the market trusts that the increase in the cap due to the integration of removals is done tightly</w:t>
      </w:r>
      <w:r>
        <w:t xml:space="preserve"> </w:t>
      </w:r>
      <w:r>
        <w:t xml:space="preserve">linked to a realistic budget for the purchase of the removals. Alternatively, the market may</w:t>
      </w:r>
      <w:r>
        <w:t xml:space="preserve"> </w:t>
      </w:r>
      <w:r>
        <w:t xml:space="preserve">expect that the cap will be further increased in the future, if that increase does not really depend</w:t>
      </w:r>
      <w:r>
        <w:t xml:space="preserve"> </w:t>
      </w:r>
      <w:r>
        <w:t xml:space="preserve">on the availability of a budget to purchase removals.</w:t>
      </w:r>
      <w:r>
        <w:br/>
      </w:r>
      <w:r>
        <w:t xml:space="preserve">Meanwhile, PO2 and PO3 are exposed to abatement deterrence due to the direct substitutability</w:t>
      </w:r>
      <w:r>
        <w:t xml:space="preserve"> </w:t>
      </w:r>
      <w:r>
        <w:t xml:space="preserve">between abatement and carbon dioxide removals (CDR). This risk is moderated by limits,</w:t>
      </w:r>
      <w:r>
        <w:t xml:space="preserve"> </w:t>
      </w:r>
      <w:r>
        <w:t xml:space="preserve">meaning that the CDR cost would not act as the price ceiling for the ETS once CDR becomes</w:t>
      </w:r>
      <w:r>
        <w:t xml:space="preserve"> </w:t>
      </w:r>
      <w:r>
        <w:t xml:space="preserve">cost-competitive in the ETS.</w:t>
      </w:r>
      <w:r>
        <w:t xml:space="preserve"> </w:t>
      </w:r>
      <w:r>
        <w:t xml:space="preserve">In PO2, the volume of removals is not guaranteed by the regulator. This means EU ETS sectors</w:t>
      </w:r>
      <w:r>
        <w:t xml:space="preserve"> </w:t>
      </w:r>
      <w:r>
        <w:t xml:space="preserve">could be incentivised to maintain sufficient abatement efforts in line with the net emissions</w:t>
      </w:r>
      <w:r>
        <w:t xml:space="preserve"> </w:t>
      </w:r>
      <w:r>
        <w:t xml:space="preserve">target (the cap), because removal volumes would be uncertain. In economic terms, this is</w:t>
      </w:r>
      <w:r>
        <w:t xml:space="preserve"> </w:t>
      </w:r>
      <w:r>
        <w:t xml:space="preserve">represented in the model by higher discount rates for investing in removals. As shown in</w:t>
      </w:r>
      <w:r>
        <w:t xml:space="preserve"> </w:t>
      </w:r>
      <w:r>
        <w:t xml:space="preserve">Section 6.2.1.2, the modelling, higher removals costs lead to higher ETS prices in PO2 and</w:t>
      </w:r>
      <w:r>
        <w:t xml:space="preserve"> </w:t>
      </w:r>
      <w:r>
        <w:t xml:space="preserve">higher abatement (translating in lower gross emissions). However, if the market would expect</w:t>
      </w:r>
      <w:r>
        <w:t xml:space="preserve"> </w:t>
      </w:r>
      <w:r>
        <w:t xml:space="preserve">a high availability of cheap removals, some abatement, moderated by the limit, could be</w:t>
      </w:r>
      <w:r>
        <w:t xml:space="preserve"> </w:t>
      </w:r>
      <w:r>
        <w:t xml:space="preserve">deterred.</w:t>
      </w:r>
      <w:r>
        <w:br/>
      </w:r>
      <w:r>
        <w:t xml:space="preserve">PO3 should lead to a lower abatement deterrence risk, beyond the initial cap increase, because</w:t>
      </w:r>
      <w:r>
        <w:t xml:space="preserve"> </w:t>
      </w:r>
      <w:r>
        <w:t xml:space="preserve">any removal used would lead to the cancellation of an allowance. Therefore, wrong</w:t>
      </w:r>
      <w:r>
        <w:t xml:space="preserve"> </w:t>
      </w:r>
      <w:r>
        <w:t xml:space="preserve">expectations on removals volumes should not impact the expectations on gross emissions in</w:t>
      </w:r>
      <w:r>
        <w:t xml:space="preserve"> </w:t>
      </w:r>
      <w:r>
        <w:t xml:space="preserve">the ETS, which would be similar as in PO1. However, the expectation that removals would</w:t>
      </w:r>
      <w:r>
        <w:t xml:space="preserve"> </w:t>
      </w:r>
      <w:r>
        <w:t xml:space="preserve">become very cheap could potentially impact market dynamics if participants delay abatement</w:t>
      </w:r>
      <w:r>
        <w:t xml:space="preserve"> </w:t>
      </w:r>
      <w:r>
        <w:t xml:space="preserve">in the overoptimistic expectation of purchasing (or creating) removals in the future, leading to</w:t>
      </w:r>
      <w:r>
        <w:t xml:space="preserve"> </w:t>
      </w:r>
      <w:r>
        <w:t xml:space="preserve">a price spike later on. In addition, the absence of support measures to generate the additional</w:t>
      </w:r>
      <w:r>
        <w:t xml:space="preserve"> </w:t>
      </w:r>
      <w:r>
        <w:t xml:space="preserve">removals space could lead to reduced political credibility by market participants of the</w:t>
      </w:r>
    </w:p>
    <w:p>
      <w:pPr>
        <w:pStyle w:val="BodyText"/>
      </w:pPr>
      <w:r>
        <w:t xml:space="preserve">climate benefits than anticipated due to rebound effects; (4) substituting removals for emissions reductions</w:t>
      </w:r>
      <w:r>
        <w:t xml:space="preserve"> </w:t>
      </w:r>
      <w:r>
        <w:t xml:space="preserve">in sectors with viable mitigation alternatives may deplete the removal potential needed for achieving future</w:t>
      </w:r>
      <w:r>
        <w:t xml:space="preserve"> </w:t>
      </w:r>
      <w:r>
        <w:t xml:space="preserve">net-negative emissions targets; and (6) despite potential for some positive externalities, the large-scale</w:t>
      </w:r>
      <w:r>
        <w:t xml:space="preserve"> </w:t>
      </w:r>
      <w:r>
        <w:t xml:space="preserve">deployment of some removal options in climate pathways may create significant negative externalities. In</w:t>
      </w:r>
      <w:r>
        <w:t xml:space="preserve"> </w:t>
      </w:r>
      <w:r>
        <w:t xml:space="preserve">this regard, the European Scientific Advisory Board on Climate Change (ESABCC) notes that removals need</w:t>
      </w:r>
      <w:r>
        <w:t xml:space="preserve"> </w:t>
      </w:r>
      <w:r>
        <w:t xml:space="preserve">to contribute to EU climate neutrality in a dynamically cost-effective way while avoiding the risk of</w:t>
      </w:r>
      <w:r>
        <w:t xml:space="preserve"> </w:t>
      </w:r>
      <w:r>
        <w:t xml:space="preserve">mitigation deterrence. To this end, there is a need to support the early deployment of a portfolio of removal</w:t>
      </w:r>
      <w:r>
        <w:t xml:space="preserve"> </w:t>
      </w:r>
      <w:r>
        <w:t xml:space="preserve">options, to consider the wider social costs and benefits of reduction and removal methods, and to avoid</w:t>
      </w:r>
      <w:r>
        <w:t xml:space="preserve"> </w:t>
      </w:r>
      <w:r>
        <w:t xml:space="preserve">overreliance on future removal methods with uncertain costs and potential (ESABCC 2024, p. 83).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willingness of the regulator to increase the cap only under the condition that the removals are</w:t>
      </w:r>
      <w:r>
        <w:t xml:space="preserve"> </w:t>
      </w:r>
      <w:r>
        <w:t xml:space="preserve">purchased, reducing credibility on the long-term stringency of the cap.</w:t>
      </w:r>
      <w:r>
        <w:t xml:space="preserve"> </w:t>
      </w:r>
      <w:r>
        <w:t xml:space="preserve">• CDR support</w:t>
      </w:r>
      <w:r>
        <w:t xml:space="preserve"> </w:t>
      </w:r>
      <w:r>
        <w:t xml:space="preserve">All options support CDR development to a greater extent than the baseline, which is a</w:t>
      </w:r>
      <w:r>
        <w:t xml:space="preserve"> </w:t>
      </w:r>
      <w:r>
        <w:t xml:space="preserve">positive impact for the climate objective of net-zero in 205039. The modelling generates 110</w:t>
      </w:r>
      <w:r>
        <w:t xml:space="preserve"> </w:t>
      </w:r>
      <w:r>
        <w:t xml:space="preserve">Mt of removals, but these are generated within the EU economy due to the model and not</w:t>
      </w:r>
      <w:r>
        <w:t xml:space="preserve"> </w:t>
      </w:r>
      <w:r>
        <w:t xml:space="preserve">necessarily incentivised by the ETS.</w:t>
      </w:r>
      <w:r>
        <w:br/>
      </w:r>
      <w:r>
        <w:t xml:space="preserve">Among the options, PO1 is much more likely to be effective in supporting CDR development</w:t>
      </w:r>
      <w:r>
        <w:t xml:space="preserve"> </w:t>
      </w:r>
      <w:r>
        <w:t xml:space="preserve">and deployment than PO2 and PO3. The effective support in PO1 was the most frequently cited</w:t>
      </w:r>
      <w:r>
        <w:t xml:space="preserve"> </w:t>
      </w:r>
      <w:r>
        <w:t xml:space="preserve">reason by stakeholders supporting this option. The modelling also shows the earlier deployment</w:t>
      </w:r>
      <w:r>
        <w:t xml:space="preserve"> </w:t>
      </w:r>
      <w:r>
        <w:t xml:space="preserve">of removals during the period 2031–2040 in PO1 and (over-) achievement of the removals</w:t>
      </w:r>
      <w:r>
        <w:t xml:space="preserve"> </w:t>
      </w:r>
      <w:r>
        <w:t xml:space="preserve">objective. The regulator can make strategic long-term investments in procuring initially</w:t>
      </w:r>
      <w:r>
        <w:t xml:space="preserve"> </w:t>
      </w:r>
      <w:r>
        <w:t xml:space="preserve">expensive but promising engineered CDR to stimulate innovation and cost reductions, which</w:t>
      </w:r>
      <w:r>
        <w:t xml:space="preserve"> </w:t>
      </w:r>
      <w:r>
        <w:t xml:space="preserve">could enhance overall economic efficiency in achieving deeper decarbonization goals in the</w:t>
      </w:r>
      <w:r>
        <w:t xml:space="preserve"> </w:t>
      </w:r>
      <w:r>
        <w:t xml:space="preserve">future even if initially more expensive.</w:t>
      </w:r>
      <w:r>
        <w:br/>
      </w:r>
      <w:r>
        <w:t xml:space="preserve">In PO2 and PO3, the operator integration of CDR in the EU ETS would expose CDR suppliers</w:t>
      </w:r>
      <w:r>
        <w:t xml:space="preserve"> </w:t>
      </w:r>
      <w:r>
        <w:t xml:space="preserve">to the ETS price risk as well as to a lack of predictability in the timing of demand. These options</w:t>
      </w:r>
      <w:r>
        <w:t xml:space="preserve"> </w:t>
      </w:r>
      <w:r>
        <w:t xml:space="preserve">lead to lack of early incentives from EU ETS demand towards development and deployment</w:t>
      </w:r>
      <w:r>
        <w:t xml:space="preserve"> </w:t>
      </w:r>
      <w:r>
        <w:t xml:space="preserve">of CDR technologies, as can be seen in the modelling of the volumes of removals generated in</w:t>
      </w:r>
      <w:r>
        <w:t xml:space="preserve"> </w:t>
      </w:r>
      <w:r>
        <w:t xml:space="preserve">PO2, as referred to above. PO2 and PO3 likely result in higher removal costs and a greater risk</w:t>
      </w:r>
      <w:r>
        <w:t xml:space="preserve"> </w:t>
      </w:r>
      <w:r>
        <w:t xml:space="preserve">of under-delivery of removals during the 2031–2040 period, compared to PO1 that includes</w:t>
      </w:r>
      <w:r>
        <w:t xml:space="preserve"> </w:t>
      </w:r>
      <w:r>
        <w:t xml:space="preserve">guaranteed removals volumes. Support for removals e.g. through contracts for difference could</w:t>
      </w:r>
      <w:r>
        <w:t xml:space="preserve"> </w:t>
      </w:r>
      <w:r>
        <w:t xml:space="preserve">complement PO2 and PO3 to counter this effect.</w:t>
      </w:r>
      <w:r>
        <w:t xml:space="preserve"> </w:t>
      </w:r>
      <w:r>
        <w:t xml:space="preserve">6.1.1.3. MSR</w:t>
      </w:r>
      <w:r>
        <w:t xml:space="preserve"> </w:t>
      </w:r>
      <w:r>
        <w:t xml:space="preserve">Changes to the MSR alter the allowance supply over the assessment window via releases,</w:t>
      </w:r>
      <w:r>
        <w:t xml:space="preserve"> </w:t>
      </w:r>
      <w:r>
        <w:t xml:space="preserve">providing more liquidity to the market and putting downward pressure on the carbon price.</w:t>
      </w:r>
      <w:r>
        <w:t xml:space="preserve"> </w:t>
      </w:r>
      <w:r>
        <w:t xml:space="preserve">Depending on how this affects the timing of surrendering of allowances, this may in turn affect</w:t>
      </w:r>
      <w:r>
        <w:t xml:space="preserve"> </w:t>
      </w:r>
      <w:r>
        <w:t xml:space="preserve">cumulative emissions. However, since any MSR release remains within the cap, the system’s</w:t>
      </w:r>
      <w:r>
        <w:t xml:space="preserve"> </w:t>
      </w:r>
      <w:r>
        <w:t xml:space="preserve">overall ambition is unchanged. The MSR measures are compared with a baseline that assumes</w:t>
      </w:r>
      <w:r>
        <w:t xml:space="preserve"> </w:t>
      </w:r>
      <w:r>
        <w:t xml:space="preserve">no further changes to either EU ETS or the MSR.</w:t>
      </w:r>
      <w:r>
        <w:br/>
      </w:r>
      <w:r>
        <w:t xml:space="preserve">Policy option PO1 is based on the MSR1 measure as described in Annex 8. Under this measure,</w:t>
      </w:r>
      <w:r>
        <w:t xml:space="preserve"> </w:t>
      </w:r>
      <w:r>
        <w:t xml:space="preserve">parameters of the MSR design are then kept constant over the time until 2040.</w:t>
      </w:r>
      <w:r>
        <w:br/>
      </w:r>
      <w:r>
        <w:t xml:space="preserve">Policy options PO2 and PO3 on the other hand, are based on the MSR3 measure, which</w:t>
      </w:r>
      <w:r>
        <w:t xml:space="preserve"> </w:t>
      </w:r>
      <w:r>
        <w:t xml:space="preserve">assumes parameters decline at a fixed proportional rate from 2028 onwards. This ensures that</w:t>
      </w:r>
      <w:r>
        <w:t xml:space="preserve"> </w:t>
      </w:r>
      <w:r>
        <w:t xml:space="preserve">all parameters under PO2 and PO3 are adapted on an annual basis to take account of the overall</w:t>
      </w:r>
      <w:r>
        <w:t xml:space="preserve"> </w:t>
      </w:r>
      <w:r>
        <w:t xml:space="preserve">decreasing market of allowances.</w:t>
      </w:r>
      <w:r>
        <w:br/>
      </w:r>
      <w:r>
        <w:t xml:space="preserve">Results for cumulative emissions between 2026-2040 exclude waste, landfills and extra-EU</w:t>
      </w:r>
      <w:r>
        <w:t xml:space="preserve"> </w:t>
      </w:r>
      <w:r>
        <w:t xml:space="preserve">aviation to ensure comparability across all the policy options. Overall, all policy options</w:t>
      </w:r>
      <w:r>
        <w:t xml:space="preserve"> </w:t>
      </w:r>
      <w:r>
        <w:t xml:space="preserve">achieve similar emissions reductions over the period. However, PO2 and PO3 appear to deliver</w:t>
      </w:r>
    </w:p>
    <w:p>
      <w:pPr>
        <w:pStyle w:val="BodyText"/>
      </w:pPr>
      <w:r>
        <w:t xml:space="preserve">39 As a caveat, CDR stakeholders have noted that integration of removals so that ETS ambition is increased,</w:t>
      </w:r>
      <w:r>
        <w:t xml:space="preserve"> </w:t>
      </w:r>
      <w:r>
        <w:t xml:space="preserve">rather than the space to emit, would allow CDR developers to leverage private financing on top of ETS prices</w:t>
      </w:r>
      <w:r>
        <w:t xml:space="preserve"> </w:t>
      </w:r>
      <w:r>
        <w:t xml:space="preserve">that could support CDR development. However, precise impacts would depend on that private financing</w:t>
      </w:r>
      <w:r>
        <w:t xml:space="preserve"> </w:t>
      </w:r>
      <w:r>
        <w:t xml:space="preserve">realising and forgone public support that may only be leverage if linked to an integration that increases the</w:t>
      </w:r>
      <w:r>
        <w:t xml:space="preserve"> </w:t>
      </w:r>
      <w:r>
        <w:t xml:space="preserve">emissions space in the ETS.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slightly lower cumulative emissions than PO1. On this basis, PO2 and PO3 are considered the</w:t>
      </w:r>
      <w:r>
        <w:t xml:space="preserve"> </w:t>
      </w:r>
      <w:r>
        <w:t xml:space="preserve">preferred option as they achieve comparable emissions reductions than PO1 whilst maintaining</w:t>
      </w:r>
      <w:r>
        <w:t xml:space="preserve"> </w:t>
      </w:r>
      <w:r>
        <w:t xml:space="preserve">better economic performance, further explained in Section 6.2.1.2.</w:t>
      </w:r>
      <w:r>
        <w:t xml:space="preserve"> </w:t>
      </w:r>
      <w:r>
        <w:t xml:space="preserve">Table 4: PO environmental impact summary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Cumulative emissions over 2026-</w:t>
      </w:r>
      <w:r>
        <w:t xml:space="preserve"> </w:t>
      </w:r>
      <w:r>
        <w:t xml:space="preserve">2040 (MtCO2) – excl. waste,</w:t>
      </w:r>
      <w:r>
        <w:t xml:space="preserve"> </w:t>
      </w:r>
      <w:r>
        <w:t xml:space="preserve">landfills and extra-EU aviation for</w:t>
      </w:r>
      <w:r>
        <w:t xml:space="preserve"> </w:t>
      </w:r>
      <w:r>
        <w:t xml:space="preserve">comparability</w:t>
      </w:r>
      <w:r>
        <w:t xml:space="preserve"> </w:t>
      </w:r>
      <w:r>
        <w:t xml:space="preserve">9,687</w:t>
      </w:r>
      <w:r>
        <w:t xml:space="preserve"> </w:t>
      </w:r>
      <w:r>
        <w:t xml:space="preserve">10,690</w:t>
      </w:r>
      <w:r>
        <w:t xml:space="preserve"> </w:t>
      </w:r>
      <w:r>
        <w:t xml:space="preserve">10,598</w:t>
      </w:r>
      <w:r>
        <w:t xml:space="preserve"> </w:t>
      </w:r>
      <w:r>
        <w:t xml:space="preserve">10,598</w:t>
      </w:r>
      <w:r>
        <w:t xml:space="preserve"> </w:t>
      </w:r>
      <w:r>
        <w:t xml:space="preserve">6.1.1.4. Instruments to support investments</w:t>
      </w:r>
      <w:r>
        <w:t xml:space="preserve"> </w:t>
      </w:r>
      <w:r>
        <w:t xml:space="preserve">For the IDB, the assessment in terms of environmental and other impacts to be achieved is</w:t>
      </w:r>
      <w:r>
        <w:t xml:space="preserve"> </w:t>
      </w:r>
      <w:r>
        <w:t xml:space="preserve">based on assessment of the Baseline size of the IDB (EUR 100 billion) which is defined in the</w:t>
      </w:r>
      <w:r>
        <w:t xml:space="preserve"> </w:t>
      </w:r>
      <w:r>
        <w:t xml:space="preserve">Clean Industrial Deal. The differences among IDB options in terms of allocation method,</w:t>
      </w:r>
      <w:r>
        <w:t xml:space="preserve"> </w:t>
      </w:r>
      <w:r>
        <w:t xml:space="preserve">support formats and geographical balance would only have marginal bearing on the impacts</w:t>
      </w:r>
      <w:r>
        <w:t xml:space="preserve"> </w:t>
      </w:r>
      <w:r>
        <w:t xml:space="preserve">and such assessment would also require more granularity in terms of funding mechanism</w:t>
      </w:r>
      <w:r>
        <w:t xml:space="preserve"> </w:t>
      </w:r>
      <w:r>
        <w:t xml:space="preserve">features (40). As a general rule, the allocation method options like auctions and variable</w:t>
      </w:r>
      <w:r>
        <w:t xml:space="preserve"> </w:t>
      </w:r>
      <w:r>
        <w:t xml:space="preserve">premiums should be more cost-efficient, thus resulting in higher emissions savings, stronger</w:t>
      </w:r>
      <w:r>
        <w:t xml:space="preserve"> </w:t>
      </w:r>
      <w:r>
        <w:t xml:space="preserve">private capital mobilisation and larger spillover benefits, although results will critically depend</w:t>
      </w:r>
      <w:r>
        <w:t xml:space="preserve"> </w:t>
      </w:r>
      <w:r>
        <w:t xml:space="preserve">on the detailed implementation of the funding rounds and competitive dynamics achieved in</w:t>
      </w:r>
      <w:r>
        <w:t xml:space="preserve"> </w:t>
      </w:r>
      <w:r>
        <w:t xml:space="preserve">all of them. In addition, the trade-off has to be considered between cost-efficiency (delivered</w:t>
      </w:r>
      <w:r>
        <w:t xml:space="preserve"> </w:t>
      </w:r>
      <w:r>
        <w:t xml:space="preserve">by very competitive calls for proposals, auction and variable premia) and effectiveness (better</w:t>
      </w:r>
      <w:r>
        <w:t xml:space="preserve"> </w:t>
      </w:r>
      <w:r>
        <w:t xml:space="preserve">delivered by administrative schemes with fixed premia that could allow a more robust financial</w:t>
      </w:r>
      <w:r>
        <w:t xml:space="preserve"> </w:t>
      </w:r>
      <w:r>
        <w:t xml:space="preserve">model for projects, increase likelihood of projects materialising and better diversification of</w:t>
      </w:r>
      <w:r>
        <w:t xml:space="preserve"> </w:t>
      </w:r>
      <w:r>
        <w:t xml:space="preserve">portfolio). In general, the mechanisms that bring high level of competition are better suited to</w:t>
      </w:r>
      <w:r>
        <w:t xml:space="preserve"> </w:t>
      </w:r>
      <w:r>
        <w:t xml:space="preserve">more mature technologies that operate on deep and liquid markets, which should progressively</w:t>
      </w:r>
      <w:r>
        <w:t xml:space="preserve"> </w:t>
      </w:r>
      <w:r>
        <w:t xml:space="preserve">become the case for many decarbonisation technologies. Administrative schemes should be</w:t>
      </w:r>
      <w:r>
        <w:t xml:space="preserve"> </w:t>
      </w:r>
      <w:r>
        <w:t xml:space="preserve">needed in the early years of the IDB operation when uncertainties are the highest and the</w:t>
      </w:r>
      <w:r>
        <w:t xml:space="preserve"> </w:t>
      </w:r>
      <w:r>
        <w:t xml:space="preserve">business case the most difficult.</w:t>
      </w:r>
      <w:r>
        <w:t xml:space="preserve"> </w:t>
      </w:r>
      <w:r>
        <w:t xml:space="preserve">The analysis performed for this Impact Assessment is a simulation of the impact of the IDB</w:t>
      </w:r>
      <w:r>
        <w:t xml:space="preserve"> </w:t>
      </w:r>
      <w:r>
        <w:t xml:space="preserve">once it operates through competitive calls for proposals/auctions and using as inputs the main</w:t>
      </w:r>
      <w:r>
        <w:t xml:space="preserve"> </w:t>
      </w:r>
      <w:r>
        <w:t xml:space="preserve">results of 2040 climate target modelling (e.g. electricity or carbon prices). This analysis</w:t>
      </w:r>
      <w:r>
        <w:t xml:space="preserve"> </w:t>
      </w:r>
      <w:r>
        <w:t xml:space="preserve">indicates a cumulative GHG emission abatement of 1630 MtCO2 over a ten-year period, based</w:t>
      </w:r>
      <w:r>
        <w:t xml:space="preserve"> </w:t>
      </w:r>
      <w:r>
        <w:t xml:space="preserve">on a total budget of EUR 100 billion allocated across ten yearly auction rounds, each of EUR</w:t>
      </w:r>
      <w:r>
        <w:t xml:space="preserve"> </w:t>
      </w:r>
      <w:r>
        <w:t xml:space="preserve">10 billion funding volume. The support would target, among others, process heat electrification</w:t>
      </w:r>
      <w:r>
        <w:t xml:space="preserve"> </w:t>
      </w:r>
      <w:r>
        <w:t xml:space="preserve">both for medium and high temperature applications. It will also support low-carbon primary</w:t>
      </w:r>
      <w:r>
        <w:t xml:space="preserve"> </w:t>
      </w:r>
      <w:r>
        <w:t xml:space="preserve">steel production via hydrogen-based direct reduction, as well as carbon capture and storage</w:t>
      </w:r>
      <w:r>
        <w:t xml:space="preserve"> </w:t>
      </w:r>
      <w:r>
        <w:t xml:space="preserve">solutions in energy-intensive sectors such as cement and lime. Over the assumed support period</w:t>
      </w:r>
      <w:r>
        <w:t xml:space="preserve"> </w:t>
      </w:r>
      <w:r>
        <w:t xml:space="preserve">of ten years, the resulting weighted average awarded support amounts to EUR 60/tCO2 abated.</w:t>
      </w:r>
      <w:r>
        <w:t xml:space="preserve"> </w:t>
      </w:r>
      <w:r>
        <w:t xml:space="preserve">In the early years when the administrative schemes are applied, the impact would likely be</w:t>
      </w:r>
      <w:r>
        <w:t xml:space="preserve"> </w:t>
      </w:r>
      <w:r>
        <w:t xml:space="preserve">lower. This analysis is illustrative because the actual impact of the IDB will depend on the final</w:t>
      </w:r>
      <w:r>
        <w:t xml:space="preserve"> </w:t>
      </w:r>
      <w:r>
        <w:t xml:space="preserve">IDB design, the specific design of funding rounds as well as necessary infrastructure</w:t>
      </w:r>
      <w:r>
        <w:t xml:space="preserve"> </w:t>
      </w:r>
      <w:r>
        <w:t xml:space="preserve">availability, demand for low-carbon products and project delivery risks.</w:t>
      </w:r>
    </w:p>
    <w:p>
      <w:pPr>
        <w:pStyle w:val="BodyText"/>
      </w:pPr>
      <w:r>
        <w:t xml:space="preserve">40 Typically, the Commission conducts an internal assessment of the project pipeline and likely impacts of the</w:t>
      </w:r>
      <w:r>
        <w:t xml:space="preserve"> </w:t>
      </w:r>
      <w:r>
        <w:t xml:space="preserve">IF auctions, but this can only be done when the specific auction’s Terms &amp; Conditions are nearly finalised.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The calculation of impacts is based on the assumption that the IDB support bridges the</w:t>
      </w:r>
      <w:r>
        <w:t xml:space="preserve"> </w:t>
      </w:r>
      <w:r>
        <w:t xml:space="preserve">remaining cost gap (covering both CAPEX and OPEX) of the low-emission technologies</w:t>
      </w:r>
      <w:r>
        <w:t xml:space="preserve"> </w:t>
      </w:r>
      <w:r>
        <w:t xml:space="preserve">deployed in IDB-funded projects compared to their fossil fuels-based incumbent technologies.</w:t>
      </w:r>
      <w:r>
        <w:t xml:space="preserve"> </w:t>
      </w:r>
      <w:r>
        <w:t xml:space="preserve">The IDB support accounts for the average ETS price41 faced by the incumbent fossil-based</w:t>
      </w:r>
      <w:r>
        <w:t xml:space="preserve"> </w:t>
      </w:r>
      <w:r>
        <w:t xml:space="preserve">alternative (conventional technology).</w:t>
      </w:r>
      <w:r>
        <w:t xml:space="preserve"> </w:t>
      </w:r>
      <w:r>
        <w:t xml:space="preserve">Figure 4:</w:t>
      </w:r>
      <w:r>
        <w:t xml:space="preserve"> </w:t>
      </w:r>
      <w:r>
        <w:t xml:space="preserve">Illustration of support logic for two consecutive funding rounds of the IDB</w:t>
      </w:r>
    </w:p>
    <w:p>
      <w:pPr>
        <w:pStyle w:val="BodyText"/>
      </w:pPr>
      <w:r>
        <w:t xml:space="preserve">Source: Fraunhofer</w:t>
      </w:r>
      <w:r>
        <w:t xml:space="preserve"> </w:t>
      </w:r>
      <w:r>
        <w:t xml:space="preserve">In the absence of the IDB, the ETS revenues are set aside solely for the IF, which would imply</w:t>
      </w:r>
      <w:r>
        <w:t xml:space="preserve"> </w:t>
      </w:r>
      <w:r>
        <w:t xml:space="preserve">broader eligibility (beyond the EIIs) and focus on innovation with continuation of the existing</w:t>
      </w:r>
      <w:r>
        <w:t xml:space="preserve"> </w:t>
      </w:r>
      <w:r>
        <w:t xml:space="preserve">allocation mechanism and support formats of the IF. The needs of the decarbonisation</w:t>
      </w:r>
      <w:r>
        <w:t xml:space="preserve"> </w:t>
      </w:r>
      <w:r>
        <w:t xml:space="preserve">technologies roll-out for EIIs would not be fulfilled, there could be also a diminishing</w:t>
      </w:r>
      <w:r>
        <w:t xml:space="preserve"> </w:t>
      </w:r>
      <w:r>
        <w:t xml:space="preserve">attractiveness of the IF calls for proposals considering that large share of the decarbonisation</w:t>
      </w:r>
      <w:r>
        <w:t xml:space="preserve"> </w:t>
      </w:r>
      <w:r>
        <w:t xml:space="preserve">technologies would be entering the roll-out phase post-2030.</w:t>
      </w:r>
      <w:r>
        <w:t xml:space="preserve"> </w:t>
      </w:r>
      <w:r>
        <w:t xml:space="preserve">For the Modernisation Fund, all considered Policy Options, which maintain the Modernisation</w:t>
      </w:r>
      <w:r>
        <w:t xml:space="preserve"> </w:t>
      </w:r>
      <w:r>
        <w:t xml:space="preserve">Fund after 2030, would have positive impacts on the reduction of GHG emissions. Those</w:t>
      </w:r>
      <w:r>
        <w:t xml:space="preserve"> </w:t>
      </w:r>
      <w:r>
        <w:t xml:space="preserve">impacts are expected to be comparable to the benefits reported in the MF evaluation, which</w:t>
      </w:r>
      <w:r>
        <w:t xml:space="preserve"> </w:t>
      </w:r>
      <w:r>
        <w:t xml:space="preserve">found that the MF will deliver an annual average reduction of about 84.8 MtCO₂eq,</w:t>
      </w:r>
      <w:r>
        <w:t xml:space="preserve"> </w:t>
      </w:r>
      <w:r>
        <w:t xml:space="preserve">corresponding to roughly 32% of 2020 emissions from the electricity, gas, steam and air-</w:t>
      </w:r>
      <w:r>
        <w:t xml:space="preserve"> </w:t>
      </w:r>
      <w:r>
        <w:t xml:space="preserve">conditioning sector in beneficiary Member States (265 MtCO₂eq). In the absence of</w:t>
      </w:r>
      <w:r>
        <w:t xml:space="preserve"> </w:t>
      </w:r>
      <w:r>
        <w:t xml:space="preserve">Modernisation Fund, the additional auctioning allowances received by beneficiary Member</w:t>
      </w:r>
      <w:r>
        <w:t xml:space="preserve"> </w:t>
      </w:r>
      <w:r>
        <w:t xml:space="preserve">States42 would be spent by all Member States under the broader scope of uses that applies to</w:t>
      </w:r>
      <w:r>
        <w:t xml:space="preserve"> </w:t>
      </w:r>
      <w:r>
        <w:t xml:space="preserve">the general pool of auctioning revenues. However, MF investments are concentrated in low-</w:t>
      </w:r>
      <w:r>
        <w:t xml:space="preserve"> </w:t>
      </w:r>
      <w:r>
        <w:t xml:space="preserve">income countries where the challenges to decarbonise are higher and in sectors where the</w:t>
      </w:r>
      <w:r>
        <w:t xml:space="preserve"> </w:t>
      </w:r>
      <w:r>
        <w:t xml:space="preserve">resulting GHG reductions are economy-wide and structural.</w:t>
      </w:r>
      <w:r>
        <w:t xml:space="preserve"> </w:t>
      </w:r>
      <w:r>
        <w:t xml:space="preserve">Through allocating revenues for investments in energy efficiency (including in buildings,</w:t>
      </w:r>
      <w:r>
        <w:t xml:space="preserve"> </w:t>
      </w:r>
      <w:r>
        <w:t xml:space="preserve">transport, etc), renewables deployment and modernisation of the energy grids, the Fund would</w:t>
      </w:r>
      <w:r>
        <w:t xml:space="preserve"> </w:t>
      </w:r>
      <w:r>
        <w:t xml:space="preserve">continue its contribution to lowering greenhouse gas emissions in Member States with high</w:t>
      </w:r>
      <w:r>
        <w:t xml:space="preserve"> </w:t>
      </w:r>
      <w:r>
        <w:t xml:space="preserve">carbon intensity under both the ETS and the non-ETS sectors. The fund would also contribute</w:t>
      </w:r>
    </w:p>
    <w:p>
      <w:pPr>
        <w:pStyle w:val="BodyText"/>
      </w:pPr>
      <w:r>
        <w:t xml:space="preserve">41 ETS prices are an assumption in this calculation and are derived from 2040 climate target modelling.</w:t>
      </w:r>
      <w:r>
        <w:t xml:space="preserve"> </w:t>
      </w:r>
      <w:r>
        <w:t xml:space="preserve">42 The number of EU ETS allowances received by MF beneficiary Member States due to the MF is increased</w:t>
      </w:r>
      <w:r>
        <w:t xml:space="preserve"> </w:t>
      </w:r>
      <w:r>
        <w:t xml:space="preserve">by 11% compared to the situation without the MF.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to modernising the power sector. Energy efficiency measures in ETS2 sectors would address</w:t>
      </w:r>
      <w:r>
        <w:t xml:space="preserve"> </w:t>
      </w:r>
      <w:r>
        <w:t xml:space="preserve">the investment needs that lower income Member States still face to continue their industrial</w:t>
      </w:r>
      <w:r>
        <w:t xml:space="preserve"> </w:t>
      </w:r>
      <w:r>
        <w:t xml:space="preserve">decarbonisation efforts (including buildings and all types of transport), as compared to the</w:t>
      </w:r>
      <w:r>
        <w:t xml:space="preserve"> </w:t>
      </w:r>
      <w:r>
        <w:t xml:space="preserve">Social Climate Fund which only covers very small businesses and most vulnerable households.</w:t>
      </w:r>
      <w:r>
        <w:t xml:space="preserve"> </w:t>
      </w:r>
      <w:r>
        <w:t xml:space="preserve">The deployment of renewable energy still needs support in certain Member States, either</w:t>
      </w:r>
      <w:r>
        <w:t xml:space="preserve"> </w:t>
      </w:r>
      <w:r>
        <w:t xml:space="preserve">through grid reinforcement or energy storage deployment, and it did not reach its full potential.</w:t>
      </w:r>
      <w:r>
        <w:t xml:space="preserve"> </w:t>
      </w:r>
      <w:r>
        <w:t xml:space="preserve">The MF evaluation shows that although the progress in the deployment of renewables differs</w:t>
      </w:r>
      <w:r>
        <w:t xml:space="preserve"> </w:t>
      </w:r>
      <w:r>
        <w:t xml:space="preserve">across Member States, there is an overall deployment gap for many of them to reach the 2030</w:t>
      </w:r>
      <w:r>
        <w:t xml:space="preserve"> </w:t>
      </w:r>
      <w:r>
        <w:t xml:space="preserve">renewable energy target of 42.5% and that their energy mix still largely relying on fossil fuels43.</w:t>
      </w:r>
      <w:r>
        <w:t xml:space="preserve"> </w:t>
      </w:r>
      <w:r>
        <w:t xml:space="preserve">Decarbonising heating and cooling is still a major challenge for the 13 beneficiary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EU ETS allowances spent in the context of the Modernisation Fund are subject to ex-ante</w:t>
      </w:r>
      <w:r>
        <w:t xml:space="preserve"> </w:t>
      </w:r>
      <w:r>
        <w:t xml:space="preserve">verification at EU level through both state aid compliance check and a review by the EIB as an</w:t>
      </w:r>
      <w:r>
        <w:t xml:space="preserve"> </w:t>
      </w:r>
      <w:r>
        <w:t xml:space="preserve">outcome of which the EIB confirms that the investments proposed by beneficiary Member</w:t>
      </w:r>
      <w:r>
        <w:t xml:space="preserve"> </w:t>
      </w:r>
      <w:r>
        <w:t xml:space="preserve">States are in line with the objectives of the ETS Directive. For priority investments, this</w:t>
      </w:r>
      <w:r>
        <w:t xml:space="preserve"> </w:t>
      </w:r>
      <w:r>
        <w:t xml:space="preserve">includes falling into the priority areas defined by the Directive. For non-priority area, this</w:t>
      </w:r>
      <w:r>
        <w:t xml:space="preserve"> </w:t>
      </w:r>
      <w:r>
        <w:t xml:space="preserve">includes a due diligence and assessment of planned GHG emissions reductions.</w:t>
      </w:r>
      <w:r>
        <w:br/>
      </w:r>
      <w:r>
        <w:t xml:space="preserve">Furthermore, all policy options considered increase the level of climate ambition in terms of</w:t>
      </w:r>
      <w:r>
        <w:t xml:space="preserve"> </w:t>
      </w:r>
      <w:r>
        <w:t xml:space="preserve">reducing GHG emissions insofar as they all exclude support to investments involving natural</w:t>
      </w:r>
      <w:r>
        <w:t xml:space="preserve"> </w:t>
      </w:r>
      <w:r>
        <w:t xml:space="preserve">gas and waste-to-energy as priority investments. Expanding the scope of the Fund to CCS and</w:t>
      </w:r>
      <w:r>
        <w:t xml:space="preserve"> </w:t>
      </w:r>
      <w:r>
        <w:t xml:space="preserve">direct electrification for industry across all policy options is expected to reinforce the positive</w:t>
      </w:r>
      <w:r>
        <w:t xml:space="preserve"> </w:t>
      </w:r>
      <w:r>
        <w:t xml:space="preserve">impact on GHG reductions. PO3 brings the highest climate benefits in terms of potential GHG</w:t>
      </w:r>
      <w:r>
        <w:t xml:space="preserve"> </w:t>
      </w:r>
      <w:r>
        <w:t xml:space="preserve">emissions reduction insofar as it excludes all types of investments involving gas and waste-to-</w:t>
      </w:r>
      <w:r>
        <w:t xml:space="preserve"> </w:t>
      </w:r>
      <w:r>
        <w:t xml:space="preserve">energy, including as non-priority investments, while bringing the share of priority investment</w:t>
      </w:r>
      <w:r>
        <w:t xml:space="preserve"> </w:t>
      </w:r>
      <w:r>
        <w:t xml:space="preserve">to 100%. PO2 also brings high climate benefits as it importantly restricts the share of non-</w:t>
      </w:r>
      <w:r>
        <w:t xml:space="preserve"> </w:t>
      </w:r>
      <w:r>
        <w:t xml:space="preserve">priority investments (to 5%) while excluding any support to gas infrastructure or any support</w:t>
      </w:r>
      <w:r>
        <w:t xml:space="preserve"> </w:t>
      </w:r>
      <w:r>
        <w:t xml:space="preserve">to waste-to-energy which would not be in the conditions of high efficiency combined heat and</w:t>
      </w:r>
      <w:r>
        <w:t xml:space="preserve"> </w:t>
      </w:r>
      <w:r>
        <w:t xml:space="preserve">power.</w:t>
      </w:r>
      <w:r>
        <w:br/>
      </w:r>
      <w:r>
        <w:t xml:space="preserve">Finally, PO1 brings more limited benefits in terms of GHG emissions reduction potential</w:t>
      </w:r>
      <w:r>
        <w:t xml:space="preserve"> </w:t>
      </w:r>
      <w:r>
        <w:t xml:space="preserve">compared to the current MF set up – but still important ones compared to the baseline where</w:t>
      </w:r>
      <w:r>
        <w:t xml:space="preserve"> </w:t>
      </w:r>
      <w:r>
        <w:t xml:space="preserve">the MF is absent – as it still allows for 10% of non-priority investments and the possibility to</w:t>
      </w:r>
      <w:r>
        <w:t xml:space="preserve"> </w:t>
      </w:r>
      <w:r>
        <w:t xml:space="preserve">fund investments supporting gas and waste-to-energy with these 10%.</w:t>
      </w:r>
      <w:r>
        <w:br/>
      </w:r>
      <w:r>
        <w:t xml:space="preserve">6.1.1.5. Aviation</w:t>
      </w:r>
      <w:r>
        <w:t xml:space="preserve"> </w:t>
      </w:r>
      <w:r>
        <w:t xml:space="preserve">If SAF is counted as zero emissions44, we expect aviation’s global international CO2 emissions</w:t>
      </w:r>
      <w:r>
        <w:t xml:space="preserve"> </w:t>
      </w:r>
      <w:r>
        <w:t xml:space="preserve">to reduce by 14% between 2024 and 2040. Without accounting for the use of SAF, these</w:t>
      </w:r>
      <w:r>
        <w:t xml:space="preserve"> </w:t>
      </w:r>
      <w:r>
        <w:t xml:space="preserve">aviation emissions are projected to grow around 12% in the same timeframe. EASA reports45</w:t>
      </w:r>
      <w:r>
        <w:t xml:space="preserve"> </w:t>
      </w:r>
      <w:r>
        <w:t xml:space="preserve">confirm this upward trend, which is in place since the 1990s. In particular, emissions from</w:t>
      </w:r>
      <w:r>
        <w:t xml:space="preserve"> </w:t>
      </w:r>
      <w:r>
        <w:t xml:space="preserve">international aviation are expected to increase through 2040, 2050 and beyond46. Alongside</w:t>
      </w:r>
    </w:p>
    <w:p>
      <w:pPr>
        <w:pStyle w:val="BodyText"/>
      </w:pPr>
      <w:r>
        <w:t xml:space="preserve">43 European Environment Agency, Share of energy consumption from renewable sources in Europe, 2025,</w:t>
      </w:r>
      <w:r>
        <w:t xml:space="preserve"> </w:t>
      </w:r>
      <w:r>
        <w:t xml:space="preserve">https://www.eea.europa.eu/en/analysis/indicators/share-of-energy-consumption-from.</w:t>
      </w:r>
      <w:r>
        <w:t xml:space="preserve"> </w:t>
      </w:r>
      <w:r>
        <w:t xml:space="preserve">44 Most SAF has residual emissions, but in line with the ETS Directive it is counted as zero emissions,</w:t>
      </w:r>
      <w:r>
        <w:t xml:space="preserve"> </w:t>
      </w:r>
      <w:r>
        <w:t xml:space="preserve">supporting the price incentive in favour of SAF use.</w:t>
      </w:r>
      <w:r>
        <w:t xml:space="preserve"> </w:t>
      </w:r>
      <w:r>
        <w:t xml:space="preserve">45 For departing flights: 147 Mt CO2 in 2019, 228 Mt CO2 in 2050. Source: EASA, European Aviation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Report</w:t>
      </w:r>
      <w:r>
        <w:t xml:space="preserve"> </w:t>
      </w:r>
      <w:r>
        <w:t xml:space="preserve">2025,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https://www.easa.europa.eu/en/domains/environment/eaer/downloads#download-2025, p.14.</w:t>
      </w:r>
      <w:r>
        <w:t xml:space="preserve"> </w:t>
      </w:r>
      <w:r>
        <w:t xml:space="preserve">46 ICAO,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Trends</w:t>
      </w:r>
      <w:r>
        <w:t xml:space="preserve"> </w:t>
      </w:r>
      <w:r>
        <w:t xml:space="preserve">in</w:t>
      </w:r>
      <w:r>
        <w:t xml:space="preserve"> </w:t>
      </w:r>
      <w:r>
        <w:t xml:space="preserve">Aviation</w:t>
      </w:r>
      <w:r>
        <w:t xml:space="preserve"> </w:t>
      </w:r>
      <w:r>
        <w:t xml:space="preserve">to</w:t>
      </w:r>
      <w:r>
        <w:t xml:space="preserve"> </w:t>
      </w:r>
      <w:r>
        <w:t xml:space="preserve">2070,</w:t>
      </w:r>
      <w:r>
        <w:t xml:space="preserve"> </w:t>
      </w:r>
      <w:r>
        <w:t xml:space="preserve">https://www.icao.int/sites/default/files/sp-</w:t>
      </w:r>
      <w:r>
        <w:t xml:space="preserve"> </w:t>
      </w:r>
      <w:r>
        <w:t xml:space="preserve">files/environmental-protection/Documents/EnvironmentReport-2010/2025/Envreport2025_9.pdf, p. 28.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carbon pricing, deployment of clean aircraft and innovative operations, SAF use at global scale</w:t>
      </w:r>
      <w:r>
        <w:t xml:space="preserve"> </w:t>
      </w:r>
      <w:r>
        <w:t xml:space="preserve">is key to reduce emissions. This section examines the effects of carbon pricing and SAF use.</w:t>
      </w:r>
      <w:r>
        <w:t xml:space="preserve"> </w:t>
      </w:r>
      <w:r>
        <w:t xml:space="preserve">• Carbon pricing</w:t>
      </w:r>
      <w:r>
        <w:t xml:space="preserve"> </w:t>
      </w:r>
      <w:r>
        <w:t xml:space="preserve">The policy options assessed differ on the extent to which the effect of aviation CO2 emissions</w:t>
      </w:r>
      <w:r>
        <w:t xml:space="preserve"> </w:t>
      </w:r>
      <w:r>
        <w:t xml:space="preserve">on the environment is internalised. Airlines can directly reduce their emissions or use market-</w:t>
      </w:r>
      <w:r>
        <w:t xml:space="preserve"> </w:t>
      </w:r>
      <w:r>
        <w:t xml:space="preserve">based measures outside the aviation sector47. The options have different coverage of emissions</w:t>
      </w:r>
      <w:r>
        <w:t xml:space="preserve"> </w:t>
      </w:r>
      <w:r>
        <w:t xml:space="preserve">by CORSIA and the EU ETS48, resulting in different price signals, and different levels of</w:t>
      </w:r>
      <w:r>
        <w:t xml:space="preserve"> </w:t>
      </w:r>
      <w:r>
        <w:t xml:space="preserve">support for the uptake of eligible SAF. This environmental impact of the policy options is</w:t>
      </w:r>
      <w:r>
        <w:t xml:space="preserve"> </w:t>
      </w:r>
      <w:r>
        <w:t xml:space="preserve">considered for CO2 emissions of global international aviation49. What amount of CO2 emissions</w:t>
      </w:r>
      <w:r>
        <w:t xml:space="preserve"> </w:t>
      </w:r>
      <w:r>
        <w:t xml:space="preserve">would remain unaddressed by carbon pricing (ETS, CORSIA) under each option is also shown.</w:t>
      </w:r>
      <w:r>
        <w:t xml:space="preserve"> </w:t>
      </w:r>
      <w:r>
        <w:t xml:space="preserve">Not considered are aviation’s non-CO2 emissions: in-depth analysis considers that aviation’s</w:t>
      </w:r>
      <w:r>
        <w:t xml:space="preserve"> </w:t>
      </w:r>
      <w:r>
        <w:t xml:space="preserve">non-CO2 emissions have at least double climate effect of aviation CO2 emissions alone (so CO2</w:t>
      </w:r>
      <w:r>
        <w:t xml:space="preserve"> </w:t>
      </w:r>
      <w:r>
        <w:t xml:space="preserve">emissions figures would need to be multiplied by three to obtain the full climate impact).</w:t>
      </w:r>
      <w:r>
        <w:t xml:space="preserve"> </w:t>
      </w:r>
      <w:r>
        <w:t xml:space="preserve">In the baseline and all options, global international aviation CO2 emissions decrease</w:t>
      </w:r>
      <w:r>
        <w:t xml:space="preserve"> </w:t>
      </w:r>
      <w:r>
        <w:t xml:space="preserve">between 2024 and 2040 by 13-15%, both for extra-EEA departing flights and global</w:t>
      </w:r>
      <w:r>
        <w:t xml:space="preserve"> </w:t>
      </w:r>
      <w:r>
        <w:t xml:space="preserve">international aviation when discounting the impact of projected SAF uptake in Europe and</w:t>
      </w:r>
      <w:r>
        <w:t xml:space="preserve"> </w:t>
      </w:r>
      <w:r>
        <w:t xml:space="preserve">globally50. In the baseline most flights are covered by the EU ETS carbon price, and emissions</w:t>
      </w:r>
      <w:r>
        <w:t xml:space="preserve"> </w:t>
      </w:r>
      <w:r>
        <w:t xml:space="preserve">are lowest. Emissions are highest under PO1, where the ETS geographic scope of 2026</w:t>
      </w:r>
      <w:r>
        <w:t xml:space="preserve"> </w:t>
      </w:r>
      <w:r>
        <w:t xml:space="preserve">continues to apply, and no extra support for the uplift of SAF is set aside.</w:t>
      </w:r>
      <w:r>
        <w:t xml:space="preserve"> </w:t>
      </w:r>
      <w:r>
        <w:t xml:space="preserve">Global international aviation emissions have the biggest climate impact and the highest level</w:t>
      </w:r>
      <w:r>
        <w:t xml:space="preserve"> </w:t>
      </w:r>
      <w:r>
        <w:t xml:space="preserve">of CO2 emissions51. They are defined as: CO2 emissions from flights inside Europe, and from</w:t>
      </w:r>
      <w:r>
        <w:t xml:space="preserve"> </w:t>
      </w:r>
      <w:r>
        <w:t xml:space="preserve">international flights outside Europe. Flights inside Europe include departing flights to</w:t>
      </w:r>
      <w:r>
        <w:t xml:space="preserve"> </w:t>
      </w:r>
      <w:r>
        <w:t xml:space="preserve">Switzerland and the UK. Examples include flights from Berlin to Munich, Sofia to Brussels</w:t>
      </w:r>
      <w:r>
        <w:t xml:space="preserve"> </w:t>
      </w:r>
      <w:r>
        <w:t xml:space="preserve">and Madrid to London. International flights outside Europe include flights from Paris to</w:t>
      </w:r>
      <w:r>
        <w:t xml:space="preserve"> </w:t>
      </w:r>
      <w:r>
        <w:t xml:space="preserve">Toronto, or from Beijing to Dubai (but they exclude domestic flights outside Europe, such as</w:t>
      </w:r>
      <w:r>
        <w:t xml:space="preserve"> </w:t>
      </w:r>
      <w:r>
        <w:t xml:space="preserve">Toronto to Vancouver). Currently, the ETS carbon price applies within Europe and to</w:t>
      </w:r>
      <w:r>
        <w:t xml:space="preserve"> </w:t>
      </w:r>
      <w:r>
        <w:t xml:space="preserve">departing flights to Switzerland and the UK, but not to other third countries. Policy</w:t>
      </w:r>
      <w:r>
        <w:t xml:space="preserve"> </w:t>
      </w:r>
      <w:r>
        <w:t xml:space="preserve">options differ in how they address CO2 emissions from flights to other third countries. In</w:t>
      </w:r>
      <w:r>
        <w:t xml:space="preserve"> </w:t>
      </w:r>
      <w:r>
        <w:t xml:space="preserve">PO1, the ETS carbon price does not apply to international emissions, but CORSIA applies to</w:t>
      </w:r>
      <w:r>
        <w:t xml:space="preserve"> </w:t>
      </w:r>
      <w:r>
        <w:t xml:space="preserve">a part of these emissions52. In PO2 and PO3, the ETS carbon price addresses emissions from</w:t>
      </w:r>
      <w:r>
        <w:t xml:space="preserve"> </w:t>
      </w:r>
      <w:r>
        <w:t xml:space="preserve">flights that depart from Europe (Paris to Toronto, but not Toronto to Paris, and neither Beijing</w:t>
      </w:r>
      <w:r>
        <w:t xml:space="preserve"> </w:t>
      </w:r>
      <w:r>
        <w:t xml:space="preserve">to Dubai). In PO2 and PO3, the ETS scope is the same as the ReFuelEU Regulation53, which</w:t>
      </w:r>
      <w:r>
        <w:t xml:space="preserve"> </w:t>
      </w:r>
      <w:r>
        <w:t xml:space="preserve">mandates increasing production of SAF and requires airlines to uptake fuel at Union airports.</w:t>
      </w:r>
    </w:p>
    <w:p>
      <w:pPr>
        <w:pStyle w:val="BodyText"/>
      </w:pPr>
      <w:r>
        <w:t xml:space="preserve">47 ETS: airlines can buy, trade and surrender allowances; CORSIA: they can buy and cancel eligible offsets.</w:t>
      </w:r>
      <w:r>
        <w:t xml:space="preserve"> </w:t>
      </w:r>
      <w:r>
        <w:t xml:space="preserve">48 On the differences, see Annex 10, in particular Sections 1 and 5.</w:t>
      </w:r>
      <w:r>
        <w:br/>
      </w:r>
      <w:r>
        <w:t xml:space="preserve">49 The scope considered is intra-EEA emissions (domestic and non-domestic, including departing flights to</w:t>
      </w:r>
      <w:r>
        <w:t xml:space="preserve"> </w:t>
      </w:r>
      <w:r>
        <w:t xml:space="preserve">Switzerland and the UK) and international aviation emissions, i.e. between Europe and other third countries</w:t>
      </w:r>
      <w:r>
        <w:t xml:space="preserve"> </w:t>
      </w:r>
      <w:r>
        <w:t xml:space="preserve">and between two third countries, but not the emissions within third countries.</w:t>
      </w:r>
      <w:r>
        <w:t xml:space="preserve"> </w:t>
      </w:r>
      <w:r>
        <w:t xml:space="preserve">50 ReFuelEU Aviation for flights departing from Union airports. For arriving flights, SAF uptake increases in</w:t>
      </w:r>
      <w:r>
        <w:t xml:space="preserve"> </w:t>
      </w:r>
      <w:r>
        <w:t xml:space="preserve">line with the global fuel scenario F1 presented in the Long-Term Aspirational Goal report of ICAO.</w:t>
      </w:r>
      <w:r>
        <w:t xml:space="preserve"> </w:t>
      </w:r>
      <w:r>
        <w:t xml:space="preserve">51 Eurocontrol, Think Paper #22: Decarbonising long-haul flights by 2050: Is there a pathway through</w:t>
      </w:r>
      <w:r>
        <w:t xml:space="preserve"> </w:t>
      </w:r>
      <w:r>
        <w:t xml:space="preserve">sustainable</w:t>
      </w:r>
      <w:r>
        <w:t xml:space="preserve"> </w:t>
      </w:r>
      <w:r>
        <w:t xml:space="preserve">aviation</w:t>
      </w:r>
      <w:r>
        <w:t xml:space="preserve"> </w:t>
      </w:r>
      <w:r>
        <w:t xml:space="preserve">fuel</w:t>
      </w:r>
      <w:r>
        <w:t xml:space="preserve"> </w:t>
      </w:r>
      <w:r>
        <w:t xml:space="preserve">use,</w:t>
      </w:r>
      <w:r>
        <w:t xml:space="preserve"> </w:t>
      </w:r>
      <w:r>
        <w:t xml:space="preserve">fleet</w:t>
      </w:r>
      <w:r>
        <w:t xml:space="preserve"> </w:t>
      </w:r>
      <w:r>
        <w:t xml:space="preserve">renewal</w:t>
      </w:r>
      <w:r>
        <w:t xml:space="preserve"> </w:t>
      </w:r>
      <w:r>
        <w:t xml:space="preserve">and</w:t>
      </w:r>
      <w:r>
        <w:t xml:space="preserve"> </w:t>
      </w:r>
      <w:r>
        <w:t xml:space="preserve">green</w:t>
      </w:r>
      <w:r>
        <w:t xml:space="preserve"> </w:t>
      </w:r>
      <w:r>
        <w:t xml:space="preserve">energy</w:t>
      </w:r>
      <w:r>
        <w:t xml:space="preserve"> </w:t>
      </w:r>
      <w:r>
        <w:t xml:space="preserve">upscaling?,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https://www.eurocontrol.int/publication/eurocontrol-think-paper-22-decarbonising-long-haul-flights-2050.</w:t>
      </w:r>
      <w:r>
        <w:t xml:space="preserve"> </w:t>
      </w:r>
      <w:r>
        <w:t xml:space="preserve">52 CORSIA exempts ~500 Mt CO2 each year, CO2 emissions above that level should be offset. See Annex 10,</w:t>
      </w:r>
      <w:r>
        <w:t xml:space="preserve"> </w:t>
      </w:r>
      <w:r>
        <w:t xml:space="preserve">Section 5.1.</w:t>
      </w:r>
      <w:r>
        <w:t xml:space="preserve"> </w:t>
      </w:r>
      <w:r>
        <w:t xml:space="preserve">53 Nearly identical but ReFuel covers departing flights from Union airports (a subset of EEA airports defined in</w:t>
      </w:r>
      <w:r>
        <w:t xml:space="preserve"> </w:t>
      </w:r>
      <w:r>
        <w:t xml:space="preserve">ReFuelEU), whereas in PO2/3 the ETS would cover departing flights from any EEA airport, but not to all</w:t>
      </w:r>
      <w:r>
        <w:t xml:space="preserve"> </w:t>
      </w:r>
      <w:r>
        <w:t xml:space="preserve">destinations (exempt are flights to Least Developed Countries and Small Island Developing States).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Use of SAF reduces emissions significantly, but industry have claimed they may fail to meet</w:t>
      </w:r>
      <w:r>
        <w:t xml:space="preserve"> </w:t>
      </w:r>
      <w:r>
        <w:t xml:space="preserve">ReFuelEU mandates, unless they receive additional financial support54. ReFuelEU is a separate</w:t>
      </w:r>
      <w:r>
        <w:t xml:space="preserve"> </w:t>
      </w:r>
      <w:r>
        <w:t xml:space="preserve">regulation, not part of the ETS Directive, and therefore outside the scope of this review. Our</w:t>
      </w:r>
      <w:r>
        <w:t xml:space="preserve"> </w:t>
      </w:r>
      <w:r>
        <w:t xml:space="preserve">modelling assumes ReFuelEU mandates are met, with the resulting emissions reductions</w:t>
      </w:r>
      <w:r>
        <w:t xml:space="preserve"> </w:t>
      </w:r>
      <w:r>
        <w:t xml:space="preserve">having a larger impact than the carbon price alone.</w:t>
      </w:r>
      <w:r>
        <w:t xml:space="preserve"> </w:t>
      </w:r>
      <w:r>
        <w:t xml:space="preserve">A larger scope of application of the ETS carbon price slightly reduces global international</w:t>
      </w:r>
      <w:r>
        <w:t xml:space="preserve"> </w:t>
      </w:r>
      <w:r>
        <w:t xml:space="preserve">aviation emissions. Most emissions growth is projected to occur outside Europe55, i.e. for</w:t>
      </w:r>
      <w:r>
        <w:t xml:space="preserve"> </w:t>
      </w:r>
      <w:r>
        <w:t xml:space="preserve">flights that neither take off nor land in an EEA country and is therefore not affected by the ETS</w:t>
      </w:r>
      <w:r>
        <w:t xml:space="preserve"> </w:t>
      </w:r>
      <w:r>
        <w:t xml:space="preserve">price signal or ReFuelEU.</w:t>
      </w:r>
      <w:r>
        <w:t xml:space="preserve"> </w:t>
      </w:r>
      <w:r>
        <w:t xml:space="preserve">The Commission review focuses on flights that are connected to the European territory, i.e. </w:t>
      </w:r>
      <w:r>
        <w:t xml:space="preserve"> </w:t>
      </w:r>
      <w:r>
        <w:t xml:space="preserve">take off in Europe, and can be directly affected by our policies. It is therefore interesting to</w:t>
      </w:r>
      <w:r>
        <w:t xml:space="preserve"> </w:t>
      </w:r>
      <w:r>
        <w:t xml:space="preserve">single out CO2 emissions of extra-EEA departing flights, because that is a key difference</w:t>
      </w:r>
      <w:r>
        <w:t xml:space="preserve"> </w:t>
      </w:r>
      <w:r>
        <w:t xml:space="preserve">between policy options. Impacts of policy options follow the same pattern as for global</w:t>
      </w:r>
      <w:r>
        <w:t xml:space="preserve"> </w:t>
      </w:r>
      <w:r>
        <w:t xml:space="preserve">international emissions but are more pronounced. In the baseline, ETS scope is broadest, and</w:t>
      </w:r>
      <w:r>
        <w:t xml:space="preserve"> </w:t>
      </w:r>
      <w:r>
        <w:t xml:space="preserve">CO2 emissions decrease most. Under PO1, ETS scope is smallest (it does not apply at all to</w:t>
      </w:r>
      <w:r>
        <w:t xml:space="preserve"> </w:t>
      </w:r>
      <w:r>
        <w:t xml:space="preserve">departing flights), resulting in the smallest reduction. Table 5 below presents the policy options</w:t>
      </w:r>
      <w:r>
        <w:t xml:space="preserve"> </w:t>
      </w:r>
      <w:r>
        <w:t xml:space="preserve">and modelled CO2 emissions rounded to the nearest 5Mt.</w:t>
      </w:r>
      <w:r>
        <w:br/>
      </w:r>
      <w:r>
        <w:t xml:space="preserve">Table 5: Policy options and global international aviation emissions (inside Europe: domestic</w:t>
      </w:r>
      <w:r>
        <w:t xml:space="preserve"> </w:t>
      </w:r>
      <w:r>
        <w:t xml:space="preserve">and international; outside Europe: international only)</w:t>
      </w:r>
      <w:r>
        <w:br/>
      </w:r>
      <w:r>
        <w:t xml:space="preserve">2024 emissions</w:t>
      </w:r>
      <w:r>
        <w:t xml:space="preserve"> </w:t>
      </w:r>
      <w:r>
        <w:t xml:space="preserve">690 Mt CO2</w:t>
      </w:r>
      <w:r>
        <w:t xml:space="preserve"> </w:t>
      </w:r>
      <w:r>
        <w:t xml:space="preserve">Emissions 2030</w:t>
      </w:r>
      <w:r>
        <w:t xml:space="preserve"> </w:t>
      </w:r>
      <w:r>
        <w:t xml:space="preserve">in Mt CO2</w:t>
      </w:r>
      <w:r>
        <w:t xml:space="preserve"> </w:t>
      </w:r>
      <w:r>
        <w:t xml:space="preserve">Emissions 2035</w:t>
      </w:r>
      <w:r>
        <w:t xml:space="preserve"> </w:t>
      </w:r>
      <w:r>
        <w:t xml:space="preserve">in Mt CO2</w:t>
      </w:r>
      <w:r>
        <w:t xml:space="preserve"> </w:t>
      </w:r>
      <w:r>
        <w:t xml:space="preserve">Emissions 2040</w:t>
      </w:r>
      <w:r>
        <w:t xml:space="preserve"> </w:t>
      </w:r>
      <w:r>
        <w:t xml:space="preserve">in Mt CO2</w:t>
      </w:r>
      <w:r>
        <w:t xml:space="preserve"> </w:t>
      </w:r>
      <w:r>
        <w:t xml:space="preserve">Baseline</w:t>
      </w:r>
      <w:r>
        <w:t xml:space="preserve"> </w:t>
      </w:r>
      <w:r>
        <w:t xml:space="preserve">590</w:t>
      </w:r>
      <w:r>
        <w:t xml:space="preserve"> </w:t>
      </w:r>
      <w:r>
        <w:t xml:space="preserve">600</w:t>
      </w:r>
      <w:r>
        <w:t xml:space="preserve"> </w:t>
      </w:r>
      <w:r>
        <w:t xml:space="preserve">590</w:t>
      </w:r>
      <w:r>
        <w:t xml:space="preserve"> </w:t>
      </w:r>
      <w:r>
        <w:t xml:space="preserve">Return to full legal scope, where the EU ETS applies to flights within Member States, between</w:t>
      </w:r>
      <w:r>
        <w:t xml:space="preserve"> </w:t>
      </w:r>
      <w:r>
        <w:t xml:space="preserve">Member States and extra-EEA flights to and from Member States. Flights to-, from and between</w:t>
      </w:r>
      <w:r>
        <w:t xml:space="preserve"> </w:t>
      </w:r>
      <w:r>
        <w:t xml:space="preserve">Outermost Regions are included from January 2031.</w:t>
      </w:r>
      <w:r>
        <w:br/>
      </w:r>
      <w:r>
        <w:t xml:space="preserve">PO1</w:t>
      </w:r>
      <w:r>
        <w:t xml:space="preserve"> </w:t>
      </w:r>
      <w:r>
        <w:t xml:space="preserve">605</w:t>
      </w:r>
      <w:r>
        <w:t xml:space="preserve"> </w:t>
      </w:r>
      <w:r>
        <w:t xml:space="preserve">605</w:t>
      </w:r>
      <w:r>
        <w:t xml:space="preserve"> </w:t>
      </w:r>
      <w:r>
        <w:t xml:space="preserve">600</w:t>
      </w:r>
      <w:r>
        <w:t xml:space="preserve"> </w:t>
      </w:r>
      <w:r>
        <w:t xml:space="preserve">Continuation of clean-cut subject to CORSIA implementation: Existing EU policy implementation:</w:t>
      </w:r>
      <w:r>
        <w:t xml:space="preserve"> </w:t>
      </w:r>
      <w:r>
        <w:t xml:space="preserve">the EU ETS applies to flights within Member States and between Member States, as well as to</w:t>
      </w:r>
      <w:r>
        <w:t xml:space="preserve"> </w:t>
      </w:r>
      <w:r>
        <w:t xml:space="preserve">departing flights to the UK and Switzerland. Flights to-, from and between Outermost Regions are</w:t>
      </w:r>
      <w:r>
        <w:t xml:space="preserve"> </w:t>
      </w:r>
      <w:r>
        <w:t xml:space="preserve">included from January 2031. CORSIA is implemented by others under high participation assumption</w:t>
      </w:r>
      <w:r>
        <w:t xml:space="preserve"> </w:t>
      </w:r>
      <w:r>
        <w:t xml:space="preserve">(all those who should implement CORSIA from 2027 do so, and all those who voluntarily participate</w:t>
      </w:r>
      <w:r>
        <w:t xml:space="preserve"> </w:t>
      </w:r>
      <w:r>
        <w:t xml:space="preserve">in 2025 do also implement CORSIA).</w:t>
      </w:r>
      <w:r>
        <w:br/>
      </w:r>
      <w:r>
        <w:t xml:space="preserve">PO2</w:t>
      </w:r>
      <w:r>
        <w:t xml:space="preserve"> </w:t>
      </w:r>
      <w:r>
        <w:t xml:space="preserve">600</w:t>
      </w:r>
      <w:r>
        <w:t xml:space="preserve"> </w:t>
      </w:r>
      <w:r>
        <w:t xml:space="preserve">605</w:t>
      </w:r>
      <w:r>
        <w:t xml:space="preserve"> </w:t>
      </w:r>
      <w:r>
        <w:t xml:space="preserve">595</w:t>
      </w:r>
    </w:p>
    <w:p>
      <w:pPr>
        <w:pStyle w:val="BodyText"/>
      </w:pPr>
      <w:r>
        <w:t xml:space="preserve">54 Reuters,</w:t>
      </w:r>
      <w:r>
        <w:t xml:space="preserve"> </w:t>
      </w:r>
      <w:r>
        <w:t xml:space="preserve">European</w:t>
      </w:r>
      <w:r>
        <w:t xml:space="preserve"> </w:t>
      </w:r>
      <w:r>
        <w:t xml:space="preserve">Airlines</w:t>
      </w:r>
      <w:r>
        <w:t xml:space="preserve"> </w:t>
      </w:r>
      <w:r>
        <w:t xml:space="preserve">will</w:t>
      </w:r>
      <w:r>
        <w:t xml:space="preserve"> </w:t>
      </w:r>
      <w:r>
        <w:t xml:space="preserve">miss</w:t>
      </w:r>
      <w:r>
        <w:t xml:space="preserve"> </w:t>
      </w:r>
      <w:r>
        <w:t xml:space="preserve">green</w:t>
      </w:r>
      <w:r>
        <w:t xml:space="preserve"> </w:t>
      </w:r>
      <w:r>
        <w:t xml:space="preserve">jet</w:t>
      </w:r>
      <w:r>
        <w:t xml:space="preserve"> </w:t>
      </w:r>
      <w:r>
        <w:t xml:space="preserve">fuel</w:t>
      </w:r>
      <w:r>
        <w:t xml:space="preserve"> </w:t>
      </w:r>
      <w:r>
        <w:t xml:space="preserve">targets,</w:t>
      </w:r>
      <w:r>
        <w:t xml:space="preserve"> </w:t>
      </w:r>
      <w:r>
        <w:t xml:space="preserve">CEOs</w:t>
      </w:r>
      <w:r>
        <w:t xml:space="preserve"> </w:t>
      </w:r>
      <w:r>
        <w:t xml:space="preserve">warn,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https://www.reuters.com/sustainability/climate-energy/european-aviation-falling-behind-risks-missing-</w:t>
      </w:r>
      <w:r>
        <w:t xml:space="preserve"> </w:t>
      </w:r>
      <w:r>
        <w:t xml:space="preserve">green-fuel-targets-ceos-say-2025-03-27/.</w:t>
      </w:r>
      <w:r>
        <w:br/>
      </w:r>
      <w:r>
        <w:t xml:space="preserve">55 See ICAO, Initial assessments in support of the 2025 CORSIA periodic review, 2024,</w:t>
      </w:r>
      <w:r>
        <w:t xml:space="preserve"> </w:t>
      </w:r>
      <w:r>
        <w:t xml:space="preserve">https://www.icao.int/sites/default/files/environmental-</w:t>
      </w:r>
      <w:r>
        <w:t xml:space="preserve"> </w:t>
      </w:r>
      <w:r>
        <w:t xml:space="preserve">protection/CORSIA/Documents/CORSIA%20Periodic%20Review/CAEP_Inputs-to-2025-CORSIA-</w:t>
      </w:r>
      <w:r>
        <w:t xml:space="preserve"> </w:t>
      </w:r>
      <w:r>
        <w:t xml:space="preserve">periodic-review-C232.pdf, p. 23: CO2 emissions growth rates of 1.8%-2.3% for Middle East, Asia Pacific,</w:t>
      </w:r>
      <w:r>
        <w:t xml:space="preserve"> </w:t>
      </w:r>
      <w:r>
        <w:t xml:space="preserve">Africa and Latin America &amp; Caribbean, vs 0.4% for Europe for the period 2019-35.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Departing flights &amp; SAF support extension by a medium amount: The EU ETS applies to flights</w:t>
      </w:r>
      <w:r>
        <w:t xml:space="preserve"> </w:t>
      </w:r>
      <w:r>
        <w:t xml:space="preserve">within Europe, and to departing international flights. Flights to-, from and between Outermost</w:t>
      </w:r>
      <w:r>
        <w:t xml:space="preserve"> </w:t>
      </w:r>
      <w:r>
        <w:t xml:space="preserve">Regions are included from January 2031. CORSIA is implemented by others, and offsetting costs</w:t>
      </w:r>
      <w:r>
        <w:t xml:space="preserve"> </w:t>
      </w:r>
      <w:r>
        <w:t xml:space="preserve">can be deducted on relevant routes. ETS-financed SAF support is extended by a medium amount.</w:t>
      </w:r>
      <w:r>
        <w:t xml:space="preserve"> </w:t>
      </w:r>
      <w:r>
        <w:t xml:space="preserve">PO3</w:t>
      </w:r>
      <w:r>
        <w:t xml:space="preserve"> </w:t>
      </w:r>
      <w:r>
        <w:t xml:space="preserve">600</w:t>
      </w:r>
      <w:r>
        <w:t xml:space="preserve"> </w:t>
      </w:r>
      <w:r>
        <w:t xml:space="preserve">605</w:t>
      </w:r>
      <w:r>
        <w:t xml:space="preserve"> </w:t>
      </w:r>
      <w:r>
        <w:t xml:space="preserve">595</w:t>
      </w:r>
      <w:r>
        <w:t xml:space="preserve"> </w:t>
      </w:r>
      <w:r>
        <w:t xml:space="preserve">Departing flights &amp; SAF support extension by a larger amount: The EU ETS applies to flights within</w:t>
      </w:r>
      <w:r>
        <w:t xml:space="preserve"> </w:t>
      </w:r>
      <w:r>
        <w:t xml:space="preserve">Europe, and to departing international flights. Flights to-, from and between Outermost Regions are</w:t>
      </w:r>
      <w:r>
        <w:t xml:space="preserve"> </w:t>
      </w:r>
      <w:r>
        <w:t xml:space="preserve">included from January 2031. CORSIA is implemented by others, and offsetting costs can be deducted</w:t>
      </w:r>
      <w:r>
        <w:t xml:space="preserve"> </w:t>
      </w:r>
      <w:r>
        <w:t xml:space="preserve">on relevant routes. ETS-financed SAF support is extended by a larger amount.</w:t>
      </w:r>
      <w:r>
        <w:t xml:space="preserve"> </w:t>
      </w:r>
      <w:r>
        <w:t xml:space="preserve">International impact</w:t>
      </w:r>
      <w:r>
        <w:t xml:space="preserve"> </w:t>
      </w:r>
      <w:r>
        <w:t xml:space="preserve">•</w:t>
      </w:r>
      <w:r>
        <w:t xml:space="preserve"> </w:t>
      </w:r>
      <w:r>
        <w:t xml:space="preserve">Least Developed Countries and Small Island Developing States</w:t>
      </w:r>
      <w:r>
        <w:t xml:space="preserve"> </w:t>
      </w:r>
      <w:r>
        <w:t xml:space="preserve">No impact: No carbon pricing applies to flights to-, from- or between those countries, unless they</w:t>
      </w:r>
      <w:r>
        <w:t xml:space="preserve"> </w:t>
      </w:r>
      <w:r>
        <w:t xml:space="preserve">voluntarily apply it. They are exempt from CORSIA and the ETS in all policy options.</w:t>
      </w:r>
      <w:r>
        <w:t xml:space="preserve"> </w:t>
      </w:r>
      <w:r>
        <w:t xml:space="preserve">•</w:t>
      </w:r>
      <w:r>
        <w:t xml:space="preserve"> </w:t>
      </w:r>
      <w:r>
        <w:t xml:space="preserve">Switzerland and the UK</w:t>
      </w:r>
      <w:r>
        <w:t xml:space="preserve"> </w:t>
      </w:r>
      <w:r>
        <w:t xml:space="preserve">No change: Flights from Europe (meaning EEA countries) to Switzerland and the UK are currently</w:t>
      </w:r>
      <w:r>
        <w:t xml:space="preserve"> </w:t>
      </w:r>
      <w:r>
        <w:t xml:space="preserve">covered by the ETS carbon price and remain so in all options.</w:t>
      </w:r>
      <w:r>
        <w:t xml:space="preserve"> </w:t>
      </w:r>
      <w:r>
        <w:t xml:space="preserve">•</w:t>
      </w:r>
      <w:r>
        <w:t xml:space="preserve"> </w:t>
      </w:r>
      <w:r>
        <w:t xml:space="preserve">Other third countries</w:t>
      </w:r>
      <w:r>
        <w:t xml:space="preserve"> </w:t>
      </w:r>
      <w:r>
        <w:t xml:space="preserve">The options differ in the choice of carbon pricing tool(s) that apply to CO2 emissions from flights</w:t>
      </w:r>
      <w:r>
        <w:t xml:space="preserve"> </w:t>
      </w:r>
      <w:r>
        <w:t xml:space="preserve">departing from Europe to these countries. In any case, an effective carbon price should apply to those</w:t>
      </w:r>
      <w:r>
        <w:t xml:space="preserve"> </w:t>
      </w:r>
      <w:r>
        <w:t xml:space="preserve">emissions, either if CORSIA satisfies the requirements of Article 28b ETS Directive (Policy Option</w:t>
      </w:r>
      <w:r>
        <w:t xml:space="preserve"> </w:t>
      </w:r>
      <w:r>
        <w:t xml:space="preserve">1), or through a combination of ETS and CORSIA (Policy Options 2 and 3). See detail in Annex 10.</w:t>
      </w:r>
      <w:r>
        <w:t xml:space="preserve"> </w:t>
      </w:r>
      <w:r>
        <w:t xml:space="preserve">In Policy Options 2 and 3, some third country reactions can be expected, because due to equal</w:t>
      </w:r>
      <w:r>
        <w:t xml:space="preserve"> </w:t>
      </w:r>
      <w:r>
        <w:t xml:space="preserve">treatment on routes, the ETS carbon price would apply in the same manner to all departing flights,</w:t>
      </w:r>
      <w:r>
        <w:t xml:space="preserve"> </w:t>
      </w:r>
      <w:r>
        <w:t xml:space="preserve">independent from the nationality of the airline. This equal treatment on routes maintains a level</w:t>
      </w:r>
      <w:r>
        <w:t xml:space="preserve"> </w:t>
      </w:r>
      <w:r>
        <w:t xml:space="preserve">playing field. All policy options take CORSIA into account – demonstrating continued EU support</w:t>
      </w:r>
      <w:r>
        <w:t xml:space="preserve"> </w:t>
      </w:r>
      <w:r>
        <w:t xml:space="preserve">for CORSIA. ETS-financed SAF support would continue to be available to any airline covered by</w:t>
      </w:r>
      <w:r>
        <w:t xml:space="preserve"> </w:t>
      </w:r>
      <w:r>
        <w:t xml:space="preserve">ETS carbon pricing: airlines are treated equally regardless of their home country.</w:t>
      </w:r>
      <w:r>
        <w:t xml:space="preserve"> </w:t>
      </w:r>
      <w:r>
        <w:t xml:space="preserve">Environmental effectiveness of carbon pricing tools: CORSIA has global reach, but analysis</w:t>
      </w:r>
      <w:r>
        <w:t xml:space="preserve"> </w:t>
      </w:r>
      <w:r>
        <w:t xml:space="preserve">finds several limitations (see detail in Annex 10, Section 5).</w:t>
      </w:r>
      <w:r>
        <w:t xml:space="preserve"> </w:t>
      </w:r>
      <w:r>
        <w:t xml:space="preserve">• Structural limitation: CORSIA addresses emissions growth and exempts around 500</w:t>
      </w:r>
      <w:r>
        <w:t xml:space="preserve"> </w:t>
      </w:r>
      <w:r>
        <w:t xml:space="preserve">Mt CO2 emissions each year. Table 6 below shows that in PO1, CORSIA covers more</w:t>
      </w:r>
      <w:r>
        <w:t xml:space="preserve"> </w:t>
      </w:r>
      <w:r>
        <w:t xml:space="preserve">emissions than the EU ETS. However, in PO2 and PO3, it covers less despite its broader</w:t>
      </w:r>
      <w:r>
        <w:t xml:space="preserve"> </w:t>
      </w:r>
      <w:r>
        <w:t xml:space="preserve">geographic scope. In PO1, high participation is assumed56, which is needed to meet the</w:t>
      </w:r>
    </w:p>
    <w:p>
      <w:pPr>
        <w:pStyle w:val="BodyText"/>
      </w:pPr>
      <w:r>
        <w:t xml:space="preserve">56 PO1: All countries that should apply CORSIA from 2027, plus all countries who volunteer now continue to</w:t>
      </w:r>
      <w:r>
        <w:t xml:space="preserve"> </w:t>
      </w:r>
      <w:r>
        <w:t xml:space="preserve">do so. Dominica and Viet Nam in from 2026, Mauritius out. Brazil, China, India, Russia in from 2027.</w:t>
      </w:r>
      <w:r>
        <w:t xml:space="preserve"> </w:t>
      </w:r>
      <w:r>
        <w:t xml:space="preserve">Baseline/ PO2/ PO3: All countries who volunteer now continue to do so. Viet Nam in from 2026; Brazil,</w:t>
      </w:r>
      <w:r>
        <w:t xml:space="preserve"> </w:t>
      </w:r>
      <w:r>
        <w:t xml:space="preserve">China, India, Russia out.</w:t>
      </w:r>
      <w:r>
        <w:t xml:space="preserve"> </w:t>
      </w:r>
      <w:r>
        <w:t xml:space="preserve">Participation also influences the amount of emissions that CORSIA does not address: Both the baseline and</w:t>
      </w:r>
      <w:r>
        <w:t xml:space="preserve"> </w:t>
      </w:r>
      <w:r>
        <w:t xml:space="preserve">the emissions taken into account in the offsetting calculation are determined annually by the collective</w:t>
      </w:r>
      <w:r>
        <w:t xml:space="preserve"> </w:t>
      </w:r>
      <w:r>
        <w:t xml:space="preserve">emissions in that year. The growth in emissions above the baseline level determines the offsetting required</w:t>
      </w:r>
      <w:r>
        <w:t xml:space="preserve"> </w:t>
      </w:r>
      <w:r>
        <w:t xml:space="preserve">for each operator under in CORSIA: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emissions coverage test in Article 28b of the ETS Directive. As CORSIA is set to end</w:t>
      </w:r>
      <w:r>
        <w:t xml:space="preserve"> </w:t>
      </w:r>
      <w:r>
        <w:t xml:space="preserve">in 2035, its emissions coverage is assumed as zero thereafter.</w:t>
      </w:r>
      <w:r>
        <w:t xml:space="preserve"> </w:t>
      </w:r>
      <w:r>
        <w:t xml:space="preserve">• Quality of offset credits: Environmental effectiveness depends also on the quality of</w:t>
      </w:r>
      <w:r>
        <w:t xml:space="preserve"> </w:t>
      </w:r>
      <w:r>
        <w:t xml:space="preserve">units (offsets) used, i.e. a tonne purchased is a tonne reduced, and this reduction is</w:t>
      </w:r>
      <w:r>
        <w:t xml:space="preserve"> </w:t>
      </w:r>
      <w:r>
        <w:t xml:space="preserve">permanent and counted only once. However, as of March 2026, analyses find</w:t>
      </w:r>
      <w:r>
        <w:t xml:space="preserve"> </w:t>
      </w:r>
      <w:r>
        <w:t xml:space="preserve">significant challenges with CORSIA-eligible offsets. For example, emissions</w:t>
      </w:r>
      <w:r>
        <w:t xml:space="preserve"> </w:t>
      </w:r>
      <w:r>
        <w:t xml:space="preserve">reductions may be overestimated (airlines would pay for a reduction of 1 tonne CO2</w:t>
      </w:r>
      <w:r>
        <w:t xml:space="preserve"> </w:t>
      </w:r>
      <w:r>
        <w:t xml:space="preserve">but, in reality, no reduction or a much smaller reduction takes place). See Annex 10,</w:t>
      </w:r>
      <w:r>
        <w:t xml:space="preserve"> </w:t>
      </w:r>
      <w:r>
        <w:t xml:space="preserve">Section 5.1.</w:t>
      </w:r>
      <w:r>
        <w:t xml:space="preserve"> </w:t>
      </w:r>
      <w:r>
        <w:t xml:space="preserve">• Enforceability: The 2021 IA gives a legal analysis of why CORSIA is not binding</w:t>
      </w:r>
      <w:r>
        <w:t xml:space="preserve"> </w:t>
      </w:r>
      <w:r>
        <w:t xml:space="preserve">unless implemented in national law. Analysis in Annex 10, Section 5.2 demonstrates</w:t>
      </w:r>
      <w:r>
        <w:t xml:space="preserve"> </w:t>
      </w:r>
      <w:r>
        <w:t xml:space="preserve">that national implementation in ICAO member states varies widely and does not include</w:t>
      </w:r>
      <w:r>
        <w:t xml:space="preserve"> </w:t>
      </w:r>
      <w:r>
        <w:t xml:space="preserve">major emitters like China, Russia or India, based on most recently available</w:t>
      </w:r>
      <w:r>
        <w:t xml:space="preserve"> </w:t>
      </w:r>
      <w:r>
        <w:t xml:space="preserve">implementation data. According to this analysis, 21 countries have penalties for</w:t>
      </w:r>
      <w:r>
        <w:t xml:space="preserve"> </w:t>
      </w:r>
      <w:r>
        <w:t xml:space="preserve">CORSIA non-compliance in place in 2025 (apart from EEA countries). This means that</w:t>
      </w:r>
      <w:r>
        <w:t xml:space="preserve"> </w:t>
      </w:r>
      <w:r>
        <w:t xml:space="preserve">the certainty of the environmental impact is greater under options where EU ETS</w:t>
      </w:r>
      <w:r>
        <w:t xml:space="preserve"> </w:t>
      </w:r>
      <w:r>
        <w:t xml:space="preserve">emissions coverage is greater (PO2 and PO3). It is the greatest in the baseline.</w:t>
      </w:r>
      <w:r>
        <w:br/>
      </w:r>
      <w:r>
        <w:t xml:space="preserve">• Fuels: Instead of relying on offsets, airlines can use SAF to meet CORSIA offsetting</w:t>
      </w:r>
      <w:r>
        <w:t xml:space="preserve"> </w:t>
      </w:r>
      <w:r>
        <w:t xml:space="preserve">requirements. However, it is far cheaper for airlines to rely on offsets57.</w:t>
      </w:r>
      <w:r>
        <w:t xml:space="preserve"> </w:t>
      </w:r>
      <w:r>
        <w:t xml:space="preserve">Table 6: Global international aviation CO2 emissions</w:t>
      </w:r>
      <w:r>
        <w:t xml:space="preserve"> </w:t>
      </w:r>
      <w:r>
        <w:t xml:space="preserve">Global international aviation CO2 emissions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All emissions per year</w:t>
      </w:r>
      <w:r>
        <w:t xml:space="preserve"> </w:t>
      </w:r>
      <w:r>
        <w:t xml:space="preserve">in MtCO2</w:t>
      </w:r>
      <w:r>
        <w:t xml:space="preserve"> </w:t>
      </w:r>
      <w:r>
        <w:t xml:space="preserve">Year</w:t>
      </w:r>
      <w:r>
        <w:t xml:space="preserve"> </w:t>
      </w:r>
      <w:r>
        <w:t xml:space="preserve">Global</w:t>
      </w:r>
      <w:r>
        <w:t xml:space="preserve"> </w:t>
      </w:r>
      <w:r>
        <w:t xml:space="preserve">emissions</w:t>
      </w:r>
      <w:r>
        <w:t xml:space="preserve"> </w:t>
      </w:r>
      <w:r>
        <w:t xml:space="preserve">ETS</w:t>
      </w:r>
      <w:r>
        <w:t xml:space="preserve"> </w:t>
      </w:r>
      <w:r>
        <w:t xml:space="preserve">coverage</w:t>
      </w:r>
      <w:r>
        <w:t xml:space="preserve"> </w:t>
      </w:r>
      <w:r>
        <w:t xml:space="preserve">CORSIA</w:t>
      </w:r>
      <w:r>
        <w:t xml:space="preserve"> </w:t>
      </w:r>
      <w:r>
        <w:t xml:space="preserve">coverage</w:t>
      </w:r>
      <w:r>
        <w:t xml:space="preserve"> </w:t>
      </w:r>
      <w:r>
        <w:t xml:space="preserve">Non-</w:t>
      </w:r>
      <w:r>
        <w:t xml:space="preserve"> </w:t>
      </w:r>
      <w:r>
        <w:t xml:space="preserve">priced</w:t>
      </w:r>
      <w:r>
        <w:t xml:space="preserve"> </w:t>
      </w:r>
      <w:r>
        <w:t xml:space="preserve">emissions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2035</w:t>
      </w:r>
      <w:r>
        <w:t xml:space="preserve"> </w:t>
      </w:r>
      <w:r>
        <w:t xml:space="preserve">600</w:t>
      </w:r>
      <w:r>
        <w:t xml:space="preserve"> </w:t>
      </w:r>
      <w:r>
        <w:t xml:space="preserve">170</w:t>
      </w:r>
      <w:r>
        <w:t xml:space="preserve"> </w:t>
      </w:r>
      <w:r>
        <w:t xml:space="preserve">60</w:t>
      </w:r>
      <w:r>
        <w:t xml:space="preserve"> </w:t>
      </w:r>
      <w:r>
        <w:t xml:space="preserve">365</w:t>
      </w:r>
      <w:r>
        <w:t xml:space="preserve"> </w:t>
      </w:r>
      <w:r>
        <w:t xml:space="preserve">2040</w:t>
      </w:r>
      <w:r>
        <w:t xml:space="preserve"> </w:t>
      </w:r>
      <w:r>
        <w:t xml:space="preserve">(87%)</w:t>
      </w:r>
      <w:r>
        <w:t xml:space="preserve"> </w:t>
      </w:r>
      <w:r>
        <w:t xml:space="preserve">590</w:t>
      </w:r>
      <w:r>
        <w:t xml:space="preserve"> </w:t>
      </w:r>
      <w:r>
        <w:t xml:space="preserve">155</w:t>
      </w:r>
      <w:r>
        <w:t xml:space="preserve"> </w:t>
      </w:r>
      <w:r>
        <w:t xml:space="preserve">0</w:t>
      </w:r>
      <w:r>
        <w:t xml:space="preserve"> </w:t>
      </w:r>
      <w:r>
        <w:t xml:space="preserve">435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2035</w:t>
      </w:r>
      <w:r>
        <w:t xml:space="preserve"> </w:t>
      </w:r>
      <w:r>
        <w:t xml:space="preserve">605</w:t>
      </w:r>
      <w:r>
        <w:t xml:space="preserve"> </w:t>
      </w:r>
      <w:r>
        <w:t xml:space="preserve">50</w:t>
      </w:r>
      <w:r>
        <w:t xml:space="preserve"> </w:t>
      </w:r>
      <w:r>
        <w:t xml:space="preserve">140</w:t>
      </w:r>
      <w:r>
        <w:t xml:space="preserve"> </w:t>
      </w:r>
      <w:r>
        <w:t xml:space="preserve">415</w:t>
      </w:r>
    </w:p>
    <w:p>
      <w:pPr>
        <w:pStyle w:val="Compact"/>
        <w:numPr>
          <w:ilvl w:val="0"/>
          <w:numId w:val="1001"/>
        </w:numPr>
      </w:pPr>
      <w:r>
        <w:t xml:space="preserve">Participation determines the overall amount of emissions taken into account in the offsetting calculation,</w:t>
      </w:r>
      <w:r>
        <w:t xml:space="preserve"> </w:t>
      </w:r>
      <w:r>
        <w:t xml:space="preserve">leaving all other international emissions below or above the floating baseline uncovered. More participation</w:t>
      </w:r>
      <w:r>
        <w:t xml:space="preserve"> </w:t>
      </w:r>
      <w:r>
        <w:t xml:space="preserve">means more emissions are taken into account in the offsetting calculation, and therefore less emissions fully</w:t>
      </w:r>
      <w:r>
        <w:t xml:space="preserve"> </w:t>
      </w:r>
      <w:r>
        <w:t xml:space="preserve">excluded.</w:t>
      </w:r>
    </w:p>
    <w:p>
      <w:pPr>
        <w:pStyle w:val="Compact"/>
        <w:numPr>
          <w:ilvl w:val="0"/>
          <w:numId w:val="1001"/>
        </w:numPr>
      </w:pPr>
      <w:r>
        <w:t xml:space="preserve">Participation determines the level of the baseline (the amount of CO2 emissions not offset) within the amount</w:t>
      </w:r>
      <w:r>
        <w:t xml:space="preserve"> </w:t>
      </w:r>
      <w:r>
        <w:t xml:space="preserve">of emissions taken into account in the calculation.</w:t>
      </w:r>
      <w:r>
        <w:t xml:space="preserve"> </w:t>
      </w:r>
      <w:r>
        <w:t xml:space="preserve">Participation also determines the amount of socialisation of the growth above the baseline. A decision by a</w:t>
      </w:r>
      <w:r>
        <w:t xml:space="preserve"> </w:t>
      </w:r>
      <w:r>
        <w:t xml:space="preserve">large, emerging economy with a faster growing aviation sector than in Europe to implement and continue to</w:t>
      </w:r>
      <w:r>
        <w:t xml:space="preserve"> </w:t>
      </w:r>
      <w:r>
        <w:t xml:space="preserve">participate in CORSIA would for example lead to Europe offsetting a larger share of emissions. The extent</w:t>
      </w:r>
      <w:r>
        <w:t xml:space="preserve"> </w:t>
      </w:r>
      <w:r>
        <w:t xml:space="preserve">of implementation and continued participation in CORSIA and its enforcement by participating states has a</w:t>
      </w:r>
      <w:r>
        <w:t xml:space="preserve"> </w:t>
      </w:r>
      <w:r>
        <w:t xml:space="preserve">larger impact than oil or carbon price on the outcomes of the options. More detail in Annex 10, Section 5.1.</w:t>
      </w:r>
      <w:r>
        <w:t xml:space="preserve"> </w:t>
      </w:r>
      <w:r>
        <w:t xml:space="preserve">57 ICAO estimates: The cost of abatement (CORSIA eligible fuel premium compared to kerosene/tCO2 abated)</w:t>
      </w:r>
      <w:r>
        <w:t xml:space="preserve"> </w:t>
      </w:r>
      <w:r>
        <w:t xml:space="preserve">around $600-800 per tCO2. The cost of abatement for using offsets at around $10-40 per tCO2. This means it</w:t>
      </w:r>
      <w:r>
        <w:t xml:space="preserve"> </w:t>
      </w:r>
      <w:r>
        <w:t xml:space="preserve">is 15-80 times cheaper for airlines to buy CORSIA eligible offsets than to use CORSIA eligible SAF. There</w:t>
      </w:r>
      <w:r>
        <w:t xml:space="preserve"> </w:t>
      </w:r>
      <w:r>
        <w:t xml:space="preserve">are a number of uncertainties around prices and also in CORSIA one tonne of eligible SAF is not counted as</w:t>
      </w:r>
      <w:r>
        <w:t xml:space="preserve"> </w:t>
      </w:r>
      <w:r>
        <w:t xml:space="preserve">one tonne of emissions reduced, decreasing the incentive to use fuels. See ICAO, Assembly Working Paper</w:t>
      </w:r>
      <w:r>
        <w:t xml:space="preserve"> </w:t>
      </w:r>
      <w:r>
        <w:t xml:space="preserve">28, August 2025, https://www.icao.int/sites/default/files/Meetings/a42/Documents/WP/wp_028_en.pdf.</w:t>
      </w:r>
    </w:p>
    <w:p>
      <w:pPr>
        <w:pStyle w:val="FirstParagraph"/>
      </w:pPr>
      <w:r>
        <w:t xml:space="preserve">36</w:t>
      </w:r>
      <w:r>
        <w:t xml:space="preserve"> </w:t>
      </w:r>
      <w:r>
        <w:t xml:space="preserve">2040</w:t>
      </w:r>
      <w:r>
        <w:t xml:space="preserve"> </w:t>
      </w:r>
      <w:r>
        <w:t xml:space="preserve">(87%)</w:t>
      </w:r>
      <w:r>
        <w:t xml:space="preserve"> </w:t>
      </w:r>
      <w:r>
        <w:t xml:space="preserve">600</w:t>
      </w:r>
      <w:r>
        <w:t xml:space="preserve"> </w:t>
      </w:r>
      <w:r>
        <w:t xml:space="preserve">45</w:t>
      </w:r>
      <w:r>
        <w:t xml:space="preserve"> </w:t>
      </w:r>
      <w:r>
        <w:t xml:space="preserve">0</w:t>
      </w:r>
      <w:r>
        <w:t xml:space="preserve"> </w:t>
      </w:r>
      <w:r>
        <w:t xml:space="preserve">555</w:t>
      </w:r>
      <w:r>
        <w:t xml:space="preserve"> </w:t>
      </w:r>
      <w:r>
        <w:t xml:space="preserve">PO2 (departing flights,</w:t>
      </w:r>
      <w:r>
        <w:t xml:space="preserve"> </w:t>
      </w:r>
      <w:r>
        <w:t xml:space="preserve">medium SAF support)</w:t>
      </w:r>
      <w:r>
        <w:t xml:space="preserve"> </w:t>
      </w:r>
      <w:r>
        <w:t xml:space="preserve">2035</w:t>
      </w:r>
      <w:r>
        <w:t xml:space="preserve"> </w:t>
      </w:r>
      <w:r>
        <w:t xml:space="preserve">605</w:t>
      </w:r>
      <w:r>
        <w:t xml:space="preserve"> </w:t>
      </w:r>
      <w:r>
        <w:t xml:space="preserve">110</w:t>
      </w:r>
      <w:r>
        <w:t xml:space="preserve"> </w:t>
      </w:r>
      <w:r>
        <w:t xml:space="preserve">75</w:t>
      </w:r>
      <w:r>
        <w:t xml:space="preserve"> </w:t>
      </w:r>
      <w:r>
        <w:t xml:space="preserve">420</w:t>
      </w:r>
      <w:r>
        <w:t xml:space="preserve"> </w:t>
      </w:r>
      <w:r>
        <w:t xml:space="preserve">2040</w:t>
      </w:r>
      <w:r>
        <w:t xml:space="preserve"> </w:t>
      </w:r>
      <w:r>
        <w:t xml:space="preserve">(87%)</w:t>
      </w:r>
      <w:r>
        <w:t xml:space="preserve"> </w:t>
      </w:r>
      <w:r>
        <w:t xml:space="preserve">595</w:t>
      </w:r>
      <w:r>
        <w:t xml:space="preserve"> </w:t>
      </w:r>
      <w:r>
        <w:t xml:space="preserve">95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PO3 (departing flights,</w:t>
      </w:r>
      <w:r>
        <w:t xml:space="preserve"> </w:t>
      </w:r>
      <w:r>
        <w:t xml:space="preserve">larger SAF support)</w:t>
      </w:r>
      <w:r>
        <w:t xml:space="preserve"> </w:t>
      </w:r>
      <w:r>
        <w:t xml:space="preserve">2035</w:t>
      </w:r>
      <w:r>
        <w:t xml:space="preserve"> </w:t>
      </w:r>
      <w:r>
        <w:t xml:space="preserve">605</w:t>
      </w:r>
      <w:r>
        <w:t xml:space="preserve"> </w:t>
      </w:r>
      <w:r>
        <w:t xml:space="preserve">110</w:t>
      </w:r>
      <w:r>
        <w:t xml:space="preserve"> </w:t>
      </w:r>
      <w:r>
        <w:t xml:space="preserve">75</w:t>
      </w:r>
      <w:r>
        <w:t xml:space="preserve"> </w:t>
      </w:r>
      <w:r>
        <w:t xml:space="preserve">420</w:t>
      </w:r>
      <w:r>
        <w:t xml:space="preserve"> </w:t>
      </w:r>
      <w:r>
        <w:t xml:space="preserve">2040</w:t>
      </w:r>
      <w:r>
        <w:t xml:space="preserve"> </w:t>
      </w:r>
      <w:r>
        <w:t xml:space="preserve">(87%)</w:t>
      </w:r>
      <w:r>
        <w:t xml:space="preserve"> </w:t>
      </w:r>
      <w:r>
        <w:t xml:space="preserve">595</w:t>
      </w:r>
      <w:r>
        <w:t xml:space="preserve"> </w:t>
      </w:r>
      <w:r>
        <w:t xml:space="preserve">95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Global international aviation emissions cover inside Europe: domestic and non-domestic;</w:t>
      </w:r>
      <w:r>
        <w:t xml:space="preserve"> </w:t>
      </w:r>
      <w:r>
        <w:t xml:space="preserve">outside Europe: non-domestic only. The far-right column shows emissions that remain without</w:t>
      </w:r>
      <w:r>
        <w:t xml:space="preserve"> </w:t>
      </w:r>
      <w:r>
        <w:t xml:space="preserve">a carbon price. Numbers rounded to the nearest 5Mt.</w:t>
      </w:r>
      <w:r>
        <w:t xml:space="preserve"> </w:t>
      </w:r>
      <w:r>
        <w:t xml:space="preserve">• SAF use</w:t>
      </w:r>
      <w:r>
        <w:t xml:space="preserve"> </w:t>
      </w:r>
      <w:r>
        <w:t xml:space="preserve">On support for the uptake of eligible fuels, between 2028 and 2035, around 40 Mt of</w:t>
      </w:r>
      <w:r>
        <w:t xml:space="preserve"> </w:t>
      </w:r>
      <w:r>
        <w:t xml:space="preserve">sustainable aviation fuel (including 6 Mt of synthetic fuels) compliant with ReFuelEU Aviation</w:t>
      </w:r>
      <w:r>
        <w:t xml:space="preserve"> </w:t>
      </w:r>
      <w:r>
        <w:t xml:space="preserve">Regulation would be used. This SAF use decreases the emissions covered by EU ETS</w:t>
      </w:r>
      <w:r>
        <w:t xml:space="preserve"> </w:t>
      </w:r>
      <w:r>
        <w:t xml:space="preserve">allowances by 130 Mt58. All options assume uptake and use of SAF on flights departing the</w:t>
      </w:r>
      <w:r>
        <w:t xml:space="preserve"> </w:t>
      </w:r>
      <w:r>
        <w:t xml:space="preserve">EEA in line with the ReFuelEU Aviation mandates. While ETS-financed SAF support may</w:t>
      </w:r>
      <w:r>
        <w:t xml:space="preserve"> </w:t>
      </w:r>
      <w:r>
        <w:t xml:space="preserve">incentivise higher uptake of SAF, this is not modelled given large uncertainties in this nascent</w:t>
      </w:r>
      <w:r>
        <w:t xml:space="preserve"> </w:t>
      </w:r>
      <w:r>
        <w:t xml:space="preserve">market, high price differentials with fossil kerosene, and to avoid overestimating available</w:t>
      </w:r>
      <w:r>
        <w:t xml:space="preserve"> </w:t>
      </w:r>
      <w:r>
        <w:t xml:space="preserve">supply. However, under PO2 and PO3, the extension of SAF support offers an additional</w:t>
      </w:r>
      <w:r>
        <w:t xml:space="preserve"> </w:t>
      </w:r>
      <w:r>
        <w:t xml:space="preserve">incentive over PO1, making PO3 with a larger amount of SAF support the option with the</w:t>
      </w:r>
      <w:r>
        <w:t xml:space="preserve"> </w:t>
      </w:r>
      <w:r>
        <w:t xml:space="preserve">highest potential for impact on emission reductions. In the modelling, this impact is offset by</w:t>
      </w:r>
      <w:r>
        <w:t xml:space="preserve"> </w:t>
      </w:r>
      <w:r>
        <w:t xml:space="preserve">an overall increase in traffic, so when comparing PO2 and PO3, overall PO3 leads to higher</w:t>
      </w:r>
      <w:r>
        <w:t xml:space="preserve"> </w:t>
      </w:r>
      <w:r>
        <w:t xml:space="preserve">emissions. This is because SAF is mixed with Jet-A (kerosene), and the kerosene emissions are</w:t>
      </w:r>
      <w:r>
        <w:t xml:space="preserve"> </w:t>
      </w:r>
      <w:r>
        <w:t xml:space="preserve">greater than savings from the use of SAF at least until 2040.</w:t>
      </w:r>
      <w:r>
        <w:t xml:space="preserve"> </w:t>
      </w:r>
      <w:r>
        <w:t xml:space="preserve">6.1.1.6. Maritime</w:t>
      </w:r>
      <w:r>
        <w:t xml:space="preserve"> </w:t>
      </w:r>
      <w:r>
        <w:t xml:space="preserve">For maritime, the environmental impacts of the baseline and of PO1 are the same. In both</w:t>
      </w:r>
      <w:r>
        <w:t xml:space="preserve"> </w:t>
      </w:r>
      <w:r>
        <w:t xml:space="preserve">cases, GHG emissions from the maritime sector follow a decreasing trajectory driven by</w:t>
      </w:r>
      <w:r>
        <w:t xml:space="preserve"> </w:t>
      </w:r>
      <w:r>
        <w:t xml:space="preserve">regulatory measures at EU level (as currently legislated) along with future mid-term measures</w:t>
      </w:r>
      <w:r>
        <w:t xml:space="preserve"> </w:t>
      </w:r>
      <w:r>
        <w:t xml:space="preserve">at IMO (once adopted), in line with the IMO 2023 GHG Strategy. By 2050, policy option PO1,</w:t>
      </w:r>
      <w:r>
        <w:t xml:space="preserve"> </w:t>
      </w:r>
      <w:r>
        <w:t xml:space="preserve">which does not cover emissions from smaller vessels, results in residual emissions estimated</w:t>
      </w:r>
      <w:r>
        <w:t xml:space="preserve"> </w:t>
      </w:r>
      <w:r>
        <w:t xml:space="preserve">at 20 MtCO2e, the majority of which come from small vessels (14 out of 20 MtCO2e).</w:t>
      </w:r>
      <w:r>
        <w:t xml:space="preserve"> </w:t>
      </w:r>
      <w:r>
        <w:t xml:space="preserve">The recycling of part of the ETS revenues in shipping in PO2 is expected to accelerate the</w:t>
      </w:r>
      <w:r>
        <w:t xml:space="preserve"> </w:t>
      </w:r>
      <w:r>
        <w:t xml:space="preserve">uptake of GHG mitigation measures in the sector. The establishment of a Sustainable Maritime</w:t>
      </w:r>
      <w:r>
        <w:t xml:space="preserve"> </w:t>
      </w:r>
      <w:r>
        <w:t xml:space="preserve">Alternative Propulsion mechanism (SMAP) would directly support the use and production of</w:t>
      </w:r>
      <w:r>
        <w:t xml:space="preserve"> </w:t>
      </w:r>
      <w:r>
        <w:t xml:space="preserve">renewable and low-carbon maritime fuels by reducing the price gap compared to fossil fuels</w:t>
      </w:r>
      <w:r>
        <w:t xml:space="preserve"> </w:t>
      </w:r>
      <w:r>
        <w:t xml:space="preserve">and support the uptake of clean propulsion technologies, which are both key to unlock the</w:t>
      </w:r>
      <w:r>
        <w:t xml:space="preserve"> </w:t>
      </w:r>
      <w:r>
        <w:t xml:space="preserve">decarbonisation of the sector. This may however come with trade-offs between investment in</w:t>
      </w:r>
    </w:p>
    <w:p>
      <w:pPr>
        <w:pStyle w:val="BodyText"/>
      </w:pPr>
      <w:r>
        <w:t xml:space="preserve">58 Due to the zero-rating of SAF under EU ETS, the fuel is considered to emit 0 CO2/tonne of fuel. However,</w:t>
      </w:r>
      <w:r>
        <w:t xml:space="preserve"> </w:t>
      </w:r>
      <w:r>
        <w:t xml:space="preserve">in reality, these fuels still have upstream emissions.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a hard-to-abate sector and possible other revenue uses for more cost-efficient emission</w:t>
      </w:r>
      <w:r>
        <w:t xml:space="preserve"> </w:t>
      </w:r>
      <w:r>
        <w:t xml:space="preserve">reductions in the short-term.</w:t>
      </w:r>
      <w:r>
        <w:t xml:space="preserve"> </w:t>
      </w:r>
      <w:r>
        <w:t xml:space="preserve">As regards anti-evasion measures, the lowering of the container transhipment</w:t>
      </w:r>
      <w:r>
        <w:t xml:space="preserve"> </w:t>
      </w:r>
      <w:r>
        <w:t xml:space="preserve">incidence threshold to 50% contemplated in PO2 would marginally increase the ETS maritime</w:t>
      </w:r>
      <w:r>
        <w:t xml:space="preserve"> </w:t>
      </w:r>
      <w:r>
        <w:t xml:space="preserve">scope in the short-term (+0.2% compared to current situation). The other anti-evasion measure</w:t>
      </w:r>
      <w:r>
        <w:t xml:space="preserve"> </w:t>
      </w:r>
      <w:r>
        <w:t xml:space="preserve">regarding offshore ships, is expected to lead to an overall small net reduction in ETS scope</w:t>
      </w:r>
      <w:r>
        <w:t xml:space="preserve"> </w:t>
      </w:r>
      <w:r>
        <w:t xml:space="preserve">emissions.</w:t>
      </w:r>
      <w:r>
        <w:br/>
      </w:r>
      <w:r>
        <w:t xml:space="preserve">The extension in PO2 of the current maritime derogations beyond 2030 for ice-class vessels,</w:t>
      </w:r>
      <w:r>
        <w:t xml:space="preserve"> </w:t>
      </w:r>
      <w:r>
        <w:t xml:space="preserve">small islands, outermost regions and transnational public service contract or public service</w:t>
      </w:r>
      <w:r>
        <w:t xml:space="preserve"> </w:t>
      </w:r>
      <w:r>
        <w:t xml:space="preserve">obligation, would lead to 5 MtCO2e per year being excluded from the ETS scope</w:t>
      </w:r>
      <w:r>
        <w:t xml:space="preserve"> </w:t>
      </w:r>
      <w:r>
        <w:t xml:space="preserve">(corresponding to around 5% of all ETS scope maritime emissions in 2024).</w:t>
      </w:r>
      <w:r>
        <w:t xml:space="preserve"> </w:t>
      </w:r>
      <w:r>
        <w:t xml:space="preserve">The IMO deduction measure included in PO2 to address the risk of double payment in case</w:t>
      </w:r>
      <w:r>
        <w:t xml:space="preserve"> </w:t>
      </w:r>
      <w:r>
        <w:t xml:space="preserve">payments for emissions are made at IMO level is not expected to alter the environmental</w:t>
      </w:r>
      <w:r>
        <w:t xml:space="preserve"> </w:t>
      </w:r>
      <w:r>
        <w:t xml:space="preserve">integrity of the ETS system as the measure comes together with an obligation to cancel a similar</w:t>
      </w:r>
      <w:r>
        <w:t xml:space="preserve"> </w:t>
      </w:r>
      <w:r>
        <w:t xml:space="preserve">amount of ETS allowances. The IMO deduction measure is applicable to all ships without</w:t>
      </w:r>
      <w:r>
        <w:t xml:space="preserve"> </w:t>
      </w:r>
      <w:r>
        <w:t xml:space="preserve">discrimination, which are subject to EU ETS and whose emissions would be priced under a</w:t>
      </w:r>
      <w:r>
        <w:t xml:space="preserve"> </w:t>
      </w:r>
      <w:r>
        <w:t xml:space="preserve">future IMO global measure. The deduction is expected to have positive environmental impacts</w:t>
      </w:r>
      <w:r>
        <w:t xml:space="preserve"> </w:t>
      </w:r>
      <w:r>
        <w:t xml:space="preserve">at international level as it ensures that the EU ETS is adjusted in coherence with the IMO</w:t>
      </w:r>
      <w:r>
        <w:t xml:space="preserve"> </w:t>
      </w:r>
      <w:r>
        <w:t xml:space="preserve">decisions. At the same time, the application of the EU cap-and-trade system to the EU maritime</w:t>
      </w:r>
      <w:r>
        <w:t xml:space="preserve"> </w:t>
      </w:r>
      <w:r>
        <w:t xml:space="preserve">emissions not priced by a future IMO measure allows the EU to deliver on its climate targets</w:t>
      </w:r>
      <w:r>
        <w:t xml:space="preserve"> </w:t>
      </w:r>
      <w:r>
        <w:t xml:space="preserve">and on international climate contributions in the UNFCCC context, including the EU</w:t>
      </w:r>
      <w:r>
        <w:t xml:space="preserve"> </w:t>
      </w:r>
      <w:r>
        <w:t xml:space="preserve">submission of an updated Nationally Determined Contribution (NDC) for 2035.</w:t>
      </w:r>
      <w:r>
        <w:br/>
      </w:r>
      <w:r>
        <w:t xml:space="preserve">The extension of the ETS to most emitting categories of smaller vessels in option PO2</w:t>
      </w:r>
      <w:r>
        <w:t xml:space="preserve"> </w:t>
      </w:r>
      <w:r>
        <w:t xml:space="preserve">would increase the ETS scope by 11.3 MtCO2e (13%). Overall, PO2 would result in much</w:t>
      </w:r>
      <w:r>
        <w:t xml:space="preserve"> </w:t>
      </w:r>
      <w:r>
        <w:t xml:space="preserve">lower residual emissions by 2050 (-41.3% in comparison to PO1) and it would lead to a</w:t>
      </w:r>
      <w:r>
        <w:t xml:space="preserve"> </w:t>
      </w:r>
      <w:r>
        <w:t xml:space="preserve">cumulative reduction in GHG emissions of around 5% over the period 2030-2050 in</w:t>
      </w:r>
      <w:r>
        <w:t xml:space="preserve"> </w:t>
      </w:r>
      <w:r>
        <w:t xml:space="preserve">comparison to PO1 and the baseline (considering all vessels above 400 GT). It would also lead</w:t>
      </w:r>
      <w:r>
        <w:t xml:space="preserve"> </w:t>
      </w:r>
      <w:r>
        <w:t xml:space="preserve">to an increase in the uptake of renewable fuels in the sector, by around 2% by 2040 and 5% by</w:t>
      </w:r>
      <w:r>
        <w:t xml:space="preserve"> </w:t>
      </w:r>
      <w:r>
        <w:t xml:space="preserve">2050.</w:t>
      </w:r>
      <w:r>
        <w:br/>
      </w:r>
      <w:r>
        <w:t xml:space="preserve">The environmental impact of option PO3 for maritime is relatively comparable to the</w:t>
      </w:r>
      <w:r>
        <w:t xml:space="preserve"> </w:t>
      </w:r>
      <w:r>
        <w:t xml:space="preserve">outcomes of PO2. The main difference is driven by the extension of EU ETS to more smaller</w:t>
      </w:r>
      <w:r>
        <w:t xml:space="preserve"> </w:t>
      </w:r>
      <w:r>
        <w:t xml:space="preserve">vessels (including fishing vessels and non-commercial yachts), which would increase the ETS</w:t>
      </w:r>
      <w:r>
        <w:t xml:space="preserve"> </w:t>
      </w:r>
      <w:r>
        <w:t xml:space="preserve">scope by 14.6 MtCO₂e (+17%). Overall, PO3 would lead to a cumulative reduction in GHG</w:t>
      </w:r>
      <w:r>
        <w:t xml:space="preserve"> </w:t>
      </w:r>
      <w:r>
        <w:t xml:space="preserve">emissions of 6.2% over the period 2030-2050 compared to the baseline.</w:t>
      </w:r>
      <w:r>
        <w:br/>
      </w:r>
      <w:r>
        <w:t xml:space="preserve">In sum, the extension of the ETS to smaller vessels in PO2 and PO3 would increase the scope</w:t>
      </w:r>
      <w:r>
        <w:t xml:space="preserve"> </w:t>
      </w:r>
      <w:r>
        <w:t xml:space="preserve">of emissions under ETS whereas the IMO deduction measure would diminish it (depending on</w:t>
      </w:r>
      <w:r>
        <w:t xml:space="preserve"> </w:t>
      </w:r>
      <w:r>
        <w:t xml:space="preserve">the scope of emissions priced under a future IMO measure). Extending derogations (the same</w:t>
      </w:r>
      <w:r>
        <w:t xml:space="preserve"> </w:t>
      </w:r>
      <w:r>
        <w:t xml:space="preserve">for PO2 and PO3) would diminish the emissions under ETS further by some 5 MtCO₂e per</w:t>
      </w:r>
      <w:r>
        <w:t xml:space="preserve"> </w:t>
      </w:r>
      <w:r>
        <w:t xml:space="preserve">year.</w:t>
      </w:r>
      <w:r>
        <w:t xml:space="preserve"> </w:t>
      </w:r>
      <w:r>
        <w:t xml:space="preserve">6.1.1.7. Carbon leakage prevention</w:t>
      </w:r>
      <w:r>
        <w:t xml:space="preserve"> </w:t>
      </w:r>
      <w:r>
        <w:t xml:space="preserve">The impact of the policy options on carbon leakage is assessed via the GEM-E3 model. The</w:t>
      </w:r>
      <w:r>
        <w:t xml:space="preserve"> </w:t>
      </w:r>
      <w:r>
        <w:t xml:space="preserve">GEM-E3 model only partially considers the increased scope of the EU ETS envisaged under</w:t>
      </w:r>
      <w:r>
        <w:t xml:space="preserve"> </w:t>
      </w:r>
      <w:r>
        <w:t xml:space="preserve">PO2 or PO3, via the inclusion of waste emissions under the EU ETS, but it is not able to consider</w:t>
      </w:r>
      <w:r>
        <w:t xml:space="preserve"> </w:t>
      </w:r>
      <w:r>
        <w:t xml:space="preserve">the particular effects of other measures in the policy options. Given that each of the policy options</w:t>
      </w:r>
      <w:r>
        <w:t xml:space="preserve"> </w:t>
      </w:r>
      <w:r>
        <w:t xml:space="preserve">include different free allocation distributions across industry, the model run from GEM-E3</w:t>
      </w:r>
      <w:r>
        <w:t xml:space="preserve"> </w:t>
      </w:r>
      <w:r>
        <w:t xml:space="preserve">provides insights into how each policy option results in different impacts in terms of carbon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leakage. Additionally, the extension of EU ETS sectoral coverage is examined to include also</w:t>
      </w:r>
      <w:r>
        <w:t xml:space="preserve"> </w:t>
      </w:r>
      <w:r>
        <w:t xml:space="preserve">waste emissions in PO2 and PO3. PO2 includes only municipal waste incineration (MWI) in EU</w:t>
      </w:r>
      <w:r>
        <w:t xml:space="preserve"> </w:t>
      </w:r>
      <w:r>
        <w:t xml:space="preserve">ETS while PO3 includes all waste emissions under EU ETS.</w:t>
      </w:r>
      <w:r>
        <w:br/>
      </w:r>
      <w:r>
        <w:t xml:space="preserve">The evaluation findings confirmed that in the previous period there was little evidence of carbon</w:t>
      </w:r>
      <w:r>
        <w:t xml:space="preserve"> </w:t>
      </w:r>
      <w:r>
        <w:t xml:space="preserve">leakage due to the relatively low carbon price and the high share of free allocation compared to</w:t>
      </w:r>
      <w:r>
        <w:t xml:space="preserve"> </w:t>
      </w:r>
      <w:r>
        <w:t xml:space="preserve">emissions. However, this also has the effect of reducing the incentives to reduce emissions and</w:t>
      </w:r>
      <w:r>
        <w:t xml:space="preserve"> </w:t>
      </w:r>
      <w:r>
        <w:t xml:space="preserve">invest in the decarbonisation. The revision of free allocation rules for Phase IV already moved</w:t>
      </w:r>
      <w:r>
        <w:t xml:space="preserve"> </w:t>
      </w:r>
      <w:r>
        <w:t xml:space="preserve">in that direction to balance the need for carbon leakage protection and the need to encourage the</w:t>
      </w:r>
      <w:r>
        <w:t xml:space="preserve"> </w:t>
      </w:r>
      <w:r>
        <w:t xml:space="preserve">reduction in emissions by developing a more targeted carbon leakage list, more ambitious</w:t>
      </w:r>
      <w:r>
        <w:t xml:space="preserve"> </w:t>
      </w:r>
      <w:r>
        <w:t xml:space="preserve">benchmarks, and the introduction of adjustments to allocation to better consider changes in</w:t>
      </w:r>
      <w:r>
        <w:t xml:space="preserve"> </w:t>
      </w:r>
      <w:r>
        <w:t xml:space="preserve">activity levels. The reforms to free allocation considered in this assessment continues in this</w:t>
      </w:r>
      <w:r>
        <w:t xml:space="preserve"> </w:t>
      </w:r>
      <w:r>
        <w:t xml:space="preserve">direction, aiming to ensure a fair balance between safeguarding current competitiveness of</w:t>
      </w:r>
      <w:r>
        <w:t xml:space="preserve"> </w:t>
      </w:r>
      <w:r>
        <w:t xml:space="preserve">European industry and encouraging emissions reductions and investments to promote long term</w:t>
      </w:r>
      <w:r>
        <w:t xml:space="preserve"> </w:t>
      </w:r>
      <w:r>
        <w:t xml:space="preserve">competitiveness. The following reforms to free allocation are reflected in the policy options:</w:t>
      </w:r>
      <w:r>
        <w:t xml:space="preserve"> </w:t>
      </w:r>
      <w:r>
        <w:t xml:space="preserve">• In PO1, free allocation is reformed in accordance with the CL1 measure, which assumes</w:t>
      </w:r>
      <w:r>
        <w:t xml:space="preserve"> </w:t>
      </w:r>
      <w:r>
        <w:t xml:space="preserve">a continuation of free allocation for non-CBAM sectors based on the existing rules, but</w:t>
      </w:r>
      <w:r>
        <w:t xml:space="preserve"> </w:t>
      </w:r>
      <w:r>
        <w:t xml:space="preserve">with some streamlining and simplification.</w:t>
      </w:r>
      <w:r>
        <w:br/>
      </w:r>
      <w:r>
        <w:t xml:space="preserve">• In PO2, free allocation is reformed in accordance with the CL2 measure, which assumes</w:t>
      </w:r>
      <w:r>
        <w:t xml:space="preserve"> </w:t>
      </w:r>
      <w:r>
        <w:t xml:space="preserve">that a progressive share of free allocation is conditional on investments with two</w:t>
      </w:r>
      <w:r>
        <w:t xml:space="preserve"> </w:t>
      </w:r>
      <w:r>
        <w:t xml:space="preserve">variants of compliance modelled (i.e. 90% compliance and 50 % compliance). This</w:t>
      </w:r>
      <w:r>
        <w:t xml:space="preserve"> </w:t>
      </w:r>
      <w:r>
        <w:t xml:space="preserve">policy options also includes a revision of the CBAM phase-out factor.</w:t>
      </w:r>
      <w:r>
        <w:br/>
      </w:r>
      <w:r>
        <w:t xml:space="preserve">• In PO3, free allocation is reformed in accordance with the CL3 measure, which assumes</w:t>
      </w:r>
      <w:r>
        <w:t xml:space="preserve"> </w:t>
      </w:r>
      <w:r>
        <w:t xml:space="preserve">that free allowances are phased out for non-CBAM sectors at the same rate as for</w:t>
      </w:r>
      <w:r>
        <w:t xml:space="preserve"> </w:t>
      </w:r>
      <w:r>
        <w:t xml:space="preserve">CBAM sectors so that from 2034 onwards no further free allocation is provided to</w:t>
      </w:r>
      <w:r>
        <w:t xml:space="preserve"> </w:t>
      </w:r>
      <w:r>
        <w:t xml:space="preserve">industry.</w:t>
      </w:r>
      <w:r>
        <w:t xml:space="preserve"> </w:t>
      </w:r>
      <w:r>
        <w:t xml:space="preserve">In addition, scenario variants for PO1 and PO3 marked with R include revised revenue</w:t>
      </w:r>
      <w:r>
        <w:t xml:space="preserve"> </w:t>
      </w:r>
      <w:r>
        <w:t xml:space="preserve">recycling assumptions where analysed, while scenario variants marked with C for PO2 refer to</w:t>
      </w:r>
      <w:r>
        <w:t xml:space="preserve"> </w:t>
      </w:r>
      <w:r>
        <w:t xml:space="preserve">variants with a slow-down of the phase-out of free allocation for the sectors under the scope of</w:t>
      </w:r>
      <w:r>
        <w:t xml:space="preserve"> </w:t>
      </w:r>
      <w:r>
        <w:t xml:space="preserve">CBAM. A more detailed description of the scenarios used in the GEM-E3 analysis can be found</w:t>
      </w:r>
      <w:r>
        <w:t xml:space="preserve"> </w:t>
      </w:r>
      <w:r>
        <w:t xml:space="preserve">in Annex 12, Section 1.4.1.</w:t>
      </w:r>
      <w:r>
        <w:br/>
      </w:r>
      <w:r>
        <w:t xml:space="preserve">These reforms to the provision of free allocation that are included within the policy options are</w:t>
      </w:r>
      <w:r>
        <w:t xml:space="preserve"> </w:t>
      </w:r>
      <w:r>
        <w:t xml:space="preserve">compared to the baseline scenario, which considers a phase out of free allocation until 2040.</w:t>
      </w:r>
      <w:r>
        <w:t xml:space="preserve"> </w:t>
      </w:r>
      <w:r>
        <w:t xml:space="preserve">The conventional approach for carbon leakage assessment considers the emissions that increase</w:t>
      </w:r>
      <w:r>
        <w:t xml:space="preserve"> </w:t>
      </w:r>
      <w:r>
        <w:t xml:space="preserve">in one (not regulated) region whilst decreasing in another regulated region and can be expressed</w:t>
      </w:r>
      <w:r>
        <w:t xml:space="preserve"> </w:t>
      </w:r>
      <w:r>
        <w:t xml:space="preserve">by the following simple formula: Carbon leakage rate = increase in foreign emissions /</w:t>
      </w:r>
      <w:r>
        <w:t xml:space="preserve"> </w:t>
      </w:r>
      <w:r>
        <w:t xml:space="preserve">decrease in domestic emissions. However, EU27 EU ETS GHG emissions increase from</w:t>
      </w:r>
      <w:r>
        <w:t xml:space="preserve"> </w:t>
      </w:r>
      <w:r>
        <w:t xml:space="preserve">baseline levels in all policy options, as the ambition level is reduced. Within the limitations of</w:t>
      </w:r>
      <w:r>
        <w:t xml:space="preserve"> </w:t>
      </w:r>
      <w:r>
        <w:t xml:space="preserve">the GEM-E3 model, the results show that as these emissions increase, the ETS sectors covered</w:t>
      </w:r>
      <w:r>
        <w:t xml:space="preserve"> </w:t>
      </w:r>
      <w:r>
        <w:t xml:space="preserve">are not threatened by carbon leakage risks. Instead, the impacts on EU, non-EU and global</w:t>
      </w:r>
      <w:r>
        <w:t xml:space="preserve"> </w:t>
      </w:r>
      <w:r>
        <w:t xml:space="preserve">GHG emissions are presented to discuss environmental implications both at the EU level and</w:t>
      </w:r>
      <w:r>
        <w:t xml:space="preserve"> </w:t>
      </w:r>
      <w:r>
        <w:t xml:space="preserve">beyond.</w:t>
      </w:r>
      <w:r>
        <w:t xml:space="preserve"> </w:t>
      </w:r>
      <w:r>
        <w:t xml:space="preserve">Emissions are influenced both by the number of free allowances allocated and by the carbon</w:t>
      </w:r>
      <w:r>
        <w:t xml:space="preserve"> </w:t>
      </w:r>
      <w:r>
        <w:t xml:space="preserve">price required to meet the EU ETS cap. In PO2—and especially in PO3—the inclusion of waste</w:t>
      </w:r>
      <w:r>
        <w:t xml:space="preserve"> </w:t>
      </w:r>
      <w:r>
        <w:t xml:space="preserve">emissions in EU ETS results in an increase of the cap, which leads to higher emissions across</w:t>
      </w:r>
      <w:r>
        <w:t xml:space="preserve"> </w:t>
      </w:r>
      <w:r>
        <w:t xml:space="preserve">all EU ETS sectors. In addition, the increase of the cap for PO1 and PO2 result in higher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allocation of free allowances compared to the baseline, thus providing additional protection</w:t>
      </w:r>
      <w:r>
        <w:t xml:space="preserve"> </w:t>
      </w:r>
      <w:r>
        <w:t xml:space="preserve">against carbon leakage. Overall, EU27 emissions increase across most scenarios, driven by</w:t>
      </w:r>
      <w:r>
        <w:t xml:space="preserve"> </w:t>
      </w:r>
      <w:r>
        <w:t xml:space="preserve">three main factors: 1) the number of free allowances allocated in EU ETS sectors; 2) the carbon</w:t>
      </w:r>
      <w:r>
        <w:t xml:space="preserve"> </w:t>
      </w:r>
      <w:r>
        <w:t xml:space="preserve">price required to meet the EU ETS cap and 3) the increase in economic activity observed in all</w:t>
      </w:r>
      <w:r>
        <w:t xml:space="preserve"> </w:t>
      </w:r>
      <w:r>
        <w:t xml:space="preserve">scenarios. At the level of the total economy, EU27 emissions increase because of higher overall</w:t>
      </w:r>
      <w:r>
        <w:t xml:space="preserve"> </w:t>
      </w:r>
      <w:r>
        <w:t xml:space="preserve">activity across all scenarios. The economy wide increase of EU27 emissions ranges between</w:t>
      </w:r>
      <w:r>
        <w:t xml:space="preserve"> </w:t>
      </w:r>
      <w:r>
        <w:t xml:space="preserve">an additional 7 MtCO2eq in 2040 under PO2, 50 and 46 MtCO2eq under PO3, compared to the</w:t>
      </w:r>
      <w:r>
        <w:t xml:space="preserve"> </w:t>
      </w:r>
      <w:r>
        <w:t xml:space="preserve">baseline. In terms of sectoral results, the most significant increase of emissions is recorded for</w:t>
      </w:r>
      <w:r>
        <w:t xml:space="preserve"> </w:t>
      </w:r>
      <w:r>
        <w:t xml:space="preserve">the non-metallic sector, with up to 10 MtCO2eq in 2040 under PO3. Additional details,</w:t>
      </w:r>
      <w:r>
        <w:t xml:space="preserve"> </w:t>
      </w:r>
      <w:r>
        <w:t xml:space="preserve">including figures and insight for selected sectors can be found in Annex 12, Section 1.4.4.1.</w:t>
      </w:r>
      <w:r>
        <w:t xml:space="preserve"> </w:t>
      </w:r>
      <w:r>
        <w:t xml:space="preserve">Indirect carbon cost (ICC) compensation can provide substantial environmental benefits, since</w:t>
      </w:r>
      <w:r>
        <w:t xml:space="preserve"> </w:t>
      </w:r>
      <w:r>
        <w:t xml:space="preserve">electrified technologies have the potential to provide up to 90% of Europe’s industrial heat</w:t>
      </w:r>
      <w:r>
        <w:t xml:space="preserve"> </w:t>
      </w:r>
      <w:r>
        <w:t xml:space="preserve">demand by 2035. Electrification, combined with decarbonisation of electricity supply,</w:t>
      </w:r>
      <w:r>
        <w:t xml:space="preserve"> </w:t>
      </w:r>
      <w:r>
        <w:t xml:space="preserve">therefore delivers a climate benefit. The extent of the benefit depends on the mixture of fossil-</w:t>
      </w:r>
      <w:r>
        <w:t xml:space="preserve"> </w:t>
      </w:r>
      <w:r>
        <w:t xml:space="preserve">based industrial processes that are replaced, as well as the emissions from increased electricity</w:t>
      </w:r>
      <w:r>
        <w:t xml:space="preserve"> </w:t>
      </w:r>
      <w:r>
        <w:t xml:space="preserve">demand. ICC compensation supports the business case for electro-intensive industrial</w:t>
      </w:r>
      <w:r>
        <w:t xml:space="preserve"> </w:t>
      </w:r>
      <w:r>
        <w:t xml:space="preserve">processes by reducing their carbon costs. It is particularly relevant for electrified industrial</w:t>
      </w:r>
      <w:r>
        <w:t xml:space="preserve"> </w:t>
      </w:r>
      <w:r>
        <w:t xml:space="preserve">processes that face an indirect carbon cost and compete with non-electrified processes that emit</w:t>
      </w:r>
      <w:r>
        <w:t xml:space="preserve"> </w:t>
      </w:r>
      <w:r>
        <w:t xml:space="preserve">CO2 directly and benefit from free allocation. Conceptually, the environmental benefit of ICC</w:t>
      </w:r>
      <w:r>
        <w:t xml:space="preserve"> </w:t>
      </w:r>
      <w:r>
        <w:t xml:space="preserve">compensation is therefore a combination of:</w:t>
      </w:r>
      <w:r>
        <w:t xml:space="preserve"> </w:t>
      </w:r>
      <w:r>
        <w:t xml:space="preserve">• Carbon leakage protection: addressing the risk of electro-intensive industries</w:t>
      </w:r>
      <w:r>
        <w:t xml:space="preserve"> </w:t>
      </w:r>
      <w:r>
        <w:t xml:space="preserve">relocating, due to indirect carbon costs, to areas with less strict climate governance.</w:t>
      </w:r>
      <w:r>
        <w:t xml:space="preserve"> </w:t>
      </w:r>
      <w:r>
        <w:t xml:space="preserve">• Incentivising electrification: supporting the business case for electrification relative to</w:t>
      </w:r>
      <w:r>
        <w:t xml:space="preserve"> </w:t>
      </w:r>
      <w:r>
        <w:t xml:space="preserve">direct emissions, for industries that could electrify their processes.</w:t>
      </w:r>
      <w:r>
        <w:br/>
      </w:r>
      <w:r>
        <w:t xml:space="preserve">Under continuation of current policies, the ETS Directive would continue to encourage</w:t>
      </w:r>
      <w:r>
        <w:t xml:space="preserve"> </w:t>
      </w:r>
      <w:r>
        <w:t xml:space="preserve">Member States to provide ICC compensation. Article 10a(6) would continue to apply, outlining</w:t>
      </w:r>
      <w:r>
        <w:t xml:space="preserve"> </w:t>
      </w:r>
      <w:r>
        <w:t xml:space="preserve">the key features of Member States’ compensation measures (e.g. they should be based on</w:t>
      </w:r>
      <w:r>
        <w:t xml:space="preserve"> </w:t>
      </w:r>
      <w:r>
        <w:t xml:space="preserve">indirect emission benchmarks corresponding to the most efficient available technologies and</w:t>
      </w:r>
      <w:r>
        <w:t xml:space="preserve"> </w:t>
      </w:r>
      <w:r>
        <w:t xml:space="preserve">emissions of the relevant European electricity production mix). Future State aid rules (which</w:t>
      </w:r>
      <w:r>
        <w:t xml:space="preserve"> </w:t>
      </w:r>
      <w:r>
        <w:t xml:space="preserve">are not the subject of this Impact Assessment) would determine more detailed parameters such</w:t>
      </w:r>
      <w:r>
        <w:t xml:space="preserve"> </w:t>
      </w:r>
      <w:r>
        <w:t xml:space="preserve">as sectoral eligibility and any other conditions that beneficiaries would have to meet.</w:t>
      </w:r>
      <w:r>
        <w:br/>
      </w:r>
      <w:r>
        <w:t xml:space="preserve">Policy option ICC1 would continue the State-aid-based approach and propose limited</w:t>
      </w:r>
      <w:r>
        <w:t xml:space="preserve"> </w:t>
      </w:r>
      <w:r>
        <w:t xml:space="preserve">amendments to the ETS Directive’s ICC provisions.</w:t>
      </w:r>
      <w:r>
        <w:br/>
      </w:r>
      <w:r>
        <w:t xml:space="preserve">In policy option ICC2, an ICC Fund would be established to provide compensation at an EU-</w:t>
      </w:r>
      <w:r>
        <w:t xml:space="preserve"> </w:t>
      </w:r>
      <w:r>
        <w:t xml:space="preserve">level on a harmonised basis in order to reduce distortion of the single market and provide a</w:t>
      </w:r>
      <w:r>
        <w:t xml:space="preserve"> </w:t>
      </w:r>
      <w:r>
        <w:t xml:space="preserve">level playing field for industry. Due to competing claims on ETS auction revenues (see Section</w:t>
      </w:r>
      <w:r>
        <w:t xml:space="preserve"> </w:t>
      </w:r>
      <w:r>
        <w:t xml:space="preserve">6.1.1.4) the proposed scale of the fund (e.g. 5% of the average revenue for 2031-2040) would</w:t>
      </w:r>
      <w:r>
        <w:t xml:space="preserve"> </w:t>
      </w:r>
      <w:r>
        <w:t xml:space="preserve">be smaller than the potential scale of ICC compensation if all Member States were to provide</w:t>
      </w:r>
      <w:r>
        <w:t xml:space="preserve"> </w:t>
      </w:r>
      <w:r>
        <w:t xml:space="preserve">State aid post-2030 using schemes similar to those currently in place post-2030 (at least 11%,</w:t>
      </w:r>
      <w:r>
        <w:t xml:space="preserve"> </w:t>
      </w:r>
      <w:r>
        <w:t xml:space="preserve">see Annex 12 for analysis of ICC drivers). As a result, Member States would retain the option</w:t>
      </w:r>
      <w:r>
        <w:t xml:space="preserve"> </w:t>
      </w:r>
      <w:r>
        <w:t xml:space="preserve">to provide ICC compensation as State aid, up to the level permitted in the guidelines.</w:t>
      </w:r>
      <w:r>
        <w:br/>
      </w:r>
      <w:r>
        <w:t xml:space="preserve">The options’ potential environmental benefits would be similar. However, the benefit of ICC2</w:t>
      </w:r>
      <w:r>
        <w:t xml:space="preserve"> </w:t>
      </w:r>
      <w:r>
        <w:t xml:space="preserve">could be slightly larger since some beneficiaries from an EU fund may not otherwise have</w:t>
      </w:r>
      <w:r>
        <w:t xml:space="preserve"> </w:t>
      </w:r>
      <w:r>
        <w:t xml:space="preserve">received State aid under ICC1.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6.1.1.8. Waste</w:t>
      </w:r>
      <w:r>
        <w:t xml:space="preserve"> </w:t>
      </w:r>
      <w:r>
        <w:t xml:space="preserve">All sectors in the economy need to decarbonise to achieve climate neutrality in 2050. Under</w:t>
      </w:r>
      <w:r>
        <w:t xml:space="preserve"> </w:t>
      </w:r>
      <w:r>
        <w:t xml:space="preserve">the baseline, emissions from waste incineration and landfills would continue to be mainly</w:t>
      </w:r>
      <w:r>
        <w:t xml:space="preserve"> </w:t>
      </w:r>
      <w:r>
        <w:t xml:space="preserve">covered by the Effort Sharing Regulation until 2030 and are not driven by a carbon price, with</w:t>
      </w:r>
      <w:r>
        <w:t xml:space="preserve"> </w:t>
      </w:r>
      <w:r>
        <w:t xml:space="preserve">post-2030 coverage subject to future review. Emissions from municipal waste incineration are</w:t>
      </w:r>
      <w:r>
        <w:t xml:space="preserve"> </w:t>
      </w:r>
      <w:r>
        <w:t xml:space="preserve">expected to continue increasing at least into the early 2030s in line with recent trends, planned</w:t>
      </w:r>
      <w:r>
        <w:t xml:space="preserve"> </w:t>
      </w:r>
      <w:r>
        <w:t xml:space="preserve">capacity increases and absent additional abatement incentives, while emissions from landfilling</w:t>
      </w:r>
      <w:r>
        <w:t xml:space="preserve"> </w:t>
      </w:r>
      <w:r>
        <w:t xml:space="preserve">are projected to continue to gradually decrease, albeit slower than stipulated due to lagging</w:t>
      </w:r>
      <w:r>
        <w:t xml:space="preserve"> </w:t>
      </w:r>
      <w:r>
        <w:t xml:space="preserve">implementation of the current regulatory framework and remaining responsible for the largest</w:t>
      </w:r>
      <w:r>
        <w:t xml:space="preserve"> </w:t>
      </w:r>
      <w:r>
        <w:t xml:space="preserve">share of waste sector emissions.</w:t>
      </w:r>
      <w:r>
        <w:t xml:space="preserve"> </w:t>
      </w:r>
      <w:r>
        <w:t xml:space="preserve">Extending the scope of the EU ETS to activities in the waste management sector would increase</w:t>
      </w:r>
      <w:r>
        <w:t xml:space="preserve"> </w:t>
      </w:r>
      <w:r>
        <w:t xml:space="preserve">accountability for emissions in this sector – representing up to 3% of EU GHG emissions</w:t>
      </w:r>
      <w:r>
        <w:t xml:space="preserve"> </w:t>
      </w:r>
      <w:r>
        <w:t xml:space="preserve">depending on the scope of the policy options considered – and provide for increased certainty</w:t>
      </w:r>
      <w:r>
        <w:t xml:space="preserve"> </w:t>
      </w:r>
      <w:r>
        <w:t xml:space="preserve">in delivering GHG emissions reductions, since the cap sets a limit on the emissions that</w:t>
      </w:r>
      <w:r>
        <w:t xml:space="preserve"> </w:t>
      </w:r>
      <w:r>
        <w:t xml:space="preserve">economic operators can account for by surrendering allowances. Such certainty is not possible</w:t>
      </w:r>
      <w:r>
        <w:t xml:space="preserve"> </w:t>
      </w:r>
      <w:r>
        <w:t xml:space="preserve">through other types of measures.</w:t>
      </w:r>
      <w:r>
        <w:t xml:space="preserve"> </w:t>
      </w:r>
      <w:r>
        <w:t xml:space="preserve">Compared to the continuation of current policies, policy option PO1 would not substantially</w:t>
      </w:r>
      <w:r>
        <w:t xml:space="preserve"> </w:t>
      </w:r>
      <w:r>
        <w:t xml:space="preserve">improve the environmental outcome, only implementing legal clarifications to improve</w:t>
      </w:r>
      <w:r>
        <w:t xml:space="preserve"> </w:t>
      </w:r>
      <w:r>
        <w:t xml:space="preserve">certainty on the current scope.</w:t>
      </w:r>
      <w:r>
        <w:t xml:space="preserve"> </w:t>
      </w:r>
      <w:r>
        <w:t xml:space="preserve">Policy option PO2 would extend carbon pricing to municipal waste incineration (MWI),</w:t>
      </w:r>
      <w:r>
        <w:t xml:space="preserve"> </w:t>
      </w:r>
      <w:r>
        <w:t xml:space="preserve">driving the largest decrease in cumulative emissions from waste incineration, of -53 MtCO2eq</w:t>
      </w:r>
      <w:r>
        <w:t xml:space="preserve"> </w:t>
      </w:r>
      <w:r>
        <w:t xml:space="preserve">or -22% over the period 2031-2040 compared to the baseline, with most of the decrease</w:t>
      </w:r>
      <w:r>
        <w:t xml:space="preserve"> </w:t>
      </w:r>
      <w:r>
        <w:t xml:space="preserve">projected to occur in the second half of the decade. The carbon price would provide an</w:t>
      </w:r>
      <w:r>
        <w:t xml:space="preserve"> </w:t>
      </w:r>
      <w:r>
        <w:t xml:space="preserve">economic incentive to reduce emissions cost-effectively at different stages of the waste value</w:t>
      </w:r>
      <w:r>
        <w:t xml:space="preserve"> </w:t>
      </w:r>
      <w:r>
        <w:t xml:space="preserve">chain, through a combination of improved waste prevention, reduction and pre-collection</w:t>
      </w:r>
      <w:r>
        <w:t xml:space="preserve"> </w:t>
      </w:r>
      <w:r>
        <w:t xml:space="preserve">sorting at source and improved post-collection mixed-waste sorting and recycling in the</w:t>
      </w:r>
      <w:r>
        <w:t xml:space="preserve"> </w:t>
      </w:r>
      <w:r>
        <w:t xml:space="preserve">shorter-term, and carbon capture for residual emissions in the medium- to longer-term (as of</w:t>
      </w:r>
      <w:r>
        <w:t xml:space="preserve"> </w:t>
      </w:r>
      <w:r>
        <w:t xml:space="preserve">mid-decade). Both increased recycling and carbon capture provide dual climate benefits in the</w:t>
      </w:r>
      <w:r>
        <w:t xml:space="preserve"> </w:t>
      </w:r>
      <w:r>
        <w:t xml:space="preserve">waste management sector. Increased recycling reduces GHG emissions from waste disposal</w:t>
      </w:r>
      <w:r>
        <w:t xml:space="preserve"> </w:t>
      </w:r>
      <w:r>
        <w:t xml:space="preserve">and generates recycled materials displacing more carbon-intensive virgin materials, while</w:t>
      </w:r>
      <w:r>
        <w:t xml:space="preserve"> </w:t>
      </w:r>
      <w:r>
        <w:t xml:space="preserve">carbon capture reduces fossil emissions in combination with generating biogenic carbon</w:t>
      </w:r>
      <w:r>
        <w:t xml:space="preserve"> </w:t>
      </w:r>
      <w:r>
        <w:t xml:space="preserve">removals. Similar to other hard-to-abate sectors, targeted policy and investment support can</w:t>
      </w:r>
      <w:r>
        <w:t xml:space="preserve"> </w:t>
      </w:r>
      <w:r>
        <w:t xml:space="preserve">advance the business case for carbon capture and strengthen planning and investment</w:t>
      </w:r>
      <w:r>
        <w:t xml:space="preserve"> </w:t>
      </w:r>
      <w:r>
        <w:t xml:space="preserve">predictability. Complementary waste policies under the future Circular Economy Act will</w:t>
      </w:r>
      <w:r>
        <w:t xml:space="preserve"> </w:t>
      </w:r>
      <w:r>
        <w:t xml:space="preserve">contribute to ensure a comprehensive approach by stimulating the single market and demand</w:t>
      </w:r>
      <w:r>
        <w:t xml:space="preserve"> </w:t>
      </w:r>
      <w:r>
        <w:t xml:space="preserve">for secondary materials and circular products, supporting investment in recycling capacity,</w:t>
      </w:r>
      <w:r>
        <w:t xml:space="preserve"> </w:t>
      </w:r>
      <w:r>
        <w:t xml:space="preserve">reducing the landfilling and incineration of used raw materials, and rolling-out upstream</w:t>
      </w:r>
      <w:r>
        <w:t xml:space="preserve"> </w:t>
      </w:r>
      <w:r>
        <w:t xml:space="preserve">producer-oriented policies such as eco-design requirements and strengthened Extended</w:t>
      </w:r>
      <w:r>
        <w:t xml:space="preserve"> </w:t>
      </w:r>
      <w:r>
        <w:t xml:space="preserve">Producer Responsibility (see Annex 13, Section 1.3 for a detailed assessment of how the carbon</w:t>
      </w:r>
      <w:r>
        <w:t xml:space="preserve"> </w:t>
      </w:r>
      <w:r>
        <w:t xml:space="preserve">price can drive behavioural changes, costs and opportunities contributing to emissions</w:t>
      </w:r>
      <w:r>
        <w:t xml:space="preserve"> </w:t>
      </w:r>
      <w:r>
        <w:t xml:space="preserve">reductions). The inclusion of municipal waste incineration installations under PO2 and PO3</w:t>
      </w:r>
      <w:r>
        <w:t xml:space="preserve"> </w:t>
      </w:r>
      <w:r>
        <w:t xml:space="preserve">will also support the efforts to promote a more circular economy via the use of captured CO2</w:t>
      </w:r>
      <w:r>
        <w:t xml:space="preserve"> </w:t>
      </w:r>
      <w:r>
        <w:t xml:space="preserve">as a feedstock through a hybrid downstream accounting for non-permanent CCU products (see</w:t>
      </w:r>
      <w:r>
        <w:t xml:space="preserve"> </w:t>
      </w:r>
      <w:r>
        <w:t xml:space="preserve">Section 6.1.1.9.) by accounting for the downstream emissions associated with non-permanent</w:t>
      </w:r>
      <w:r>
        <w:t xml:space="preserve"> </w:t>
      </w:r>
      <w:r>
        <w:t xml:space="preserve">CCU products.</w:t>
      </w:r>
      <w:r>
        <w:t xml:space="preserve"> </w:t>
      </w:r>
      <w:r>
        <w:t xml:space="preserve">In policy option PO3, the scope of the EU ETS would also be extended to CO2-emissions from</w:t>
      </w:r>
      <w:r>
        <w:t xml:space="preserve"> </w:t>
      </w:r>
      <w:r>
        <w:t xml:space="preserve">hazardous waste incineration (HWI) and to methane emissions from non-hazardous landfilling,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leading to a higher amount of overall GHG emissions reductions but a lower amount of</w:t>
      </w:r>
      <w:r>
        <w:t xml:space="preserve"> </w:t>
      </w:r>
      <w:r>
        <w:t xml:space="preserve">municipal waste incineration emissions reductions compared to PO2. How much higher</w:t>
      </w:r>
      <w:r>
        <w:t xml:space="preserve"> </w:t>
      </w:r>
      <w:r>
        <w:t xml:space="preserve">ultimately depends on when, how, and which GHG emissions from landfilling would be</w:t>
      </w:r>
      <w:r>
        <w:t xml:space="preserve"> </w:t>
      </w:r>
      <w:r>
        <w:t xml:space="preserve">included within the scope, i.e. only from future disposal in active landfills or also from</w:t>
      </w:r>
      <w:r>
        <w:t xml:space="preserve"> </w:t>
      </w:r>
      <w:r>
        <w:t xml:space="preserve">historical deposits. Cumulative emissions from waste incineration (MWI and HWI) would</w:t>
      </w:r>
      <w:r>
        <w:t xml:space="preserve"> </w:t>
      </w:r>
      <w:r>
        <w:t xml:space="preserve">decrease compared to the baseline, by -29 MtCO2eq or -11% over the period 2031-2040, but</w:t>
      </w:r>
      <w:r>
        <w:t xml:space="preserve"> </w:t>
      </w:r>
      <w:r>
        <w:t xml:space="preserve">substantially less compared to PO2. This is mainly due to landfills being the primary driver of</w:t>
      </w:r>
      <w:r>
        <w:t xml:space="preserve"> </w:t>
      </w:r>
      <w:r>
        <w:t xml:space="preserve">overall emissions reductions in this policy option because of the regulatory waste policy</w:t>
      </w:r>
      <w:r>
        <w:t xml:space="preserve"> </w:t>
      </w:r>
      <w:r>
        <w:t xml:space="preserve">framework already in place and a comparatively higher cost-effective abatement potential (see</w:t>
      </w:r>
      <w:r>
        <w:t xml:space="preserve"> </w:t>
      </w:r>
      <w:r>
        <w:t xml:space="preserve">Annex 13, Section 1.3). The Landfill Directive, if fully implemented and enforced, is projected</w:t>
      </w:r>
      <w:r>
        <w:t xml:space="preserve"> </w:t>
      </w:r>
      <w:r>
        <w:t xml:space="preserve">to lead to significant emissions reductions from landfills in the order of -45% by 2040</w:t>
      </w:r>
      <w:r>
        <w:t xml:space="preserve"> </w:t>
      </w:r>
      <w:r>
        <w:t xml:space="preserve">compared to 2030 and of -55% compared to 2025 (GAINS)59, with limited further technical</w:t>
      </w:r>
      <w:r>
        <w:t xml:space="preserve"> </w:t>
      </w:r>
      <w:r>
        <w:t xml:space="preserve">abatement potential for additional emissions reductions. The primary benefit of inclusion of</w:t>
      </w:r>
      <w:r>
        <w:t xml:space="preserve"> </w:t>
      </w:r>
      <w:r>
        <w:t xml:space="preserve">landfills in EU ETS would be to deliver increased certainty and complementary financial</w:t>
      </w:r>
      <w:r>
        <w:t xml:space="preserve"> </w:t>
      </w:r>
      <w:r>
        <w:t xml:space="preserve">incentives supporting the achievement of these emissions reductions60. Uncertainty in the</w:t>
      </w:r>
      <w:r>
        <w:t xml:space="preserve"> </w:t>
      </w:r>
      <w:r>
        <w:t xml:space="preserve">quantification of emissions from HWI and landfills under PO3 remains high, including due to</w:t>
      </w:r>
      <w:r>
        <w:t xml:space="preserve"> </w:t>
      </w:r>
      <w:r>
        <w:t xml:space="preserve">the diffuse, long-term and site-specific nature of methane emissions in the latter case.</w:t>
      </w:r>
      <w:r>
        <w:t xml:space="preserve"> </w:t>
      </w:r>
      <w:r>
        <w:t xml:space="preserve">Harmonised monitoring and reporting frameworks to collect standardised, robust and verified</w:t>
      </w:r>
      <w:r>
        <w:t xml:space="preserve"> </w:t>
      </w:r>
      <w:r>
        <w:t xml:space="preserve">emissions data prior to inclusion would be important to ensure a high degree of integrity in the</w:t>
      </w:r>
      <w:r>
        <w:t xml:space="preserve"> </w:t>
      </w:r>
      <w:r>
        <w:t xml:space="preserve">system.</w:t>
      </w:r>
      <w:r>
        <w:t xml:space="preserve"> </w:t>
      </w:r>
      <w:r>
        <w:t xml:space="preserve">The waste-specific risk of emissions leakage (distinct from the risk of carbon leakage for</w:t>
      </w:r>
      <w:r>
        <w:t xml:space="preserve"> </w:t>
      </w:r>
      <w:r>
        <w:t xml:space="preserve">industry in general discussed in other sections and assessed separately from the environmental</w:t>
      </w:r>
      <w:r>
        <w:t xml:space="preserve"> </w:t>
      </w:r>
      <w:r>
        <w:t xml:space="preserve">risk of waste diversion in Section 6.1.2.5.) associated to waste diversion to other waste disposal</w:t>
      </w:r>
      <w:r>
        <w:t xml:space="preserve"> </w:t>
      </w:r>
      <w:r>
        <w:t xml:space="preserve">processes or third countries is considered limited under all policy options. Under PO2, the risk</w:t>
      </w:r>
      <w:r>
        <w:t xml:space="preserve"> </w:t>
      </w:r>
      <w:r>
        <w:t xml:space="preserve">of emissions leakage to landfills is contained by the zero-rating of biogenic emissions in</w:t>
      </w:r>
      <w:r>
        <w:t xml:space="preserve"> </w:t>
      </w:r>
      <w:r>
        <w:t xml:space="preserve">incineration, limiting the incentive to divert organic waste to landfills – the main source of</w:t>
      </w:r>
      <w:r>
        <w:t xml:space="preserve"> </w:t>
      </w:r>
      <w:r>
        <w:t xml:space="preserve">methane emissions – to circumvent the carbon cost. PO3, by including methane emissions</w:t>
      </w:r>
      <w:r>
        <w:t xml:space="preserve"> </w:t>
      </w:r>
      <w:r>
        <w:t xml:space="preserve">reductions in landfills, would address any residual risks of organic waste diversion from</w:t>
      </w:r>
      <w:r>
        <w:t xml:space="preserve"> </w:t>
      </w:r>
      <w:r>
        <w:t xml:space="preserve">incineration to landfills. Emissions leakage risks to hazardous waste incineration are limited</w:t>
      </w:r>
      <w:r>
        <w:t xml:space="preserve"> </w:t>
      </w:r>
      <w:r>
        <w:t xml:space="preserve">by technical and operational constraints, higher costs, and strict regulatory requirements under</w:t>
      </w:r>
      <w:r>
        <w:t xml:space="preserve"> </w:t>
      </w:r>
      <w:r>
        <w:t xml:space="preserve">PO2 and would be absent under PO3. Finally, the risk of emissions leakage to third countries</w:t>
      </w:r>
      <w:r>
        <w:t xml:space="preserve"> </w:t>
      </w:r>
      <w:r>
        <w:t xml:space="preserve">is limited by the strict regulatory framework on waste exports in place (Waste Shipment</w:t>
      </w:r>
      <w:r>
        <w:t xml:space="preserve"> </w:t>
      </w:r>
      <w:r>
        <w:t xml:space="preserve">Regulation – see Annex 13, Section 1.5).</w:t>
      </w:r>
      <w:r>
        <w:br/>
      </w:r>
      <w:r>
        <w:t xml:space="preserve">6.1.1.9. Carbon Capture and Utilisation</w:t>
      </w:r>
      <w:r>
        <w:t xml:space="preserve"> </w:t>
      </w:r>
      <w:r>
        <w:t xml:space="preserve">The policy options that include an extension of the scope of EU ETS to include the waste sector</w:t>
      </w:r>
      <w:r>
        <w:t xml:space="preserve"> </w:t>
      </w:r>
      <w:r>
        <w:t xml:space="preserve">(i.e. PO2 and PO3) are also accompanied by new accounting measures related to the storage</w:t>
      </w:r>
      <w:r>
        <w:t xml:space="preserve"> </w:t>
      </w:r>
      <w:r>
        <w:t xml:space="preserve">and utilisation of captured CO2 as a feedstock in non-permanent CCU products. In comparison</w:t>
      </w:r>
      <w:r>
        <w:t xml:space="preserve"> </w:t>
      </w:r>
      <w:r>
        <w:t xml:space="preserve">to the baseline, PO2 and PO3 both include the implementation of the policy measure CCU3</w:t>
      </w:r>
      <w:r>
        <w:t xml:space="preserve"> </w:t>
      </w:r>
      <w:r>
        <w:t xml:space="preserve">providing a hybrid downstream accounting for non-permanent CCU products other than e-fuels</w:t>
      </w:r>
      <w:r>
        <w:t xml:space="preserve"> </w:t>
      </w:r>
      <w:r>
        <w:t xml:space="preserve">and midstream accounting for e-fuels, as explained in Section 6.2.7.</w:t>
      </w:r>
    </w:p>
    <w:p>
      <w:pPr>
        <w:pStyle w:val="BodyText"/>
      </w:pPr>
      <w:r>
        <w:t xml:space="preserve">59 Emissions from landfilling could not be modelled in the PRIMES model as the scope covers CO2 emissions</w:t>
      </w:r>
      <w:r>
        <w:t xml:space="preserve"> </w:t>
      </w:r>
      <w:r>
        <w:t xml:space="preserve">only, whereas landfill emissions are mainly driven by CH4. Landfill emissions have been separately modelled</w:t>
      </w:r>
      <w:r>
        <w:t xml:space="preserve"> </w:t>
      </w:r>
      <w:r>
        <w:t xml:space="preserve">in GAINS.</w:t>
      </w:r>
      <w:r>
        <w:t xml:space="preserve"> </w:t>
      </w:r>
      <w:r>
        <w:t xml:space="preserve">60 GAINS does not allow to separately model the disaggregated contribution of the carbon price to emissions</w:t>
      </w:r>
      <w:r>
        <w:t xml:space="preserve"> </w:t>
      </w:r>
      <w:r>
        <w:t xml:space="preserve">reductions from non-hazardous landfilling under PO3.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inclusion of such accounting options under PO2 and PO3 will support the efforts to</w:t>
      </w:r>
      <w:r>
        <w:t xml:space="preserve"> </w:t>
      </w:r>
      <w:r>
        <w:t xml:space="preserve">promote a more circular economy via the more efficient use of materials that will also have a</w:t>
      </w:r>
      <w:r>
        <w:t xml:space="preserve"> </w:t>
      </w:r>
      <w:r>
        <w:t xml:space="preserve">downward impact on GHG emissions. Numerous sectors and services rely on carbon, so they</w:t>
      </w:r>
      <w:r>
        <w:t xml:space="preserve"> </w:t>
      </w:r>
      <w:r>
        <w:t xml:space="preserve">cannot be “decarbonised.” The use of captured CO2 as a feedstock can provide a source of</w:t>
      </w:r>
      <w:r>
        <w:t xml:space="preserve"> </w:t>
      </w:r>
      <w:r>
        <w:t xml:space="preserve">carbon for producing fuels, chemical and materials and ensure that these sectors can eventually</w:t>
      </w:r>
      <w:r>
        <w:t xml:space="preserve"> </w:t>
      </w:r>
      <w:r>
        <w:t xml:space="preserve">be de-fossilised. The transition to alternative source of carbon is, therefore, an important part</w:t>
      </w:r>
      <w:r>
        <w:t xml:space="preserve"> </w:t>
      </w:r>
      <w:r>
        <w:t xml:space="preserve">of reaching the EU’s climate targets61.</w:t>
      </w:r>
      <w:r>
        <w:br/>
      </w:r>
      <w:r>
        <w:t xml:space="preserve">However, the accounting approach included PO2 and PO3 also leads to the possibility of</w:t>
      </w:r>
      <w:r>
        <w:t xml:space="preserve"> </w:t>
      </w:r>
      <w:r>
        <w:t xml:space="preserve">creating loopholes risking the ETS integrity. In case the downstream emissions associated with</w:t>
      </w:r>
      <w:r>
        <w:t xml:space="preserve"> </w:t>
      </w:r>
      <w:r>
        <w:t xml:space="preserve">non-permanent CCU products take place outside of the ETS scope, then those emissions are</w:t>
      </w:r>
      <w:r>
        <w:t xml:space="preserve"> </w:t>
      </w:r>
      <w:r>
        <w:t xml:space="preserve">not accounted and priced within the scope of the ETS system, creating a potential loophole to</w:t>
      </w:r>
      <w:r>
        <w:t xml:space="preserve"> </w:t>
      </w:r>
      <w:r>
        <w:t xml:space="preserve">the EU ETS.</w:t>
      </w:r>
      <w:r>
        <w:br/>
      </w:r>
      <w:r>
        <w:t xml:space="preserve">A detailed analysis on the potential risk of loopholes is presented in Section 2 of Annex 13.</w:t>
      </w:r>
      <w:r>
        <w:t xml:space="preserve"> </w:t>
      </w:r>
      <w:r>
        <w:t xml:space="preserve">The results of the analysis found that most potential non-permanent CCU products, such as</w:t>
      </w:r>
      <w:r>
        <w:t xml:space="preserve"> </w:t>
      </w:r>
      <w:r>
        <w:t xml:space="preserve">synthetic polymers or plastics, are not likely to lead to any significant loopholes as regards the</w:t>
      </w:r>
      <w:r>
        <w:t xml:space="preserve"> </w:t>
      </w:r>
      <w:r>
        <w:t xml:space="preserve">integrity of the EU ETS. Under PO2 and PO3, the downstream emissions from these non-</w:t>
      </w:r>
      <w:r>
        <w:t xml:space="preserve"> </w:t>
      </w:r>
      <w:r>
        <w:t xml:space="preserve">permanent CCU products that are combusted in waste incinerators or other ETS installations</w:t>
      </w:r>
      <w:r>
        <w:t xml:space="preserve"> </w:t>
      </w:r>
      <w:r>
        <w:t xml:space="preserve">will fall within the scope of EU ETS. If these non-permanent CCU products receive a different</w:t>
      </w:r>
      <w:r>
        <w:t xml:space="preserve"> </w:t>
      </w:r>
      <w:r>
        <w:t xml:space="preserve">end-of-life treatment, such as recycling or landfilling, they would not be altered chemically and</w:t>
      </w:r>
      <w:r>
        <w:t xml:space="preserve"> </w:t>
      </w:r>
      <w:r>
        <w:t xml:space="preserve">the CO2 embedded in them is likely not to be released throughout the waste management</w:t>
      </w:r>
      <w:r>
        <w:t xml:space="preserve"> </w:t>
      </w:r>
      <w:r>
        <w:t xml:space="preserve">process.</w:t>
      </w:r>
      <w:r>
        <w:br/>
      </w:r>
      <w:r>
        <w:t xml:space="preserve">CO2 used to produce e-fuels will also not represent a loophole risk, as their combustion will</w:t>
      </w:r>
      <w:r>
        <w:t xml:space="preserve"> </w:t>
      </w:r>
      <w:r>
        <w:t xml:space="preserve">mostly occur within the scope of the EU ETS, in sectors such as maritime and aviation. E-fuels</w:t>
      </w:r>
      <w:r>
        <w:t xml:space="preserve"> </w:t>
      </w:r>
      <w:r>
        <w:t xml:space="preserve">are also subject to specific certification requirements and are easily tracked across the value</w:t>
      </w:r>
      <w:r>
        <w:t xml:space="preserve"> </w:t>
      </w:r>
      <w:r>
        <w:t xml:space="preserve">chain. However, to avoid undercounting of emissions used to produce e-fuels would</w:t>
      </w:r>
      <w:r>
        <w:t xml:space="preserve"> </w:t>
      </w:r>
      <w:r>
        <w:t xml:space="preserve">necessarily mean that it is not possible anymore to zero-rate the emissions from the combustion</w:t>
      </w:r>
      <w:r>
        <w:t xml:space="preserve"> </w:t>
      </w:r>
      <w:r>
        <w:t xml:space="preserve">of these fuels.</w:t>
      </w:r>
      <w:r>
        <w:br/>
      </w:r>
      <w:r>
        <w:t xml:space="preserve">When specific loopholes are identified and are associated with clearly identifiable CCU</w:t>
      </w:r>
      <w:r>
        <w:t xml:space="preserve"> </w:t>
      </w:r>
      <w:r>
        <w:t xml:space="preserve">products or applications, the risk can be best addressed by applying the upstream accounting</w:t>
      </w:r>
      <w:r>
        <w:t xml:space="preserve"> </w:t>
      </w:r>
      <w:r>
        <w:t xml:space="preserve">as a derogation to a general rule or setting additional requirements or limitations to the use of</w:t>
      </w:r>
      <w:r>
        <w:t xml:space="preserve"> </w:t>
      </w:r>
      <w:r>
        <w:t xml:space="preserve">such products to minimise the risks. Nevertheless, addressing all possible loopholes risks is not</w:t>
      </w:r>
      <w:r>
        <w:t xml:space="preserve"> </w:t>
      </w:r>
      <w:r>
        <w:t xml:space="preserve">feasible in practice without severely restricting the use of non-permanent CCU applications,</w:t>
      </w:r>
      <w:r>
        <w:t xml:space="preserve"> </w:t>
      </w:r>
      <w:r>
        <w:t xml:space="preserve">and therefore limiting their development and foregoing the benefits they bring. Given the low</w:t>
      </w:r>
      <w:r>
        <w:t xml:space="preserve"> </w:t>
      </w:r>
      <w:r>
        <w:t xml:space="preserve">volumes of CCU products currently being produced, these risks are only hypothetical.</w:t>
      </w:r>
      <w:r>
        <w:t xml:space="preserve"> </w:t>
      </w:r>
      <w:r>
        <w:t xml:space="preserve">Therefore, it is preferable to adopt an approach that regularly assesses the effective risk posed</w:t>
      </w:r>
      <w:r>
        <w:t xml:space="preserve"> </w:t>
      </w:r>
      <w:r>
        <w:t xml:space="preserve">by non-permanent CCU to the integrity of the ETS and introduces corrective mechanisms if</w:t>
      </w:r>
      <w:r>
        <w:t xml:space="preserve"> </w:t>
      </w:r>
      <w:r>
        <w:t xml:space="preserve">and when such risks start having a material impact. For a more detailed analysis of the risks of</w:t>
      </w:r>
      <w:r>
        <w:t xml:space="preserve"> </w:t>
      </w:r>
      <w:r>
        <w:t xml:space="preserve">undercounting emissions, see Annex 13.</w:t>
      </w:r>
    </w:p>
    <w:p>
      <w:pPr>
        <w:pStyle w:val="BodyText"/>
      </w:pPr>
      <w:r>
        <w:t xml:space="preserve">61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Regions: Towards an ambitious Industrial Carbon Management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COM/2024/62</w:t>
      </w:r>
      <w:r>
        <w:t xml:space="preserve"> </w:t>
      </w:r>
      <w:r>
        <w:t xml:space="preserve">final,</w:t>
      </w:r>
      <w:r>
        <w:t xml:space="preserve"> </w:t>
      </w:r>
      <w:r>
        <w:t xml:space="preserve">6.2.2024,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content/EN/TXT/?uri=celex:52024DC0062.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6.1.2. Other environmental impacts (e.g. biodiversity and pollution)</w:t>
      </w:r>
      <w:r>
        <w:br/>
      </w:r>
      <w:r>
        <w:t xml:space="preserve">6.1.2.1. Removals</w:t>
      </w:r>
      <w:r>
        <w:t xml:space="preserve"> </w:t>
      </w:r>
      <w:r>
        <w:t xml:space="preserve">Broadly speaking, the more effective a measure is at incentivizing CDR deployment (see</w:t>
      </w:r>
      <w:r>
        <w:t xml:space="preserve"> </w:t>
      </w:r>
      <w:r>
        <w:t xml:space="preserve">Section 6.1.1.2), the higher the effect of additional biomass use is expected to be. In PO2 and</w:t>
      </w:r>
      <w:r>
        <w:t xml:space="preserve"> </w:t>
      </w:r>
      <w:r>
        <w:t xml:space="preserve">PO3, the operator integration routes would likely see little effect on additional biomass use</w:t>
      </w:r>
      <w:r>
        <w:t xml:space="preserve"> </w:t>
      </w:r>
      <w:r>
        <w:t xml:space="preserve">during the 2031-2040 period, except if further CDR policy support is put in place. PO3 would</w:t>
      </w:r>
      <w:r>
        <w:t xml:space="preserve"> </w:t>
      </w:r>
      <w:r>
        <w:t xml:space="preserve">have the additional effect of the reduced scarcity in the system by setting a gross cap with 1-</w:t>
      </w:r>
      <w:r>
        <w:t xml:space="preserve"> </w:t>
      </w:r>
      <w:r>
        <w:t xml:space="preserve">in-1-out approach, making technologies such as BioCCS even less competitive. In the presence</w:t>
      </w:r>
      <w:r>
        <w:t xml:space="preserve"> </w:t>
      </w:r>
      <w:r>
        <w:t xml:space="preserve">of CDR support outside the ETS however, these measures would see an increase in biomass</w:t>
      </w:r>
      <w:r>
        <w:t xml:space="preserve"> </w:t>
      </w:r>
      <w:r>
        <w:t xml:space="preserve">demand in line with biomass eligibility criteria and the relative cost competitiveness across</w:t>
      </w:r>
      <w:r>
        <w:t xml:space="preserve"> </w:t>
      </w:r>
      <w:r>
        <w:t xml:space="preserve">CDR technologies, bounded by the CDR limit. PO1 would provide more predictable support</w:t>
      </w:r>
      <w:r>
        <w:t xml:space="preserve"> </w:t>
      </w:r>
      <w:r>
        <w:t xml:space="preserve">through the public purchasing programme, and thus affect biomass use accordingly. However,</w:t>
      </w:r>
      <w:r>
        <w:t xml:space="preserve"> </w:t>
      </w:r>
      <w:r>
        <w:t xml:space="preserve">the primary levers in addressing risks from biomass over-reliance lie not in measure selection,</w:t>
      </w:r>
      <w:r>
        <w:t xml:space="preserve"> </w:t>
      </w:r>
      <w:r>
        <w:t xml:space="preserve">but primarily on the establishment of strict sustainability criteria, accounting for indirect land-</w:t>
      </w:r>
      <w:r>
        <w:t xml:space="preserve"> </w:t>
      </w:r>
      <w:r>
        <w:t xml:space="preserve">use change, and effectively internalizing externalities from biomass use, which are under</w:t>
      </w:r>
      <w:r>
        <w:t xml:space="preserve"> </w:t>
      </w:r>
      <w:r>
        <w:t xml:space="preserve">different regulatory frameworks. Under the CRCF operators generating carbon removals need</w:t>
      </w:r>
      <w:r>
        <w:t xml:space="preserve"> </w:t>
      </w:r>
      <w:r>
        <w:t xml:space="preserve">to comply with the do no significant harm principle and additional specific requirements related</w:t>
      </w:r>
      <w:r>
        <w:t xml:space="preserve"> </w:t>
      </w:r>
      <w:r>
        <w:t xml:space="preserve">to the type of carbon removal activity they are operating (see Annex 8 – Part II, Section 3.1.2.4).</w:t>
      </w:r>
      <w:r>
        <w:t xml:space="preserve"> </w:t>
      </w:r>
      <w:r>
        <w:t xml:space="preserve">Additional sustainability criteria beyond the CRCF methodologies are not considered for the</w:t>
      </w:r>
      <w:r>
        <w:t xml:space="preserve"> </w:t>
      </w:r>
      <w:r>
        <w:t xml:space="preserve">removal units to be included in the ETS. However, in a wider context, the incentive structure</w:t>
      </w:r>
      <w:r>
        <w:t xml:space="preserve"> </w:t>
      </w:r>
      <w:r>
        <w:t xml:space="preserve">for biomass should be reviewed. NGO’s OPC responses highlighted this as a general concern</w:t>
      </w:r>
      <w:r>
        <w:t xml:space="preserve"> </w:t>
      </w:r>
      <w:r>
        <w:t xml:space="preserve">regarding the integration of carbon removals in the EU ETS.</w:t>
      </w:r>
      <w:r>
        <w:t xml:space="preserve"> </w:t>
      </w:r>
      <w:r>
        <w:t xml:space="preserve">6.1.2.2. Instruments to support investments</w:t>
      </w:r>
      <w:r>
        <w:t xml:space="preserve"> </w:t>
      </w:r>
      <w:r>
        <w:t xml:space="preserve">The IDB is expected to generate broader environmental co-benefits beyond greenhouse gas</w:t>
      </w:r>
      <w:r>
        <w:t xml:space="preserve"> </w:t>
      </w:r>
      <w:r>
        <w:t xml:space="preserve">emission reductions, including lower air pollutant emissions (such as NOx, SOx and particulate</w:t>
      </w:r>
      <w:r>
        <w:t xml:space="preserve"> </w:t>
      </w:r>
      <w:r>
        <w:t xml:space="preserve">matter), reduced resource and water use, and less waste generation. It can also improve the</w:t>
      </w:r>
      <w:r>
        <w:t xml:space="preserve"> </w:t>
      </w:r>
      <w:r>
        <w:t xml:space="preserve">environmental performance of industrial sites and support more circular production models,</w:t>
      </w:r>
      <w:r>
        <w:t xml:space="preserve"> </w:t>
      </w:r>
      <w:r>
        <w:t xml:space="preserve">while potential local trade-offs are managed through existing environmental safeguards and</w:t>
      </w:r>
      <w:r>
        <w:t xml:space="preserve"> </w:t>
      </w:r>
      <w:r>
        <w:t xml:space="preserve">permitting. However, the differences among IDB options in terms of allocation method,</w:t>
      </w:r>
      <w:r>
        <w:t xml:space="preserve"> </w:t>
      </w:r>
      <w:r>
        <w:t xml:space="preserve">support formats and geographical balance would only have marginal differences.</w:t>
      </w:r>
      <w:r>
        <w:br/>
      </w:r>
      <w:r>
        <w:t xml:space="preserve">Under the current ETS Directive, the Modernisation Fund is instrumental in phasing out solid</w:t>
      </w:r>
      <w:r>
        <w:t xml:space="preserve"> </w:t>
      </w:r>
      <w:r>
        <w:t xml:space="preserve">and liquid fossil fuels in Member States which are heavily reliant on them for the provision of</w:t>
      </w:r>
      <w:r>
        <w:t xml:space="preserve"> </w:t>
      </w:r>
      <w:r>
        <w:t xml:space="preserve">electricity and heating. Under the baseline scenario (discontinuation of the MF in 2030),</w:t>
      </w:r>
      <w:r>
        <w:t xml:space="preserve"> </w:t>
      </w:r>
      <w:r>
        <w:t xml:space="preserve">investments available to such activities can be expected to diminish.</w:t>
      </w:r>
      <w:r>
        <w:br/>
      </w:r>
      <w:r>
        <w:t xml:space="preserve">Under all considered policy options, the Modernisation Fund would continue to support</w:t>
      </w:r>
      <w:r>
        <w:t xml:space="preserve"> </w:t>
      </w:r>
      <w:r>
        <w:t xml:space="preserve">beneficiary Member States in reducing their dependency on fossil fuels, with an even greater</w:t>
      </w:r>
      <w:r>
        <w:t xml:space="preserve"> </w:t>
      </w:r>
      <w:r>
        <w:t xml:space="preserve">impact on the reduction of liquid fossil fuels, which would be either fully excluded or strictly</w:t>
      </w:r>
      <w:r>
        <w:t xml:space="preserve"> </w:t>
      </w:r>
      <w:r>
        <w:t xml:space="preserve">limited. All options also reduce support to waste-to-energy.</w:t>
      </w:r>
      <w:r>
        <w:t xml:space="preserve"> </w:t>
      </w:r>
      <w:r>
        <w:t xml:space="preserve">Phasing out fossil fuels and support to waste-to-energy has positive co-benefits for health and</w:t>
      </w:r>
      <w:r>
        <w:t xml:space="preserve"> </w:t>
      </w:r>
      <w:r>
        <w:t xml:space="preserve">the environment through increased air quality and reduced air pollution control costs.</w:t>
      </w:r>
      <w:r>
        <w:t xml:space="preserve"> </w:t>
      </w:r>
      <w:r>
        <w:t xml:space="preserve">6.1.2.3. Aviation</w:t>
      </w:r>
      <w:r>
        <w:t xml:space="preserve"> </w:t>
      </w:r>
      <w:r>
        <w:t xml:space="preserve">The baseline has the lowest NOx, PM2.5 and overall climate costs, calculated in line with</w:t>
      </w:r>
      <w:r>
        <w:t xml:space="preserve"> </w:t>
      </w:r>
      <w:r>
        <w:t xml:space="preserve">PRIMES external costs for non-road transport and the carbon values of the Commission</w:t>
      </w:r>
      <w:r>
        <w:t xml:space="preserve"> </w:t>
      </w:r>
      <w:r>
        <w:t xml:space="preserve">handbook of external costs of transport (2019) see Table 7 for details. Costs from CO2 in 2040</w:t>
      </w:r>
      <w:r>
        <w:t xml:space="preserve"> </w:t>
      </w:r>
      <w:r>
        <w:t xml:space="preserve">are 4% above the baseline for PO1, and 2% above the baseline for PO2/3.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Table 7: Total estimated externality costs</w:t>
      </w:r>
      <w:r>
        <w:br/>
      </w:r>
      <w:r>
        <w:t xml:space="preserve">Total estimated EEA externality costs (PM and NOx include all non-road transport),</w:t>
      </w:r>
      <w:r>
        <w:t xml:space="preserve"> </w:t>
      </w:r>
      <w:r>
        <w:t xml:space="preserve">cumulative costs for 2024-2040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Costs in EUR bn (2023)</w:t>
      </w:r>
      <w:r>
        <w:t xml:space="preserve"> </w:t>
      </w:r>
      <w:r>
        <w:t xml:space="preserve">Local NOx</w:t>
      </w:r>
      <w:r>
        <w:t xml:space="preserve"> </w:t>
      </w:r>
      <w:r>
        <w:t xml:space="preserve">PM2.5</w:t>
      </w:r>
      <w:r>
        <w:t xml:space="preserve"> </w:t>
      </w:r>
      <w:r>
        <w:t xml:space="preserve">CO2</w:t>
      </w:r>
      <w:r>
        <w:t xml:space="preserve"> </w:t>
      </w:r>
      <w:r>
        <w:t xml:space="preserve">Total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12,720</w:t>
      </w:r>
      <w:r>
        <w:t xml:space="preserve"> </w:t>
      </w:r>
      <w:r>
        <w:t xml:space="preserve">79</w:t>
      </w:r>
      <w:r>
        <w:t xml:space="preserve"> </w:t>
      </w:r>
      <w:r>
        <w:t xml:space="preserve">674</w:t>
      </w:r>
      <w:r>
        <w:t xml:space="preserve"> </w:t>
      </w:r>
      <w:r>
        <w:t xml:space="preserve">13,472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12,871</w:t>
      </w:r>
      <w:r>
        <w:t xml:space="preserve"> </w:t>
      </w:r>
      <w:r>
        <w:t xml:space="preserve">79</w:t>
      </w:r>
      <w:r>
        <w:t xml:space="preserve"> </w:t>
      </w:r>
      <w:r>
        <w:t xml:space="preserve">699</w:t>
      </w:r>
      <w:r>
        <w:t xml:space="preserve"> </w:t>
      </w:r>
      <w:r>
        <w:t xml:space="preserve">13,650</w:t>
      </w:r>
      <w:r>
        <w:t xml:space="preserve"> </w:t>
      </w:r>
      <w:r>
        <w:t xml:space="preserve">PO2 (departing flights, medium SAF support)</w:t>
      </w:r>
      <w:r>
        <w:t xml:space="preserve"> </w:t>
      </w:r>
      <w:r>
        <w:t xml:space="preserve">12,864</w:t>
      </w:r>
      <w:r>
        <w:t xml:space="preserve"> </w:t>
      </w:r>
      <w:r>
        <w:t xml:space="preserve">79</w:t>
      </w:r>
      <w:r>
        <w:t xml:space="preserve"> </w:t>
      </w:r>
      <w:r>
        <w:t xml:space="preserve">687</w:t>
      </w:r>
      <w:r>
        <w:t xml:space="preserve"> </w:t>
      </w:r>
      <w:r>
        <w:t xml:space="preserve">13,630</w:t>
      </w:r>
      <w:r>
        <w:t xml:space="preserve"> </w:t>
      </w:r>
      <w:r>
        <w:t xml:space="preserve">PO3 (departing flights, larger SAF support)</w:t>
      </w:r>
      <w:r>
        <w:t xml:space="preserve"> </w:t>
      </w:r>
      <w:r>
        <w:t xml:space="preserve">12,880</w:t>
      </w:r>
      <w:r>
        <w:t xml:space="preserve"> </w:t>
      </w:r>
      <w:r>
        <w:t xml:space="preserve">80</w:t>
      </w:r>
      <w:r>
        <w:t xml:space="preserve"> </w:t>
      </w:r>
      <w:r>
        <w:t xml:space="preserve">689</w:t>
      </w:r>
      <w:r>
        <w:t xml:space="preserve"> </w:t>
      </w:r>
      <w:r>
        <w:t xml:space="preserve">13,649</w:t>
      </w:r>
      <w:r>
        <w:t xml:space="preserve"> </w:t>
      </w:r>
      <w:r>
        <w:t xml:space="preserve">6.1.2.4. Maritime</w:t>
      </w:r>
      <w:r>
        <w:t xml:space="preserve"> </w:t>
      </w:r>
      <w:r>
        <w:t xml:space="preserve">As regards air quality and related emissions of PM2.5/PM10, NOx and SOx, from maritime</w:t>
      </w:r>
      <w:r>
        <w:t xml:space="preserve"> </w:t>
      </w:r>
      <w:r>
        <w:t xml:space="preserve">transport, PO2 and PO3 have a marginally lower air pollution impact of -0.06% and -0.05%</w:t>
      </w:r>
      <w:r>
        <w:t xml:space="preserve"> </w:t>
      </w:r>
      <w:r>
        <w:t xml:space="preserve">respectively, in comparison to option PO1 and Baseline, in terms of monetised air pollution</w:t>
      </w:r>
      <w:r>
        <w:t xml:space="preserve"> </w:t>
      </w:r>
      <w:r>
        <w:t xml:space="preserve">impact over the period 2030-2050. The drivers for the air pollutant emission reduction are the</w:t>
      </w:r>
      <w:r>
        <w:t xml:space="preserve"> </w:t>
      </w:r>
      <w:r>
        <w:t xml:space="preserve">switching to fuels with lower local emissions (e.g. LNG, renewable and low-carbon fuels, or</w:t>
      </w:r>
      <w:r>
        <w:t xml:space="preserve"> </w:t>
      </w:r>
      <w:r>
        <w:t xml:space="preserve">electricity), as well as the energy efficiency improvements of the ships within the smaller</w:t>
      </w:r>
      <w:r>
        <w:t xml:space="preserve"> </w:t>
      </w:r>
      <w:r>
        <w:t xml:space="preserve">vessels segment. The very small differences between PO1, PO2 and PO3 are consistent with</w:t>
      </w:r>
      <w:r>
        <w:t xml:space="preserve"> </w:t>
      </w:r>
      <w:r>
        <w:t xml:space="preserve">the nature of the proposed measures, considering that the focus is on ETS coverage, compliance</w:t>
      </w:r>
      <w:r>
        <w:t xml:space="preserve"> </w:t>
      </w:r>
      <w:r>
        <w:t xml:space="preserve">rules and governance aspects.</w:t>
      </w:r>
      <w:r>
        <w:br/>
      </w:r>
      <w:r>
        <w:t xml:space="preserve">6.1.2.5. Waste</w:t>
      </w:r>
      <w:r>
        <w:t xml:space="preserve"> </w:t>
      </w:r>
      <w:r>
        <w:t xml:space="preserve">Action is needed at different levels to move waste up the waste hierarchy. Many Member States</w:t>
      </w:r>
      <w:r>
        <w:t xml:space="preserve"> </w:t>
      </w:r>
      <w:r>
        <w:t xml:space="preserve">are currently not on track to achieve their 2025 and 2030 recycling and recovery targets under</w:t>
      </w:r>
      <w:r>
        <w:t xml:space="preserve"> </w:t>
      </w:r>
      <w:r>
        <w:t xml:space="preserve">the EU’s environmental policy framework.</w:t>
      </w:r>
      <w:r>
        <w:br/>
      </w:r>
      <w:r>
        <w:t xml:space="preserve">Extending carbon pricing to GHG emissions from municipal waste incineration (PO2) can</w:t>
      </w:r>
      <w:r>
        <w:t xml:space="preserve"> </w:t>
      </w:r>
      <w:r>
        <w:t xml:space="preserve">provide an important complementary financial incentive supporting the circular economy by</w:t>
      </w:r>
      <w:r>
        <w:t xml:space="preserve"> </w:t>
      </w:r>
      <w:r>
        <w:t xml:space="preserve">making waste prevention, recycling and reuse more financially competitive through the</w:t>
      </w:r>
      <w:r>
        <w:t xml:space="preserve"> </w:t>
      </w:r>
      <w:r>
        <w:t xml:space="preserve">application of a carbon price on waste management processes further down the waste hierarchy.</w:t>
      </w:r>
      <w:r>
        <w:t xml:space="preserve"> </w:t>
      </w:r>
      <w:r>
        <w:t xml:space="preserve">PO2 is additionally projected to lead to improved air quality for citizens, as increased waste</w:t>
      </w:r>
      <w:r>
        <w:t xml:space="preserve"> </w:t>
      </w:r>
      <w:r>
        <w:t xml:space="preserve">reduction, prevention and recycling incentivised by the carbon price signal reduces harmful</w:t>
      </w:r>
      <w:r>
        <w:t xml:space="preserve"> </w:t>
      </w:r>
      <w:r>
        <w:t xml:space="preserve">emissions by reducing or diverting materials like plastics and organics from incineration,</w:t>
      </w:r>
      <w:r>
        <w:t xml:space="preserve"> </w:t>
      </w:r>
      <w:r>
        <w:t xml:space="preserve">thereby lowering the formation of air pollutants and toxic compounds. Member States with</w:t>
      </w:r>
      <w:r>
        <w:t xml:space="preserve"> </w:t>
      </w:r>
      <w:r>
        <w:t xml:space="preserve">high recycling rates are overall found to have lower environmental life cycle costs than those</w:t>
      </w:r>
      <w:r>
        <w:t xml:space="preserve"> </w:t>
      </w:r>
      <w:r>
        <w:t xml:space="preserve">with high disposal rates. In isolation, PO2 carries a risk of waste, in particular fossil waste</w:t>
      </w:r>
      <w:r>
        <w:t xml:space="preserve"> </w:t>
      </w:r>
      <w:r>
        <w:t xml:space="preserve">streams, being diverted from incineration to landfills where no effective regulatory or fiscal</w:t>
      </w:r>
      <w:r>
        <w:t xml:space="preserve"> </w:t>
      </w:r>
      <w:r>
        <w:t xml:space="preserve">policies (reduction targets, taxation, bans on organic and combustible waste streams sent to</w:t>
      </w:r>
      <w:r>
        <w:t xml:space="preserve"> </w:t>
      </w:r>
      <w:r>
        <w:t xml:space="preserve">landfilling) to discourage landfilling are in place. In those cases, higher compliance and</w:t>
      </w:r>
      <w:r>
        <w:t xml:space="preserve"> </w:t>
      </w:r>
      <w:r>
        <w:t xml:space="preserve">operational costs for municipal waste incineration may further increase the cost differential</w:t>
      </w:r>
      <w:r>
        <w:t xml:space="preserve"> </w:t>
      </w:r>
      <w:r>
        <w:t xml:space="preserve">with landfilling, incentivising some operators or waste producers to look for cheaper treatment</w:t>
      </w:r>
      <w:r>
        <w:t xml:space="preserve"> </w:t>
      </w:r>
      <w:r>
        <w:t xml:space="preserve">or disposal routes, which would run counter to the waste hierarchy. This was also consistently</w:t>
      </w:r>
      <w:r>
        <w:t xml:space="preserve"> </w:t>
      </w:r>
      <w:r>
        <w:t xml:space="preserve">raised in the public consultation, with a majority of respondents stressing the need to address</w:t>
      </w:r>
      <w:r>
        <w:t xml:space="preserve"> </w:t>
      </w:r>
      <w:r>
        <w:t xml:space="preserve">potential risks of diversion to landfills.</w:t>
      </w:r>
      <w:r>
        <w:br/>
      </w:r>
      <w:r>
        <w:t xml:space="preserve">The EU has a comprehensive framework to reduce landfilling in place. However,</w:t>
      </w:r>
      <w:r>
        <w:t xml:space="preserve"> </w:t>
      </w:r>
      <w:r>
        <w:t xml:space="preserve">implementation varies significantly across Member States and national regulatory and fiscal</w:t>
      </w:r>
      <w:r>
        <w:t xml:space="preserve"> </w:t>
      </w:r>
      <w:r>
        <w:t xml:space="preserve">measures differ widely in scope, enforcement and impact. In addition to PO2, the harmonised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price signal on biodegradable organic fractions under PO3 can contribute to reduce landfilling</w:t>
      </w:r>
      <w:r>
        <w:t xml:space="preserve"> </w:t>
      </w:r>
      <w:r>
        <w:t xml:space="preserve">and land and groundwater contamination from leachate. However, PO3 does not substantially</w:t>
      </w:r>
      <w:r>
        <w:t xml:space="preserve"> </w:t>
      </w:r>
      <w:r>
        <w:t xml:space="preserve">address the risk that waste with high fossil waste fractions or fossil fractions separated from</w:t>
      </w:r>
      <w:r>
        <w:t xml:space="preserve"> </w:t>
      </w:r>
      <w:r>
        <w:t xml:space="preserve">mixed municipal waste could be diverted to landfills to circumvent the carbon price on</w:t>
      </w:r>
      <w:r>
        <w:t xml:space="preserve"> </w:t>
      </w:r>
      <w:r>
        <w:t xml:space="preserve">incineration. The simultaneous implementation and enforcement of effective complementary</w:t>
      </w:r>
      <w:r>
        <w:t xml:space="preserve"> </w:t>
      </w:r>
      <w:r>
        <w:t xml:space="preserve">waste policies to discourage landfilling therefore remains crucial under all policy scenarios. In</w:t>
      </w:r>
      <w:r>
        <w:t xml:space="preserve"> </w:t>
      </w:r>
      <w:r>
        <w:t xml:space="preserve">terms of incentivising waste treatment higher up the waste hierarchy, the additional impact of</w:t>
      </w:r>
      <w:r>
        <w:t xml:space="preserve"> </w:t>
      </w:r>
      <w:r>
        <w:t xml:space="preserve">the application of the carbon price to hazardous waste incineration is expected to be more</w:t>
      </w:r>
      <w:r>
        <w:t xml:space="preserve"> </w:t>
      </w:r>
      <w:r>
        <w:t xml:space="preserve">limited, especially for highly hazardous substances required to be disposed at high</w:t>
      </w:r>
      <w:r>
        <w:t xml:space="preserve"> </w:t>
      </w:r>
      <w:r>
        <w:t xml:space="preserve">temperatures, as there is generally lower technical and regulatory flexibility in treatment</w:t>
      </w:r>
      <w:r>
        <w:t xml:space="preserve"> </w:t>
      </w:r>
      <w:r>
        <w:t xml:space="preserve">options for materials that cannot be safely recycled, recovered, or treated by other means. The</w:t>
      </w:r>
      <w:r>
        <w:t xml:space="preserve"> </w:t>
      </w:r>
      <w:r>
        <w:t xml:space="preserve">risk of waste diversion to exports to third countries under both PO2 and PO3 is considered to</w:t>
      </w:r>
      <w:r>
        <w:t xml:space="preserve"> </w:t>
      </w:r>
      <w:r>
        <w:t xml:space="preserve">be limited as a result of legal restrictions under the Waste Shipment Regulation, with stricter</w:t>
      </w:r>
      <w:r>
        <w:t xml:space="preserve"> </w:t>
      </w:r>
      <w:r>
        <w:t xml:space="preserve">rules and enforcement upcoming from 2027.</w:t>
      </w:r>
      <w:r>
        <w:t xml:space="preserve"> </w:t>
      </w:r>
      <w:r>
        <w:t xml:space="preserve">6.2.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assesses the economic impacts associated with the different policy measures that</w:t>
      </w:r>
      <w:r>
        <w:t xml:space="preserve"> </w:t>
      </w:r>
      <w:r>
        <w:t xml:space="preserve">make up the three policy options. It is not an assessment of the economic impact of the climate</w:t>
      </w:r>
      <w:r>
        <w:t xml:space="preserve"> </w:t>
      </w:r>
      <w:r>
        <w:t xml:space="preserve">ambition itself, which was analysed as part of the 2040 Climate Target Impact Assessment.</w:t>
      </w:r>
      <w:r>
        <w:t xml:space="preserve"> </w:t>
      </w:r>
      <w:r>
        <w:t xml:space="preserve">The focus of this assessment is on whether the policy options will impose additional costs (i.e. </w:t>
      </w:r>
      <w:r>
        <w:t xml:space="preserve"> </w:t>
      </w:r>
      <w:r>
        <w:t xml:space="preserve">ETS price or administrative) on business and, if so, how might this impact upon their</w:t>
      </w:r>
      <w:r>
        <w:t xml:space="preserve"> </w:t>
      </w:r>
      <w:r>
        <w:t xml:space="preserve">competitiveness. These impacts will also be considered specifically for SMEs and the impact</w:t>
      </w:r>
      <w:r>
        <w:t xml:space="preserve"> </w:t>
      </w:r>
      <w:r>
        <w:t xml:space="preserve">of the policy options more broadly on the functioning of the internal market and the impact on</w:t>
      </w:r>
      <w:r>
        <w:t xml:space="preserve"> </w:t>
      </w:r>
      <w:r>
        <w:t xml:space="preserve">public authorities will also be carefully assessed.</w:t>
      </w:r>
      <w:r>
        <w:br/>
      </w:r>
      <w:r>
        <w:t xml:space="preserve">6.2.1. Cost of compliance</w:t>
      </w:r>
      <w:r>
        <w:t xml:space="preserve"> </w:t>
      </w:r>
      <w:r>
        <w:t xml:space="preserve">The cost of compliance refers to the impact of the policy measures on the carbon price and the</w:t>
      </w:r>
      <w:r>
        <w:t xml:space="preserve"> </w:t>
      </w:r>
      <w:r>
        <w:t xml:space="preserve">cost for installations to comply based on their exposure to the ETS price.</w:t>
      </w:r>
      <w:r>
        <w:t xml:space="preserve"> </w:t>
      </w:r>
      <w:r>
        <w:t xml:space="preserve">6.2.1.1. Carbon removals</w:t>
      </w:r>
      <w:r>
        <w:t xml:space="preserve"> </w:t>
      </w:r>
      <w:r>
        <w:t xml:space="preserve">The integration of removals is expected to help with cost containment, especially for hard to</w:t>
      </w:r>
      <w:r>
        <w:t xml:space="preserve"> </w:t>
      </w:r>
      <w:r>
        <w:t xml:space="preserve">abate sectors by putting downward pressure on the allowance price over time. Compared to the</w:t>
      </w:r>
      <w:r>
        <w:t xml:space="preserve"> </w:t>
      </w:r>
      <w:r>
        <w:t xml:space="preserve">baseline62, all of the policy options will provide greater flexibility for the cost of compliance,</w:t>
      </w:r>
      <w:r>
        <w:t xml:space="preserve"> </w:t>
      </w:r>
      <w:r>
        <w:t xml:space="preserve">but the impact is likely to vary depending upon how removals are integrated into the EU ETS.</w:t>
      </w:r>
      <w:r>
        <w:t xml:space="preserve"> </w:t>
      </w:r>
      <w:r>
        <w:t xml:space="preserve">The net effect on compliance costs would depend among others on marginal abatement costs,</w:t>
      </w:r>
      <w:r>
        <w:t xml:space="preserve"> </w:t>
      </w:r>
      <w:r>
        <w:t xml:space="preserve">on the removal supply curve and on complementary CDR support instruments.</w:t>
      </w:r>
      <w:r>
        <w:t xml:space="preserve"> </w:t>
      </w:r>
      <w:r>
        <w:t xml:space="preserve">Under PO1, a net cap with integration of removals through a public authority, it is expected</w:t>
      </w:r>
      <w:r>
        <w:t xml:space="preserve"> </w:t>
      </w:r>
      <w:r>
        <w:t xml:space="preserve">that the allowance price goes down as compared to the baseline in line with the increased</w:t>
      </w:r>
      <w:r>
        <w:t xml:space="preserve"> </w:t>
      </w:r>
      <w:r>
        <w:t xml:space="preserve">availability of allowances as removal-backed allowances via auctions. Indeed, it is associated</w:t>
      </w:r>
    </w:p>
    <w:p>
      <w:pPr>
        <w:pStyle w:val="BodyText"/>
      </w:pPr>
      <w:r>
        <w:t xml:space="preserve">62 The baseline is a net cap (adjusted to the relevant ambition level and all other changes in the policy options),</w:t>
      </w:r>
      <w:r>
        <w:t xml:space="preserve"> </w:t>
      </w:r>
      <w:r>
        <w:t xml:space="preserve">as no additional emissions space would be provided through the integration. The ETS could eventually</w:t>
      </w:r>
      <w:r>
        <w:t xml:space="preserve"> </w:t>
      </w:r>
      <w:r>
        <w:t xml:space="preserve">progress to absolute zero, unless removals would be generated elsewhere to compensate for the ETS having</w:t>
      </w:r>
      <w:r>
        <w:t xml:space="preserve"> </w:t>
      </w:r>
      <w:r>
        <w:t xml:space="preserve">a positive cap, or it would be replaced by another system. For options on the future of the ETS in case of no</w:t>
      </w:r>
      <w:r>
        <w:t xml:space="preserve"> </w:t>
      </w:r>
      <w:r>
        <w:t xml:space="preserve">integration of removals, see Stephanie La Hoz Theuer, Victor Ortiz Rivera, Katja Biedenkopf, ETS,</w:t>
      </w:r>
      <w:r>
        <w:t xml:space="preserve"> </w:t>
      </w:r>
      <w:r>
        <w:t xml:space="preserve">Reloaded? Designing Emissions Trading for Net-Zero and Net-Negative Societies, Secretariat of 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Carbon</w:t>
      </w:r>
      <w:r>
        <w:t xml:space="preserve"> </w:t>
      </w:r>
      <w:r>
        <w:t xml:space="preserve">Action</w:t>
      </w:r>
      <w:r>
        <w:t xml:space="preserve"> </w:t>
      </w:r>
      <w:r>
        <w:t xml:space="preserve">Partnership,</w:t>
      </w:r>
      <w:r>
        <w:t xml:space="preserve"> </w:t>
      </w:r>
      <w:r>
        <w:t xml:space="preserve">March</w:t>
      </w:r>
      <w:r>
        <w:t xml:space="preserve"> </w:t>
      </w:r>
      <w:r>
        <w:t xml:space="preserve">2025.</w:t>
      </w:r>
      <w:r>
        <w:t xml:space="preserve"> </w:t>
      </w:r>
      <w:r>
        <w:t xml:space="preserve">Berlin,</w:t>
      </w:r>
      <w:r>
        <w:t xml:space="preserve"> </w:t>
      </w:r>
      <w:r>
        <w:t xml:space="preserve">Germany,</w:t>
      </w:r>
      <w:r>
        <w:t xml:space="preserve"> </w:t>
      </w:r>
      <w:r>
        <w:t xml:space="preserve">https://icapcarbonaction.com/system/files/document/ets-reloaded-paper_final.pdf.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with potentially lower ETS prices, as shown below, as it introduces two positive effects of</w:t>
      </w:r>
      <w:r>
        <w:t xml:space="preserve"> </w:t>
      </w:r>
      <w:r>
        <w:t xml:space="preserve">regulatory intervention:</w:t>
      </w:r>
      <w:r>
        <w:br/>
      </w:r>
      <w:r>
        <w:t xml:space="preserve">(i) a reduction in capital risk premiums for removal operators, due to the guaranteed</w:t>
      </w:r>
      <w:r>
        <w:t xml:space="preserve"> </w:t>
      </w:r>
      <w:r>
        <w:t xml:space="preserve">purchase of removals, and</w:t>
      </w:r>
      <w:r>
        <w:t xml:space="preserve"> </w:t>
      </w:r>
      <w:r>
        <w:t xml:space="preserve">(ii) for industry emitters, a guarantee of removals availability that provides greater</w:t>
      </w:r>
      <w:r>
        <w:t xml:space="preserve"> </w:t>
      </w:r>
      <w:r>
        <w:t xml:space="preserve">compliance certainty.</w:t>
      </w:r>
      <w:r>
        <w:t xml:space="preserve"> </w:t>
      </w:r>
      <w:r>
        <w:t xml:space="preserve">Overall, public intervention is expected to provide a mutual benefit to both emitters and</w:t>
      </w:r>
      <w:r>
        <w:t xml:space="preserve"> </w:t>
      </w:r>
      <w:r>
        <w:t xml:space="preserve">removal operators through greater predictability and reduced market risk.</w:t>
      </w:r>
      <w:r>
        <w:t xml:space="preserve"> </w:t>
      </w:r>
      <w:r>
        <w:t xml:space="preserve">Under PO2, a net cap with direct integration of removals and a limit, it is expected that removal</w:t>
      </w:r>
      <w:r>
        <w:t xml:space="preserve"> </w:t>
      </w:r>
      <w:r>
        <w:t xml:space="preserve">units increase compliance unit supply and affect allowance prices primarily if and when</w:t>
      </w:r>
      <w:r>
        <w:t xml:space="preserve"> </w:t>
      </w:r>
      <w:r>
        <w:t xml:space="preserve">marginal abatement costs equal or exceed marginal removal costs, although expectations of</w:t>
      </w:r>
      <w:r>
        <w:t xml:space="preserve"> </w:t>
      </w:r>
      <w:r>
        <w:t xml:space="preserve">future CDR cost declines and availability can lower EUA prices before parity is reached.</w:t>
      </w:r>
      <w:r>
        <w:br/>
      </w:r>
      <w:r>
        <w:t xml:space="preserve">Under PO3, a gross cap with direct integration of removals, the regulator would increase the</w:t>
      </w:r>
      <w:r>
        <w:t xml:space="preserve"> </w:t>
      </w:r>
      <w:r>
        <w:t xml:space="preserve">number of conventional allowances in circulation through an increase in allowance auction</w:t>
      </w:r>
      <w:r>
        <w:t xml:space="preserve"> </w:t>
      </w:r>
      <w:r>
        <w:t xml:space="preserve">volumes distributed throughout the period. The increase in conventional allowances would not</w:t>
      </w:r>
      <w:r>
        <w:t xml:space="preserve"> </w:t>
      </w:r>
      <w:r>
        <w:t xml:space="preserve">be conditional on removal units coming in. This would reduce scarcity in the EU ETS and exert</w:t>
      </w:r>
      <w:r>
        <w:t xml:space="preserve"> </w:t>
      </w:r>
      <w:r>
        <w:t xml:space="preserve">downward pressure on the price – thereby reducing compliance costs compared to the baseline.</w:t>
      </w:r>
      <w:r>
        <w:t xml:space="preserve"> </w:t>
      </w:r>
      <w:r>
        <w:t xml:space="preserve">Conversely, the use of removal units would trigger the cancellation of a conventional allowance</w:t>
      </w:r>
      <w:r>
        <w:t xml:space="preserve"> </w:t>
      </w:r>
      <w:r>
        <w:t xml:space="preserve">from future auctions, potentially creating an upward price pressure63.</w:t>
      </w:r>
      <w:r>
        <w:br/>
      </w:r>
      <w:r>
        <w:t xml:space="preserve">The effects of the different integration options can be shown through either higher or lower</w:t>
      </w:r>
      <w:r>
        <w:t xml:space="preserve"> </w:t>
      </w:r>
      <w:r>
        <w:t xml:space="preserve">discount rates, representing higher and lower risks for removals operators, which impact the</w:t>
      </w:r>
      <w:r>
        <w:t xml:space="preserve"> </w:t>
      </w:r>
      <w:r>
        <w:t xml:space="preserve">removals price and therefore the ETS price in PO2 and PO3. In the modelling results, PO1</w:t>
      </w:r>
      <w:r>
        <w:t xml:space="preserve"> </w:t>
      </w:r>
      <w:r>
        <w:t xml:space="preserve">actually operates with a higher number of removals than those considered in the design of the</w:t>
      </w:r>
      <w:r>
        <w:t xml:space="preserve"> </w:t>
      </w:r>
      <w:r>
        <w:t xml:space="preserve">policy option, due to removals becoming more attractive: more certainty leads to lower interest</w:t>
      </w:r>
      <w:r>
        <w:t xml:space="preserve"> </w:t>
      </w:r>
      <w:r>
        <w:t xml:space="preserve">rates for investments, and thus to lower removals prices, and higher removals amounts. Thus,</w:t>
      </w:r>
      <w:r>
        <w:t xml:space="preserve"> </w:t>
      </w:r>
      <w:r>
        <w:t xml:space="preserve">PO1 prices are affected indirectly through the increased of supply.</w:t>
      </w:r>
      <w:r>
        <w:br/>
      </w:r>
      <w:r>
        <w:t xml:space="preserve">6.2.1.2. MSR</w:t>
      </w:r>
      <w:r>
        <w:t xml:space="preserve"> </w:t>
      </w:r>
      <w:r>
        <w:t xml:space="preserve">The MSR reform impacts compliance costs because MSR rules and parameters interact with</w:t>
      </w:r>
      <w:r>
        <w:t xml:space="preserve"> </w:t>
      </w:r>
      <w:r>
        <w:t xml:space="preserve">all other elements in a given policy option (in particular as regards cap trajectory, removals</w:t>
      </w:r>
      <w:r>
        <w:t xml:space="preserve"> </w:t>
      </w:r>
      <w:r>
        <w:t xml:space="preserve">integration and sectoral scope), to alter the allowance supply and demand, and therefore EUA</w:t>
      </w:r>
      <w:r>
        <w:t xml:space="preserve"> </w:t>
      </w:r>
      <w:r>
        <w:t xml:space="preserve">prices. These will result in different compliance costs that will impact the standing of</w:t>
      </w:r>
      <w:r>
        <w:t xml:space="preserve"> </w:t>
      </w:r>
      <w:r>
        <w:t xml:space="preserve">businesses across the economy. Three main indicators can be considered in the analysis of</w:t>
      </w:r>
      <w:r>
        <w:t xml:space="preserve"> </w:t>
      </w:r>
      <w:r>
        <w:t xml:space="preserve">economic impacts of the MSR: future prices, price volatility and the TNAC-to-emissions ratio</w:t>
      </w:r>
      <w:r>
        <w:t xml:space="preserve"> </w:t>
      </w:r>
      <w:r>
        <w:t xml:space="preserve">as a measure of market balance / liquidity. As explained above, the MSR1 design was chosen</w:t>
      </w:r>
      <w:r>
        <w:t xml:space="preserve"> </w:t>
      </w:r>
      <w:r>
        <w:t xml:space="preserve">for PO1 and the MSR3 design for PO2 and PO3 and were tested for an EU ETS contribution</w:t>
      </w:r>
      <w:r>
        <w:t xml:space="preserve"> </w:t>
      </w:r>
      <w:r>
        <w:t xml:space="preserve">to the 90-85% economy-wide emissions reduction target. The results for PO2 and PO3 are</w:t>
      </w:r>
      <w:r>
        <w:t xml:space="preserve"> </w:t>
      </w:r>
      <w:r>
        <w:t xml:space="preserve">identical given certain MSR modelling limitations as regards the integration of removals and</w:t>
      </w:r>
    </w:p>
    <w:p>
      <w:pPr>
        <w:pStyle w:val="BodyText"/>
      </w:pPr>
      <w:r>
        <w:t xml:space="preserve">63 The year a removal unit is used instead of a normal allowance, the total emissions space in that year is higher.</w:t>
      </w:r>
      <w:r>
        <w:t xml:space="preserve"> </w:t>
      </w:r>
      <w:r>
        <w:t xml:space="preserve">As an allowance is cancelled in a later year, the total volume doesn’t change, but the distribution of those</w:t>
      </w:r>
      <w:r>
        <w:t xml:space="preserve"> </w:t>
      </w:r>
      <w:r>
        <w:t xml:space="preserve">allowances. This creates temporal arbitrage opportunities. If arbitrage is perfect, frictionless, and without</w:t>
      </w:r>
      <w:r>
        <w:t xml:space="preserve"> </w:t>
      </w:r>
      <w:r>
        <w:t xml:space="preserve">cost, this has no effect on prices in any years. If instead it is fully sticky, then the allowance price would be</w:t>
      </w:r>
      <w:r>
        <w:t xml:space="preserve"> </w:t>
      </w:r>
      <w:r>
        <w:t xml:space="preserve">lower in the year the removal unit is used, and higher in the later year where fewer allowances are auctioned.</w:t>
      </w:r>
      <w:r>
        <w:t xml:space="preserve"> </w:t>
      </w:r>
      <w:r>
        <w:t xml:space="preserve">Reality will lie between these two extremes, meaning a higher price volatility under PO3 than the other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different sector scope in the two policy options (see more detailed explanations in Annex</w:t>
      </w:r>
      <w:r>
        <w:t xml:space="preserve"> </w:t>
      </w:r>
      <w:r>
        <w:t xml:space="preserve">8).</w:t>
      </w:r>
      <w:r>
        <w:t xml:space="preserve"> </w:t>
      </w:r>
      <w:r>
        <w:t xml:space="preserve">The modelling provides estimates of the TNAC trajectory and corresponding MSR operations</w:t>
      </w:r>
      <w:r>
        <w:t xml:space="preserve"> </w:t>
      </w:r>
      <w:r>
        <w:t xml:space="preserve">(intakes and releases) for each policy option, which impact the indexed carbon price</w:t>
      </w:r>
      <w:r>
        <w:t xml:space="preserve"> </w:t>
      </w:r>
      <w:r>
        <w:t xml:space="preserve">trajectories. The EUA price evolution was simulated using the POLES-Enerdata model, based</w:t>
      </w:r>
      <w:r>
        <w:t xml:space="preserve"> </w:t>
      </w:r>
      <w:r>
        <w:t xml:space="preserve">on a supply-demand equilibrium. In Annex 8, indexed price curves are presented to illustrate</w:t>
      </w:r>
      <w:r>
        <w:t xml:space="preserve"> </w:t>
      </w:r>
      <w:r>
        <w:t xml:space="preserve">overall annual price trends compared to 2028. Such illustrations require careful interpretation</w:t>
      </w:r>
      <w:r>
        <w:t xml:space="preserve"> </w:t>
      </w:r>
      <w:r>
        <w:t xml:space="preserve">as modelling relies on uncertain assumptions and may not capture actual short term price</w:t>
      </w:r>
      <w:r>
        <w:t xml:space="preserve"> </w:t>
      </w:r>
      <w:r>
        <w:t xml:space="preserve">movements, which can be driven by other factors outside the scope of this assessment. The</w:t>
      </w:r>
      <w:r>
        <w:t xml:space="preserve"> </w:t>
      </w:r>
      <w:r>
        <w:t xml:space="preserve">indexes are therefore used to illustrate trends - such as relative annual price increases and</w:t>
      </w:r>
      <w:r>
        <w:t xml:space="preserve"> </w:t>
      </w:r>
      <w:r>
        <w:t xml:space="preserve">directional movements - and to serve as a comparison framework across policy options, rather</w:t>
      </w:r>
      <w:r>
        <w:t xml:space="preserve"> </w:t>
      </w:r>
      <w:r>
        <w:t xml:space="preserve">than to deliver precise price forecasts. This approach applies to all measures modelled in Annex</w:t>
      </w:r>
      <w:r>
        <w:t xml:space="preserve"> </w:t>
      </w:r>
      <w:r>
        <w:t xml:space="preserve">8.</w:t>
      </w:r>
      <w:r>
        <w:br/>
      </w:r>
      <w:r>
        <w:t xml:space="preserve">For PO1, the MSR1 design leads to an EUA indexed price that gradually increases until 2029,</w:t>
      </w:r>
      <w:r>
        <w:t xml:space="preserve"> </w:t>
      </w:r>
      <w:r>
        <w:t xml:space="preserve">but then declines until 2034, which could potentially send mixed signals to actors investing in</w:t>
      </w:r>
      <w:r>
        <w:t xml:space="preserve"> </w:t>
      </w:r>
      <w:r>
        <w:t xml:space="preserve">decarbonization. Then, the price increase after 2034 is steep and steady, as faster</w:t>
      </w:r>
      <w:r>
        <w:t xml:space="preserve"> </w:t>
      </w:r>
      <w:r>
        <w:t xml:space="preserve">decarbonisation needs to be triggered to reach the 2040 target. However, this could prove</w:t>
      </w:r>
      <w:r>
        <w:t xml:space="preserve"> </w:t>
      </w:r>
      <w:r>
        <w:t xml:space="preserve">challenging for regulated entities facing rapidly rising carbon costs and having limited time to</w:t>
      </w:r>
      <w:r>
        <w:t xml:space="preserve"> </w:t>
      </w:r>
      <w:r>
        <w:t xml:space="preserve">adjust and decarbonize their activities. The indexed price curve in this policy option therefore</w:t>
      </w:r>
      <w:r>
        <w:t xml:space="preserve"> </w:t>
      </w:r>
      <w:r>
        <w:t xml:space="preserve">depicts a lack of continuity in market tightness across the studied horizon.</w:t>
      </w:r>
      <w:r>
        <w:t xml:space="preserve"> </w:t>
      </w:r>
      <w:r>
        <w:t xml:space="preserve">For PO2 and PO3, the MSR3 design allows for a monotonic and steady increase in the price</w:t>
      </w:r>
      <w:r>
        <w:t xml:space="preserve"> </w:t>
      </w:r>
      <w:r>
        <w:t xml:space="preserve">throughout the period, indicative of a healthy supply-demand balance on the market. More</w:t>
      </w:r>
      <w:r>
        <w:t xml:space="preserve"> </w:t>
      </w:r>
      <w:r>
        <w:t xml:space="preserve">generally, the MSR3 design used for PO2 and PO3 brings a form of stability to the EU ETS</w:t>
      </w:r>
      <w:r>
        <w:t xml:space="preserve"> </w:t>
      </w:r>
      <w:r>
        <w:t xml:space="preserve">price signal, with a progressively increasing price signal, providing a well-balanced</w:t>
      </w:r>
      <w:r>
        <w:t xml:space="preserve"> </w:t>
      </w:r>
      <w:r>
        <w:t xml:space="preserve">environment for actors to invest in decarbonization activities while leaving them time to</w:t>
      </w:r>
      <w:r>
        <w:t xml:space="preserve"> </w:t>
      </w:r>
      <w:r>
        <w:t xml:space="preserve">undertake the necessary transformations (i.e. not exposing them to rapid price increases).</w:t>
      </w:r>
      <w:r>
        <w:t xml:space="preserve"> </w:t>
      </w:r>
      <w:r>
        <w:t xml:space="preserve">Figure 5:</w:t>
      </w:r>
      <w:r>
        <w:t xml:space="preserve"> </w:t>
      </w:r>
      <w:r>
        <w:t xml:space="preserve">MSR Policy options results – indexed EUA price evolution</w:t>
      </w:r>
    </w:p>
    <w:p>
      <w:pPr>
        <w:pStyle w:val="BodyText"/>
      </w:pPr>
      <w:r>
        <w:t xml:space="preserve">Source: Own visualisation derived from POLES-Enerdata model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It is important to note that within-year price volatility cannot be assessed quantitatively with</w:t>
      </w:r>
      <w:r>
        <w:t xml:space="preserve"> </w:t>
      </w:r>
      <w:r>
        <w:t xml:space="preserve">the modelling approach employed in this analysis. In addition, all the policy options assessed</w:t>
      </w:r>
      <w:r>
        <w:t xml:space="preserve"> </w:t>
      </w:r>
      <w:r>
        <w:t xml:space="preserve">share the same Article 29a release mechanism, whose objective is to address high price</w:t>
      </w:r>
      <w:r>
        <w:t xml:space="preserve"> </w:t>
      </w:r>
      <w:r>
        <w:t xml:space="preserve">movements, so cannot be distinguished in this regard. More generally, high price volatility,</w:t>
      </w:r>
      <w:r>
        <w:t xml:space="preserve"> </w:t>
      </w:r>
      <w:r>
        <w:t xml:space="preserve">whether within-year or inter-annual, tends to occur in markets characterised by low liquidity.</w:t>
      </w:r>
      <w:r>
        <w:t xml:space="preserve"> </w:t>
      </w:r>
      <w:r>
        <w:t xml:space="preserve">Nonetheless, the inter-annual variability of the price paths shown reveals information about the</w:t>
      </w:r>
      <w:r>
        <w:t xml:space="preserve"> </w:t>
      </w:r>
      <w:r>
        <w:t xml:space="preserve">comparative stability offered by the different policy options. As explained above, PO1 exhibits</w:t>
      </w:r>
      <w:r>
        <w:t xml:space="preserve"> </w:t>
      </w:r>
      <w:r>
        <w:t xml:space="preserve">a notable price dip around 2030-2034, followed by a rapid and steep increase through to 2040,</w:t>
      </w:r>
      <w:r>
        <w:t xml:space="preserve"> </w:t>
      </w:r>
      <w:r>
        <w:t xml:space="preserve">which would prove challenging for regulated entities facing such a price trajectory. In contrast,</w:t>
      </w:r>
      <w:r>
        <w:t xml:space="preserve"> </w:t>
      </w:r>
      <w:r>
        <w:t xml:space="preserve">PO2 and PO3 demonstrates first a stabilisation of prices in the period of 2030-2034, followed</w:t>
      </w:r>
      <w:r>
        <w:t xml:space="preserve"> </w:t>
      </w:r>
      <w:r>
        <w:t xml:space="preserve">by a progressive, monotonic price trajectory until 2040, offering a credible and steady price</w:t>
      </w:r>
      <w:r>
        <w:t xml:space="preserve"> </w:t>
      </w:r>
      <w:r>
        <w:t xml:space="preserve">signal that facilitates long-term investment planning.</w:t>
      </w:r>
      <w:r>
        <w:t xml:space="preserve"> </w:t>
      </w:r>
      <w:r>
        <w:t xml:space="preserve">Market liquidity</w:t>
      </w:r>
      <w:r>
        <w:t xml:space="preserve"> </w:t>
      </w:r>
      <w:r>
        <w:t xml:space="preserve">The TNAC-to-emissions ratio is used as an approximate measure of market liquidity. In all</w:t>
      </w:r>
      <w:r>
        <w:t xml:space="preserve"> </w:t>
      </w:r>
      <w:r>
        <w:t xml:space="preserve">policy options, the ratio decreases from its high historical values to about 0.6 for the 2027</w:t>
      </w:r>
      <w:r>
        <w:t xml:space="preserve"> </w:t>
      </w:r>
      <w:r>
        <w:t xml:space="preserve">TNAC, given the downward TNAC technical adjustment for the historic net aviation demand</w:t>
      </w:r>
      <w:r>
        <w:t xml:space="preserve"> </w:t>
      </w:r>
      <w:r>
        <w:t xml:space="preserve">in 2012-2023 of approximately 173 million EUAs. The ratio then slightly decreases by 2030,</w:t>
      </w:r>
      <w:r>
        <w:t xml:space="preserve"> </w:t>
      </w:r>
      <w:r>
        <w:t xml:space="preserve">after which it diverges in the different policy options.</w:t>
      </w:r>
      <w:r>
        <w:br/>
      </w:r>
      <w:r>
        <w:t xml:space="preserve">In PO1, the decrease continues slowly until 2036 to 0.29, a year after the first MSR release</w:t>
      </w:r>
      <w:r>
        <w:t xml:space="preserve"> </w:t>
      </w:r>
      <w:r>
        <w:t xml:space="preserve">takes place. After that, due to the continued annual releases, the ratio rises again and reaches</w:t>
      </w:r>
      <w:r>
        <w:t xml:space="preserve"> </w:t>
      </w:r>
      <w:r>
        <w:t xml:space="preserve">its maximum value of 0.68 in 2040, exhibiting a u-shaped pattern.</w:t>
      </w:r>
      <w:r>
        <w:t xml:space="preserve"> </w:t>
      </w:r>
      <w:r>
        <w:t xml:space="preserve">Starting in 2027, the PO2 &amp; PO3 options include extra-EU aviation one-way emissions, not</w:t>
      </w:r>
      <w:r>
        <w:t xml:space="preserve"> </w:t>
      </w:r>
      <w:r>
        <w:t xml:space="preserve">included in PO1, explaining the slight translation between their respective trajectories after</w:t>
      </w:r>
      <w:r>
        <w:t xml:space="preserve"> </w:t>
      </w:r>
      <w:r>
        <w:t xml:space="preserve">2027 (before other factors make them diverge further). Likewise, the inclusion of hazardous</w:t>
      </w:r>
      <w:r>
        <w:t xml:space="preserve"> </w:t>
      </w:r>
      <w:r>
        <w:t xml:space="preserve">waste and landfills emissions from 2031 in PO3, not covered in PO2, creates the translation</w:t>
      </w:r>
      <w:r>
        <w:t xml:space="preserve"> </w:t>
      </w:r>
      <w:r>
        <w:t xml:space="preserve">between their respective curves, otherwise comparable in evolution.</w:t>
      </w:r>
      <w:r>
        <w:t xml:space="preserve"> </w:t>
      </w:r>
      <w:r>
        <w:t xml:space="preserve">For PO2 &amp; PO3, the ratio starts to increase again in 2038, due to the first MSR releases, and</w:t>
      </w:r>
      <w:r>
        <w:t xml:space="preserve"> </w:t>
      </w:r>
      <w:r>
        <w:t xml:space="preserve">then oscillates in a narrow band, maintained by ongoing releases by the MSR, suggesting a</w:t>
      </w:r>
      <w:r>
        <w:t xml:space="preserve"> </w:t>
      </w:r>
      <w:r>
        <w:t xml:space="preserve">steady state for this indicator. The spread of the ratio for the 2027-2040 period is slightly lower</w:t>
      </w:r>
      <w:r>
        <w:t xml:space="preserve"> </w:t>
      </w:r>
      <w:r>
        <w:t xml:space="preserve">for PO2 (0.28-0.59) than for PO3 (0.25-0.59), although both are within an acceptable range.</w:t>
      </w:r>
      <w:r>
        <w:t xml:space="preserve"> </w:t>
      </w:r>
      <w:r>
        <w:t xml:space="preserve">The PO1 spread is wider (0.29-0.68), and features values on the relatively high range in the</w:t>
      </w:r>
      <w:r>
        <w:t xml:space="preserve"> </w:t>
      </w:r>
      <w:r>
        <w:t xml:space="preserve">last years of the period (above 0.6).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Figure 6:</w:t>
      </w:r>
      <w:r>
        <w:t xml:space="preserve"> </w:t>
      </w:r>
      <w:r>
        <w:t xml:space="preserve">Policy options results - TNAC-to-Emissions ratio</w:t>
      </w:r>
    </w:p>
    <w:p>
      <w:pPr>
        <w:pStyle w:val="BodyText"/>
      </w:pPr>
      <w:r>
        <w:t xml:space="preserve">Source: Own visualisation derived from POLES-Enerdata model</w:t>
      </w:r>
      <w:r>
        <w:t xml:space="preserve"> </w:t>
      </w:r>
      <w:r>
        <w:t xml:space="preserve">6.2.1.3. Instruments to support investments</w:t>
      </w:r>
      <w:r>
        <w:br/>
      </w:r>
      <w:r>
        <w:t xml:space="preserve">The IDB by providing the support to investments will help the industry to stay on the net-zero</w:t>
      </w:r>
      <w:r>
        <w:t xml:space="preserve"> </w:t>
      </w:r>
      <w:r>
        <w:t xml:space="preserve">trajectory. It thus helps to avoid higher compliance costs for industry stemming from further</w:t>
      </w:r>
      <w:r>
        <w:t xml:space="preserve"> </w:t>
      </w:r>
      <w:r>
        <w:t xml:space="preserve">increases in the ETS carbon price that would have happened in case investments do not</w:t>
      </w:r>
      <w:r>
        <w:t xml:space="preserve"> </w:t>
      </w:r>
      <w:r>
        <w:t xml:space="preserve">materialise or are delayed.</w:t>
      </w:r>
      <w:r>
        <w:br/>
      </w:r>
      <w:r>
        <w:t xml:space="preserve">Considering the role of the IDB to contribute to ensuring that the investments foreseen in the</w:t>
      </w:r>
      <w:r>
        <w:t xml:space="preserve"> </w:t>
      </w:r>
      <w:r>
        <w:t xml:space="preserve">2040 climate target modelling materialises, there should be a limited/no impact on the ETS</w:t>
      </w:r>
      <w:r>
        <w:t xml:space="preserve"> </w:t>
      </w:r>
      <w:r>
        <w:t xml:space="preserve">carbon price that was modelled. In the modelling exercise investments happen due to the carbon</w:t>
      </w:r>
      <w:r>
        <w:t xml:space="preserve"> </w:t>
      </w:r>
      <w:r>
        <w:t xml:space="preserve">price trajectory and regulatory framework, fully implemented and perfectly integrated in the</w:t>
      </w:r>
      <w:r>
        <w:t xml:space="preserve"> </w:t>
      </w:r>
      <w:r>
        <w:t xml:space="preserve">decision-making of all economic actors. In reality, however, there will still be shortcomings</w:t>
      </w:r>
      <w:r>
        <w:t xml:space="preserve"> </w:t>
      </w:r>
      <w:r>
        <w:t xml:space="preserve">compared to model-based exercise and those shortcomings need to be addressed by the support</w:t>
      </w:r>
      <w:r>
        <w:t xml:space="preserve"> </w:t>
      </w:r>
      <w:r>
        <w:t xml:space="preserve">mechanisms.</w:t>
      </w:r>
      <w:r>
        <w:t xml:space="preserve"> </w:t>
      </w:r>
      <w:r>
        <w:t xml:space="preserve">The IDB has no compliance costs for the ETS installation, instead it will turn the ETS resources</w:t>
      </w:r>
      <w:r>
        <w:t xml:space="preserve"> </w:t>
      </w:r>
      <w:r>
        <w:t xml:space="preserve">into the investment support for the industry so that the industry can follow the net-zero</w:t>
      </w:r>
      <w:r>
        <w:t xml:space="preserve"> </w:t>
      </w:r>
      <w:r>
        <w:t xml:space="preserve">trajectory. The magnitude of this support will vary across the IDB options primarily due to type</w:t>
      </w:r>
      <w:r>
        <w:t xml:space="preserve"> </w:t>
      </w:r>
      <w:r>
        <w:t xml:space="preserve">of support (fixed or variable premium) and even more granular support features than those</w:t>
      </w:r>
      <w:r>
        <w:t xml:space="preserve"> </w:t>
      </w:r>
      <w:r>
        <w:t xml:space="preserve">analysed in this Impact Assessment, e.g. the size of fixed premium.</w:t>
      </w:r>
      <w:r>
        <w:br/>
      </w:r>
      <w:r>
        <w:t xml:space="preserve">6.2.1.4. Aviation</w:t>
      </w:r>
      <w:r>
        <w:t xml:space="preserve"> </w:t>
      </w:r>
      <w:r>
        <w:t xml:space="preserve">Compliance costs for aviation are made up by ETS compliance costs (minus benefits from</w:t>
      </w:r>
      <w:r>
        <w:t xml:space="preserve"> </w:t>
      </w:r>
      <w:r>
        <w:t xml:space="preserve">ETS-financed SAF support) and CORSIA compliance costs, as applicable in the different</w:t>
      </w:r>
      <w:r>
        <w:t xml:space="preserve"> </w:t>
      </w:r>
      <w:r>
        <w:t xml:space="preserve">policy options. Costs for compliance with ReFuelEU Aviation are out of the scope of this</w:t>
      </w:r>
      <w:r>
        <w:t xml:space="preserve"> </w:t>
      </w:r>
      <w:r>
        <w:t xml:space="preserve">Impact Assessment. Administrative costs are limited and covered in Section 6.2.2.3. In the</w:t>
      </w:r>
      <w:r>
        <w:t xml:space="preserve"> </w:t>
      </w:r>
      <w:r>
        <w:t xml:space="preserve">baseline, ETS compliance costs are highest, because the ETS scope is largest. When looking</w:t>
      </w:r>
      <w:r>
        <w:t xml:space="preserve"> </w:t>
      </w:r>
      <w:r>
        <w:t xml:space="preserve">at 2035, ETS compliance costs are lowest in PO3, where ETS-financed SAF support is highest.</w:t>
      </w:r>
      <w:r>
        <w:t xml:space="preserve"> </w:t>
      </w:r>
      <w:r>
        <w:t xml:space="preserve">ETS compliance costs are highest in the baseline, and second highest in PO2, where the ETS</w:t>
      </w:r>
      <w:r>
        <w:t xml:space="preserve"> </w:t>
      </w:r>
      <w:r>
        <w:t xml:space="preserve">scope is the same as in PO3, but ETS-financed SAF support is modelled to have run out. ETS</w:t>
      </w:r>
      <w:r>
        <w:t xml:space="preserve"> </w:t>
      </w:r>
      <w:r>
        <w:t xml:space="preserve">compliance costs are mostly channelled back towards climate action: either through revenues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for Member States, which they must use towards climate purposes (in the sector of their</w:t>
      </w:r>
      <w:r>
        <w:t xml:space="preserve"> </w:t>
      </w:r>
      <w:r>
        <w:t xml:space="preserve">choosing), and/ or for allowances for the support of uplift of eligible SAF which are set aside</w:t>
      </w:r>
      <w:r>
        <w:t xml:space="preserve"> </w:t>
      </w:r>
      <w:r>
        <w:t xml:space="preserve">before the revenues reach Member States. Most revenues are set aside for ETS-financed SAF</w:t>
      </w:r>
      <w:r>
        <w:t xml:space="preserve"> </w:t>
      </w:r>
      <w:r>
        <w:t xml:space="preserve">support in PO3, and least (none) in PO1 and the baseline. The baseline and PO2 result in the</w:t>
      </w:r>
      <w:r>
        <w:t xml:space="preserve"> </w:t>
      </w:r>
      <w:r>
        <w:t xml:space="preserve">highest revenues for Member States, as the ETS scope of application is larger (largest in the</w:t>
      </w:r>
      <w:r>
        <w:t xml:space="preserve"> </w:t>
      </w:r>
      <w:r>
        <w:t xml:space="preserve">baseline) and SAF support is smaller (none in the baseline). See Annex 10, Section 3.1, tables</w:t>
      </w:r>
      <w:r>
        <w:t xml:space="preserve"> </w:t>
      </w:r>
      <w:r>
        <w:t xml:space="preserve">13 and 14.</w:t>
      </w:r>
      <w:r>
        <w:t xml:space="preserve"> </w:t>
      </w:r>
      <w:r>
        <w:t xml:space="preserve">CORSIA compliance costs depend on the level of participation of third countries (see Annex</w:t>
      </w:r>
      <w:r>
        <w:t xml:space="preserve"> </w:t>
      </w:r>
      <w:r>
        <w:t xml:space="preserve">10). CORSIA compliance costs are highest in PO1, since it assumes highest implementation of</w:t>
      </w:r>
      <w:r>
        <w:t xml:space="preserve"> </w:t>
      </w:r>
      <w:r>
        <w:t xml:space="preserve">CORSIA by third countries. CORSIA is currently implemented in EU law until the end of</w:t>
      </w:r>
      <w:r>
        <w:t xml:space="preserve"> </w:t>
      </w:r>
      <w:r>
        <w:t xml:space="preserve">2026, therefore CORSIA costs are zero in the baseline. For all policy options, CORSIA costs</w:t>
      </w:r>
      <w:r>
        <w:t xml:space="preserve"> </w:t>
      </w:r>
      <w:r>
        <w:t xml:space="preserve">are zero after 2035, as this is when CORSIA is set to end. In PO2/3, CORSIA costs are lower</w:t>
      </w:r>
      <w:r>
        <w:t xml:space="preserve"> </w:t>
      </w:r>
      <w:r>
        <w:t xml:space="preserve">than in PO1, because it is assumed that fewer third countries implement the scheme. An</w:t>
      </w:r>
      <w:r>
        <w:t xml:space="preserve"> </w:t>
      </w:r>
      <w:r>
        <w:t xml:space="preserve">important characteristic of this Impact Assessment and the Commission approach is that it</w:t>
      </w:r>
      <w:r>
        <w:t xml:space="preserve"> </w:t>
      </w:r>
      <w:r>
        <w:t xml:space="preserve">avoids double pricing emissions – for each tonne of CO2 emissions, airlines either pay the</w:t>
      </w:r>
      <w:r>
        <w:t xml:space="preserve"> </w:t>
      </w:r>
      <w:r>
        <w:t xml:space="preserve">ETS carbon price, CORSIA offsetting, or no carbon price (if an exemption applies): airlines</w:t>
      </w:r>
      <w:r>
        <w:t xml:space="preserve"> </w:t>
      </w:r>
      <w:r>
        <w:t xml:space="preserve">pay at most once per tonne of CO2 emissions, never more than once, because PO2/3 allow for</w:t>
      </w:r>
      <w:r>
        <w:t xml:space="preserve"> </w:t>
      </w:r>
      <w:r>
        <w:t xml:space="preserve">the deduction of CORSIA offsetting costs from ETS costs. This is taken into account in all</w:t>
      </w:r>
      <w:r>
        <w:t xml:space="preserve"> </w:t>
      </w:r>
      <w:r>
        <w:t xml:space="preserve">modelling. CORSIA compliance costs are expected to nearly exclusively go towards the</w:t>
      </w:r>
      <w:r>
        <w:t xml:space="preserve"> </w:t>
      </w:r>
      <w:r>
        <w:t xml:space="preserve">purchase of offset credits which are located in third countries outside Europe, for example</w:t>
      </w:r>
      <w:r>
        <w:t xml:space="preserve"> </w:t>
      </w:r>
      <w:r>
        <w:t xml:space="preserve">Guyana (for detail, see Annex 10, Section 5.1).</w:t>
      </w:r>
      <w:r>
        <w:br/>
      </w:r>
      <w:r>
        <w:t xml:space="preserve">6.2.1.5. Maritime</w:t>
      </w:r>
      <w:r>
        <w:t xml:space="preserve"> </w:t>
      </w:r>
      <w:r>
        <w:t xml:space="preserve">For maritime, the Baseline and PO1 have similar economic impacts in terms of compliance</w:t>
      </w:r>
      <w:r>
        <w:t xml:space="preserve"> </w:t>
      </w:r>
      <w:r>
        <w:t xml:space="preserve">cost.</w:t>
      </w:r>
      <w:r>
        <w:br/>
      </w:r>
      <w:r>
        <w:t xml:space="preserve">The increased recycling of EU ETS revenues to support the decarbonisation of the maritime</w:t>
      </w:r>
      <w:r>
        <w:t xml:space="preserve"> </w:t>
      </w:r>
      <w:r>
        <w:t xml:space="preserve">sector would reduce costs across all vessel sizes. PO2 assumes that 50% of the ETS revenues</w:t>
      </w:r>
      <w:r>
        <w:t xml:space="preserve"> </w:t>
      </w:r>
      <w:r>
        <w:t xml:space="preserve">generated by the maritime sector are going back to the sector, through national support</w:t>
      </w:r>
      <w:r>
        <w:t xml:space="preserve"> </w:t>
      </w:r>
      <w:r>
        <w:t xml:space="preserve">programmes or the implementation of an EU ETS support mechanism for sustainable maritime</w:t>
      </w:r>
      <w:r>
        <w:t xml:space="preserve"> </w:t>
      </w:r>
      <w:r>
        <w:t xml:space="preserve">propulsion, that would notably help bridging the price gap between renewable and low-carbon</w:t>
      </w:r>
      <w:r>
        <w:t xml:space="preserve"> </w:t>
      </w:r>
      <w:r>
        <w:t xml:space="preserve">fuels and the use of fossil fuels. If designed in a way similar to the present SAF in aviation, the</w:t>
      </w:r>
      <w:r>
        <w:t xml:space="preserve"> </w:t>
      </w:r>
      <w:r>
        <w:t xml:space="preserve">establishment of such a mechanism to support sustainable maritime propulsion would lead to</w:t>
      </w:r>
      <w:r>
        <w:t xml:space="preserve"> </w:t>
      </w:r>
      <w:r>
        <w:t xml:space="preserve">46 million EUAs being attributed to bridge the price gap between sustainable propulsion and</w:t>
      </w:r>
      <w:r>
        <w:t xml:space="preserve"> </w:t>
      </w:r>
      <w:r>
        <w:t xml:space="preserve">fossil fuels over 2031-2040.</w:t>
      </w:r>
      <w:r>
        <w:br/>
      </w:r>
      <w:r>
        <w:t xml:space="preserve">The extension of existing derogations in PO2 would reduce compliance costs for shipping</w:t>
      </w:r>
      <w:r>
        <w:t xml:space="preserve"> </w:t>
      </w:r>
      <w:r>
        <w:t xml:space="preserve">companies compared to the baseline, corresponding to the none-surrendering of around 5</w:t>
      </w:r>
      <w:r>
        <w:t xml:space="preserve"> </w:t>
      </w:r>
      <w:r>
        <w:t xml:space="preserve">million EUAs.</w:t>
      </w:r>
      <w:r>
        <w:t xml:space="preserve"> </w:t>
      </w:r>
      <w:r>
        <w:t xml:space="preserve">The application of the IMO deduction in PO2 would lead to lower compliance costs for</w:t>
      </w:r>
      <w:r>
        <w:t xml:space="preserve"> </w:t>
      </w:r>
      <w:r>
        <w:t xml:space="preserve">vessels subject to both the EU ETS and the IMO mid-term measure (once adopted), compared</w:t>
      </w:r>
      <w:r>
        <w:t xml:space="preserve"> </w:t>
      </w:r>
      <w:r>
        <w:t xml:space="preserve">to PO1 and the Baseline. It would prevent double regulation and double payment for the same</w:t>
      </w:r>
      <w:r>
        <w:t xml:space="preserve"> </w:t>
      </w:r>
      <w:r>
        <w:t xml:space="preserve">emissions, while ensuring that emissions are always priced at a level at least equivalent to that</w:t>
      </w:r>
      <w:r>
        <w:t xml:space="preserve"> </w:t>
      </w:r>
      <w:r>
        <w:t xml:space="preserve">of the ETS. The economic impact of the IMO deduction depends notably on the stringency of</w:t>
      </w:r>
      <w:r>
        <w:t xml:space="preserve"> </w:t>
      </w:r>
      <w:r>
        <w:t xml:space="preserve">the IMO measure once adopted and the respective decisions of each ship regarding the use of</w:t>
      </w:r>
      <w:r>
        <w:t xml:space="preserve"> </w:t>
      </w:r>
      <w:r>
        <w:t xml:space="preserve">fuels.</w:t>
      </w:r>
      <w:r>
        <w:br/>
      </w:r>
      <w:r>
        <w:t xml:space="preserve">The extension of the EU ETS scope to emissions from smaller vessels contributes to a</w:t>
      </w:r>
      <w:r>
        <w:t xml:space="preserve"> </w:t>
      </w:r>
      <w:r>
        <w:t xml:space="preserve">modest increase in total shipping costs in PO2 compared to PO1 in 2030 and an increase of</w:t>
      </w:r>
      <w:r>
        <w:t xml:space="preserve"> </w:t>
      </w:r>
      <w:r>
        <w:t xml:space="preserve">1.6% in 2040 and 1.5% in 2050. In comparison to PO1 and Baseline, in PO2 it is expected that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companies responsible for smaller vessels will face a total shipping costs increase of EUR 1.2</w:t>
      </w:r>
      <w:r>
        <w:t xml:space="preserve"> </w:t>
      </w:r>
      <w:r>
        <w:t xml:space="preserve">billion in 2030, EUR 1.8 billion in 2040 and EUR 0.7 billion in 2050. These additional costs</w:t>
      </w:r>
      <w:r>
        <w:t xml:space="preserve"> </w:t>
      </w:r>
      <w:r>
        <w:t xml:space="preserve">correspond to ETS payments but also to fuel costs and capital expenditure associated with</w:t>
      </w:r>
      <w:r>
        <w:t xml:space="preserve"> </w:t>
      </w:r>
      <w:r>
        <w:t xml:space="preserve">decarbonisation measures within the segment. It should further be noted that smaller vessels</w:t>
      </w:r>
      <w:r>
        <w:t xml:space="preserve"> </w:t>
      </w:r>
      <w:r>
        <w:t xml:space="preserve">are also eligible to benefit from existing maritime derogations under ETS (i.e. for outermost</w:t>
      </w:r>
      <w:r>
        <w:t xml:space="preserve"> </w:t>
      </w:r>
      <w:r>
        <w:t xml:space="preserve">regions, public service contracts/obligations and ice-class ships), which would partially offset</w:t>
      </w:r>
      <w:r>
        <w:t xml:space="preserve"> </w:t>
      </w:r>
      <w:r>
        <w:t xml:space="preserve">any compliance cost.</w:t>
      </w:r>
      <w:r>
        <w:t xml:space="preserve"> </w:t>
      </w:r>
      <w:r>
        <w:t xml:space="preserve">While the application of the cancellation mechanism accompanying the IMO deduction</w:t>
      </w:r>
      <w:r>
        <w:t xml:space="preserve"> </w:t>
      </w:r>
      <w:r>
        <w:t xml:space="preserve">measure in PO2 would lead to reduced ETS revenues, the extension of the ETS scope to small</w:t>
      </w:r>
      <w:r>
        <w:t xml:space="preserve"> </w:t>
      </w:r>
      <w:r>
        <w:t xml:space="preserve">vessels will increase ETS revenues. Depending on the stringency of the global measure, the</w:t>
      </w:r>
      <w:r>
        <w:t xml:space="preserve"> </w:t>
      </w:r>
      <w:r>
        <w:t xml:space="preserve">fuel used by shipping companies and the scope of the priced emissions, the combined impact</w:t>
      </w:r>
      <w:r>
        <w:t xml:space="preserve"> </w:t>
      </w:r>
      <w:r>
        <w:t xml:space="preserve">of these two factors will result in a net gain or net loss of the ETS revenues over the period</w:t>
      </w:r>
      <w:r>
        <w:t xml:space="preserve"> </w:t>
      </w:r>
      <w:r>
        <w:t xml:space="preserve">2030-2040 in PO2.</w:t>
      </w:r>
      <w:r>
        <w:t xml:space="preserve"> </w:t>
      </w:r>
      <w:r>
        <w:t xml:space="preserve">Similar to PO2, the competitive and economic impacts of option PO3 for maritime, are</w:t>
      </w:r>
      <w:r>
        <w:t xml:space="preserve"> </w:t>
      </w:r>
      <w:r>
        <w:t xml:space="preserve">mostly driven by the extension of EU ETS to smaller vessels. Inclusion of all smaller vessel</w:t>
      </w:r>
      <w:r>
        <w:t xml:space="preserve"> </w:t>
      </w:r>
      <w:r>
        <w:t xml:space="preserve">categories instead of only the most emitting ones (as in PO2) incurs only marginally higher</w:t>
      </w:r>
      <w:r>
        <w:t xml:space="preserve"> </w:t>
      </w:r>
      <w:r>
        <w:t xml:space="preserve">compliance costs when considering the entire fleet.</w:t>
      </w:r>
      <w:r>
        <w:br/>
      </w:r>
      <w:r>
        <w:t xml:space="preserve">Since PO3 does not differ to PO2 as regards the application of the IMO deduction, derogations,</w:t>
      </w:r>
      <w:r>
        <w:t xml:space="preserve"> </w:t>
      </w:r>
      <w:r>
        <w:t xml:space="preserve">the recycling of ETS revenues into decarbonisation measures within maritime sector as well as</w:t>
      </w:r>
      <w:r>
        <w:t xml:space="preserve"> </w:t>
      </w:r>
      <w:r>
        <w:t xml:space="preserve">additional anti-evasion measures, the impacts in PO3 are only impacted by wider extension of</w:t>
      </w:r>
      <w:r>
        <w:t xml:space="preserve"> </w:t>
      </w:r>
      <w:r>
        <w:t xml:space="preserve">ETS to all small ships. In comparison to PO1 and Baseline, in PO3 companies responsible for</w:t>
      </w:r>
      <w:r>
        <w:t xml:space="preserve"> </w:t>
      </w:r>
      <w:r>
        <w:t xml:space="preserve">smaller vessels will face a total shipping costs increase of EUR 1.5 billion in 2030, EUR 1.9</w:t>
      </w:r>
      <w:r>
        <w:t xml:space="preserve"> </w:t>
      </w:r>
      <w:r>
        <w:t xml:space="preserve">billion in 2040 and EUR 0.5 billion in 2050. As for PO2, changes in ETS revenues depends on</w:t>
      </w:r>
      <w:r>
        <w:t xml:space="preserve"> </w:t>
      </w:r>
      <w:r>
        <w:t xml:space="preserve">the amount of allowances to be cancelled under the IMO deduction measure, which would in</w:t>
      </w:r>
      <w:r>
        <w:t xml:space="preserve"> </w:t>
      </w:r>
      <w:r>
        <w:t xml:space="preserve">turn largely depend on the level of ambition of the global measure.</w:t>
      </w:r>
      <w:r>
        <w:t xml:space="preserve"> </w:t>
      </w:r>
      <w:r>
        <w:t xml:space="preserve">In sum, the recycling of EU ETS revenues back to maritime sector is expected to incentivise</w:t>
      </w:r>
      <w:r>
        <w:t xml:space="preserve"> </w:t>
      </w:r>
      <w:r>
        <w:t xml:space="preserve">the use of sustainable propulsion fuels and clean technologies and reduce costs of energy</w:t>
      </w:r>
      <w:r>
        <w:t xml:space="preserve"> </w:t>
      </w:r>
      <w:r>
        <w:t xml:space="preserve">transition in shipping. The IMO deduction measure in PO2 and PO3 also ensures that emissions</w:t>
      </w:r>
      <w:r>
        <w:t xml:space="preserve"> </w:t>
      </w:r>
      <w:r>
        <w:t xml:space="preserve">priced under IMO global measure (once adopted) are not priced for the second time under EU</w:t>
      </w:r>
      <w:r>
        <w:t xml:space="preserve"> </w:t>
      </w:r>
      <w:r>
        <w:t xml:space="preserve">ETS, avoiding therefore double payment. The concrete economic impact on each shipping</w:t>
      </w:r>
      <w:r>
        <w:t xml:space="preserve"> </w:t>
      </w:r>
      <w:r>
        <w:t xml:space="preserve">company will depend on the stringency of the global measure and the fuels used on board each</w:t>
      </w:r>
      <w:r>
        <w:t xml:space="preserve"> </w:t>
      </w:r>
      <w:r>
        <w:t xml:space="preserve">ship. The prolongation of derogations contemplated in PO2 and PO3 leads to avoided costs for</w:t>
      </w:r>
      <w:r>
        <w:t xml:space="preserve"> </w:t>
      </w:r>
      <w:r>
        <w:t xml:space="preserve">shipping companies, which could help support the connectivity of islands and outermost</w:t>
      </w:r>
      <w:r>
        <w:t xml:space="preserve"> </w:t>
      </w:r>
      <w:r>
        <w:t xml:space="preserve">regions but delay at the same time investments for decarbonisation. The economic impacts</w:t>
      </w:r>
      <w:r>
        <w:t xml:space="preserve"> </w:t>
      </w:r>
      <w:r>
        <w:t xml:space="preserve">linked to the inclusion of smaller vessels in PO2 and PO3 are relatively modest when</w:t>
      </w:r>
      <w:r>
        <w:t xml:space="preserve"> </w:t>
      </w:r>
      <w:r>
        <w:t xml:space="preserve">considering the costs for the whole fleet. It also brings some positive effects in terms of level</w:t>
      </w:r>
      <w:r>
        <w:t xml:space="preserve"> </w:t>
      </w:r>
      <w:r>
        <w:t xml:space="preserve">playing field with the larger vessels that are already subject to EU ETS.</w:t>
      </w:r>
      <w:r>
        <w:br/>
      </w:r>
      <w:r>
        <w:t xml:space="preserve">6.2.1.6. Carbon leakage prevention</w:t>
      </w:r>
      <w:r>
        <w:t xml:space="preserve"> </w:t>
      </w:r>
      <w:r>
        <w:t xml:space="preserve">The different carbon leakage protection measures described in Annexes 7 and 12 will result in</w:t>
      </w:r>
      <w:r>
        <w:t xml:space="preserve"> </w:t>
      </w:r>
      <w:r>
        <w:t xml:space="preserve">varying free allocation levels for non-CBAM sectors. This in turn will result in different levels</w:t>
      </w:r>
      <w:r>
        <w:t xml:space="preserve"> </w:t>
      </w:r>
      <w:r>
        <w:t xml:space="preserve">of exposure to the carbon price in each of the policy scenario, impacting the carbon compliance</w:t>
      </w:r>
      <w:r>
        <w:t xml:space="preserve"> </w:t>
      </w:r>
      <w:r>
        <w:t xml:space="preserve">costs faced by businesses.</w:t>
      </w:r>
      <w:r>
        <w:br/>
      </w:r>
      <w:r>
        <w:t xml:space="preserve">The reforms to the provision of free allocation that are included within the policy options are</w:t>
      </w:r>
      <w:r>
        <w:t xml:space="preserve"> </w:t>
      </w:r>
      <w:r>
        <w:t xml:space="preserve">compared to the baseline, which simply assumes a continuation of free allocation with updated</w:t>
      </w:r>
      <w:r>
        <w:t xml:space="preserve"> </w:t>
      </w:r>
      <w:r>
        <w:t xml:space="preserve">benchmarks (same as CL1), but with a lower free allocation budget as the baseline is set in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accordance with the legal default that sets a more stringent EU ETS cap than assumed in the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In the baseline, the free allocation is expected to be 778 M EUAs. For the policy options, based</w:t>
      </w:r>
      <w:r>
        <w:t xml:space="preserve"> </w:t>
      </w:r>
      <w:r>
        <w:t xml:space="preserve">on the available free allocation budget (see Table 4 in Annex 12) and the policy measure, the</w:t>
      </w:r>
      <w:r>
        <w:t xml:space="preserve"> </w:t>
      </w:r>
      <w:r>
        <w:t xml:space="preserve">resulting free allocation will range between 487 and 990 million EUAs over the period 2031-</w:t>
      </w:r>
      <w:r>
        <w:t xml:space="preserve"> </w:t>
      </w:r>
      <w:r>
        <w:t xml:space="preserve">2040. The equivalent financial volume of this free allocation amounts to over 110 billion EUR</w:t>
      </w:r>
      <w:r>
        <w:t xml:space="preserve"> </w:t>
      </w:r>
      <w:r>
        <w:t xml:space="preserve">for the baseline and between aproximately 70 – 170 billion EUR for the policy scenarios (see</w:t>
      </w:r>
      <w:r>
        <w:t xml:space="preserve"> </w:t>
      </w:r>
      <w:r>
        <w:t xml:space="preserve">Table 12 in Annex 12 for additional details).</w:t>
      </w:r>
      <w:r>
        <w:br/>
      </w:r>
      <w:r>
        <w:t xml:space="preserve">In terms of the adjustment cost of each policy option compared to the baseline, it would have</w:t>
      </w:r>
      <w:r>
        <w:t xml:space="preserve"> </w:t>
      </w:r>
      <w:r>
        <w:t xml:space="preserve">a positive impact in PO1 and PO2 on the conduct of business as the provision of free allocation</w:t>
      </w:r>
      <w:r>
        <w:t xml:space="preserve"> </w:t>
      </w:r>
      <w:r>
        <w:t xml:space="preserve">would increase compared to the baseline. This primarily reflects the less stringent ETS cap set</w:t>
      </w:r>
      <w:r>
        <w:t xml:space="preserve"> </w:t>
      </w:r>
      <w:r>
        <w:t xml:space="preserve">for the policy options than the baseline, but the extended scope of the EU ETS into waste</w:t>
      </w:r>
      <w:r>
        <w:t xml:space="preserve"> </w:t>
      </w:r>
      <w:r>
        <w:t xml:space="preserve">activities also has an upward effect on the number of free allowances available under PO2 and</w:t>
      </w:r>
      <w:r>
        <w:t xml:space="preserve"> </w:t>
      </w:r>
      <w:r>
        <w:t xml:space="preserve">PO3. However, in the case of PO3 the increase in allowances due to the extension of the scope</w:t>
      </w:r>
      <w:r>
        <w:t xml:space="preserve"> </w:t>
      </w:r>
      <w:r>
        <w:t xml:space="preserve">is offset completely by the rapid phase out of free allocation envisaged under CL3 for non-</w:t>
      </w:r>
      <w:r>
        <w:t xml:space="preserve"> </w:t>
      </w:r>
      <w:r>
        <w:t xml:space="preserve">CBAM sectors and the total number of allowances available is lower than the baseline.</w:t>
      </w:r>
      <w:r>
        <w:t xml:space="preserve"> </w:t>
      </w:r>
      <w:r>
        <w:t xml:space="preserve">In addition, under PO2, part of the free allocation is made conditional to making investment of</w:t>
      </w:r>
      <w:r>
        <w:t xml:space="preserve"> </w:t>
      </w:r>
      <w:r>
        <w:t xml:space="preserve">equivalent value to that of the free allocation given. This results in an expected level of</w:t>
      </w:r>
      <w:r>
        <w:t xml:space="preserve"> </w:t>
      </w:r>
      <w:r>
        <w:t xml:space="preserve">investment due to conditionalities between approximately 50 and 90 billion EUR, depending</w:t>
      </w:r>
      <w:r>
        <w:t xml:space="preserve"> </w:t>
      </w:r>
      <w:r>
        <w:t xml:space="preserve">on the assumed level of compliance. ICC compensation can prevent carbon leakage and</w:t>
      </w:r>
      <w:r>
        <w:t xml:space="preserve"> </w:t>
      </w:r>
      <w:r>
        <w:t xml:space="preserve">encourage industrial electrification by compensating for some of the ICC cost that electro-</w:t>
      </w:r>
      <w:r>
        <w:t xml:space="preserve"> </w:t>
      </w:r>
      <w:r>
        <w:t xml:space="preserve">intensive industries incur.</w:t>
      </w:r>
      <w:r>
        <w:br/>
      </w:r>
      <w:r>
        <w:t xml:space="preserve">Analysis in Annex 12 suggests that the cost of such compensation could be equivalent to 11%</w:t>
      </w:r>
      <w:r>
        <w:t xml:space="preserve"> </w:t>
      </w:r>
      <w:r>
        <w:t xml:space="preserve">of ETS revenues in 2031-40 on average, if all Member States were to provide State aid post-</w:t>
      </w:r>
      <w:r>
        <w:t xml:space="preserve"> </w:t>
      </w:r>
      <w:r>
        <w:t xml:space="preserve">2030 using schemes similar to those currently in place64. Among other drivers, this estimate</w:t>
      </w:r>
      <w:r>
        <w:t xml:space="preserve"> </w:t>
      </w:r>
      <w:r>
        <w:t xml:space="preserve">assumes that indirect carbon costs are dampened by the increasing role of non-fossil generation</w:t>
      </w:r>
      <w:r>
        <w:t xml:space="preserve"> </w:t>
      </w:r>
      <w:r>
        <w:t xml:space="preserve">in setting electricity prices post-2030 (meaning that indirect carbon cost accounts for a smaller</w:t>
      </w:r>
      <w:r>
        <w:t xml:space="preserve"> </w:t>
      </w:r>
      <w:r>
        <w:t xml:space="preserve">share of electricity bills). Without the estimated price-setting effect of non-fossil generation,</w:t>
      </w:r>
      <w:r>
        <w:t xml:space="preserve"> </w:t>
      </w:r>
      <w:r>
        <w:t xml:space="preserve">demand for ICC compensation could reach even higher levels (up to 22% of revenues).</w:t>
      </w:r>
      <w:r>
        <w:br/>
      </w:r>
      <w:r>
        <w:t xml:space="preserve">Under both ICC1 and ICC2, actual expenditure could be lower than the range given above due</w:t>
      </w:r>
      <w:r>
        <w:t xml:space="preserve"> </w:t>
      </w:r>
      <w:r>
        <w:t xml:space="preserve">to budget constraints and priorities of Member States. However, under ICC2 a minimum</w:t>
      </w:r>
      <w:r>
        <w:t xml:space="preserve"> </w:t>
      </w:r>
      <w:r>
        <w:t xml:space="preserve">compensation level of 5% of the total revenue generated from 2031-2040 would be guaranteed,</w:t>
      </w:r>
      <w:r>
        <w:t xml:space="preserve"> </w:t>
      </w:r>
      <w:r>
        <w:t xml:space="preserve">provided this level of eligible indirect carbon cost can be demonstrated.</w:t>
      </w:r>
      <w:r>
        <w:br/>
      </w:r>
      <w:r>
        <w:t xml:space="preserve">6.2.1.7. Waste</w:t>
      </w:r>
      <w:r>
        <w:t xml:space="preserve"> </w:t>
      </w:r>
      <w:r>
        <w:t xml:space="preserve">Under PO1 (no inclusion of additional waste management processes), no additional cost of</w:t>
      </w:r>
      <w:r>
        <w:t xml:space="preserve"> </w:t>
      </w:r>
      <w:r>
        <w:t xml:space="preserve">compliance is expected compared to the baseline.</w:t>
      </w:r>
      <w:r>
        <w:br/>
      </w:r>
      <w:r>
        <w:t xml:space="preserve">Under PO2 (inclusion of municipal waste incineration installations) and PO3 (inclusion of all</w:t>
      </w:r>
      <w:r>
        <w:t xml:space="preserve"> </w:t>
      </w:r>
      <w:r>
        <w:t xml:space="preserve">waste incineration installations and landfills of non-hazardous waste), the effective carbon cost</w:t>
      </w:r>
      <w:r>
        <w:t xml:space="preserve"> </w:t>
      </w:r>
      <w:r>
        <w:t xml:space="preserve">for operators depends on the volumes of waste treated, the share of fossil versus biogenic</w:t>
      </w:r>
      <w:r>
        <w:t xml:space="preserve"> </w:t>
      </w:r>
      <w:r>
        <w:t xml:space="preserve">emissions, the carbon price, the ability of operators to pass on carbon costs to other actors and</w:t>
      </w:r>
    </w:p>
    <w:p>
      <w:pPr>
        <w:pStyle w:val="BodyText"/>
      </w:pPr>
      <w:r>
        <w:t xml:space="preserve">64 Note that this figure does not take into account i) the forthcoming possibility for some indirect costs to be</w:t>
      </w:r>
      <w:r>
        <w:t xml:space="preserve"> </w:t>
      </w:r>
      <w:r>
        <w:t xml:space="preserve">compensated by free allocation rather than State aid (which would reduce the figure); and ii) the expanded</w:t>
      </w:r>
      <w:r>
        <w:t xml:space="preserve"> </w:t>
      </w:r>
      <w:r>
        <w:t xml:space="preserve">number of sectors eligible for ICC compensation since the December 2025 amendment to the State aid rules</w:t>
      </w:r>
      <w:r>
        <w:t xml:space="preserve"> </w:t>
      </w:r>
      <w:r>
        <w:t xml:space="preserve">(which would increase the figure). See Annex 12 for further details.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the availability and cost-effectiveness of abatement solutions across the waste value chain.</w:t>
      </w:r>
      <w:r>
        <w:t xml:space="preserve"> </w:t>
      </w:r>
      <w:r>
        <w:t xml:space="preserve">Complementary policies and targeted support mechanisms can be essential enabling conditions</w:t>
      </w:r>
      <w:r>
        <w:t xml:space="preserve"> </w:t>
      </w:r>
      <w:r>
        <w:t xml:space="preserve">to provide investment and planning predictability for local authorities and operators,</w:t>
      </w:r>
      <w:r>
        <w:t xml:space="preserve"> </w:t>
      </w:r>
      <w:r>
        <w:t xml:space="preserve">investment support to help manage the impact and implement key decarbonisation pathways,</w:t>
      </w:r>
      <w:r>
        <w:t xml:space="preserve"> </w:t>
      </w:r>
      <w:r>
        <w:t xml:space="preserve">and synergies with circular economy policies to strengthen the market for recycled materials,</w:t>
      </w:r>
      <w:r>
        <w:t xml:space="preserve"> </w:t>
      </w:r>
      <w:r>
        <w:t xml:space="preserve">address upstream producer responsibility and discourage landfilling (see Annex 13, Sections</w:t>
      </w:r>
      <w:r>
        <w:t xml:space="preserve"> </w:t>
      </w:r>
      <w:r>
        <w:t xml:space="preserve">1.3.1. and 1.3.2.). The extension of the carbon price to waste management operations will</w:t>
      </w:r>
      <w:r>
        <w:t xml:space="preserve"> </w:t>
      </w:r>
      <w:r>
        <w:t xml:space="preserve">generate significant revenues which can be used for targeted investments for these purposes.</w:t>
      </w:r>
      <w:r>
        <w:br/>
      </w:r>
      <w:r>
        <w:t xml:space="preserve">Under PO2, the effective carbon cost is substantially reduced due to the zero-rated biogenic</w:t>
      </w:r>
      <w:r>
        <w:t xml:space="preserve"> </w:t>
      </w:r>
      <w:r>
        <w:t xml:space="preserve">share of emissions (roughly half). Compared to the baseline, ETS inclusion can financially</w:t>
      </w:r>
      <w:r>
        <w:t xml:space="preserve"> </w:t>
      </w:r>
      <w:r>
        <w:t xml:space="preserve">incentivise and support investments in carbon capture technology, which is a key</w:t>
      </w:r>
      <w:r>
        <w:t xml:space="preserve"> </w:t>
      </w:r>
      <w:r>
        <w:t xml:space="preserve">decarbonisation pathway for the waste incineration sector to reduce hard-to-abate emissions</w:t>
      </w:r>
      <w:r>
        <w:t xml:space="preserve"> </w:t>
      </w:r>
      <w:r>
        <w:t xml:space="preserve">and contribute towards the economy-wide 2050 climate neutrality target. The integration of</w:t>
      </w:r>
      <w:r>
        <w:t xml:space="preserve"> </w:t>
      </w:r>
      <w:r>
        <w:t xml:space="preserve">permanent carbon removals into the EU ETS can further provide opportunities to mitigate or</w:t>
      </w:r>
      <w:r>
        <w:t xml:space="preserve"> </w:t>
      </w:r>
      <w:r>
        <w:t xml:space="preserve">offset the cost of carbon capture implementation mitigated or compensated through the</w:t>
      </w:r>
      <w:r>
        <w:t xml:space="preserve"> </w:t>
      </w:r>
      <w:r>
        <w:t xml:space="preserve">generation of biogenic carbon removals. The carbon price cost passthrough can also incentivise</w:t>
      </w:r>
      <w:r>
        <w:t xml:space="preserve"> </w:t>
      </w:r>
      <w:r>
        <w:t xml:space="preserve">circular economy policies, such as improved waste prevention, reduction, collection, sorting</w:t>
      </w:r>
      <w:r>
        <w:t xml:space="preserve"> </w:t>
      </w:r>
      <w:r>
        <w:t xml:space="preserve">and recycling, to be more successful, if channelled to targeted and proven waste measures and</w:t>
      </w:r>
      <w:r>
        <w:t xml:space="preserve"> </w:t>
      </w:r>
      <w:r>
        <w:t xml:space="preserve">policies with a positive steering effect, such as Pay-As-You-Throw or weight-based disposal</w:t>
      </w:r>
      <w:r>
        <w:t xml:space="preserve"> </w:t>
      </w:r>
      <w:r>
        <w:t xml:space="preserve">fees (see Annex 13, Section 1.3.1.), reducing emissions and costs at source. While operating</w:t>
      </w:r>
      <w:r>
        <w:t xml:space="preserve"> </w:t>
      </w:r>
      <w:r>
        <w:t xml:space="preserve">costs are expected to vary depending on installation type, size and location, evidence from the</w:t>
      </w:r>
      <w:r>
        <w:t xml:space="preserve"> </w:t>
      </w:r>
      <w:r>
        <w:t xml:space="preserve">national application of the EU ETS to municipal waste incinerators in Sweden and Denmark</w:t>
      </w:r>
      <w:r>
        <w:t xml:space="preserve"> </w:t>
      </w:r>
      <w:r>
        <w:t xml:space="preserve">indicates the carbon cost (2025) represented ≥10% of total operating costs prior to the</w:t>
      </w:r>
      <w:r>
        <w:t xml:space="preserve"> </w:t>
      </w:r>
      <w:r>
        <w:t xml:space="preserve">implementation of abatement solutions or cost passthrough.</w:t>
      </w:r>
      <w:r>
        <w:br/>
      </w:r>
      <w:r>
        <w:t xml:space="preserve">Under PO3 the cost of compliance differs per type of waste treatment. Costs are expected to be</w:t>
      </w:r>
      <w:r>
        <w:t xml:space="preserve"> </w:t>
      </w:r>
      <w:r>
        <w:t xml:space="preserve">comparatively higher for hazardous waste incineration compared to municipal waste</w:t>
      </w:r>
      <w:r>
        <w:t xml:space="preserve"> </w:t>
      </w:r>
      <w:r>
        <w:t xml:space="preserve">incineration due to a higher fossil content of the waste treated, also leading to a more limited</w:t>
      </w:r>
      <w:r>
        <w:t xml:space="preserve"> </w:t>
      </w:r>
      <w:r>
        <w:t xml:space="preserve">potential for biogenic carbon removal generation. For non-hazardous landfilling, the average</w:t>
      </w:r>
      <w:r>
        <w:t xml:space="preserve"> </w:t>
      </w:r>
      <w:r>
        <w:t xml:space="preserve">effective carbon cost per tonne of waste is projected to be higher than for municipal waste</w:t>
      </w:r>
      <w:r>
        <w:t xml:space="preserve"> </w:t>
      </w:r>
      <w:r>
        <w:t xml:space="preserve">incineration in both absolute and relative terms. At the same time, the assessment indicates a</w:t>
      </w:r>
      <w:r>
        <w:t xml:space="preserve"> </w:t>
      </w:r>
      <w:r>
        <w:t xml:space="preserve">higher cost-effective abatement potential for emissions under PO3 (coming from landfills),</w:t>
      </w:r>
      <w:r>
        <w:t xml:space="preserve"> </w:t>
      </w:r>
      <w:r>
        <w:t xml:space="preserve">with biogas production from landfill gas capture providing a substantial economic benefit</w:t>
      </w:r>
      <w:r>
        <w:t xml:space="preserve"> </w:t>
      </w:r>
      <w:r>
        <w:t xml:space="preserve">potential for operators. The specific associated costs of compliance for the sector would further</w:t>
      </w:r>
      <w:r>
        <w:t xml:space="preserve"> </w:t>
      </w:r>
      <w:r>
        <w:t xml:space="preserve">depend on the scope of PO3 covering only emissions from future landfilling or also emissions</w:t>
      </w:r>
      <w:r>
        <w:t xml:space="preserve"> </w:t>
      </w:r>
      <w:r>
        <w:t xml:space="preserve">from historical deposits before the application of the carbon price. While positive in terms of</w:t>
      </w:r>
      <w:r>
        <w:t xml:space="preserve"> </w:t>
      </w:r>
      <w:r>
        <w:t xml:space="preserve">environmental integrity, the latter scope would pose additional monitoring, economic and</w:t>
      </w:r>
      <w:r>
        <w:t xml:space="preserve"> </w:t>
      </w:r>
      <w:r>
        <w:t xml:space="preserve">operational constraints while not being influenced by pre-treatment or alternative waste</w:t>
      </w:r>
      <w:r>
        <w:t xml:space="preserve"> </w:t>
      </w:r>
      <w:r>
        <w:t xml:space="preserve">management higher up the waste hierarchy.</w:t>
      </w:r>
      <w:r>
        <w:br/>
      </w:r>
      <w:r>
        <w:t xml:space="preserve">6.2.1.8. CCU</w:t>
      </w:r>
      <w:r>
        <w:t xml:space="preserve"> </w:t>
      </w:r>
      <w:r>
        <w:t xml:space="preserve">Compared to the baseline, PO1 represents no change to the current upstream accounting, which</w:t>
      </w:r>
      <w:r>
        <w:t xml:space="preserve"> </w:t>
      </w:r>
      <w:r>
        <w:t xml:space="preserve">continues to reward only the capture of emissions for permanent storage (CCU0). As CCS is</w:t>
      </w:r>
      <w:r>
        <w:t xml:space="preserve"> </w:t>
      </w:r>
      <w:r>
        <w:t xml:space="preserve">not an economically feasible option for all installations that could benefit from carbon capture,</w:t>
      </w:r>
      <w:r>
        <w:t xml:space="preserve"> </w:t>
      </w:r>
      <w:r>
        <w:t xml:space="preserve">upstream accounting effectively restricts the development of alternative technologies that make</w:t>
      </w:r>
      <w:r>
        <w:t xml:space="preserve"> </w:t>
      </w:r>
      <w:r>
        <w:t xml:space="preserve">use of the capture carbon instead of storing it. Therefore, under PO1, the upstream accounting</w:t>
      </w:r>
      <w:r>
        <w:t xml:space="preserve"> </w:t>
      </w:r>
      <w:r>
        <w:t xml:space="preserve">negatively affects the efficiency and effectiveness of the EU ETS in achieving its objectives.</w:t>
      </w:r>
      <w:r>
        <w:br/>
      </w:r>
      <w:r>
        <w:t xml:space="preserve">The measure CCU3, hybrid downstream and midstream accounting, included in PO2 and PO3</w:t>
      </w:r>
      <w:r>
        <w:t xml:space="preserve"> </w:t>
      </w:r>
      <w:r>
        <w:t xml:space="preserve">effectively addresses the issues outlined in the previous paragraph and it enables investments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in carbon capture and non-permanent CCU. This in turn contributes to reduction in costs of</w:t>
      </w:r>
      <w:r>
        <w:t xml:space="preserve"> </w:t>
      </w:r>
      <w:r>
        <w:t xml:space="preserve">CO2 feedstock and it improves the business case for CCU products. The midstream accounting</w:t>
      </w:r>
      <w:r>
        <w:t xml:space="preserve"> </w:t>
      </w:r>
      <w:r>
        <w:t xml:space="preserve">encompassed in measure CCU3 also best addresses the specificities of e-fuels, for which there</w:t>
      </w:r>
      <w:r>
        <w:t xml:space="preserve"> </w:t>
      </w:r>
      <w:r>
        <w:t xml:space="preserve">is a well-developed regulatory framework is already in place.</w:t>
      </w:r>
      <w:r>
        <w:br/>
      </w:r>
      <w:r>
        <w:t xml:space="preserve">The hybrid accounting under PO2 and PO3 would incentivise the capture of CO2 and provide</w:t>
      </w:r>
      <w:r>
        <w:t xml:space="preserve"> </w:t>
      </w:r>
      <w:r>
        <w:t xml:space="preserve">flexibility for operators to decide whether the CO2 should be stored or utilised in different types</w:t>
      </w:r>
      <w:r>
        <w:t xml:space="preserve"> </w:t>
      </w:r>
      <w:r>
        <w:t xml:space="preserve">of products or applications depending on their particular circumstances (location, access to CO2</w:t>
      </w:r>
      <w:r>
        <w:t xml:space="preserve"> </w:t>
      </w:r>
      <w:r>
        <w:t xml:space="preserve">infrastructure and storage, access to green H2, etc.) and the comparative costs and benefits</w:t>
      </w:r>
      <w:r>
        <w:t xml:space="preserve"> </w:t>
      </w:r>
      <w:r>
        <w:t xml:space="preserve">between storing emissions, or producing different synthetic chemicals, plastics or e-fuels.</w:t>
      </w:r>
      <w:r>
        <w:t xml:space="preserve"> </w:t>
      </w:r>
      <w:r>
        <w:t xml:space="preserve">However, it would also increase ETS compliance costs for e-fuel for e-fuel producers or</w:t>
      </w:r>
      <w:r>
        <w:t xml:space="preserve"> </w:t>
      </w:r>
      <w:r>
        <w:t xml:space="preserve">distributors, responsible for surrendering ETS allowances for the fossil CO2 used in e-fuels.</w:t>
      </w:r>
      <w:r>
        <w:br/>
      </w:r>
      <w:r>
        <w:t xml:space="preserve">6.2.2. Administrative effort for the private sector</w:t>
      </w:r>
      <w:r>
        <w:t xml:space="preserve"> </w:t>
      </w:r>
      <w:r>
        <w:t xml:space="preserve">The ETS Evaluation Report (see Annex 15, in particular Section 10.4.4.2), based on a survey</w:t>
      </w:r>
      <w:r>
        <w:t xml:space="preserve"> </w:t>
      </w:r>
      <w:r>
        <w:t xml:space="preserve">of ETS installations and the feedback from a reality check workshop, identifies a number of</w:t>
      </w:r>
      <w:r>
        <w:t xml:space="preserve"> </w:t>
      </w:r>
      <w:r>
        <w:t xml:space="preserve">simplification options for the Monitoring, Reporting, Verification and Accreditation (MRVA)</w:t>
      </w:r>
      <w:r>
        <w:t xml:space="preserve"> </w:t>
      </w:r>
      <w:r>
        <w:t xml:space="preserve">system. This includes for example increased use of existing common reporting tool, increased</w:t>
      </w:r>
      <w:r>
        <w:t xml:space="preserve"> </w:t>
      </w:r>
      <w:r>
        <w:t xml:space="preserve">use of default values, and streamlining and harmonising of procedure for competent authorities,</w:t>
      </w:r>
      <w:r>
        <w:t xml:space="preserve"> </w:t>
      </w:r>
      <w:r>
        <w:t xml:space="preserve">which will benefit all ETS compliance entities.</w:t>
      </w:r>
      <w:r>
        <w:br/>
      </w:r>
      <w:r>
        <w:t xml:space="preserve">6.2.2.1. Carbon removals</w:t>
      </w:r>
      <w:r>
        <w:t xml:space="preserve"> </w:t>
      </w:r>
      <w:r>
        <w:t xml:space="preserve">The administrative cost associated with integration of removals is expected to be influenced by</w:t>
      </w:r>
      <w:r>
        <w:t xml:space="preserve"> </w:t>
      </w:r>
      <w:r>
        <w:t xml:space="preserve">the channel through which operators procure compliance units, contract standardisation and</w:t>
      </w:r>
      <w:r>
        <w:t xml:space="preserve"> </w:t>
      </w:r>
      <w:r>
        <w:t xml:space="preserve">market infrastructure, and risk management needs.</w:t>
      </w:r>
      <w:r>
        <w:t xml:space="preserve"> </w:t>
      </w:r>
      <w:r>
        <w:t xml:space="preserve">Under PO1, a net cap with integration or removals through a public authority, the transaction</w:t>
      </w:r>
      <w:r>
        <w:t xml:space="preserve"> </w:t>
      </w:r>
      <w:r>
        <w:t xml:space="preserve">costs related to CDR purchases for operators under this measure would be lower than under</w:t>
      </w:r>
      <w:r>
        <w:t xml:space="preserve"> </w:t>
      </w:r>
      <w:r>
        <w:t xml:space="preserve">measures where operators would acquire all allowances (including removal-backed ones)</w:t>
      </w:r>
      <w:r>
        <w:t xml:space="preserve"> </w:t>
      </w:r>
      <w:r>
        <w:t xml:space="preserve">through regular ETS auctions or the secondary market. There would be no need to engage in</w:t>
      </w:r>
      <w:r>
        <w:t xml:space="preserve"> </w:t>
      </w:r>
      <w:r>
        <w:t xml:space="preserve">separate procurement of CDR units – from this perspective, the option is the same as the</w:t>
      </w:r>
      <w:r>
        <w:t xml:space="preserve"> </w:t>
      </w:r>
      <w:r>
        <w:t xml:space="preserve">baseline.</w:t>
      </w:r>
      <w:r>
        <w:br/>
      </w:r>
      <w:r>
        <w:t xml:space="preserve">Meanwhile, PO2, a net cap with direct integration of removals and a limit, the inclusion of</w:t>
      </w:r>
      <w:r>
        <w:t xml:space="preserve"> </w:t>
      </w:r>
      <w:r>
        <w:t xml:space="preserve">another compliance unit would mean that operators could face higher portfolio management</w:t>
      </w:r>
      <w:r>
        <w:t xml:space="preserve"> </w:t>
      </w:r>
      <w:r>
        <w:t xml:space="preserve">complexity – optimising between allowances, CDR types, and timing, including risk</w:t>
      </w:r>
      <w:r>
        <w:t xml:space="preserve"> </w:t>
      </w:r>
      <w:r>
        <w:t xml:space="preserve">management costs. Nevertheless, for PO2 direct market access through e.g. standardised</w:t>
      </w:r>
      <w:r>
        <w:t xml:space="preserve"> </w:t>
      </w:r>
      <w:r>
        <w:t xml:space="preserve">contracts could minimise intermediary fees.</w:t>
      </w:r>
      <w:r>
        <w:br/>
      </w:r>
      <w:r>
        <w:t xml:space="preserve">Under PO3, a gross cap with direct integration of removals, the administrative cost would be</w:t>
      </w:r>
      <w:r>
        <w:t xml:space="preserve"> </w:t>
      </w:r>
      <w:r>
        <w:t xml:space="preserve">similar to PO1 but with additional cost for operators to understand how best to respond to the</w:t>
      </w:r>
      <w:r>
        <w:t xml:space="preserve"> </w:t>
      </w:r>
      <w:r>
        <w:t xml:space="preserve">extra operational complexity from tracking the one‑in‑one‑out mechanics.</w:t>
      </w:r>
      <w:r>
        <w:t xml:space="preserve"> </w:t>
      </w:r>
      <w:r>
        <w:t xml:space="preserve">6.2.2.2. Instruments to support investments</w:t>
      </w:r>
      <w:r>
        <w:t xml:space="preserve"> </w:t>
      </w:r>
      <w:r>
        <w:t xml:space="preserve">For the IDB, the measures assessed have different levels of complexity. In terms of allocation</w:t>
      </w:r>
      <w:r>
        <w:t xml:space="preserve"> </w:t>
      </w:r>
      <w:r>
        <w:t xml:space="preserve">mechanism, the ‘regular’ multicriteria calls for proposals as well as the types of support</w:t>
      </w:r>
      <w:r>
        <w:t xml:space="preserve"> </w:t>
      </w:r>
      <w:r>
        <w:t xml:space="preserve">employing ‘regular’ grants and CCfDs, particularly when aligned with dynamic energy vectors</w:t>
      </w:r>
      <w:r>
        <w:t xml:space="preserve"> </w:t>
      </w:r>
      <w:r>
        <w:t xml:space="preserve">prices) require more complex multi-stage evaluations. These processes involve, sophisticated</w:t>
      </w:r>
      <w:r>
        <w:t xml:space="preserve"> </w:t>
      </w:r>
      <w:r>
        <w:t xml:space="preserve">financial modelling, extensive documentation, regular calibration of parameters such as energy</w:t>
      </w:r>
      <w:r>
        <w:t xml:space="preserve"> </w:t>
      </w:r>
      <w:r>
        <w:t xml:space="preserve">price indices, due diligence, grant negotiations and thorough monitoring of emissions</w:t>
      </w:r>
      <w:r>
        <w:t xml:space="preserve"> </w:t>
      </w:r>
      <w:r>
        <w:t xml:space="preserve">reductions and performance milestones. Therefore, these approaches result in higher</w:t>
      </w:r>
      <w:r>
        <w:t xml:space="preserve"> </w:t>
      </w:r>
      <w:r>
        <w:t xml:space="preserve">administrative costs for both the programme and applicants, particularly impacting small and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medium sized enterprises that may lack the necessary resources. In addition, Member State-</w:t>
      </w:r>
      <w:r>
        <w:t xml:space="preserve"> </w:t>
      </w:r>
      <w:r>
        <w:t xml:space="preserve">driven processes can lead to additional administrative burden due to divergences in priorities,</w:t>
      </w:r>
      <w:r>
        <w:t xml:space="preserve"> </w:t>
      </w:r>
      <w:r>
        <w:t xml:space="preserve">sequential consecutive stages of project selection, State aid compliance issues, and fragmented</w:t>
      </w:r>
      <w:r>
        <w:t xml:space="preserve"> </w:t>
      </w:r>
      <w:r>
        <w:t xml:space="preserve">project pipeline.</w:t>
      </w:r>
      <w:r>
        <w:t xml:space="preserve"> </w:t>
      </w:r>
      <w:r>
        <w:t xml:space="preserve">On the other hand, auctions and administrative schemes as allocation mechanisms and fixed</w:t>
      </w:r>
      <w:r>
        <w:t xml:space="preserve"> </w:t>
      </w:r>
      <w:r>
        <w:t xml:space="preserve">premium grants offer lower transaction costs through standardised terms, price/output-based</w:t>
      </w:r>
      <w:r>
        <w:t xml:space="preserve"> </w:t>
      </w:r>
      <w:r>
        <w:t xml:space="preserve">selection, and simpler compliance (though monitoring remains necessary),</w:t>
      </w:r>
      <w:r>
        <w:br/>
      </w:r>
      <w:r>
        <w:t xml:space="preserve">Such simplified mechanisms with performance requirements distilled to key aspects (i.e. GHG</w:t>
      </w:r>
      <w:r>
        <w:t xml:space="preserve"> </w:t>
      </w:r>
      <w:r>
        <w:t xml:space="preserve">abatement) ensure good coverage of all industrial sectors and countries while containing</w:t>
      </w:r>
      <w:r>
        <w:t xml:space="preserve"> </w:t>
      </w:r>
      <w:r>
        <w:t xml:space="preserve">administrative costs across the support lifecycle.</w:t>
      </w:r>
      <w:r>
        <w:t xml:space="preserve"> </w:t>
      </w:r>
      <w:r>
        <w:t xml:space="preserve">6.2.2.3. Aviation</w:t>
      </w:r>
      <w:r>
        <w:t xml:space="preserve"> </w:t>
      </w:r>
      <w:r>
        <w:t xml:space="preserve">Administrative effort relating to the EU ETS and CORSIA is shared between the aircraft</w:t>
      </w:r>
      <w:r>
        <w:t xml:space="preserve"> </w:t>
      </w:r>
      <w:r>
        <w:t xml:space="preserve">operators, national competent authorities, and the European Commission65. Aviation has been</w:t>
      </w:r>
      <w:r>
        <w:t xml:space="preserve"> </w:t>
      </w:r>
      <w:r>
        <w:t xml:space="preserve">included in the EU ETS since 2012, and aircraft operators have established processes to</w:t>
      </w:r>
      <w:r>
        <w:t xml:space="preserve"> </w:t>
      </w:r>
      <w:r>
        <w:t xml:space="preserve">comply. Therefore, compared to the baseline, none of the policy options increase the</w:t>
      </w:r>
      <w:r>
        <w:t xml:space="preserve"> </w:t>
      </w:r>
      <w:r>
        <w:t xml:space="preserve">administrative effort: the amount of climate action varies, but the tools remain unchanged. In</w:t>
      </w:r>
      <w:r>
        <w:t xml:space="preserve"> </w:t>
      </w:r>
      <w:r>
        <w:t xml:space="preserve">principle the same pool of aircraft operators must comply with the EU ETS and CORSIA as</w:t>
      </w:r>
      <w:r>
        <w:t xml:space="preserve"> </w:t>
      </w:r>
      <w:r>
        <w:t xml:space="preserve">the threshold for inclusion in the EU ETS is always based on the geographic scope of the</w:t>
      </w:r>
      <w:r>
        <w:t xml:space="preserve"> </w:t>
      </w:r>
      <w:r>
        <w:t xml:space="preserve">baseline. Moreover, individual flights are reported either under the EU ETS or CORSIA in any</w:t>
      </w:r>
      <w:r>
        <w:t xml:space="preserve"> </w:t>
      </w:r>
      <w:r>
        <w:t xml:space="preserve">case, resulting in no to very low differences in administrative effort required. For the inclusion</w:t>
      </w:r>
      <w:r>
        <w:t xml:space="preserve"> </w:t>
      </w:r>
      <w:r>
        <w:t xml:space="preserve">of private and business jets in the EU ETS, the Commission proposes considerable</w:t>
      </w:r>
      <w:r>
        <w:t xml:space="preserve"> </w:t>
      </w:r>
      <w:r>
        <w:t xml:space="preserve">administrative simplification for any newly covered aircraft operators as well as further</w:t>
      </w:r>
      <w:r>
        <w:t xml:space="preserve"> </w:t>
      </w:r>
      <w:r>
        <w:t xml:space="preserve">simplification for low activity operators already covered. This includes simplified monitoring</w:t>
      </w:r>
      <w:r>
        <w:t xml:space="preserve"> </w:t>
      </w:r>
      <w:r>
        <w:t xml:space="preserve">and reporting, a waiver of verification as well as exclusion for aircraft operators with very low</w:t>
      </w:r>
      <w:r>
        <w:t xml:space="preserve"> </w:t>
      </w:r>
      <w:r>
        <w:t xml:space="preserve">EU ETS surrender obligation (see Annex 10, Section 7). This assessment applies equally to all</w:t>
      </w:r>
      <w:r>
        <w:t xml:space="preserve"> </w:t>
      </w:r>
      <w:r>
        <w:t xml:space="preserve">policy options.</w:t>
      </w:r>
      <w:r>
        <w:br/>
      </w:r>
      <w:r>
        <w:t xml:space="preserve">Administrative efforts for the deduction of CORSIA costs do not apply in the baseline or in</w:t>
      </w:r>
      <w:r>
        <w:t xml:space="preserve"> </w:t>
      </w:r>
      <w:r>
        <w:t xml:space="preserve">PO1. Some administrative costs apply in PO2 and PO3: Operators are already required to report</w:t>
      </w:r>
      <w:r>
        <w:t xml:space="preserve"> </w:t>
      </w:r>
      <w:r>
        <w:t xml:space="preserve">the most important information. National competent authorities handle this information</w:t>
      </w:r>
      <w:r>
        <w:t xml:space="preserve"> </w:t>
      </w:r>
      <w:r>
        <w:t xml:space="preserve">already, whereas the additional effort would concern the deduction of costs and relate to aircraft</w:t>
      </w:r>
      <w:r>
        <w:t xml:space="preserve"> </w:t>
      </w:r>
      <w:r>
        <w:t xml:space="preserve">operators, national competent authorities and the Commission. This would apply until 2035,</w:t>
      </w:r>
      <w:r>
        <w:t xml:space="preserve"> </w:t>
      </w:r>
      <w:r>
        <w:t xml:space="preserve">when CORSIA is set to end (unless a decision is taken to prolong it).</w:t>
      </w:r>
      <w:r>
        <w:t xml:space="preserve"> </w:t>
      </w:r>
      <w:r>
        <w:t xml:space="preserve">ETS-financed SAF support is prolonged under PO2 and PO3, with conditionalities to further</w:t>
      </w:r>
      <w:r>
        <w:t xml:space="preserve"> </w:t>
      </w:r>
      <w:r>
        <w:t xml:space="preserve">support decarbonisation. All key characteristics of the existing support would be maintained,</w:t>
      </w:r>
      <w:r>
        <w:t xml:space="preserve"> </w:t>
      </w:r>
      <w:r>
        <w:t xml:space="preserve">meaning it would continue to work with minimal administrative effort. This was welcomed by</w:t>
      </w:r>
      <w:r>
        <w:t xml:space="preserve"> </w:t>
      </w:r>
      <w:r>
        <w:t xml:space="preserve">stakeholders in the open public consultation. Additional conditionalities are examined in the</w:t>
      </w:r>
      <w:r>
        <w:t xml:space="preserve"> </w:t>
      </w:r>
      <w:r>
        <w:t xml:space="preserve">context of incentivising decarbonisation and limiting administrative effort (see Annex 10,</w:t>
      </w:r>
      <w:r>
        <w:t xml:space="preserve"> </w:t>
      </w:r>
      <w:r>
        <w:t xml:space="preserve">Section 8).</w:t>
      </w:r>
    </w:p>
    <w:p>
      <w:pPr>
        <w:pStyle w:val="BodyText"/>
      </w:pPr>
      <w:r>
        <w:t xml:space="preserve">65 Operators need to monitor, report and verify emissions, and comply (i.e. buy and surrender/ cancel EU ETS</w:t>
      </w:r>
      <w:r>
        <w:t xml:space="preserve"> </w:t>
      </w:r>
      <w:r>
        <w:t xml:space="preserve">allowances and CORSIA eligible credits). National authorities manage the system for reporting emissions,</w:t>
      </w:r>
      <w:r>
        <w:t xml:space="preserve"> </w:t>
      </w:r>
      <w:r>
        <w:t xml:space="preserve">control free allocation, administer Union Registry accounts, follow up and enforce compliance and are in</w:t>
      </w:r>
      <w:r>
        <w:t xml:space="preserve"> </w:t>
      </w:r>
      <w:r>
        <w:t xml:space="preserve">direct contact with aircraft operators. The Commission provides the Union Registry, approves free allocation,</w:t>
      </w:r>
      <w:r>
        <w:t xml:space="preserve"> </w:t>
      </w:r>
      <w:r>
        <w:t xml:space="preserve">publishes the list of aircraft operators and administering Member States, publishes annual prices of SAF,</w:t>
      </w:r>
      <w:r>
        <w:t xml:space="preserve"> </w:t>
      </w:r>
      <w:r>
        <w:t xml:space="preserve">publishes all data under transparency provisions, proposes/adopts legislation and guidance documents for</w:t>
      </w:r>
      <w:r>
        <w:t xml:space="preserve"> </w:t>
      </w:r>
      <w:r>
        <w:t xml:space="preserve">harmonised implementation of the system.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6.2.2.4. Maritime</w:t>
      </w:r>
      <w:r>
        <w:t xml:space="preserve"> </w:t>
      </w:r>
      <w:r>
        <w:t xml:space="preserve">The simplification measures in PO1, PO2 and PO3 aimed at aligning requirements across</w:t>
      </w:r>
      <w:r>
        <w:t xml:space="preserve"> </w:t>
      </w:r>
      <w:r>
        <w:t xml:space="preserve">different regulatory frameworks. They would directly benefit shipping companies and</w:t>
      </w:r>
      <w:r>
        <w:t xml:space="preserve"> </w:t>
      </w:r>
      <w:r>
        <w:t xml:space="preserve">translate, according to conservative estimates, into potential annual savings between 10% and</w:t>
      </w:r>
      <w:r>
        <w:t xml:space="preserve"> </w:t>
      </w:r>
      <w:r>
        <w:t xml:space="preserve">20% of current annual MRV compliance costs, i.e. up to EUR 9.4 million per year for the entire</w:t>
      </w:r>
      <w:r>
        <w:t xml:space="preserve"> </w:t>
      </w:r>
      <w:r>
        <w:t xml:space="preserve">MRV fleet. These savings would originate from streamlined compliance processes and</w:t>
      </w:r>
      <w:r>
        <w:t xml:space="preserve"> </w:t>
      </w:r>
      <w:r>
        <w:t xml:space="preserve">reduction of existing duplications reducing man-hours and staff costs for companies through</w:t>
      </w:r>
      <w:r>
        <w:t xml:space="preserve"> </w:t>
      </w:r>
      <w:r>
        <w:t xml:space="preserve">the different steps of the compliance process.</w:t>
      </w:r>
      <w:r>
        <w:t xml:space="preserve"> </w:t>
      </w:r>
      <w:r>
        <w:t xml:space="preserve">The administrative costs for smaller ships will increase in PO2 due to their partial inclusion</w:t>
      </w:r>
      <w:r>
        <w:t xml:space="preserve"> </w:t>
      </w:r>
      <w:r>
        <w:t xml:space="preserve">in the EU ETS and MRV scope. However, the annual additional administrative costs need to</w:t>
      </w:r>
      <w:r>
        <w:t xml:space="preserve"> </w:t>
      </w:r>
      <w:r>
        <w:t xml:space="preserve">be compared to the revenues that ships would be eligible to receive from the support to</w:t>
      </w:r>
      <w:r>
        <w:t xml:space="preserve"> </w:t>
      </w:r>
      <w:r>
        <w:t xml:space="preserve">decarbonise shipping (see economic impacts). Recurrent MRV compliance costs for smaller</w:t>
      </w:r>
      <w:r>
        <w:t xml:space="preserve"> </w:t>
      </w:r>
      <w:r>
        <w:t xml:space="preserve">vessels are estimated on average at EUR 3 690 per year and per vessel (plus one-off costs</w:t>
      </w:r>
      <w:r>
        <w:t xml:space="preserve"> </w:t>
      </w:r>
      <w:r>
        <w:t xml:space="preserve">estimated at EUR 3 193 per vessel). Staff limitations and increased frequency of voyages of</w:t>
      </w:r>
      <w:r>
        <w:t xml:space="preserve"> </w:t>
      </w:r>
      <w:r>
        <w:t xml:space="preserve">smaller vessels have been quoted by some shipping companies as the main reasons for slightly</w:t>
      </w:r>
      <w:r>
        <w:t xml:space="preserve"> </w:t>
      </w:r>
      <w:r>
        <w:t xml:space="preserve">higher monitoring costs in comparison to similar costs for larger vessels. In addition, those</w:t>
      </w:r>
      <w:r>
        <w:t xml:space="preserve"> </w:t>
      </w:r>
      <w:r>
        <w:t xml:space="preserve">shipping companies not previously active under ETS scope, would incur additional</w:t>
      </w:r>
      <w:r>
        <w:t xml:space="preserve"> </w:t>
      </w:r>
      <w:r>
        <w:t xml:space="preserve">administrative costs to familiarise themselves with the ETS rules and set up and manage their</w:t>
      </w:r>
      <w:r>
        <w:t xml:space="preserve"> </w:t>
      </w:r>
      <w:r>
        <w:t xml:space="preserve">Union Registry account. When considering together the MRV and ETS total administrative</w:t>
      </w:r>
      <w:r>
        <w:t xml:space="preserve"> </w:t>
      </w:r>
      <w:r>
        <w:t xml:space="preserve">costs, PO2 would result in additional recurrent administrative costs for smaller ships estimated</w:t>
      </w:r>
      <w:r>
        <w:t xml:space="preserve"> </w:t>
      </w:r>
      <w:r>
        <w:t xml:space="preserve">at EUR 15 million EUR per year. For PO3, which covers more smaller vessels, the total</w:t>
      </w:r>
      <w:r>
        <w:t xml:space="preserve"> </w:t>
      </w:r>
      <w:r>
        <w:t xml:space="preserve">additional administrative costs would amount to EUR 30 million EUR per year.</w:t>
      </w:r>
      <w:r>
        <w:t xml:space="preserve"> </w:t>
      </w:r>
      <w:r>
        <w:t xml:space="preserve">6.2.2.5. Carbon leakage prevention</w:t>
      </w:r>
      <w:r>
        <w:t xml:space="preserve"> </w:t>
      </w:r>
      <w:r>
        <w:t xml:space="preserve">All the carbon leakage prevention measures include design options that will reduce</w:t>
      </w:r>
      <w:r>
        <w:t xml:space="preserve"> </w:t>
      </w:r>
      <w:r>
        <w:t xml:space="preserve">administrative burden. The main simplification measures introduced in PO1 and PO2 are linked</w:t>
      </w:r>
      <w:r>
        <w:t xml:space="preserve"> </w:t>
      </w:r>
      <w:r>
        <w:t xml:space="preserve">to simplifying or eliminating the need to update the carbon leakage and streamlining the</w:t>
      </w:r>
      <w:r>
        <w:t xml:space="preserve"> </w:t>
      </w:r>
      <w:r>
        <w:t xml:space="preserve">process for applying for free allocation. This simplification will eliminate administrative</w:t>
      </w:r>
      <w:r>
        <w:t xml:space="preserve"> </w:t>
      </w:r>
      <w:r>
        <w:t xml:space="preserve">obligations for EU ETS operators in all the policy measures, with considerable time spent on</w:t>
      </w:r>
      <w:r>
        <w:t xml:space="preserve"> </w:t>
      </w:r>
      <w:r>
        <w:t xml:space="preserve">administration expected to be saved.</w:t>
      </w:r>
      <w:r>
        <w:br/>
      </w:r>
      <w:r>
        <w:t xml:space="preserve">However, the extension of conditionalities for free allocation under PO2 would introduce new</w:t>
      </w:r>
      <w:r>
        <w:t xml:space="preserve"> </w:t>
      </w:r>
      <w:r>
        <w:t xml:space="preserve">administrative requirements. The additional administrative cost has been estimated based on</w:t>
      </w:r>
      <w:r>
        <w:t xml:space="preserve"> </w:t>
      </w:r>
      <w:r>
        <w:t xml:space="preserve">the information provided by industrial stakeholders on the person/time spent for different</w:t>
      </w:r>
      <w:r>
        <w:t xml:space="preserve"> </w:t>
      </w:r>
      <w:r>
        <w:t xml:space="preserve">administrative tasks and estimated as one-off administrative tasks for complying with the</w:t>
      </w:r>
      <w:r>
        <w:t xml:space="preserve"> </w:t>
      </w:r>
      <w:r>
        <w:t xml:space="preserve">conditionalities. Considering an average cost of labour across Member States of EUR 40, the</w:t>
      </w:r>
      <w:r>
        <w:t xml:space="preserve"> </w:t>
      </w:r>
      <w:r>
        <w:t xml:space="preserve">average administrative cost for free allocation related tasks amounts to EUR 0.02 per tonne of</w:t>
      </w:r>
      <w:r>
        <w:t xml:space="preserve"> </w:t>
      </w:r>
      <w:r>
        <w:t xml:space="preserve">CO2. This represents a very small share (approximately 0.026%) of the carbon price (assumed</w:t>
      </w:r>
      <w:r>
        <w:t xml:space="preserve"> </w:t>
      </w:r>
      <w:r>
        <w:t xml:space="preserve">to be EUR 64.74, which was the average price of a EUA in 2024) and it is insignificant in</w:t>
      </w:r>
      <w:r>
        <w:t xml:space="preserve"> </w:t>
      </w:r>
      <w:r>
        <w:t xml:space="preserve">relation to the estimated value of free allocation. Nevertheless, to avoid a disproportionate</w:t>
      </w:r>
      <w:r>
        <w:t xml:space="preserve"> </w:t>
      </w:r>
      <w:r>
        <w:t xml:space="preserve">burden on small installations of the new measures, simplified requirements or even exclusion</w:t>
      </w:r>
      <w:r>
        <w:t xml:space="preserve"> </w:t>
      </w:r>
      <w:r>
        <w:t xml:space="preserve">of small installations can be applied.</w:t>
      </w:r>
      <w:r>
        <w:t xml:space="preserve"> </w:t>
      </w:r>
      <w:r>
        <w:t xml:space="preserve">The stakeholder consultation involved a series of interviews with industrial associations66 and</w:t>
      </w:r>
      <w:r>
        <w:t xml:space="preserve"> </w:t>
      </w:r>
      <w:r>
        <w:t xml:space="preserve">strong views were expressed opposing the expansion of conditionality requirements for free</w:t>
      </w:r>
      <w:r>
        <w:t xml:space="preserve"> </w:t>
      </w:r>
      <w:r>
        <w:t xml:space="preserve">allocation and that any expansion of conditionality would add significant administrative</w:t>
      </w:r>
    </w:p>
    <w:p>
      <w:pPr>
        <w:pStyle w:val="BodyText"/>
      </w:pPr>
      <w:r>
        <w:t xml:space="preserve">66 Stakeholder interviews were conducted with eleven industrial associations from CBAM and non-CBAM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burdens to EU ETS operators. However, results from the OPC also showed support for</w:t>
      </w:r>
      <w:r>
        <w:t xml:space="preserve"> </w:t>
      </w:r>
      <w:r>
        <w:t xml:space="preserve">conditionality, mainly among companies and business associations from the energy sector and</w:t>
      </w:r>
      <w:r>
        <w:t xml:space="preserve"> </w:t>
      </w:r>
      <w:r>
        <w:t xml:space="preserve">NGOs.</w:t>
      </w:r>
      <w:r>
        <w:br/>
      </w:r>
      <w:r>
        <w:t xml:space="preserve">PO3 will result in the most significant reduction of administrative burden, given that free</w:t>
      </w:r>
      <w:r>
        <w:t xml:space="preserve"> </w:t>
      </w:r>
      <w:r>
        <w:t xml:space="preserve">allocation would be replaced by a partial surrender obligation. Therefore, there would be no</w:t>
      </w:r>
      <w:r>
        <w:t xml:space="preserve"> </w:t>
      </w:r>
      <w:r>
        <w:t xml:space="preserve">administrative costs associated with the application of free allocation (i.e. provision of a</w:t>
      </w:r>
      <w:r>
        <w:t xml:space="preserve"> </w:t>
      </w:r>
      <w:r>
        <w:t xml:space="preserve">baseline data report, monitoring methodology plan and verification plan, etc.). It is important</w:t>
      </w:r>
      <w:r>
        <w:t xml:space="preserve"> </w:t>
      </w:r>
      <w:r>
        <w:t xml:space="preserve">to note that whilst indeed the administrative costs would be lower if PO3 was adopted, this</w:t>
      </w:r>
      <w:r>
        <w:t xml:space="preserve"> </w:t>
      </w:r>
      <w:r>
        <w:t xml:space="preserve">would lead to higher compliance costs.</w:t>
      </w:r>
      <w:r>
        <w:br/>
      </w:r>
      <w:r>
        <w:t xml:space="preserve">For additional details on the impact on administrative costs of the carbon leakage protection,</w:t>
      </w:r>
      <w:r>
        <w:t xml:space="preserve"> </w:t>
      </w:r>
      <w:r>
        <w:t xml:space="preserve">see Section 1.4.2.2 of Annex 12.</w:t>
      </w:r>
      <w:r>
        <w:br/>
      </w:r>
      <w:r>
        <w:t xml:space="preserve">6.2.2.6.Waste</w:t>
      </w:r>
      <w:r>
        <w:t xml:space="preserve"> </w:t>
      </w:r>
      <w:r>
        <w:t xml:space="preserve">Extending the scope of the EU ETS to the waste disposal sector under PO2 and PO3 overall</w:t>
      </w:r>
      <w:r>
        <w:t xml:space="preserve"> </w:t>
      </w:r>
      <w:r>
        <w:t xml:space="preserve">relies on the existing system under the EU ETS. For both options PO2 and PO3, one-time</w:t>
      </w:r>
      <w:r>
        <w:t xml:space="preserve"> </w:t>
      </w:r>
      <w:r>
        <w:t xml:space="preserve">administrative costs, regularly occurring administrative costs and costs for disclosure and</w:t>
      </w:r>
      <w:r>
        <w:t xml:space="preserve"> </w:t>
      </w:r>
      <w:r>
        <w:t xml:space="preserve">sanctioning can be identified for competent authorities and for the operators. For PO2, the</w:t>
      </w:r>
      <w:r>
        <w:t xml:space="preserve"> </w:t>
      </w:r>
      <w:r>
        <w:t xml:space="preserve">existing system, processes and infrastructure (such as the Registry) can be used, limiting costs.</w:t>
      </w:r>
      <w:r>
        <w:t xml:space="preserve"> </w:t>
      </w:r>
      <w:r>
        <w:t xml:space="preserve">For PO3, the existing system and processes need to be modulated to a new sector and GHG</w:t>
      </w:r>
      <w:r>
        <w:t xml:space="preserve"> </w:t>
      </w:r>
      <w:r>
        <w:t xml:space="preserve">emissions (diffuse methane emissions from a large number of landfill sites) different to the</w:t>
      </w:r>
      <w:r>
        <w:t xml:space="preserve"> </w:t>
      </w:r>
      <w:r>
        <w:t xml:space="preserve">current system.</w:t>
      </w:r>
      <w:r>
        <w:t xml:space="preserve"> </w:t>
      </w:r>
      <w:r>
        <w:t xml:space="preserve">PO2 builds on the already implemented MRV requirements for MWI, including the developed</w:t>
      </w:r>
      <w:r>
        <w:t xml:space="preserve"> </w:t>
      </w:r>
      <w:r>
        <w:t xml:space="preserve">monitoring plans, data collection and reporting and verification infrastructure. Additional</w:t>
      </w:r>
      <w:r>
        <w:t xml:space="preserve"> </w:t>
      </w:r>
      <w:r>
        <w:t xml:space="preserve">monitoring and reporting costs under PO2 may result from changes when further detailing</w:t>
      </w:r>
      <w:r>
        <w:t xml:space="preserve"> </w:t>
      </w:r>
      <w:r>
        <w:t xml:space="preserve">tailored harmonised monitoring and reporting standards and protocols for the sector. The</w:t>
      </w:r>
      <w:r>
        <w:t xml:space="preserve"> </w:t>
      </w:r>
      <w:r>
        <w:t xml:space="preserve">administrative burden for a specific operator will vary according to plant size, complexity and</w:t>
      </w:r>
      <w:r>
        <w:t xml:space="preserve"> </w:t>
      </w:r>
      <w:r>
        <w:t xml:space="preserve">the MRV methodology adopted. There are a range of methods available for monitoring</w:t>
      </w:r>
      <w:r>
        <w:t xml:space="preserve"> </w:t>
      </w:r>
      <w:r>
        <w:t xml:space="preserve">emissions from waste incinerators, which have different associated costs. The sector-wide</w:t>
      </w:r>
      <w:r>
        <w:t xml:space="preserve"> </w:t>
      </w:r>
      <w:r>
        <w:t xml:space="preserve">annual MRV costs (assuming 395 installations as reported under the 2024 MRV data) has been</w:t>
      </w:r>
      <w:r>
        <w:t xml:space="preserve"> </w:t>
      </w:r>
      <w:r>
        <w:t xml:space="preserve">estimated in Annex 13, Section 1.4. to range from EUR 7.8 million to EUR 78 million per year,</w:t>
      </w:r>
      <w:r>
        <w:t xml:space="preserve"> </w:t>
      </w:r>
      <w:r>
        <w:t xml:space="preserve">depending on plant size, methodology and specific monitoring requirements (e.g. frequency).</w:t>
      </w:r>
      <w:r>
        <w:t xml:space="preserve"> </w:t>
      </w:r>
      <w:r>
        <w:t xml:space="preserve">Overall, the technical implementation and cost related to MRV have been manageable in light</w:t>
      </w:r>
      <w:r>
        <w:t xml:space="preserve"> </w:t>
      </w:r>
      <w:r>
        <w:t xml:space="preserve">of other reporting obligations and experience already in place, for example under the Industrial</w:t>
      </w:r>
      <w:r>
        <w:t xml:space="preserve"> </w:t>
      </w:r>
      <w:r>
        <w:t xml:space="preserve">Emissions Directive (IED), and the tiered system that incorporates both measurement-based</w:t>
      </w:r>
      <w:r>
        <w:t xml:space="preserve"> </w:t>
      </w:r>
      <w:r>
        <w:t xml:space="preserve">and calculation-based methodologies, along with simplified provisions for smaller emitters, to</w:t>
      </w:r>
      <w:r>
        <w:t xml:space="preserve"> </w:t>
      </w:r>
      <w:r>
        <w:t xml:space="preserve">provide a scalable and proportionate MRV system minimising administrative costs.</w:t>
      </w:r>
      <w:r>
        <w:br/>
      </w:r>
      <w:r>
        <w:t xml:space="preserve">Under PO3, the monitoring and reporting framework for hazardous waste incineration would</w:t>
      </w:r>
      <w:r>
        <w:t xml:space="preserve"> </w:t>
      </w:r>
      <w:r>
        <w:t xml:space="preserve">largely build on the framework under PO2, while additional costs may be associated to the</w:t>
      </w:r>
      <w:r>
        <w:t xml:space="preserve"> </w:t>
      </w:r>
      <w:r>
        <w:t xml:space="preserve">development and implementation of tailored approaches due to regulatory and operational</w:t>
      </w:r>
      <w:r>
        <w:t xml:space="preserve"> </w:t>
      </w:r>
      <w:r>
        <w:t xml:space="preserve">restrictions. For landfilling, additional administrative costs for competent authorities and</w:t>
      </w:r>
      <w:r>
        <w:t xml:space="preserve"> </w:t>
      </w:r>
      <w:r>
        <w:t xml:space="preserve">operators are expected to be associated to the development and implementation of dedicated</w:t>
      </w:r>
      <w:r>
        <w:t xml:space="preserve"> </w:t>
      </w:r>
      <w:r>
        <w:t xml:space="preserve">monitoring, reporting and verification rules, standards and protocols under the ETS framework</w:t>
      </w:r>
      <w:r>
        <w:t xml:space="preserve"> </w:t>
      </w:r>
      <w:r>
        <w:t xml:space="preserve">in view of the current lack of established, harmonised MRV approaches to monitor and report</w:t>
      </w:r>
      <w:r>
        <w:t xml:space="preserve"> </w:t>
      </w:r>
      <w:r>
        <w:t xml:space="preserve">methane emissions from landfills. The administrative and operational cost of MRV would be</w:t>
      </w:r>
      <w:r>
        <w:t xml:space="preserve"> </w:t>
      </w:r>
      <w:r>
        <w:t xml:space="preserve">dependent on the methodological approach followed (calculation- vs measurement-based), as</w:t>
      </w:r>
      <w:r>
        <w:t xml:space="preserve"> </w:t>
      </w:r>
      <w:r>
        <w:t xml:space="preserve">well as on the choice of the scope of emissions covered (emissions from future disposal only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or also emissions from historical disposal) (see Sections 1.4.3. and 1.5.1.2.3. of Annex 13 for</w:t>
      </w:r>
      <w:r>
        <w:t xml:space="preserve"> </w:t>
      </w:r>
      <w:r>
        <w:t xml:space="preserve">a detailed analysis).</w:t>
      </w:r>
      <w:r>
        <w:t xml:space="preserve"> </w:t>
      </w:r>
      <w:r>
        <w:t xml:space="preserve">6.2.2.7. CCU</w:t>
      </w:r>
      <w:r>
        <w:t xml:space="preserve"> </w:t>
      </w:r>
      <w:r>
        <w:t xml:space="preserve">In terms of administrative costs, the hybrid downstream and midstream accounting (PO2 and</w:t>
      </w:r>
      <w:r>
        <w:t xml:space="preserve"> </w:t>
      </w:r>
      <w:r>
        <w:t xml:space="preserve">PO3) will result in a simplification in the rules applicable for the reporting of emissions in case</w:t>
      </w:r>
      <w:r>
        <w:t xml:space="preserve"> </w:t>
      </w:r>
      <w:r>
        <w:t xml:space="preserve">of the capture of CO2, compared to the upstream accounting (baseline and CCU0/PO1).</w:t>
      </w:r>
      <w:r>
        <w:t xml:space="preserve"> </w:t>
      </w:r>
      <w:r>
        <w:t xml:space="preserve">Emitters that capture CO2 will be able to report it as captured (and deduct it from their overall</w:t>
      </w:r>
      <w:r>
        <w:t xml:space="preserve"> </w:t>
      </w:r>
      <w:r>
        <w:t xml:space="preserve">emissions) the amount of CO2 that has been captured and transferred to another ETS</w:t>
      </w:r>
      <w:r>
        <w:t xml:space="preserve"> </w:t>
      </w:r>
      <w:r>
        <w:t xml:space="preserve">installation, regardless of the purpose, be it for CCS, permanent CCU or non-permanent CCU.</w:t>
      </w:r>
      <w:r>
        <w:t xml:space="preserve"> </w:t>
      </w:r>
      <w:r>
        <w:t xml:space="preserve">This contrasts with the current situation where CO2 captured for different purposes has different</w:t>
      </w:r>
      <w:r>
        <w:t xml:space="preserve"> </w:t>
      </w:r>
      <w:r>
        <w:t xml:space="preserve">regulatory treatments.</w:t>
      </w:r>
      <w:r>
        <w:t xml:space="preserve"> </w:t>
      </w:r>
      <w:r>
        <w:t xml:space="preserve">The downstream accounting for non-permanent CCU products other than e-fuels relies on the</w:t>
      </w:r>
      <w:r>
        <w:t xml:space="preserve"> </w:t>
      </w:r>
      <w:r>
        <w:t xml:space="preserve">integration of waste incineration in the EU ETS. However, once included in the EU ETS, there</w:t>
      </w:r>
      <w:r>
        <w:t xml:space="preserve"> </w:t>
      </w:r>
      <w:r>
        <w:t xml:space="preserve">is no difference between the administrative costs for waste incinerators in the upstream</w:t>
      </w:r>
      <w:r>
        <w:t xml:space="preserve"> </w:t>
      </w:r>
      <w:r>
        <w:t xml:space="preserve">accounting (CCU1) or the hybrid downstream and midstream accounting scenario (CCU3/PO2</w:t>
      </w:r>
      <w:r>
        <w:t xml:space="preserve"> </w:t>
      </w:r>
      <w:r>
        <w:t xml:space="preserve">and PO3). Waste incinerators would continue to monitor and report emissions in the same</w:t>
      </w:r>
      <w:r>
        <w:t xml:space="preserve"> </w:t>
      </w:r>
      <w:r>
        <w:t xml:space="preserve">manner in both accounting approaches.</w:t>
      </w:r>
      <w:r>
        <w:br/>
      </w:r>
      <w:r>
        <w:t xml:space="preserve">6.2.3. Sectoral competitiveness, trade and investment flows</w:t>
      </w:r>
      <w:r>
        <w:t xml:space="preserve"> </w:t>
      </w:r>
      <w:r>
        <w:t xml:space="preserve">6.2.3.1. Cap</w:t>
      </w:r>
      <w:r>
        <w:br/>
      </w:r>
      <w:r>
        <w:t xml:space="preserve">The different POs examined in the impact assessment regarding the cap do not change in</w:t>
      </w:r>
      <w:r>
        <w:t xml:space="preserve"> </w:t>
      </w:r>
      <w:r>
        <w:t xml:space="preserve">substantial terms the efforts required by the regulated sectors to decarbonise, and with it their</w:t>
      </w:r>
      <w:r>
        <w:t xml:space="preserve"> </w:t>
      </w:r>
      <w:r>
        <w:t xml:space="preserve">competitiveness, as they have all been chosen to lead to the same emissions reduction objective</w:t>
      </w:r>
      <w:r>
        <w:t xml:space="preserve"> </w:t>
      </w:r>
      <w:r>
        <w:t xml:space="preserve">compatible with the European Climate Law and follow the same cost-efficient 85% trajectory</w:t>
      </w:r>
      <w:r>
        <w:t xml:space="preserve"> </w:t>
      </w:r>
      <w:r>
        <w:t xml:space="preserve">(all POs include measure ‘CAP2’). An analysis of the impact of the ambition level itself was</w:t>
      </w:r>
      <w:r>
        <w:t xml:space="preserve"> </w:t>
      </w:r>
      <w:r>
        <w:t xml:space="preserve">carried out in the 2040 Climate Target Impact Assessment67. Of the scenarios assessed at the</w:t>
      </w:r>
      <w:r>
        <w:t xml:space="preserve"> </w:t>
      </w:r>
      <w:r>
        <w:t xml:space="preserve">time, scenario S2 resulted in a -88% net reduction of domestic economy-wide greenhouse gas</w:t>
      </w:r>
      <w:r>
        <w:t xml:space="preserve"> </w:t>
      </w:r>
      <w:r>
        <w:t xml:space="preserve">emissions by 2040 compared to 1990, i.e. equivalent to a use of 2% international credits</w:t>
      </w:r>
      <w:r>
        <w:t xml:space="preserve"> </w:t>
      </w:r>
      <w:r>
        <w:t xml:space="preserve">compared to a 90% target.</w:t>
      </w:r>
      <w:r>
        <w:t xml:space="preserve"> </w:t>
      </w:r>
      <w:r>
        <w:t xml:space="preserve">In particular, in the 2040 Climate Target Impact Assessment, Tables 17 in Section 6.4.2 of Part</w:t>
      </w:r>
      <w:r>
        <w:t xml:space="preserve"> </w:t>
      </w:r>
      <w:r>
        <w:t xml:space="preserve">1 and 18 in 6.4.3. show the increase in investment needs in the decade 2031-2040 compared to</w:t>
      </w:r>
      <w:r>
        <w:t xml:space="preserve"> </w:t>
      </w:r>
      <w:r>
        <w:t xml:space="preserve">the previous decade 2011-2020, per major sector of the economy. In the same Impact</w:t>
      </w:r>
      <w:r>
        <w:t xml:space="preserve"> </w:t>
      </w:r>
      <w:r>
        <w:t xml:space="preserve">Assessment, Tables 14 and 15 in section 6.4.1. show the macro-economic impacts on sectoral</w:t>
      </w:r>
      <w:r>
        <w:t xml:space="preserve"> </w:t>
      </w:r>
      <w:r>
        <w:t xml:space="preserve">output and the EU share in global exports respectively, with Table 15 illustrating the difference</w:t>
      </w:r>
      <w:r>
        <w:t xml:space="preserve"> </w:t>
      </w:r>
      <w:r>
        <w:t xml:space="preserve">between a world with globally coordinated climate action and more fragmented action. More</w:t>
      </w:r>
      <w:r>
        <w:t xml:space="preserve"> </w:t>
      </w:r>
      <w:r>
        <w:t xml:space="preserve">details are provided in Part 3 of the 2040 Climate Target Impact Assessment, in particular in</w:t>
      </w:r>
      <w:r>
        <w:t xml:space="preserve"> </w:t>
      </w:r>
      <w:r>
        <w:t xml:space="preserve">Section 2.3.2. on energy system costs and prices for industry, as well as 2.3.6 on sectoral output</w:t>
      </w:r>
      <w:r>
        <w:t xml:space="preserve"> </w:t>
      </w:r>
      <w:r>
        <w:t xml:space="preserve">and international trade. In terms of the measures taken, Section 1.4 of Part 3 shows energy</w:t>
      </w:r>
      <w:r>
        <w:t xml:space="preserve"> </w:t>
      </w:r>
      <w:r>
        <w:t xml:space="preserve">efficiency, fuel switches and carbon capture as applied across different industrial sectors.</w:t>
      </w:r>
      <w:r>
        <w:t xml:space="preserve"> </w:t>
      </w:r>
      <w:r>
        <w:t xml:space="preserve">Below some examples of the modelling of technological change in different industrial sectors</w:t>
      </w:r>
      <w:r>
        <w:t xml:space="preserve"> </w:t>
      </w:r>
      <w:r>
        <w:t xml:space="preserve">towards the 2040 target. For steel modelling shows a large reduction in pre-capture emissions</w:t>
      </w:r>
    </w:p>
    <w:p>
      <w:pPr>
        <w:pStyle w:val="BodyText"/>
      </w:pPr>
      <w:r>
        <w:t xml:space="preserve">67 Commission Staff Working Document: Impact Assessment Report: Part 1: Accompanying the document</w:t>
      </w:r>
      <w:r>
        <w:t xml:space="preserve"> </w:t>
      </w:r>
      <w:r>
        <w:t xml:space="preserve">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Regions: Securing our future Europe’s 2040 climate target and</w:t>
      </w:r>
      <w:r>
        <w:t xml:space="preserve"> </w:t>
      </w:r>
      <w:r>
        <w:t xml:space="preserve">path to climate neutrality by 2050 building a sustainable, just and prosperous society, SWD(2024) 63 final,</w:t>
      </w:r>
      <w:r>
        <w:t xml:space="preserve"> </w:t>
      </w:r>
      <w:r>
        <w:t xml:space="preserve">6.2.2024, https://eur-lex.europa.eu/legal-content/EN/TXT/?uri=celex:52024SC0063.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by more than half due to a strong decrease in blast furnace use, substituted by hydrogen direct</w:t>
      </w:r>
      <w:r>
        <w:t xml:space="preserve"> </w:t>
      </w:r>
      <w:r>
        <w:t xml:space="preserve">reduction technologies. Between 20-40% of the remaining emissions would be covered by</w:t>
      </w:r>
      <w:r>
        <w:t xml:space="preserve"> </w:t>
      </w:r>
      <w:r>
        <w:t xml:space="preserve">carbon capture; residual emissions would be around 35 Mt.</w:t>
      </w:r>
      <w:r>
        <w:t xml:space="preserve"> </w:t>
      </w:r>
      <w:r>
        <w:t xml:space="preserve">For non-metallic minerals cement is the most important source of emissions. Here there is a</w:t>
      </w:r>
      <w:r>
        <w:t xml:space="preserve"> </w:t>
      </w:r>
      <w:r>
        <w:t xml:space="preserve">strong need for carbon capture (70-100 Mt) with residual emissions of around 35-40 Mt. The</w:t>
      </w:r>
      <w:r>
        <w:t xml:space="preserve"> </w:t>
      </w:r>
      <w:r>
        <w:t xml:space="preserve">modelling shows some deployment of low-carbon cement, where limestone is substituted by</w:t>
      </w:r>
      <w:r>
        <w:t xml:space="preserve"> </w:t>
      </w:r>
      <w:r>
        <w:t xml:space="preserve">other, less emitting minerals.</w:t>
      </w:r>
      <w:r>
        <w:t xml:space="preserve"> </w:t>
      </w:r>
      <w:r>
        <w:t xml:space="preserve">The chemicals sector is highly complex, and a combination of electrification, biomass and</w:t>
      </w:r>
      <w:r>
        <w:t xml:space="preserve"> </w:t>
      </w:r>
      <w:r>
        <w:t xml:space="preserve">hydrogen shows around 50% reduction of pre-capture emissions. Around a third of remaining</w:t>
      </w:r>
      <w:r>
        <w:t xml:space="preserve"> </w:t>
      </w:r>
      <w:r>
        <w:t xml:space="preserve">emissions would be captured.</w:t>
      </w:r>
      <w:r>
        <w:t xml:space="preserve"> </w:t>
      </w:r>
      <w:r>
        <w:t xml:space="preserve">In other industry sectors modelling shows large emissions reduction (60-70%), mostly through</w:t>
      </w:r>
      <w:r>
        <w:t xml:space="preserve"> </w:t>
      </w:r>
      <w:r>
        <w:t xml:space="preserve">electrification; there is some limited ability to also apply CCUS.</w:t>
      </w:r>
      <w:r>
        <w:br/>
      </w:r>
      <w:r>
        <w:t xml:space="preserve">All policy options support the demand for permanent removals, although at different scales.</w:t>
      </w:r>
      <w:r>
        <w:t xml:space="preserve"> </w:t>
      </w:r>
      <w:r>
        <w:t xml:space="preserve">Those measures that support removals in a more guaranteed manner (PO1) will support the</w:t>
      </w:r>
      <w:r>
        <w:t xml:space="preserve"> </w:t>
      </w:r>
      <w:r>
        <w:t xml:space="preserve">competitiveness of EU both in carbon removals and broadly industrial competitiveness by</w:t>
      </w:r>
      <w:r>
        <w:t xml:space="preserve"> </w:t>
      </w:r>
      <w:r>
        <w:t xml:space="preserve">allowing more space for emissions in the EU. The ultimate impact on the removals industry,</w:t>
      </w:r>
      <w:r>
        <w:t xml:space="preserve"> </w:t>
      </w:r>
      <w:r>
        <w:t xml:space="preserve">however, will depend on support measures that may complement each policy option. E.g. PO2</w:t>
      </w:r>
      <w:r>
        <w:t xml:space="preserve"> </w:t>
      </w:r>
      <w:r>
        <w:t xml:space="preserve">with carbon contracts for difference (CCfDs) can have a greater incentivisation of carbon</w:t>
      </w:r>
      <w:r>
        <w:t xml:space="preserve"> </w:t>
      </w:r>
      <w:r>
        <w:t xml:space="preserve">removals as it leads to an initial scarcity and higher ETS price. PO3 complemented with CCfD</w:t>
      </w:r>
      <w:r>
        <w:t xml:space="preserve"> </w:t>
      </w:r>
      <w:r>
        <w:t xml:space="preserve">at the level required to incentivise the same level of removals as included by the public</w:t>
      </w:r>
      <w:r>
        <w:t xml:space="preserve"> </w:t>
      </w:r>
      <w:r>
        <w:t xml:space="preserve">authority in PO1, could lead to similar results. Conversely, the options with highest guaranteed</w:t>
      </w:r>
      <w:r>
        <w:t xml:space="preserve"> </w:t>
      </w:r>
      <w:r>
        <w:t xml:space="preserve">of removals can also lead to most abatement deterrence, having a detrimental effect on the</w:t>
      </w:r>
      <w:r>
        <w:t xml:space="preserve"> </w:t>
      </w:r>
      <w:r>
        <w:t xml:space="preserve">competitiveness of decarbonised technologies in the EU ETS sectors (see Section 6.1.1.2 on</w:t>
      </w:r>
      <w:r>
        <w:t xml:space="preserve"> </w:t>
      </w:r>
      <w:r>
        <w:t xml:space="preserve">abatement deterrence and CDR support).</w:t>
      </w:r>
      <w:r>
        <w:br/>
      </w:r>
      <w:r>
        <w:t xml:space="preserve">The following table gives an illustration of investment needs and energy system costs in CAP</w:t>
      </w:r>
      <w:r>
        <w:t xml:space="preserve"> </w:t>
      </w:r>
      <w:r>
        <w:t xml:space="preserve">3 “9085” scenario. The numbers shown are a range of results from PRIMES and POTEnCIA</w:t>
      </w:r>
      <w:r>
        <w:t xml:space="preserve"> </w:t>
      </w:r>
      <w:r>
        <w:t xml:space="preserve">models, illustrating the intrinsic uncertainties involved.</w:t>
      </w:r>
      <w:r>
        <w:t xml:space="preserve"> </w:t>
      </w:r>
      <w:r>
        <w:t xml:space="preserve">Table 8: Annual investment expenditure, energy related excluding transport in CAP 3 “9085”</w:t>
      </w:r>
      <w:r>
        <w:t xml:space="preserve"> </w:t>
      </w:r>
      <w:r>
        <w:t xml:space="preserve">scenario</w:t>
      </w:r>
      <w:r>
        <w:br/>
      </w:r>
      <w:r>
        <w:t xml:space="preserve">Annual</w:t>
      </w:r>
      <w:r>
        <w:t xml:space="preserve"> </w:t>
      </w:r>
      <w:r>
        <w:t xml:space="preserve">Investment</w:t>
      </w:r>
      <w:r>
        <w:t xml:space="preserve"> </w:t>
      </w:r>
      <w:r>
        <w:t xml:space="preserve">expenditure</w:t>
      </w:r>
      <w:r>
        <w:t xml:space="preserve"> </w:t>
      </w:r>
      <w:r>
        <w:t xml:space="preserve">(energy</w:t>
      </w:r>
      <w:r>
        <w:t xml:space="preserve"> </w:t>
      </w:r>
      <w:r>
        <w:t xml:space="preserve">related excl.</w:t>
      </w:r>
      <w:r>
        <w:t xml:space="preserve"> </w:t>
      </w:r>
      <w:r>
        <w:t xml:space="preserve">transport)</w:t>
      </w:r>
      <w:r>
        <w:t xml:space="preserve"> </w:t>
      </w:r>
      <w:r>
        <w:t xml:space="preserve">EUR bn’25</w:t>
      </w:r>
      <w:r>
        <w:t xml:space="preserve"> </w:t>
      </w:r>
      <w:r>
        <w:t xml:space="preserve">%GDP</w:t>
      </w:r>
      <w:r>
        <w:t xml:space="preserve"> </w:t>
      </w:r>
      <w:r>
        <w:t xml:space="preserve">2021-2030 2031-2040 2021-2030</w:t>
      </w:r>
      <w:r>
        <w:t xml:space="preserve"> </w:t>
      </w:r>
      <w:r>
        <w:t xml:space="preserve">2031-2040</w:t>
      </w:r>
      <w:r>
        <w:t xml:space="preserve"> </w:t>
      </w:r>
      <w:r>
        <w:t xml:space="preserve">Industry</w:t>
      </w:r>
      <w:r>
        <w:t xml:space="preserve"> </w:t>
      </w:r>
      <w:r>
        <w:t xml:space="preserve">40;45</w:t>
      </w:r>
      <w:r>
        <w:t xml:space="preserve"> </w:t>
      </w:r>
      <w:r>
        <w:t xml:space="preserve">30;40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Supply side*</w:t>
      </w:r>
      <w:r>
        <w:t xml:space="preserve"> </w:t>
      </w:r>
      <w:r>
        <w:t xml:space="preserve">110;120</w:t>
      </w:r>
      <w:r>
        <w:t xml:space="preserve"> </w:t>
      </w:r>
      <w:r>
        <w:t xml:space="preserve">140;175</w:t>
      </w:r>
      <w:r>
        <w:t xml:space="preserve"> </w:t>
      </w:r>
      <w:r>
        <w:t xml:space="preserve">0.6%;0.7% 0.7%;0.8%</w:t>
      </w:r>
      <w:r>
        <w:t xml:space="preserve"> </w:t>
      </w:r>
      <w:r>
        <w:t xml:space="preserve">*includes power generation and production of new fuels.</w:t>
      </w:r>
      <w:r>
        <w:t xml:space="preserve"> </w:t>
      </w:r>
      <w:r>
        <w:t xml:space="preserve">Note: rounded to closest 5. Source: range over PRIMES and POTEnCIA models.</w:t>
      </w:r>
      <w:r>
        <w:br/>
      </w:r>
      <w:r>
        <w:t xml:space="preserve">While the 2040 Climate Target Impact Assessment is the primary source for the impacts of the</w:t>
      </w:r>
      <w:r>
        <w:t xml:space="preserve"> </w:t>
      </w:r>
      <w:r>
        <w:t xml:space="preserve">overarching ambition level, the impacts of CAP2 “85” cap trajectory are shown below relative</w:t>
      </w:r>
      <w:r>
        <w:t xml:space="preserve"> </w:t>
      </w:r>
      <w:r>
        <w:t xml:space="preserve">to the CAP3 “9085%” cap trajectory. As shown in 6.1.1.1, there is more decarbonisation by</w:t>
      </w:r>
      <w:r>
        <w:t xml:space="preserve"> </w:t>
      </w:r>
      <w:r>
        <w:t xml:space="preserve">2035 and over the decade 2031-2040 in CAP3 compared to CAP2.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The steeper cap reduction under CAP3 up to 2035 incentivises a higher level of investment in</w:t>
      </w:r>
      <w:r>
        <w:t xml:space="preserve"> </w:t>
      </w:r>
      <w:r>
        <w:t xml:space="preserve">decarbonisation technologies in the first half of the decade (2031-2035) than under CAP2 (see</w:t>
      </w:r>
      <w:r>
        <w:t xml:space="preserve"> </w:t>
      </w:r>
      <w:r>
        <w:t xml:space="preserve">table 8). This is the case on the supply side (power generation and new fuels) as well as for</w:t>
      </w:r>
      <w:r>
        <w:t xml:space="preserve"> </w:t>
      </w:r>
      <w:r>
        <w:t xml:space="preserve">industrial sectors on the demand side: the modelling analysis projects the anticipation of</w:t>
      </w:r>
      <w:r>
        <w:t xml:space="preserve"> </w:t>
      </w:r>
      <w:r>
        <w:t xml:space="preserve">investment plans, with somewhat different degrees depending on the model, particularly on the</w:t>
      </w:r>
      <w:r>
        <w:t xml:space="preserve"> </w:t>
      </w:r>
      <w:r>
        <w:t xml:space="preserve">supply side. Within industry, the anticipation of decarbonisation investment is stronger for</w:t>
      </w:r>
      <w:r>
        <w:t xml:space="preserve"> </w:t>
      </w:r>
      <w:r>
        <w:t xml:space="preserve">energy-intensive industries than for non-energy intensive industries.</w:t>
      </w:r>
      <w:r>
        <w:t xml:space="preserve"> </w:t>
      </w:r>
      <w:r>
        <w:t xml:space="preserve">Given that both cap trajectories converge by 2040, the anticipation of investment needs under</w:t>
      </w:r>
      <w:r>
        <w:t xml:space="preserve"> </w:t>
      </w:r>
      <w:r>
        <w:t xml:space="preserve">CAP3 translates into a flipside effect in the second part of the decade (2036-2040), where</w:t>
      </w:r>
      <w:r>
        <w:t xml:space="preserve"> </w:t>
      </w:r>
      <w:r>
        <w:t xml:space="preserve">investment needs in the energy system are generally higher under the CAP2 than under CAP3,</w:t>
      </w:r>
      <w:r>
        <w:t xml:space="preserve"> </w:t>
      </w:r>
      <w:r>
        <w:t xml:space="preserve">both on the supply side and for industry.</w:t>
      </w:r>
      <w:r>
        <w:br/>
      </w:r>
      <w:r>
        <w:t xml:space="preserve">On average over the whole decade, both models find that average annual investment needs in</w:t>
      </w:r>
      <w:r>
        <w:t xml:space="preserve"> </w:t>
      </w:r>
      <w:r>
        <w:t xml:space="preserve">ETS1 sectors are not significantly affected by the cap trajectory, with relative changes within</w:t>
      </w:r>
      <w:r>
        <w:t xml:space="preserve"> </w:t>
      </w:r>
      <w:r>
        <w:t xml:space="preserve">a narrow -2%/+2% range for supply side and very small for investment in industry.</w:t>
      </w:r>
      <w:r>
        <w:t xml:space="preserve"> </w:t>
      </w:r>
      <w:r>
        <w:t xml:space="preserve">For the CAP4 “accelerated 9085” scenario, investments are estimated to be significantly higher</w:t>
      </w:r>
      <w:r>
        <w:t xml:space="preserve"> </w:t>
      </w:r>
      <w:r>
        <w:t xml:space="preserve">in the first half of the decade than under the CAP 3 “9085” scenario, but lower in the second</w:t>
      </w:r>
      <w:r>
        <w:t xml:space="preserve"> </w:t>
      </w:r>
      <w:r>
        <w:t xml:space="preserve">half of the decade. Over the whole decade (2031-2040), average annual investment needs on</w:t>
      </w:r>
      <w:r>
        <w:t xml:space="preserve"> </w:t>
      </w:r>
      <w:r>
        <w:t xml:space="preserve">the supply side and in industry are slightly higher in the CAP4 “accelerated 9085” scenario.</w:t>
      </w:r>
      <w:r>
        <w:t xml:space="preserve"> </w:t>
      </w:r>
      <w:r>
        <w:t xml:space="preserve">Table 9: Investment needs in ETS sectors, deviation of the CAP4 “accelerated 9085” scenario</w:t>
      </w:r>
      <w:r>
        <w:t xml:space="preserve"> </w:t>
      </w:r>
      <w:r>
        <w:t xml:space="preserve">and CAP2 “85%” scenario relative to CAP 3 “9085” scenario</w:t>
      </w:r>
    </w:p>
    <w:p>
      <w:pPr>
        <w:pStyle w:val="BodyText"/>
      </w:pP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2031-2040</w:t>
      </w:r>
      <w:r>
        <w:t xml:space="preserve"> </w:t>
      </w:r>
      <w:r>
        <w:t xml:space="preserve">CAP4</w:t>
      </w:r>
      <w:r>
        <w:t xml:space="preserve"> </w:t>
      </w:r>
      <w:r>
        <w:t xml:space="preserve">“accelerated</w:t>
      </w:r>
      <w:r>
        <w:t xml:space="preserve"> </w:t>
      </w:r>
      <w:r>
        <w:t xml:space="preserve">9085” scenario relative</w:t>
      </w:r>
      <w:r>
        <w:t xml:space="preserve"> </w:t>
      </w:r>
      <w:r>
        <w:t xml:space="preserve">to</w:t>
      </w:r>
      <w:r>
        <w:t xml:space="preserve"> </w:t>
      </w:r>
      <w:r>
        <w:t xml:space="preserve">CAP</w:t>
      </w:r>
      <w:r>
        <w:t xml:space="preserve"> </w:t>
      </w:r>
      <w:r>
        <w:t xml:space="preserve">3</w:t>
      </w:r>
      <w:r>
        <w:t xml:space="preserve"> </w:t>
      </w:r>
      <w:r>
        <w:t xml:space="preserve">“9085”</w:t>
      </w:r>
      <w:r>
        <w:t xml:space="preserve"> </w:t>
      </w:r>
      <w:r>
        <w:t xml:space="preserve">scenario</w:t>
      </w:r>
      <w:r>
        <w:t xml:space="preserve"> </w:t>
      </w:r>
      <w:r>
        <w:t xml:space="preserve">Supply*</w:t>
      </w:r>
      <w:r>
        <w:t xml:space="preserve"> </w:t>
      </w:r>
      <w:r>
        <w:t xml:space="preserve">+17%</w:t>
      </w:r>
      <w:r>
        <w:t xml:space="preserve"> </w:t>
      </w:r>
      <w:r>
        <w:t xml:space="preserve">-8%</w:t>
      </w:r>
      <w:r>
        <w:t xml:space="preserve"> </w:t>
      </w:r>
      <w:r>
        <w:t xml:space="preserve">+4%</w:t>
      </w:r>
      <w:r>
        <w:t xml:space="preserve"> </w:t>
      </w:r>
      <w:r>
        <w:t xml:space="preserve">Industry</w:t>
      </w:r>
      <w:r>
        <w:t xml:space="preserve"> </w:t>
      </w:r>
      <w:r>
        <w:t xml:space="preserve">+12%</w:t>
      </w:r>
      <w:r>
        <w:t xml:space="preserve"> </w:t>
      </w:r>
      <w:r>
        <w:t xml:space="preserve">-7%</w:t>
      </w:r>
      <w:r>
        <w:t xml:space="preserve"> </w:t>
      </w:r>
      <w:r>
        <w:t xml:space="preserve">+2%</w:t>
      </w:r>
      <w:r>
        <w:t xml:space="preserve"> </w:t>
      </w:r>
      <w:r>
        <w:t xml:space="preserve">Energy-intensive</w:t>
      </w:r>
      <w:r>
        <w:t xml:space="preserve"> </w:t>
      </w:r>
      <w:r>
        <w:t xml:space="preserve">+16%</w:t>
      </w:r>
      <w:r>
        <w:t xml:space="preserve"> </w:t>
      </w:r>
      <w:r>
        <w:t xml:space="preserve">-10%</w:t>
      </w:r>
      <w:r>
        <w:t xml:space="preserve"> </w:t>
      </w:r>
      <w:r>
        <w:t xml:space="preserve">+2%</w:t>
      </w:r>
      <w:r>
        <w:t xml:space="preserve"> </w:t>
      </w:r>
      <w:r>
        <w:t xml:space="preserve">Non energy-intensive</w:t>
      </w:r>
      <w:r>
        <w:t xml:space="preserve"> </w:t>
      </w:r>
      <w:r>
        <w:t xml:space="preserve">+4%</w:t>
      </w:r>
      <w:r>
        <w:t xml:space="preserve"> </w:t>
      </w:r>
      <w:r>
        <w:t xml:space="preserve">-1%</w:t>
      </w:r>
      <w:r>
        <w:t xml:space="preserve"> </w:t>
      </w:r>
      <w:r>
        <w:t xml:space="preserve">+2%</w:t>
      </w:r>
      <w:r>
        <w:t xml:space="preserve"> </w:t>
      </w:r>
      <w:r>
        <w:t xml:space="preserve">CAP 2 “85%” scenario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CAP3</w:t>
      </w:r>
      <w:r>
        <w:t xml:space="preserve"> </w:t>
      </w:r>
      <w:r>
        <w:t xml:space="preserve">“9085” scenario</w:t>
      </w:r>
      <w:r>
        <w:br/>
      </w:r>
      <w:r>
        <w:t xml:space="preserve">Supply*</w:t>
      </w:r>
      <w:r>
        <w:t xml:space="preserve"> </w:t>
      </w:r>
      <w:r>
        <w:t xml:space="preserve">-9%</w:t>
      </w:r>
      <w:r>
        <w:t xml:space="preserve"> </w:t>
      </w:r>
      <w:r>
        <w:t xml:space="preserve">+5%</w:t>
      </w:r>
      <w:r>
        <w:t xml:space="preserve"> </w:t>
      </w:r>
      <w:r>
        <w:t xml:space="preserve">-2%</w:t>
      </w:r>
      <w:r>
        <w:t xml:space="preserve"> </w:t>
      </w:r>
      <w:r>
        <w:t xml:space="preserve">Industry</w:t>
      </w:r>
      <w:r>
        <w:t xml:space="preserve"> </w:t>
      </w:r>
      <w:r>
        <w:t xml:space="preserve">-6%</w:t>
      </w:r>
      <w:r>
        <w:t xml:space="preserve"> </w:t>
      </w:r>
      <w:r>
        <w:t xml:space="preserve">+5%</w:t>
      </w:r>
      <w:r>
        <w:t xml:space="preserve"> </w:t>
      </w:r>
      <w:r>
        <w:t xml:space="preserve">-0%</w:t>
      </w:r>
      <w:r>
        <w:t xml:space="preserve"> </w:t>
      </w:r>
      <w:r>
        <w:t xml:space="preserve">Energy-intensive</w:t>
      </w:r>
      <w:r>
        <w:t xml:space="preserve"> </w:t>
      </w:r>
      <w:r>
        <w:t xml:space="preserve">-8%</w:t>
      </w:r>
      <w:r>
        <w:t xml:space="preserve"> </w:t>
      </w:r>
      <w:r>
        <w:t xml:space="preserve">+8%</w:t>
      </w:r>
      <w:r>
        <w:t xml:space="preserve"> </w:t>
      </w:r>
      <w:r>
        <w:t xml:space="preserve">+1%</w:t>
      </w:r>
    </w:p>
    <w:p>
      <w:pPr>
        <w:pStyle w:val="BodyText"/>
      </w:pPr>
      <w:r>
        <w:t xml:space="preserve">Non energy-intensive</w:t>
      </w:r>
      <w:r>
        <w:t xml:space="preserve"> </w:t>
      </w:r>
      <w:r>
        <w:t xml:space="preserve">-4%</w:t>
      </w:r>
      <w:r>
        <w:t xml:space="preserve"> </w:t>
      </w:r>
      <w:r>
        <w:t xml:space="preserve">+0%</w:t>
      </w:r>
      <w:r>
        <w:t xml:space="preserve"> </w:t>
      </w:r>
      <w:r>
        <w:t xml:space="preserve">-2%</w:t>
      </w:r>
      <w:r>
        <w:t xml:space="preserve"> </w:t>
      </w:r>
      <w:r>
        <w:t xml:space="preserve">*includes power generation and production of new fuels. Source: POTEnCIA model.</w:t>
      </w:r>
      <w:r>
        <w:t xml:space="preserve"> </w:t>
      </w:r>
      <w:r>
        <w:t xml:space="preserve">A similar pattern is observed in terms of energy system costs for industry.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following table shows energy system costs (system costs are annual costs incurred for</w:t>
      </w:r>
      <w:r>
        <w:t xml:space="preserve"> </w:t>
      </w:r>
      <w:r>
        <w:t xml:space="preserve">energy services of end-users including annualised capital costs, variable costs, and fuel costs)</w:t>
      </w:r>
      <w:r>
        <w:t xml:space="preserve"> </w:t>
      </w:r>
      <w:r>
        <w:t xml:space="preserve">as a percentage of GDP for the CAP 3 “9085” scenario. Energy system costs take into</w:t>
      </w:r>
      <w:r>
        <w:t xml:space="preserve"> </w:t>
      </w:r>
      <w:r>
        <w:t xml:space="preserve">account both the capital costs of investments and potential economic savings in (fossil) energy</w:t>
      </w:r>
      <w:r>
        <w:t xml:space="preserve"> </w:t>
      </w:r>
      <w:r>
        <w:t xml:space="preserve">expenditures, as experienced by the economic actors in a given year, over their foresight</w:t>
      </w:r>
      <w:r>
        <w:t xml:space="preserve"> </w:t>
      </w:r>
      <w:r>
        <w:t xml:space="preserve">period. The numbers shown are a range of results of PRIMES and POTEnCIA models,</w:t>
      </w:r>
      <w:r>
        <w:t xml:space="preserve"> </w:t>
      </w:r>
      <w:r>
        <w:t xml:space="preserve">illustrating the intrinsic uncertainties involved.</w:t>
      </w:r>
      <w:r>
        <w:t xml:space="preserve"> </w:t>
      </w:r>
      <w:r>
        <w:t xml:space="preserve">Table 10: Energy system costs as % of GDP in the CAP 3 “9085” scenario</w:t>
      </w:r>
      <w:r>
        <w:t xml:space="preserve"> </w:t>
      </w:r>
      <w:r>
        <w:t xml:space="preserve">Energy system costs as % GDP (including</w:t>
      </w:r>
      <w:r>
        <w:t xml:space="preserve"> </w:t>
      </w:r>
      <w:r>
        <w:t xml:space="preserve">auction payments)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Industry</w:t>
      </w:r>
      <w:r>
        <w:t xml:space="preserve"> </w:t>
      </w:r>
      <w:r>
        <w:t xml:space="preserve">2.0%; 2.3%</w:t>
      </w:r>
      <w:r>
        <w:t xml:space="preserve"> </w:t>
      </w:r>
      <w:r>
        <w:t xml:space="preserve">2.1%; 2.4%</w:t>
      </w:r>
      <w:r>
        <w:t xml:space="preserve"> </w:t>
      </w:r>
      <w:r>
        <w:t xml:space="preserve">2.2%; 2.3%</w:t>
      </w:r>
      <w:r>
        <w:t xml:space="preserve"> </w:t>
      </w:r>
      <w:r>
        <w:t xml:space="preserve">Source: PRIMES and POTEnCIA models.</w:t>
      </w:r>
      <w:r>
        <w:br/>
      </w:r>
      <w:r>
        <w:t xml:space="preserve">The overall energy-related costs in the first half of the decade in the CAP4 “accelerated 9085”</w:t>
      </w:r>
      <w:r>
        <w:t xml:space="preserve"> </w:t>
      </w:r>
      <w:r>
        <w:t xml:space="preserve">scenario are around 5.7% higher than under the CAP 3 “9085” scenario for energy intensive</w:t>
      </w:r>
      <w:r>
        <w:t xml:space="preserve"> </w:t>
      </w:r>
      <w:r>
        <w:t xml:space="preserve">industries and 2.6% higher for non-energy intensive industries. This is driven essentially by</w:t>
      </w:r>
      <w:r>
        <w:t xml:space="preserve"> </w:t>
      </w:r>
      <w:r>
        <w:t xml:space="preserve">fuel costs, but also capital costs to some extent, due to the anticipation of some level of</w:t>
      </w:r>
      <w:r>
        <w:t xml:space="preserve"> </w:t>
      </w:r>
      <w:r>
        <w:t xml:space="preserve">investment in the first half of the decade. Fuel costs over that period are higher in the CAP4</w:t>
      </w:r>
      <w:r>
        <w:t xml:space="preserve"> </w:t>
      </w:r>
      <w:r>
        <w:t xml:space="preserve">“accelerated 9085” scenario than in the CAP 3 “9085” scenario due to a more rapid uptake of</w:t>
      </w:r>
      <w:r>
        <w:t xml:space="preserve"> </w:t>
      </w:r>
      <w:r>
        <w:t xml:space="preserve">new fuels and to higher ETS carbon values. However, the redistribution of ETS revenues to</w:t>
      </w:r>
      <w:r>
        <w:t xml:space="preserve"> </w:t>
      </w:r>
      <w:r>
        <w:t xml:space="preserve">decarbonisation of the sector could be used to mitigate this effect (ETS allowances purchasing</w:t>
      </w:r>
      <w:r>
        <w:t xml:space="preserve"> </w:t>
      </w:r>
      <w:r>
        <w:t xml:space="preserve">represents around 60% of the total increase in fuel costs between scenarios over 2031-2035</w:t>
      </w:r>
      <w:r>
        <w:t xml:space="preserve"> </w:t>
      </w:r>
      <w:r>
        <w:t xml:space="preserve">and around 25% over the entire decade).</w:t>
      </w:r>
      <w:r>
        <w:br/>
      </w:r>
      <w:r>
        <w:t xml:space="preserve">The relative difference in energy system costs in the period 2036-2040 between both scenarios</w:t>
      </w:r>
      <w:r>
        <w:t xml:space="preserve"> </w:t>
      </w:r>
      <w:r>
        <w:t xml:space="preserve">is limited to less than 2% for industry as a whole. This translates into an energy-related cost</w:t>
      </w:r>
      <w:r>
        <w:t xml:space="preserve"> </w:t>
      </w:r>
      <w:r>
        <w:t xml:space="preserve">for the sector over the entire decade (2031-2040) being 3.4% higher in the CAP4 “accelerated</w:t>
      </w:r>
      <w:r>
        <w:t xml:space="preserve"> </w:t>
      </w:r>
      <w:r>
        <w:t xml:space="preserve">9085” scenario compared to the CAP 3 “9085” scenario. This includes about 0.8 pp related to</w:t>
      </w:r>
      <w:r>
        <w:t xml:space="preserve"> </w:t>
      </w:r>
      <w:r>
        <w:t xml:space="preserve">ETS allowance expenditure by the sector itself, which could be recycled, as could, potentially,</w:t>
      </w:r>
      <w:r>
        <w:t xml:space="preserve"> </w:t>
      </w:r>
      <w:r>
        <w:t xml:space="preserve">other ETS revenues.</w:t>
      </w:r>
      <w:r>
        <w:t xml:space="preserve"> </w:t>
      </w:r>
      <w:r>
        <w:t xml:space="preserve">Table 11: Energy system costs in ETS sectors, deviation of the CAP2 ‘85’ and CAP4 “accelerated</w:t>
      </w:r>
      <w:r>
        <w:t xml:space="preserve"> </w:t>
      </w:r>
      <w:r>
        <w:t xml:space="preserve">9085” scenario relative to CAP 3 “9085” scenario</w:t>
      </w:r>
    </w:p>
    <w:p>
      <w:pPr>
        <w:pStyle w:val="BodyText"/>
      </w:pP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2031-2040</w:t>
      </w:r>
      <w:r>
        <w:t xml:space="preserve"> </w:t>
      </w:r>
      <w:r>
        <w:t xml:space="preserve">CAP4 “accelerated</w:t>
      </w:r>
      <w:r>
        <w:t xml:space="preserve"> </w:t>
      </w:r>
      <w:r>
        <w:t xml:space="preserve">9085”</w:t>
      </w:r>
      <w:r>
        <w:t xml:space="preserve"> </w:t>
      </w:r>
      <w:r>
        <w:t xml:space="preserve">scenario</w:t>
      </w:r>
      <w:r>
        <w:t xml:space="preserve"> </w:t>
      </w:r>
      <w:r>
        <w:t xml:space="preserve">relative to CAP 3</w:t>
      </w:r>
      <w:r>
        <w:t xml:space="preserve"> </w:t>
      </w:r>
      <w:r>
        <w:t xml:space="preserve">“9085” scenario</w:t>
      </w:r>
      <w:r>
        <w:t xml:space="preserve"> </w:t>
      </w:r>
      <w:r>
        <w:t xml:space="preserve">Industry</w:t>
      </w:r>
      <w:r>
        <w:t xml:space="preserve"> </w:t>
      </w:r>
      <w:r>
        <w:t xml:space="preserve">+5.1%</w:t>
      </w:r>
      <w:r>
        <w:t xml:space="preserve"> </w:t>
      </w:r>
      <w:r>
        <w:t xml:space="preserve">+1.8%</w:t>
      </w:r>
      <w:r>
        <w:t xml:space="preserve"> </w:t>
      </w:r>
      <w:r>
        <w:t xml:space="preserve">+3.4%</w:t>
      </w:r>
      <w:r>
        <w:t xml:space="preserve"> </w:t>
      </w:r>
      <w:r>
        <w:t xml:space="preserve">Energy intensive</w:t>
      </w:r>
      <w:r>
        <w:t xml:space="preserve"> </w:t>
      </w:r>
      <w:r>
        <w:t xml:space="preserve">+5.7%</w:t>
      </w:r>
      <w:r>
        <w:t xml:space="preserve"> </w:t>
      </w:r>
      <w:r>
        <w:t xml:space="preserve">+2.4%</w:t>
      </w:r>
      <w:r>
        <w:t xml:space="preserve"> </w:t>
      </w:r>
      <w:r>
        <w:t xml:space="preserve">+3.9%</w:t>
      </w:r>
      <w:r>
        <w:t xml:space="preserve"> </w:t>
      </w:r>
      <w:r>
        <w:t xml:space="preserve">Non-energy</w:t>
      </w:r>
      <w:r>
        <w:t xml:space="preserve"> </w:t>
      </w:r>
      <w:r>
        <w:t xml:space="preserve">intensive</w:t>
      </w:r>
      <w:r>
        <w:t xml:space="preserve"> </w:t>
      </w:r>
      <w:r>
        <w:t xml:space="preserve">+2.6%</w:t>
      </w:r>
      <w:r>
        <w:t xml:space="preserve"> </w:t>
      </w:r>
      <w:r>
        <w:t xml:space="preserve">+0.1%</w:t>
      </w:r>
      <w:r>
        <w:t xml:space="preserve"> </w:t>
      </w:r>
      <w:r>
        <w:t xml:space="preserve">+1.4%</w:t>
      </w:r>
      <w:r>
        <w:t xml:space="preserve"> </w:t>
      </w:r>
      <w:r>
        <w:t xml:space="preserve">CAP</w:t>
      </w:r>
      <w:r>
        <w:t xml:space="preserve"> </w:t>
      </w:r>
      <w:r>
        <w:t xml:space="preserve">2</w:t>
      </w:r>
      <w:r>
        <w:t xml:space="preserve"> </w:t>
      </w:r>
      <w:r>
        <w:t xml:space="preserve">“85%</w:t>
      </w:r>
      <w:r>
        <w:t xml:space="preserve"> </w:t>
      </w:r>
      <w:r>
        <w:t xml:space="preserve">trajectory”</w:t>
      </w:r>
      <w:r>
        <w:t xml:space="preserve"> </w:t>
      </w:r>
      <w:r>
        <w:t xml:space="preserve">Industry</w:t>
      </w:r>
      <w:r>
        <w:t xml:space="preserve"> </w:t>
      </w:r>
      <w:r>
        <w:t xml:space="preserve">-2.6%</w:t>
      </w:r>
      <w:r>
        <w:t xml:space="preserve"> </w:t>
      </w:r>
      <w:r>
        <w:t xml:space="preserve">-0.9%</w:t>
      </w:r>
      <w:r>
        <w:t xml:space="preserve"> </w:t>
      </w:r>
      <w:r>
        <w:t xml:space="preserve">-1.7%</w:t>
      </w:r>
      <w:r>
        <w:t xml:space="preserve"> </w:t>
      </w:r>
      <w:r>
        <w:t xml:space="preserve">Energy intensive</w:t>
      </w:r>
      <w:r>
        <w:t xml:space="preserve"> </w:t>
      </w:r>
      <w:r>
        <w:t xml:space="preserve">-3.0%</w:t>
      </w:r>
      <w:r>
        <w:t xml:space="preserve"> </w:t>
      </w:r>
      <w:r>
        <w:t xml:space="preserve">-1.2%</w:t>
      </w:r>
      <w:r>
        <w:t xml:space="preserve"> </w:t>
      </w:r>
      <w:r>
        <w:t xml:space="preserve">-2.0%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scenario relative to</w:t>
      </w:r>
      <w:r>
        <w:t xml:space="preserve"> </w:t>
      </w:r>
      <w:r>
        <w:t xml:space="preserve">CAP3 “9085”</w:t>
      </w:r>
      <w:r>
        <w:t xml:space="preserve"> </w:t>
      </w:r>
      <w:r>
        <w:t xml:space="preserve">Non-energy</w:t>
      </w:r>
      <w:r>
        <w:t xml:space="preserve"> </w:t>
      </w:r>
      <w:r>
        <w:t xml:space="preserve">intensive</w:t>
      </w:r>
      <w:r>
        <w:t xml:space="preserve"> </w:t>
      </w:r>
      <w:r>
        <w:t xml:space="preserve">-1.2%</w:t>
      </w:r>
      <w:r>
        <w:t xml:space="preserve"> </w:t>
      </w:r>
      <w:r>
        <w:t xml:space="preserve">-0.3%</w:t>
      </w:r>
      <w:r>
        <w:t xml:space="preserve"> </w:t>
      </w:r>
      <w:r>
        <w:t xml:space="preserve">-0.8%</w:t>
      </w:r>
      <w:r>
        <w:t xml:space="preserve"> </w:t>
      </w:r>
      <w:r>
        <w:t xml:space="preserve">Source: POTEnCIA model.</w:t>
      </w:r>
      <w:r>
        <w:t xml:space="preserve"> </w:t>
      </w:r>
      <w:r>
        <w:t xml:space="preserve">Energy system costs are lower in the CAP2 “85 trajectory” compared to CAP 3 “9085 scenario,</w:t>
      </w:r>
      <w:r>
        <w:t xml:space="preserve"> </w:t>
      </w:r>
      <w:r>
        <w:t xml:space="preserve">-2% for energy-intensive industries and -1.7% for industry as a whole.</w:t>
      </w:r>
      <w:r>
        <w:br/>
      </w:r>
      <w:r>
        <w:t xml:space="preserve">However, it should be noted the modelled impacts do not represent all the impacts, nor their</w:t>
      </w:r>
      <w:r>
        <w:t xml:space="preserve"> </w:t>
      </w:r>
      <w:r>
        <w:t xml:space="preserve">potential mitigation through complementary policies.</w:t>
      </w:r>
      <w:r>
        <w:t xml:space="preserve"> </w:t>
      </w:r>
      <w:r>
        <w:t xml:space="preserve">System cost impacts could be mitigated through distribution of ETS auctioning revenues and</w:t>
      </w:r>
      <w:r>
        <w:t xml:space="preserve"> </w:t>
      </w:r>
      <w:r>
        <w:t xml:space="preserve">supporting policies. Investments, when frontloaded in the decade, are lower in the last five</w:t>
      </w:r>
      <w:r>
        <w:t xml:space="preserve"> </w:t>
      </w:r>
      <w:r>
        <w:t xml:space="preserve">years. The frontloading of investments would increase the probability of faster technological</w:t>
      </w:r>
      <w:r>
        <w:t xml:space="preserve"> </w:t>
      </w:r>
      <w:r>
        <w:t xml:space="preserve">developments through scaling up and learning by doing. It would allow a fast electrification of</w:t>
      </w:r>
      <w:r>
        <w:t xml:space="preserve"> </w:t>
      </w:r>
      <w:r>
        <w:t xml:space="preserve">the energy system and increase Europe’s energy independence. As pointed out in the 2040</w:t>
      </w:r>
      <w:r>
        <w:t xml:space="preserve"> </w:t>
      </w:r>
      <w:r>
        <w:t xml:space="preserve">Climate Target IA, this will also depend on Europe’s ability to secure supply chains for new</w:t>
      </w:r>
      <w:r>
        <w:t xml:space="preserve"> </w:t>
      </w:r>
      <w:r>
        <w:t xml:space="preserve">technologies.</w:t>
      </w:r>
      <w:r>
        <w:t xml:space="preserve"> </w:t>
      </w:r>
      <w:r>
        <w:t xml:space="preserve">6.2.3.2.Instruments to support investments</w:t>
      </w:r>
      <w:r>
        <w:t xml:space="preserve"> </w:t>
      </w:r>
      <w:r>
        <w:t xml:space="preserve">All IDB options effectively create the business case for private investment in industrial</w:t>
      </w:r>
      <w:r>
        <w:t xml:space="preserve"> </w:t>
      </w:r>
      <w:r>
        <w:t xml:space="preserve">decarbonisation technologies by covering sufficient share of the funding gap, though the</w:t>
      </w:r>
      <w:r>
        <w:t xml:space="preserve"> </w:t>
      </w:r>
      <w:r>
        <w:t xml:space="preserve">outcomes will depend on further, more granular features of funding mechanisms like eligible</w:t>
      </w:r>
      <w:r>
        <w:t xml:space="preserve"> </w:t>
      </w:r>
      <w:r>
        <w:t xml:space="preserve">technologies, eligible project stages or compensation structures (not analysed in this Impact</w:t>
      </w:r>
      <w:r>
        <w:t xml:space="preserve"> </w:t>
      </w:r>
      <w:r>
        <w:t xml:space="preserve">Assessment).</w:t>
      </w:r>
      <w:r>
        <w:br/>
      </w:r>
      <w:r>
        <w:t xml:space="preserve">Administrative schemes and fixed premia offer clear, simple mechanisms that integrate easily</w:t>
      </w:r>
      <w:r>
        <w:t xml:space="preserve"> </w:t>
      </w:r>
      <w:r>
        <w:t xml:space="preserve">into corporate planning, while auctions with variable premia are more cost-efficient driving the</w:t>
      </w:r>
      <w:r>
        <w:t xml:space="preserve"> </w:t>
      </w:r>
      <w:r>
        <w:t xml:space="preserve">high level of competition but eliciting also projects willing to take on more risks. There are</w:t>
      </w:r>
      <w:r>
        <w:t xml:space="preserve"> </w:t>
      </w:r>
      <w:r>
        <w:t xml:space="preserve">risks of non-delivery (i.e. projects not materialising) inherent to all options and they would</w:t>
      </w:r>
      <w:r>
        <w:t xml:space="preserve"> </w:t>
      </w:r>
      <w:r>
        <w:t xml:space="preserve">need to be analysed on more granular level (e.g. setting penalties on non-delivery or overly</w:t>
      </w:r>
      <w:r>
        <w:t xml:space="preserve"> </w:t>
      </w:r>
      <w:r>
        <w:t xml:space="preserve">strict criteria triggering underbidding). Those risks are more prominent in IDB option packages</w:t>
      </w:r>
      <w:r>
        <w:t xml:space="preserve"> </w:t>
      </w:r>
      <w:r>
        <w:t xml:space="preserve">that put projects under higher level of competition (PO1 and PO3), while on the other hand the</w:t>
      </w:r>
      <w:r>
        <w:t xml:space="preserve"> </w:t>
      </w:r>
      <w:r>
        <w:t xml:space="preserve">approach of administrative schemes (in PO2) mitigates those risks, especially if favouring</w:t>
      </w:r>
      <w:r>
        <w:t xml:space="preserve"> </w:t>
      </w:r>
      <w:r>
        <w:t xml:space="preserve">projects that are first to deliver on the market.</w:t>
      </w:r>
      <w:r>
        <w:br/>
      </w:r>
      <w:r>
        <w:t xml:space="preserve">In general, the mechanism that bring high level of competition (PO1 and PO3) are better suited</w:t>
      </w:r>
      <w:r>
        <w:t xml:space="preserve"> </w:t>
      </w:r>
      <w:r>
        <w:t xml:space="preserve">to more mature technologies that operate on deep and liquid markets, which should</w:t>
      </w:r>
      <w:r>
        <w:t xml:space="preserve"> </w:t>
      </w:r>
      <w:r>
        <w:t xml:space="preserve">progressively become the case for many decarbonisation technologies. Administrative schemes</w:t>
      </w:r>
      <w:r>
        <w:t xml:space="preserve"> </w:t>
      </w:r>
      <w:r>
        <w:t xml:space="preserve">(PO2) should be needed in the early years of the IDB operation when uncertainties are the</w:t>
      </w:r>
      <w:r>
        <w:t xml:space="preserve"> </w:t>
      </w:r>
      <w:r>
        <w:t xml:space="preserve">highest and the business case the most difficult.</w:t>
      </w:r>
      <w:r>
        <w:t xml:space="preserve"> </w:t>
      </w:r>
      <w:r>
        <w:t xml:space="preserve">Through the IDB, industrial sectors in particular stand to benefit from accelerated deployment</w:t>
      </w:r>
      <w:r>
        <w:t xml:space="preserve"> </w:t>
      </w:r>
      <w:r>
        <w:t xml:space="preserve">of decarbonisation solutions, which can mitigate the competitiveness pressures associated with</w:t>
      </w:r>
      <w:r>
        <w:t xml:space="preserve"> </w:t>
      </w:r>
      <w:r>
        <w:t xml:space="preserve">rising carbon prices and reduce the transition risks (i.e. investments delayed or not</w:t>
      </w:r>
      <w:r>
        <w:t xml:space="preserve"> </w:t>
      </w:r>
      <w:r>
        <w:t xml:space="preserve">materialising).</w:t>
      </w:r>
      <w:r>
        <w:br/>
      </w:r>
      <w:r>
        <w:t xml:space="preserve">In addition to the direct investments provided by the IDB, the EC analysis indicates that a direct</w:t>
      </w:r>
      <w:r>
        <w:t xml:space="preserve"> </w:t>
      </w:r>
      <w:r>
        <w:t xml:space="preserve">investment leverage effect of IDB support could be expected between 5% and 75%, depending</w:t>
      </w:r>
      <w:r>
        <w:t xml:space="preserve"> </w:t>
      </w:r>
      <w:r>
        <w:t xml:space="preserve">on the sector and technology, with a weighted average of 45% across all modelled projects.</w:t>
      </w:r>
      <w:r>
        <w:br/>
      </w:r>
      <w:r>
        <w:t xml:space="preserve">It must be emphasised that the industrial decarbonisation requires substantial upfront capital</w:t>
      </w:r>
      <w:r>
        <w:t xml:space="preserve"> </w:t>
      </w:r>
      <w:r>
        <w:t xml:space="preserve">investments (CAPEX) in plants with long lifetimes (typically 15-25 years), but it is operating</w:t>
      </w:r>
      <w:r>
        <w:t xml:space="preserve"> </w:t>
      </w:r>
      <w:r>
        <w:t xml:space="preserve">costs, particularly energy-related that dominate total production costs, a trend amplified for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low-emission technologies. The energy-related OPEX (notably electricity, hydrogen) were</w:t>
      </w:r>
      <w:r>
        <w:t xml:space="preserve"> </w:t>
      </w:r>
      <w:r>
        <w:t xml:space="preserve">included in the assessment of the environmental impacts of the IDB but fall outside the direct</w:t>
      </w:r>
      <w:r>
        <w:t xml:space="preserve"> </w:t>
      </w:r>
      <w:r>
        <w:t xml:space="preserve">leverage calculation presented above for simplicity of analysis. It is clear that IDB support is</w:t>
      </w:r>
      <w:r>
        <w:t xml:space="preserve"> </w:t>
      </w:r>
      <w:r>
        <w:t xml:space="preserve">bound to generate stable demand signals that would drive additional indirect investment at the</w:t>
      </w:r>
      <w:r>
        <w:t xml:space="preserve"> </w:t>
      </w:r>
      <w:r>
        <w:t xml:space="preserve">energy supply side and macro-economic levels (quantification of this effect was, however,</w:t>
      </w:r>
      <w:r>
        <w:t xml:space="preserve"> </w:t>
      </w:r>
      <w:r>
        <w:t xml:space="preserve">beyond the scope of the analysis performed).</w:t>
      </w:r>
      <w:r>
        <w:t xml:space="preserve"> </w:t>
      </w:r>
      <w:r>
        <w:t xml:space="preserve">In the baseline the ETS revenues are set aside for the IF, which would imply broader eligibility</w:t>
      </w:r>
      <w:r>
        <w:t xml:space="preserve"> </w:t>
      </w:r>
      <w:r>
        <w:t xml:space="preserve">(beyond the EIIs) and focus on innovation with continuation of the allocation mechanism and</w:t>
      </w:r>
      <w:r>
        <w:t xml:space="preserve"> </w:t>
      </w:r>
      <w:r>
        <w:t xml:space="preserve">support formats of the IF. The needs of the decarbonisation technologies roll-out would not be</w:t>
      </w:r>
      <w:r>
        <w:t xml:space="preserve"> </w:t>
      </w:r>
      <w:r>
        <w:t xml:space="preserve">then fulfilled, there could be also a diminishing attractiveness of the IF calls for proposals</w:t>
      </w:r>
      <w:r>
        <w:t xml:space="preserve"> </w:t>
      </w:r>
      <w:r>
        <w:t xml:space="preserve">considering that decarbonisation technologies in their majority would be entering the roll-out</w:t>
      </w:r>
      <w:r>
        <w:t xml:space="preserve"> </w:t>
      </w:r>
      <w:r>
        <w:t xml:space="preserve">phase post-2030.The Modernisation Fund, through continuing the support for investments in</w:t>
      </w:r>
      <w:r>
        <w:t xml:space="preserve"> </w:t>
      </w:r>
      <w:r>
        <w:t xml:space="preserve">modernising energy systems and energy efficiency, indirectly supports the beneficiary Member</w:t>
      </w:r>
      <w:r>
        <w:t xml:space="preserve"> </w:t>
      </w:r>
      <w:r>
        <w:t xml:space="preserve">States’ competitiveness across many industrial sectors. Against the backdrop of high</w:t>
      </w:r>
      <w:r>
        <w:t xml:space="preserve"> </w:t>
      </w:r>
      <w:r>
        <w:t xml:space="preserve">investment needs in lower-income EU Member States to reach the 2030 climate and energy</w:t>
      </w:r>
      <w:r>
        <w:t xml:space="preserve"> </w:t>
      </w:r>
      <w:r>
        <w:t xml:space="preserve">targets as well as higher carbon prices, the MF financial support has been essential for these</w:t>
      </w:r>
      <w:r>
        <w:t xml:space="preserve"> </w:t>
      </w:r>
      <w:r>
        <w:t xml:space="preserve">countries to close the investment gap for the decarbonisation. Furthermore, by expanding the</w:t>
      </w:r>
      <w:r>
        <w:t xml:space="preserve"> </w:t>
      </w:r>
      <w:r>
        <w:t xml:space="preserve">support to CCS and electrification in industry, these economies will become more competitive</w:t>
      </w:r>
      <w:r>
        <w:t xml:space="preserve"> </w:t>
      </w:r>
      <w:r>
        <w:t xml:space="preserve">and maintain their industrial base while ensuring alignment with climate objectives.</w:t>
      </w:r>
      <w:r>
        <w:br/>
      </w:r>
      <w:r>
        <w:t xml:space="preserve">In the context of the 2040 climate and energy targets, the current MF beneficiary Member</w:t>
      </w:r>
      <w:r>
        <w:t xml:space="preserve"> </w:t>
      </w:r>
      <w:r>
        <w:t xml:space="preserve">States are estimated to have an annual average investment need of around EUR 90 billion68 in</w:t>
      </w:r>
      <w:r>
        <w:t xml:space="preserve"> </w:t>
      </w:r>
      <w:r>
        <w:t xml:space="preserve">sectors relevant for the Modernisation Fund (power generation and distribution, industry,</w:t>
      </w:r>
      <w:r>
        <w:t xml:space="preserve"> </w:t>
      </w:r>
      <w:r>
        <w:t xml:space="preserve">residential etc.) in the 2030-2040 decade.</w:t>
      </w:r>
      <w:r>
        <w:br/>
      </w:r>
      <w:r>
        <w:t xml:space="preserve">6.2.3.3. Aviation</w:t>
      </w:r>
      <w:r>
        <w:t xml:space="preserve"> </w:t>
      </w:r>
      <w:r>
        <w:t xml:space="preserve">When looking at economic impacts, it is important to assess the policy options’ implications on</w:t>
      </w:r>
      <w:r>
        <w:t xml:space="preserve"> </w:t>
      </w:r>
      <w:r>
        <w:t xml:space="preserve">operating costs, ticket prices and demand, as well as aviation auction revenues. These are then</w:t>
      </w:r>
      <w:r>
        <w:t xml:space="preserve"> </w:t>
      </w:r>
      <w:r>
        <w:t xml:space="preserve">used to assess whether there is potential for options to distort competition, between airlines,</w:t>
      </w:r>
      <w:r>
        <w:t xml:space="preserve"> </w:t>
      </w:r>
      <w:r>
        <w:t xml:space="preserve">airports, and tourist destinations.</w:t>
      </w:r>
      <w:r>
        <w:br/>
      </w:r>
      <w:r>
        <w:t xml:space="preserve">The options vary in their coverage of CO2 emissions from aviation and in the policy tools used</w:t>
      </w:r>
      <w:r>
        <w:t xml:space="preserve"> </w:t>
      </w:r>
      <w:r>
        <w:t xml:space="preserve">to cover different segments of emissions. The two policy tools, the EU ETS and CORSIA, lead</w:t>
      </w:r>
      <w:r>
        <w:t xml:space="preserve"> </w:t>
      </w:r>
      <w:r>
        <w:t xml:space="preserve">to different prices for each tonne of CO2 emissions covered. The scale of SAF support</w:t>
      </w:r>
      <w:r>
        <w:t xml:space="preserve"> </w:t>
      </w:r>
      <w:r>
        <w:t xml:space="preserve">influences the effective price airlines pay for SAF which may in turn influence the amount of</w:t>
      </w:r>
      <w:r>
        <w:t xml:space="preserve"> </w:t>
      </w:r>
      <w:r>
        <w:t xml:space="preserve">SAF they use (and therefore CO2 and non-CO2 emissions). As a result, the different measures</w:t>
      </w:r>
      <w:r>
        <w:t xml:space="preserve"> </w:t>
      </w:r>
      <w:r>
        <w:t xml:space="preserve">have different impacts on the operating costs of airlines. Fuel costs currently account for about</w:t>
      </w:r>
      <w:r>
        <w:t xml:space="preserve"> </w:t>
      </w:r>
      <w:r>
        <w:t xml:space="preserve">30% of airlines’ operating costs69, and carbon costs depend on the amount and sustainability</w:t>
      </w:r>
      <w:r>
        <w:t xml:space="preserve"> </w:t>
      </w:r>
      <w:r>
        <w:t xml:space="preserve">of fuel used. Regarding economic impacts and passenger demand, it is most interesting to</w:t>
      </w:r>
      <w:r>
        <w:t xml:space="preserve"> </w:t>
      </w:r>
      <w:r>
        <w:t xml:space="preserve">compare over time two market segments: economy class demand and low-cost carrier demand.</w:t>
      </w:r>
      <w:r>
        <w:t xml:space="preserve"> </w:t>
      </w:r>
      <w:r>
        <w:t xml:space="preserve">The most noticeable differences can be found in departing flights, as this is where policy</w:t>
      </w:r>
      <w:r>
        <w:t xml:space="preserve"> </w:t>
      </w:r>
      <w:r>
        <w:t xml:space="preserve">changes on scope would apply, and where most fuel is consumed and therefore also the impact</w:t>
      </w:r>
    </w:p>
    <w:p>
      <w:pPr>
        <w:pStyle w:val="BodyText"/>
      </w:pPr>
      <w:r>
        <w:t xml:space="preserve">68 Model-based estimates with risk of changing due to finetuning of PRIMES model (4); Figures in EUR are</w:t>
      </w:r>
      <w:r>
        <w:t xml:space="preserve"> </w:t>
      </w:r>
      <w:r>
        <w:t xml:space="preserve">rounded to the nearest EUR 5 billion.</w:t>
      </w:r>
      <w:r>
        <w:t xml:space="preserve"> </w:t>
      </w:r>
      <w:r>
        <w:t xml:space="preserve">69 IATA,</w:t>
      </w:r>
      <w:r>
        <w:t xml:space="preserve"> </w:t>
      </w:r>
      <w:r>
        <w:t xml:space="preserve">Airfare,</w:t>
      </w:r>
      <w:r>
        <w:t xml:space="preserve"> </w:t>
      </w:r>
      <w:r>
        <w:t xml:space="preserve">jet</w:t>
      </w:r>
      <w:r>
        <w:t xml:space="preserve"> </w:t>
      </w:r>
      <w:r>
        <w:t xml:space="preserve">fuel</w:t>
      </w:r>
      <w:r>
        <w:t xml:space="preserve"> </w:t>
      </w:r>
      <w:r>
        <w:t xml:space="preserve">price,</w:t>
      </w:r>
      <w:r>
        <w:t xml:space="preserve"> </w:t>
      </w:r>
      <w:r>
        <w:t xml:space="preserve">and</w:t>
      </w:r>
      <w:r>
        <w:t xml:space="preserve"> </w:t>
      </w:r>
      <w:r>
        <w:t xml:space="preserve">inflation,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https://www.iata.org/en/iata-</w:t>
      </w:r>
      <w:r>
        <w:t xml:space="preserve"> </w:t>
      </w:r>
      <w:r>
        <w:t xml:space="preserve">repository/publications/economic-reports/airfare-jet-fuel-price-and-inflation/.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of the SAF support is biggest. Under all policy options, the aviation support study70 finds an</w:t>
      </w:r>
      <w:r>
        <w:t xml:space="preserve"> </w:t>
      </w:r>
      <w:r>
        <w:t xml:space="preserve">increase in demand and a decrease in prices compared to the baseline for extra-EEA departing</w:t>
      </w:r>
      <w:r>
        <w:t xml:space="preserve"> </w:t>
      </w:r>
      <w:r>
        <w:t xml:space="preserve">flights. Low-cost demand is modelled to grow less than the other travel classes, whereas first/</w:t>
      </w:r>
      <w:r>
        <w:t xml:space="preserve"> </w:t>
      </w:r>
      <w:r>
        <w:t xml:space="preserve">business demand is expected to grow most. Passenger demand is relatively price inelastic for</w:t>
      </w:r>
      <w:r>
        <w:t xml:space="preserve"> </w:t>
      </w:r>
      <w:r>
        <w:t xml:space="preserve">first/ business class travel. Ticket prices behave similarly for business and economy, but the</w:t>
      </w:r>
      <w:r>
        <w:t xml:space="preserve"> </w:t>
      </w:r>
      <w:r>
        <w:t xml:space="preserve">latter is more affected by prices: first/ business demand is almost the same: +1.6pp in PO1</w:t>
      </w:r>
      <w:r>
        <w:t xml:space="preserve"> </w:t>
      </w:r>
      <w:r>
        <w:t xml:space="preserve">versus the baseline, whereas for economy it is +5.1pp higher in PO1 than in the baseline - see</w:t>
      </w:r>
      <w:r>
        <w:t xml:space="preserve"> </w:t>
      </w:r>
      <w:r>
        <w:t xml:space="preserve">Table 7 in Annex 10.</w:t>
      </w:r>
      <w:r>
        <w:t xml:space="preserve"> </w:t>
      </w:r>
      <w:r>
        <w:t xml:space="preserve">Fuel use for departing flights increases under the baseline and all policy options: By 2040, fuel</w:t>
      </w:r>
      <w:r>
        <w:t xml:space="preserve"> </w:t>
      </w:r>
      <w:r>
        <w:t xml:space="preserve">use for departing flights increases least under the baseline (11% compared to 2023), and most</w:t>
      </w:r>
      <w:r>
        <w:t xml:space="preserve"> </w:t>
      </w:r>
      <w:r>
        <w:t xml:space="preserve">under PO1 (20% compared to 2023). Fuel use increases by 15% under both PO2/3.</w:t>
      </w:r>
      <w:r>
        <w:t xml:space="preserve"> </w:t>
      </w:r>
      <w:r>
        <w:t xml:space="preserve">SAF costs for airlines mainly depend on demand: higher traffic leads to higher SAF use, in</w:t>
      </w:r>
      <w:r>
        <w:t xml:space="preserve"> </w:t>
      </w:r>
      <w:r>
        <w:t xml:space="preserve">line with ReFuelEU mandates, and results in higher costs. For departing flights in 2035, SAF</w:t>
      </w:r>
      <w:r>
        <w:t xml:space="preserve"> </w:t>
      </w:r>
      <w:r>
        <w:t xml:space="preserve">cost would be lowest in the baseline, which has lower traffic than the policy options. Among</w:t>
      </w:r>
      <w:r>
        <w:t xml:space="preserve"> </w:t>
      </w:r>
      <w:r>
        <w:t xml:space="preserve">the policy options, SAF costs would be lowest in PO2 (because traffic in PO2 lower than in</w:t>
      </w:r>
      <w:r>
        <w:t xml:space="preserve"> </w:t>
      </w:r>
      <w:r>
        <w:t xml:space="preserve">PO3), and highest in PO1 (because there is no SAF support and traffic is higher than in PO2/3)</w:t>
      </w:r>
      <w:r>
        <w:t xml:space="preserve"> </w:t>
      </w:r>
      <w:r>
        <w:t xml:space="preserve">-ee Table 9 in Annex 10.</w:t>
      </w:r>
      <w:r>
        <w:t xml:space="preserve"> </w:t>
      </w:r>
      <w:r>
        <w:t xml:space="preserve">Table 12 below summarises carbon costs as a percentage of total operating costs. In PO1,</w:t>
      </w:r>
      <w:r>
        <w:t xml:space="preserve"> </w:t>
      </w:r>
      <w:r>
        <w:t xml:space="preserve">the share of the carbon costs generally peaks in 2035, because after 2035 CORSIA would not</w:t>
      </w:r>
      <w:r>
        <w:t xml:space="preserve"> </w:t>
      </w:r>
      <w:r>
        <w:t xml:space="preserve">apply anymore for extra-EEA flights (and in PO1 the EU ETS would not apply either on those</w:t>
      </w:r>
      <w:r>
        <w:t xml:space="preserve"> </w:t>
      </w:r>
      <w:r>
        <w:t xml:space="preserve">flights). In PO2 and PO3, the carbon cost share increases over time because CORSIA’s</w:t>
      </w:r>
      <w:r>
        <w:t xml:space="preserve"> </w:t>
      </w:r>
      <w:r>
        <w:t xml:space="preserve">application until 2035 is accompanied by the EU ETS scope extension to departing flights (until</w:t>
      </w:r>
      <w:r>
        <w:t xml:space="preserve"> </w:t>
      </w:r>
      <w:r>
        <w:t xml:space="preserve">but also beyond 2035). For those options, the SAF support is also reflected in the figures: in</w:t>
      </w:r>
      <w:r>
        <w:t xml:space="preserve"> </w:t>
      </w:r>
      <w:r>
        <w:t xml:space="preserve">2030 for PO2 as it is modelled to run out before 2035, and in PO3 in 2030 and 2035. In all</w:t>
      </w:r>
      <w:r>
        <w:t xml:space="preserve"> </w:t>
      </w:r>
      <w:r>
        <w:t xml:space="preserve">cases, carbon cost shares are lower in all policy options than in the baseline. This is due to</w:t>
      </w:r>
      <w:r>
        <w:t xml:space="preserve"> </w:t>
      </w:r>
      <w:r>
        <w:t xml:space="preserve">lower SAF and ETS costs, for example in 2035 PO3 carbon costs as percentage of fuel costs</w:t>
      </w:r>
      <w:r>
        <w:t xml:space="preserve"> </w:t>
      </w:r>
      <w:r>
        <w:t xml:space="preserve">are about half of those in PO2. This is because SAF support is still available in PO3 but</w:t>
      </w:r>
      <w:r>
        <w:t xml:space="preserve"> </w:t>
      </w:r>
      <w:r>
        <w:t xml:space="preserve">projected to have been fully used in PO2. See Table 11 in Annex 10 for further analysis.</w:t>
      </w:r>
      <w:r>
        <w:br/>
      </w:r>
      <w:r>
        <w:t xml:space="preserve">Extra-EEA flights generally show lower carbon cost as a share of operating costs, compared to</w:t>
      </w:r>
      <w:r>
        <w:t xml:space="preserve"> </w:t>
      </w:r>
      <w:r>
        <w:t xml:space="preserve">all (total) EEA flights. This is because in the policy options, extra-EEA flights are on average</w:t>
      </w:r>
      <w:r>
        <w:t xml:space="preserve"> </w:t>
      </w:r>
      <w:r>
        <w:t xml:space="preserve">subject to a lower share of carbon pricing.</w:t>
      </w:r>
      <w:r>
        <w:t xml:space="preserve"> </w:t>
      </w:r>
      <w:r>
        <w:t xml:space="preserve">Table 12: Carbon costs as percentage of total operating costs</w:t>
      </w:r>
      <w:r>
        <w:br/>
      </w:r>
      <w:r>
        <w:t xml:space="preserve">Extra-EEA flights (departing + incoming)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Carbon costs as % of total operating costs</w:t>
      </w:r>
      <w:r>
        <w:t xml:space="preserve"> </w:t>
      </w:r>
      <w:r>
        <w:t xml:space="preserve">2024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 (87%)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0%</w:t>
      </w:r>
      <w:r>
        <w:t xml:space="preserve"> </w:t>
      </w:r>
      <w:r>
        <w:t xml:space="preserve">7.7%</w:t>
      </w:r>
      <w:r>
        <w:t xml:space="preserve"> </w:t>
      </w:r>
      <w:r>
        <w:t xml:space="preserve">8.0%</w:t>
      </w:r>
      <w:r>
        <w:t xml:space="preserve"> </w:t>
      </w:r>
      <w:r>
        <w:t xml:space="preserve">10.8%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0.4%</w:t>
      </w:r>
      <w:r>
        <w:t xml:space="preserve"> </w:t>
      </w:r>
      <w:r>
        <w:t xml:space="preserve">1.6%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70 Ricardo/WSP (forthcoming), Support for the review by the Commission concerning the implementation of</w:t>
      </w:r>
      <w:r>
        <w:t xml:space="preserve"> </w:t>
      </w:r>
      <w:r>
        <w:t xml:space="preserve">ICAO’s CORSIA, and for Commission reports on certain types of flights, social impacts, and air connectivity</w:t>
      </w:r>
      <w:r>
        <w:t xml:space="preserve"> </w:t>
      </w:r>
      <w:r>
        <w:t xml:space="preserve">of islands, remote territories and Iceland, Referred to as “aviation support study”.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PO2 (departing flights, medium SAF support)</w:t>
      </w:r>
      <w:r>
        <w:t xml:space="preserve"> </w:t>
      </w:r>
      <w:r>
        <w:t xml:space="preserve">3.4%</w:t>
      </w:r>
      <w:r>
        <w:t xml:space="preserve"> </w:t>
      </w:r>
      <w:r>
        <w:t xml:space="preserve">4.7%</w:t>
      </w:r>
      <w:r>
        <w:t xml:space="preserve"> </w:t>
      </w:r>
      <w:r>
        <w:t xml:space="preserve">5.4%</w:t>
      </w:r>
      <w:r>
        <w:t xml:space="preserve"> </w:t>
      </w:r>
      <w:r>
        <w:t xml:space="preserve">PO3 (departing flights, larger SAF support)</w:t>
      </w:r>
      <w:r>
        <w:t xml:space="preserve"> </w:t>
      </w:r>
      <w:r>
        <w:t xml:space="preserve">3.4%</w:t>
      </w:r>
      <w:r>
        <w:t xml:space="preserve"> </w:t>
      </w:r>
      <w:r>
        <w:t xml:space="preserve">2.2%</w:t>
      </w:r>
      <w:r>
        <w:t xml:space="preserve"> </w:t>
      </w:r>
      <w:r>
        <w:t xml:space="preserve">5.4%</w:t>
      </w:r>
      <w:r>
        <w:t xml:space="preserve"> </w:t>
      </w:r>
      <w:r>
        <w:t xml:space="preserve">In the freight sector, we also focus on the segment where the impact of policy options is</w:t>
      </w:r>
      <w:r>
        <w:t xml:space="preserve"> </w:t>
      </w:r>
      <w:r>
        <w:t xml:space="preserve">greatest, extra-EEA departing flights. Demand is projected to increase by 2040 compared to</w:t>
      </w:r>
      <w:r>
        <w:t xml:space="preserve"> </w:t>
      </w:r>
      <w:r>
        <w:t xml:space="preserve">2024 in all cases: 37pp in the baseline (lowest increase) and 45pp in PO1 (highest increase).</w:t>
      </w:r>
      <w:r>
        <w:t xml:space="preserve"> </w:t>
      </w:r>
      <w:r>
        <w:t xml:space="preserve">Again demand growth is greatest where prices are lowest: demand grows most where the ETS</w:t>
      </w:r>
      <w:r>
        <w:t xml:space="preserve"> </w:t>
      </w:r>
      <w:r>
        <w:t xml:space="preserve">scope is smallest, and SAF support also has a positive effect on demand (see Table 7 in Annex</w:t>
      </w:r>
      <w:r>
        <w:t xml:space="preserve"> </w:t>
      </w:r>
      <w:r>
        <w:t xml:space="preserve">10).</w:t>
      </w:r>
      <w:r>
        <w:t xml:space="preserve"> </w:t>
      </w:r>
      <w:r>
        <w:t xml:space="preserve">For outermost regions, compared to the baseline, all options are expected to have a very</w:t>
      </w:r>
      <w:r>
        <w:t xml:space="preserve"> </w:t>
      </w:r>
      <w:r>
        <w:t xml:space="preserve">limited impact on ticket prices for flights between outermost regions and their domestic</w:t>
      </w:r>
      <w:r>
        <w:t xml:space="preserve"> </w:t>
      </w:r>
      <w:r>
        <w:t xml:space="preserve">mainland. In PO1, ticket prices remain unchanged compared to the baseline. PO2 shows that a</w:t>
      </w:r>
      <w:r>
        <w:t xml:space="preserve"> </w:t>
      </w:r>
      <w:r>
        <w:t xml:space="preserve">potential slight (&lt;1%) decrease in fares could be experienced in 2030 by most ticket types</w:t>
      </w:r>
      <w:r>
        <w:t xml:space="preserve"> </w:t>
      </w:r>
      <w:r>
        <w:t xml:space="preserve">thanks to the prolonged ETS support for SAF uptake, with varying magnitude of impacts</w:t>
      </w:r>
      <w:r>
        <w:t xml:space="preserve"> </w:t>
      </w:r>
      <w:r>
        <w:t xml:space="preserve">depending on the flight distance. Up to 0.8% reduction in the ticket price could be experienced</w:t>
      </w:r>
      <w:r>
        <w:t xml:space="preserve"> </w:t>
      </w:r>
      <w:r>
        <w:t xml:space="preserve">by a passenger flying on a low-cost carrier between Paris and Guadeloupe. Through a further</w:t>
      </w:r>
      <w:r>
        <w:t xml:space="preserve"> </w:t>
      </w:r>
      <w:r>
        <w:t xml:space="preserve">extension of the ETS-financed SAF support, PO3 shows that cheaper tickets could potentially</w:t>
      </w:r>
      <w:r>
        <w:t xml:space="preserve"> </w:t>
      </w:r>
      <w:r>
        <w:t xml:space="preserve">be bought by passengers flying business, economy, and low-cost carriers beyond 2030,</w:t>
      </w:r>
      <w:r>
        <w:t xml:space="preserve"> </w:t>
      </w:r>
      <w:r>
        <w:t xml:space="preserve">although differences remain small (less than 3% price difference compared to the baseline</w:t>
      </w:r>
      <w:r>
        <w:t xml:space="preserve"> </w:t>
      </w:r>
      <w:r>
        <w:t xml:space="preserve">through to 2040). The maximum reduction in ticket prices (2.5%) is experienced by low-cost</w:t>
      </w:r>
      <w:r>
        <w:t xml:space="preserve"> </w:t>
      </w:r>
      <w:r>
        <w:t xml:space="preserve">carrier passengers on a flight between Paris and Guadeloupe in 2035. Overall, while all options</w:t>
      </w:r>
      <w:r>
        <w:t xml:space="preserve"> </w:t>
      </w:r>
      <w:r>
        <w:t xml:space="preserve">maintain or slightly enhance affordability, PO3 has the most favourable outcome, followed by</w:t>
      </w:r>
      <w:r>
        <w:t xml:space="preserve"> </w:t>
      </w:r>
      <w:r>
        <w:t xml:space="preserve">PO2. Outermost regions and small islands benefit from 100% support for uptake of eligible</w:t>
      </w:r>
      <w:r>
        <w:t xml:space="preserve"> </w:t>
      </w:r>
      <w:r>
        <w:t xml:space="preserve">SAF.</w:t>
      </w:r>
      <w:r>
        <w:t xml:space="preserve"> </w:t>
      </w:r>
      <w:r>
        <w:t xml:space="preserve">Competitive distortions for airlines may arise when policies do not apply equally on routes</w:t>
      </w:r>
      <w:r>
        <w:t xml:space="preserve"> </w:t>
      </w:r>
      <w:r>
        <w:t xml:space="preserve">and where they are not enforced equally, for any policy option. Enforcement has been crucial</w:t>
      </w:r>
      <w:r>
        <w:t xml:space="preserve"> </w:t>
      </w:r>
      <w:r>
        <w:t xml:space="preserve">for the success of the EU ETS to date71. Previous assessments72 found no evidence of carbon</w:t>
      </w:r>
      <w:r>
        <w:t xml:space="preserve"> </w:t>
      </w:r>
      <w:r>
        <w:t xml:space="preserve">leakage for airlines, because they are equally treated on routes covered by the ETS. All options</w:t>
      </w:r>
      <w:r>
        <w:t xml:space="preserve"> </w:t>
      </w:r>
      <w:r>
        <w:t xml:space="preserve">apply uniformly per route to all airlines so do not create distortions. For airlines with a higher</w:t>
      </w:r>
      <w:r>
        <w:t xml:space="preserve"> </w:t>
      </w:r>
      <w:r>
        <w:t xml:space="preserve">proportion of flights on routes covered by the ETS, there is a risk that they are less able to</w:t>
      </w:r>
      <w:r>
        <w:t xml:space="preserve"> </w:t>
      </w:r>
      <w:r>
        <w:t xml:space="preserve">cross-subsidise them from other routes. Several studies nevertheless argue that such cross-</w:t>
      </w:r>
      <w:r>
        <w:t xml:space="preserve"> </w:t>
      </w:r>
      <w:r>
        <w:t xml:space="preserve">subsidisation is minimal73. Also, the fact that SAF support is available for routes covered by</w:t>
      </w:r>
      <w:r>
        <w:t xml:space="preserve"> </w:t>
      </w:r>
      <w:r>
        <w:t xml:space="preserve">the ETS channels more revenues back to the relevant airlines. This is consistent with the 2021</w:t>
      </w:r>
      <w:r>
        <w:t xml:space="preserve"> </w:t>
      </w:r>
      <w:r>
        <w:t xml:space="preserve">Aviation ETS Impact Assessment. For PO2 and PO3 where the EU ETS applies to departing</w:t>
      </w:r>
      <w:r>
        <w:t xml:space="preserve"> </w:t>
      </w:r>
      <w:r>
        <w:t xml:space="preserve">flights, airlines are able to deduct any CORSIA offsetting costs.</w:t>
      </w:r>
    </w:p>
    <w:p>
      <w:pPr>
        <w:pStyle w:val="BodyText"/>
      </w:pPr>
      <w:r>
        <w:t xml:space="preserve">71 Following some airlines paying fines for non-compliance for their flights within the EU, all major airlines</w:t>
      </w:r>
      <w:r>
        <w:t xml:space="preserve"> </w:t>
      </w:r>
      <w:r>
        <w:t xml:space="preserve">have maintained compliance with the system.</w:t>
      </w:r>
      <w:r>
        <w:t xml:space="preserve"> </w:t>
      </w:r>
      <w:r>
        <w:t xml:space="preserve">72 European Commission, Commission Staff Working Document: Impact Assessment Report: Accompanying</w:t>
      </w:r>
      <w:r>
        <w:t xml:space="preserve"> </w:t>
      </w:r>
      <w:r>
        <w:t xml:space="preserve">the document: Proposal for a Directive of the European Parliament and of the Council amending Directive</w:t>
      </w:r>
      <w:r>
        <w:t xml:space="preserve"> </w:t>
      </w:r>
      <w:r>
        <w:t xml:space="preserve">2003/87/EC as regards aviation’s contribution to the Union’s economy-wide emission reduction target and</w:t>
      </w:r>
      <w:r>
        <w:t xml:space="preserve"> </w:t>
      </w:r>
      <w:r>
        <w:t xml:space="preserve">appropriately implementing a global market-based measure, SWD(2021) 603 final, 14.7.2021, https://eur-</w:t>
      </w:r>
      <w:r>
        <w:t xml:space="preserve"> </w:t>
      </w:r>
      <w:r>
        <w:t xml:space="preserve">lex.europa.eu/legal-content/EN/TXT/?uri=CELEX%3A52021SC0603.</w:t>
      </w:r>
      <w:r>
        <w:t xml:space="preserve"> </w:t>
      </w:r>
      <w:r>
        <w:t xml:space="preserve">73 CE Delft, Giving wings to emissions trading: inclusion of aviation under the European emissions trading</w:t>
      </w:r>
      <w:r>
        <w:t xml:space="preserve"> </w:t>
      </w:r>
      <w:r>
        <w:t xml:space="preserve">scheme (ETS): design and impacts, 2005, https://cedelft.eu/publications/giving-wings-to-emission-trading/;</w:t>
      </w:r>
      <w:r>
        <w:t xml:space="preserve"> </w:t>
      </w:r>
      <w:r>
        <w:t xml:space="preserve">CE Delft and MVA, Implications of EU emissions trading scheme for competition between EU and non-EU</w:t>
      </w:r>
      <w:r>
        <w:t xml:space="preserve"> </w:t>
      </w:r>
      <w:r>
        <w:t xml:space="preserve">airlines,</w:t>
      </w:r>
      <w:r>
        <w:t xml:space="preserve"> </w:t>
      </w:r>
      <w:r>
        <w:t xml:space="preserve">2007,</w:t>
      </w:r>
      <w:r>
        <w:t xml:space="preserve"> </w:t>
      </w:r>
      <w:r>
        <w:t xml:space="preserve">https://ce.nl/publicaties/implications-of-eu-emission-trading-scheme-for-competition-</w:t>
      </w:r>
      <w:r>
        <w:t xml:space="preserve"> </w:t>
      </w:r>
      <w:r>
        <w:t xml:space="preserve">between-eu-and-non-eu-airlines/.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Passenger behaviour and airport hubs: Modelling shows that across the policy options and</w:t>
      </w:r>
      <w:r>
        <w:t xml:space="preserve"> </w:t>
      </w:r>
      <w:r>
        <w:t xml:space="preserve">the baseline, in most case studies there are some passenger shifts from EEA to non-EEA hubs.</w:t>
      </w:r>
      <w:r>
        <w:t xml:space="preserve"> </w:t>
      </w:r>
      <w:r>
        <w:t xml:space="preserve">All policy options reduce these shifts compared to the baseline, with PO1 having the most</w:t>
      </w:r>
      <w:r>
        <w:t xml:space="preserve"> </w:t>
      </w:r>
      <w:r>
        <w:t xml:space="preserve">significant effect, followed by PO3 and then PO2, see Annex 10, Table 18. EEA airport hubs</w:t>
      </w:r>
      <w:r>
        <w:t xml:space="preserve"> </w:t>
      </w:r>
      <w:r>
        <w:t xml:space="preserve">with large shares of transfer passengers may face an unlevel playing field compared to other</w:t>
      </w:r>
      <w:r>
        <w:t xml:space="preserve"> </w:t>
      </w:r>
      <w:r>
        <w:t xml:space="preserve">hubs subject to laxer rules, causing differences in operating costs, ticket prices, itinerary choice,</w:t>
      </w:r>
      <w:r>
        <w:t xml:space="preserve"> </w:t>
      </w:r>
      <w:r>
        <w:t xml:space="preserve">etc. For EEA hubs, relatively higher costs induced by local policies74 could risk shifting air</w:t>
      </w:r>
      <w:r>
        <w:t xml:space="preserve"> </w:t>
      </w:r>
      <w:r>
        <w:t xml:space="preserve">transport activity to non-EEA hubs. If passenger shift occurs, it may lead to hub carbon</w:t>
      </w:r>
      <w:r>
        <w:t xml:space="preserve"> </w:t>
      </w:r>
      <w:r>
        <w:t xml:space="preserve">leakage75 – or it may reduce emissions, if the overall route is shorter for example. To address</w:t>
      </w:r>
      <w:r>
        <w:t xml:space="preserve"> </w:t>
      </w:r>
      <w:r>
        <w:t xml:space="preserve">problem drivers D2 (Lack of internalisation of the climate impact) and D3 (International carbon</w:t>
      </w:r>
      <w:r>
        <w:t xml:space="preserve"> </w:t>
      </w:r>
      <w:r>
        <w:t xml:space="preserve">pricing measures in transport), it is important to limit the risk of carbon leakage. Five case</w:t>
      </w:r>
      <w:r>
        <w:t xml:space="preserve"> </w:t>
      </w:r>
      <w:r>
        <w:t xml:space="preserve">studies were carried out to assess the risk of hub carbon leakage (see Section 4 in Annex 10).</w:t>
      </w:r>
      <w:r>
        <w:t xml:space="preserve"> </w:t>
      </w:r>
      <w:r>
        <w:t xml:space="preserve">As shown in Table 13 below, minor hub carbon leakage is observed in one case study in PO1</w:t>
      </w:r>
      <w:r>
        <w:t xml:space="preserve"> </w:t>
      </w:r>
      <w:r>
        <w:t xml:space="preserve">in 2040 (and two in the baseline). Overall, hub carbon leakage is minimal and emissions</w:t>
      </w:r>
      <w:r>
        <w:t xml:space="preserve"> </w:t>
      </w:r>
      <w:r>
        <w:t xml:space="preserve">slightly decrease across all options and the baseline76. In PO1, there is a risk of passenger shift</w:t>
      </w:r>
      <w:r>
        <w:t xml:space="preserve"> </w:t>
      </w:r>
      <w:r>
        <w:t xml:space="preserve">of 3.5% in passenger-kilometres from the original route to the alternative route in 2040 on</w:t>
      </w:r>
      <w:r>
        <w:t xml:space="preserve"> </w:t>
      </w:r>
      <w:r>
        <w:t xml:space="preserve">average across all case studies for economy and first classes. In PO2 and PO3, average risk</w:t>
      </w:r>
      <w:r>
        <w:t xml:space="preserve"> </w:t>
      </w:r>
      <w:r>
        <w:t xml:space="preserve">of passenger shift is 1pp higher than in PO1 (4.5% on average in 2040).</w:t>
      </w:r>
      <w:r>
        <w:br/>
      </w:r>
      <w:r>
        <w:t xml:space="preserve">Table 13: Case study averages for risk of passenger shift and emissions change compared to the</w:t>
      </w:r>
      <w:r>
        <w:t xml:space="preserve"> </w:t>
      </w:r>
      <w:r>
        <w:t xml:space="preserve">original EEA-route</w:t>
      </w:r>
      <w:r>
        <w:t xml:space="preserve"> </w:t>
      </w:r>
      <w:r>
        <w:t xml:space="preserve">Average passenger</w:t>
      </w:r>
      <w:r>
        <w:t xml:space="preserve"> </w:t>
      </w:r>
      <w:r>
        <w:t xml:space="preserve">shift risk</w:t>
      </w:r>
      <w:r>
        <w:t xml:space="preserve"> </w:t>
      </w:r>
      <w:r>
        <w:t xml:space="preserve">Average emissions</w:t>
      </w:r>
      <w:r>
        <w:t xml:space="preserve"> </w:t>
      </w:r>
      <w:r>
        <w:t xml:space="preserve">change</w:t>
      </w:r>
      <w:r>
        <w:t xml:space="preserve"> </w:t>
      </w:r>
      <w:r>
        <w:t xml:space="preserve">Specific risk of hub carbon</w:t>
      </w:r>
      <w:r>
        <w:t xml:space="preserve"> </w:t>
      </w:r>
      <w:r>
        <w:t xml:space="preserve">leakage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PO1</w:t>
      </w:r>
      <w:r>
        <w:t xml:space="preserve"> </w:t>
      </w:r>
      <w:r>
        <w:t xml:space="preserve">3%</w:t>
      </w:r>
      <w:r>
        <w:t xml:space="preserve"> </w:t>
      </w:r>
      <w:r>
        <w:t xml:space="preserve">3.5%</w:t>
      </w:r>
      <w:r>
        <w:t xml:space="preserve"> </w:t>
      </w:r>
      <w:r>
        <w:t xml:space="preserve">-0.5%</w:t>
      </w:r>
      <w:r>
        <w:t xml:space="preserve"> </w:t>
      </w:r>
      <w:r>
        <w:t xml:space="preserve">-0.2%</w:t>
      </w:r>
      <w:r>
        <w:t xml:space="preserve"> </w:t>
      </w:r>
      <w:r>
        <w:t xml:space="preserve">CS 4 (0.25% in 2040)</w:t>
      </w:r>
      <w:r>
        <w:t xml:space="preserve"> </w:t>
      </w:r>
      <w:r>
        <w:t xml:space="preserve">PO2</w:t>
      </w:r>
      <w:r>
        <w:t xml:space="preserve"> </w:t>
      </w:r>
      <w:r>
        <w:t xml:space="preserve">3.7%</w:t>
      </w:r>
      <w:r>
        <w:t xml:space="preserve"> </w:t>
      </w:r>
      <w:r>
        <w:t xml:space="preserve">4.5%</w:t>
      </w:r>
      <w:r>
        <w:t xml:space="preserve"> </w:t>
      </w:r>
      <w:r>
        <w:t xml:space="preserve">-0.9%</w:t>
      </w:r>
      <w:r>
        <w:t xml:space="preserve"> </w:t>
      </w:r>
      <w:r>
        <w:t xml:space="preserve">-0.7%</w:t>
      </w:r>
      <w:r>
        <w:t xml:space="preserve"> </w:t>
      </w:r>
      <w:r>
        <w:t xml:space="preserve">n/a</w:t>
      </w:r>
      <w:r>
        <w:t xml:space="preserve"> </w:t>
      </w:r>
      <w:r>
        <w:t xml:space="preserve">PO3</w:t>
      </w:r>
      <w:r>
        <w:t xml:space="preserve"> </w:t>
      </w:r>
      <w:r>
        <w:t xml:space="preserve">3.4%</w:t>
      </w:r>
      <w:r>
        <w:t xml:space="preserve"> </w:t>
      </w:r>
      <w:r>
        <w:t xml:space="preserve">4.5%</w:t>
      </w:r>
      <w:r>
        <w:t xml:space="preserve"> </w:t>
      </w:r>
      <w:r>
        <w:t xml:space="preserve">-0.8%</w:t>
      </w:r>
      <w:r>
        <w:t xml:space="preserve"> </w:t>
      </w:r>
      <w:r>
        <w:t xml:space="preserve">-0.7%</w:t>
      </w:r>
      <w:r>
        <w:t xml:space="preserve"> </w:t>
      </w:r>
      <w:r>
        <w:t xml:space="preserve">n/a</w:t>
      </w:r>
      <w:r>
        <w:t xml:space="preserve"> </w:t>
      </w:r>
      <w:r>
        <w:t xml:space="preserve">Baseline</w:t>
      </w:r>
      <w:r>
        <w:t xml:space="preserve"> </w:t>
      </w:r>
      <w:r>
        <w:t xml:space="preserve">4.6%</w:t>
      </w:r>
      <w:r>
        <w:t xml:space="preserve"> </w:t>
      </w:r>
      <w:r>
        <w:t xml:space="preserve">6%</w:t>
      </w:r>
      <w:r>
        <w:t xml:space="preserve"> </w:t>
      </w:r>
      <w:r>
        <w:t xml:space="preserve">-1%</w:t>
      </w:r>
      <w:r>
        <w:t xml:space="preserve"> </w:t>
      </w:r>
      <w:r>
        <w:t xml:space="preserve">-0.5%</w:t>
      </w:r>
      <w:r>
        <w:t xml:space="preserve"> </w:t>
      </w:r>
      <w:r>
        <w:t xml:space="preserve">CS1 (0.72% in 2040) and CS5</w:t>
      </w:r>
      <w:r>
        <w:t xml:space="preserve"> </w:t>
      </w:r>
      <w:r>
        <w:t xml:space="preserve">(0.25% in 2040)</w:t>
      </w:r>
      <w:r>
        <w:t xml:space="preserve"> </w:t>
      </w:r>
      <w:r>
        <w:t xml:space="preserve">The impact assessment for the revision of the EU ETS for aviation77 found that carbon leakage</w:t>
      </w:r>
      <w:r>
        <w:t xml:space="preserve"> </w:t>
      </w:r>
      <w:r>
        <w:t xml:space="preserve">risks for tourist destination switching were low, due to the nature of air travel (passengers</w:t>
      </w:r>
    </w:p>
    <w:p>
      <w:pPr>
        <w:pStyle w:val="BodyText"/>
      </w:pPr>
      <w:r>
        <w:t xml:space="preserve">74 These could be related to climate policy, but equally to other policies such as labour laws, passenger rights</w:t>
      </w:r>
      <w:r>
        <w:t xml:space="preserve"> </w:t>
      </w:r>
      <w:r>
        <w:t xml:space="preserve">and subsidies. The latter are out of the scope of this Impact Assessment. It should also be noted that itinerary</w:t>
      </w:r>
      <w:r>
        <w:t xml:space="preserve"> </w:t>
      </w:r>
      <w:r>
        <w:t xml:space="preserve">choice is a function of journey time, cost, number of flight segments, available flight frequency and</w:t>
      </w:r>
      <w:r>
        <w:t xml:space="preserve"> </w:t>
      </w:r>
      <w:r>
        <w:t xml:space="preserve">characteristics of the origin and destination airports.</w:t>
      </w:r>
      <w:r>
        <w:t xml:space="preserve"> </w:t>
      </w:r>
      <w:r>
        <w:t xml:space="preserve">75 In the European Commission’s 2025 Carbon Market Report, carbon leakage is defined as a situation that</w:t>
      </w:r>
      <w:r>
        <w:t xml:space="preserve"> </w:t>
      </w:r>
      <w:r>
        <w:t xml:space="preserve">could occur if ETS-regulated activities were moved to non-EU countries with less ambitious climate policies,</w:t>
      </w:r>
      <w:r>
        <w:t xml:space="preserve"> </w:t>
      </w:r>
      <w:r>
        <w:t xml:space="preserve">leading to an increase in overall greenhouse gas emissions. Hub carbon leakage therefore occurs when such</w:t>
      </w:r>
      <w:r>
        <w:t xml:space="preserve"> </w:t>
      </w:r>
      <w:r>
        <w:t xml:space="preserve">emissions displacement and increase take place due to hub switching, i.e. passengers switch from a direct</w:t>
      </w:r>
      <w:r>
        <w:t xml:space="preserve"> </w:t>
      </w:r>
      <w:r>
        <w:t xml:space="preserve">flight or a connecting flight via an EEA hub to a connecting flight via a non-EEA hub.</w:t>
      </w:r>
      <w:r>
        <w:t xml:space="preserve"> </w:t>
      </w:r>
      <w:r>
        <w:t xml:space="preserve">76 Emissions may still be displaced from within Europe to outside Europe.</w:t>
      </w:r>
      <w:r>
        <w:t xml:space="preserve"> </w:t>
      </w:r>
      <w:r>
        <w:t xml:space="preserve">77 SWD(2021) 603 final.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usually know where they want to go and choose the best flight options to get there78. This was</w:t>
      </w:r>
      <w:r>
        <w:t xml:space="preserve"> </w:t>
      </w:r>
      <w:r>
        <w:t xml:space="preserve">confirmed by external studies79, also showing that tourists prefer direct flights80 and that</w:t>
      </w:r>
      <w:r>
        <w:t xml:space="preserve"> </w:t>
      </w:r>
      <w:r>
        <w:t xml:space="preserve">demand has historically been relatively inelastic to cost changes81. A study of Green Deal</w:t>
      </w:r>
      <w:r>
        <w:t xml:space="preserve"> </w:t>
      </w:r>
      <w:r>
        <w:t xml:space="preserve">policies for aviation (ETS, ReFuelEU) found that they achieve emissions reductions without</w:t>
      </w:r>
      <w:r>
        <w:t xml:space="preserve"> </w:t>
      </w:r>
      <w:r>
        <w:t xml:space="preserve">carbon leakage (scope of the study: global aviation). It mostly identified carbon leakage to</w:t>
      </w:r>
      <w:r>
        <w:t xml:space="preserve"> </w:t>
      </w:r>
      <w:r>
        <w:t xml:space="preserve">other sectors in case aviation fuel demand reduction leads to overall fuel price reductions82.</w:t>
      </w:r>
      <w:r>
        <w:t xml:space="preserve"> </w:t>
      </w:r>
      <w:r>
        <w:t xml:space="preserve">Qualitative analysis therefore suggests that ticket prices are one among several decision-</w:t>
      </w:r>
      <w:r>
        <w:t xml:space="preserve"> </w:t>
      </w:r>
      <w:r>
        <w:t xml:space="preserve">making factors for tourists, not necessarily the decisive factor. Ticket prices for tourist flights</w:t>
      </w:r>
      <w:r>
        <w:t xml:space="preserve"> </w:t>
      </w:r>
      <w:r>
        <w:t xml:space="preserve">are impacted in the same way as any other flight, so analysis above on ticket prices etc. applies.</w:t>
      </w:r>
      <w:r>
        <w:t xml:space="preserve"> </w:t>
      </w:r>
      <w:r>
        <w:t xml:space="preserve">On SAF support and ETS revenues, PO2 sets aside 140 million allowances for SAF support,</w:t>
      </w:r>
      <w:r>
        <w:t xml:space="preserve"> </w:t>
      </w:r>
      <w:r>
        <w:t xml:space="preserve">whereas PO3 sets aside 280 million. The allowances set aside lower the volume of allowances</w:t>
      </w:r>
      <w:r>
        <w:t xml:space="preserve"> </w:t>
      </w:r>
      <w:r>
        <w:t xml:space="preserve">auctioned and thus decrease the ETS revenues available to Member States for other climate</w:t>
      </w:r>
      <w:r>
        <w:t xml:space="preserve"> </w:t>
      </w:r>
      <w:r>
        <w:t xml:space="preserve">mitigation purposes and the Innovation Fund. In 2035, the medium amount of SAF support in</w:t>
      </w:r>
      <w:r>
        <w:t xml:space="preserve"> </w:t>
      </w:r>
      <w:r>
        <w:t xml:space="preserve">PO2 is projected to be used up, while there is still support in PO3. See Section 8 in Annex 10</w:t>
      </w:r>
      <w:r>
        <w:t xml:space="preserve"> </w:t>
      </w:r>
      <w:r>
        <w:t xml:space="preserve">for analysis on the SAF support mechanism.</w:t>
      </w:r>
      <w:r>
        <w:t xml:space="preserve"> </w:t>
      </w:r>
      <w:r>
        <w:t xml:space="preserve">As a complement to the ETS price signal, ETS auctioning revenues are used to support the</w:t>
      </w:r>
      <w:r>
        <w:t xml:space="preserve"> </w:t>
      </w:r>
      <w:r>
        <w:t xml:space="preserve">transition towards climate neutrality. The highest revenues come from PO2, where ETS</w:t>
      </w:r>
      <w:r>
        <w:t xml:space="preserve"> </w:t>
      </w:r>
      <w:r>
        <w:t xml:space="preserve">coverage is widest and a medium amount of allowances is set aside for direct SAF uptake</w:t>
      </w:r>
      <w:r>
        <w:t xml:space="preserve"> </w:t>
      </w:r>
      <w:r>
        <w:t xml:space="preserve">support. See Annex 10, Table 10 for more detail.</w:t>
      </w:r>
      <w:r>
        <w:t xml:space="preserve"> </w:t>
      </w:r>
      <w:r>
        <w:t xml:space="preserve">6.2.3.4. Maritime</w:t>
      </w:r>
      <w:r>
        <w:br/>
      </w:r>
      <w:r>
        <w:t xml:space="preserve">In the policy scenario PO1, the uptake of renewable fuels would still be limited in 2030, but</w:t>
      </w:r>
      <w:r>
        <w:t xml:space="preserve"> </w:t>
      </w:r>
      <w:r>
        <w:t xml:space="preserve">increase significantly in the period 2040 and 2050, reaching 87% of total energy demand in</w:t>
      </w:r>
      <w:r>
        <w:t xml:space="preserve"> </w:t>
      </w:r>
      <w:r>
        <w:t xml:space="preserve">2050. The fuel mix in 2050 is dominated by biofuels (58%), renewable fuels of non-biological</w:t>
      </w:r>
      <w:r>
        <w:t xml:space="preserve"> </w:t>
      </w:r>
      <w:r>
        <w:t xml:space="preserve">origin (RFNBOs) (27%), electricity (2%) and a residual use of fossil fuels (13%). In policy</w:t>
      </w:r>
      <w:r>
        <w:t xml:space="preserve"> </w:t>
      </w:r>
      <w:r>
        <w:t xml:space="preserve">options PO2 and PO3, the uptake of renewable fuels slightly increases by around 2-3</w:t>
      </w:r>
      <w:r>
        <w:t xml:space="preserve"> </w:t>
      </w:r>
      <w:r>
        <w:t xml:space="preserve">percentage points in 2040 and 5-6 percentage points in 2050. This is mainly due to the</w:t>
      </w:r>
      <w:r>
        <w:t xml:space="preserve"> </w:t>
      </w:r>
      <w:r>
        <w:t xml:space="preserve">expansion of EU ETS to smaller vessels and the further uptake of renewable fuels in this</w:t>
      </w:r>
      <w:r>
        <w:t xml:space="preserve"> </w:t>
      </w:r>
      <w:r>
        <w:t xml:space="preserve">segment. The allowances set aside for the SMAP mechanism would also contribute to such an</w:t>
      </w:r>
      <w:r>
        <w:t xml:space="preserve"> </w:t>
      </w:r>
      <w:r>
        <w:t xml:space="preserve">uptake, although they also decrease the ETS revenues available to Member States for other</w:t>
      </w:r>
      <w:r>
        <w:t xml:space="preserve"> </w:t>
      </w:r>
      <w:r>
        <w:t xml:space="preserve">sectoral uses.</w:t>
      </w:r>
      <w:r>
        <w:t xml:space="preserve"> </w:t>
      </w:r>
      <w:r>
        <w:t xml:space="preserve">In relation to competitiveness impacts, the lowering of the container transhipment</w:t>
      </w:r>
      <w:r>
        <w:t xml:space="preserve"> </w:t>
      </w:r>
      <w:r>
        <w:t xml:space="preserve">incidence threshold from 65 % to 50% should lead to the identification of additional</w:t>
      </w:r>
      <w:r>
        <w:t xml:space="preserve"> </w:t>
      </w:r>
      <w:r>
        <w:t xml:space="preserve">“neighbouring container transhipment ports” under the ETS Directive. In the short-term, it</w:t>
      </w:r>
      <w:r>
        <w:t xml:space="preserve"> </w:t>
      </w:r>
      <w:r>
        <w:t xml:space="preserve">would concern, based on current data at the time of preparing this impact assessment, the ports</w:t>
      </w:r>
    </w:p>
    <w:p>
      <w:pPr>
        <w:pStyle w:val="BodyText"/>
      </w:pPr>
      <w:r>
        <w:t xml:space="preserve">78 Top determinants for overseas travellers to Europe are safety, famous landmarks, quality of infrastructures,</w:t>
      </w:r>
      <w:r>
        <w:t xml:space="preserve"> </w:t>
      </w:r>
      <w:r>
        <w:t xml:space="preserve">weather conditions and direct routes. Source: European Travel Commission, Long-Haul Travel Barometer</w:t>
      </w:r>
      <w:r>
        <w:t xml:space="preserve"> </w:t>
      </w:r>
      <w:r>
        <w:t xml:space="preserve">2026, 2026, https://etc-corporate.org/news/long-haul-travellers-grow-more-cautious-in-2026-while-safety-</w:t>
      </w:r>
      <w:r>
        <w:t xml:space="preserve"> </w:t>
      </w:r>
      <w:r>
        <w:t xml:space="preserve">and-flexibility-shape-demand-for-europe/.</w:t>
      </w:r>
      <w:r>
        <w:t xml:space="preserve"> </w:t>
      </w:r>
      <w:r>
        <w:t xml:space="preserve">79 For example: SEO &amp; NLR, Aviation Fit For 55 – Ticket Prices, Demand and Carbon Leakage, 2022,</w:t>
      </w:r>
      <w:r>
        <w:t xml:space="preserve"> </w:t>
      </w:r>
      <w:r>
        <w:t xml:space="preserve">https://www.seo.nl/wp-content/uploads/2022/03/2022-16-Aviation-fit-for-55.pdf.</w:t>
      </w:r>
      <w:r>
        <w:t xml:space="preserve"> </w:t>
      </w:r>
      <w:r>
        <w:t xml:space="preserve">80 Verma, Rebelo, and Araújo, Impact of Inter-Country Distances on International Tourism, 2019,</w:t>
      </w:r>
      <w:r>
        <w:t xml:space="preserve"> </w:t>
      </w:r>
      <w:r>
        <w:t xml:space="preserve">https://arxiv.org/abs/1902.04944?.</w:t>
      </w:r>
      <w:r>
        <w:t xml:space="preserve"> </w:t>
      </w:r>
      <w:r>
        <w:t xml:space="preserve">81 ICF et al., Assessment of ICAO’s global market-based measure (CORSIA) pursuant to Article 28b and for</w:t>
      </w:r>
      <w:r>
        <w:t xml:space="preserve"> </w:t>
      </w:r>
      <w:r>
        <w:t xml:space="preserve">studying cost pass through pursuant to Article 3d of the ETS Directive, 2020, p. 236,</w:t>
      </w:r>
      <w:r>
        <w:t xml:space="preserve"> </w:t>
      </w:r>
      <w:r>
        <w:t xml:space="preserve">https://data.europa.eu/doi/10.2834/714858.</w:t>
      </w:r>
      <w:r>
        <w:t xml:space="preserve"> </w:t>
      </w:r>
      <w:r>
        <w:t xml:space="preserve">82 Wei &amp; Kallbekken, Carbon leakage from aviation under the European Union Fit for 55 policies, 2024,</w:t>
      </w:r>
      <w:r>
        <w:t xml:space="preserve"> </w:t>
      </w:r>
      <w:r>
        <w:t xml:space="preserve">https://www.sciencedirect.com/science/article/pii/S1361920924002268.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of Abu Qir and Damietta in Egypt and the port of Tekirdağ in Türkiye, which represent a yearly</w:t>
      </w:r>
      <w:r>
        <w:t xml:space="preserve"> </w:t>
      </w:r>
      <w:r>
        <w:t xml:space="preserve">transhipment volume of more than 2 million TEU. If these three additional ports were included,</w:t>
      </w:r>
      <w:r>
        <w:t xml:space="preserve"> </w:t>
      </w:r>
      <w:r>
        <w:t xml:space="preserve">the anti-evasion measure would apply to more than 80% of the transhipment activities taking</w:t>
      </w:r>
      <w:r>
        <w:t xml:space="preserve"> </w:t>
      </w:r>
      <w:r>
        <w:t xml:space="preserve">place in non-EU Mediterranean countries.</w:t>
      </w:r>
      <w:r>
        <w:br/>
      </w:r>
      <w:r>
        <w:t xml:space="preserve">This measure could also help better address the risk of evasion linked to future transhipment</w:t>
      </w:r>
      <w:r>
        <w:t xml:space="preserve"> </w:t>
      </w:r>
      <w:r>
        <w:t xml:space="preserve">hubs, such as the port of Cherchell in Algeria, the Port of Dakhla or Nador West Med in</w:t>
      </w:r>
      <w:r>
        <w:t xml:space="preserve"> </w:t>
      </w:r>
      <w:r>
        <w:t xml:space="preserve">Morocco. In general, this measure should contribute to protect the competitiveness of EU ports</w:t>
      </w:r>
      <w:r>
        <w:t xml:space="preserve"> </w:t>
      </w:r>
      <w:r>
        <w:t xml:space="preserve">and help avoid the negative impacts that may occur if relocation of container transhipment</w:t>
      </w:r>
      <w:r>
        <w:t xml:space="preserve"> </w:t>
      </w:r>
      <w:r>
        <w:t xml:space="preserve">activities is taking place.</w:t>
      </w:r>
      <w:r>
        <w:br/>
      </w:r>
      <w:r>
        <w:t xml:space="preserve">Amendments to relevant EU MRV and ETS elements to address the specific nature of offshore</w:t>
      </w:r>
      <w:r>
        <w:t xml:space="preserve"> </w:t>
      </w:r>
      <w:r>
        <w:t xml:space="preserve">activities would ensure that all ships involved in offshore activities within EU Member States’</w:t>
      </w:r>
      <w:r>
        <w:t xml:space="preserve"> </w:t>
      </w:r>
      <w:r>
        <w:t xml:space="preserve">territorial waters or Exclusive Economic Zones are subject to emissions regulation, regardless</w:t>
      </w:r>
      <w:r>
        <w:t xml:space="preserve"> </w:t>
      </w:r>
      <w:r>
        <w:t xml:space="preserve">of their flag or port of origin. Consequently, it would promote a fairer and more level playing</w:t>
      </w:r>
      <w:r>
        <w:t xml:space="preserve"> </w:t>
      </w:r>
      <w:r>
        <w:t xml:space="preserve">field for EU offshore shipping companies. However, it could slightly increase the</w:t>
      </w:r>
      <w:r>
        <w:t xml:space="preserve"> </w:t>
      </w:r>
      <w:r>
        <w:t xml:space="preserve">administrative burden for both shipowners and regulators, due to the need for more detailed</w:t>
      </w:r>
      <w:r>
        <w:t xml:space="preserve"> </w:t>
      </w:r>
      <w:r>
        <w:t xml:space="preserve">reporting and verification.</w:t>
      </w:r>
      <w:r>
        <w:br/>
      </w:r>
      <w:r>
        <w:t xml:space="preserve">Additional compliance costs for smaller vessels are expected to be passed on to shippers and</w:t>
      </w:r>
      <w:r>
        <w:t xml:space="preserve"> </w:t>
      </w:r>
      <w:r>
        <w:t xml:space="preserve">voyagers, which may have indirect impacts on trade patterns and macroeconomic</w:t>
      </w:r>
      <w:r>
        <w:t xml:space="preserve"> </w:t>
      </w:r>
      <w:r>
        <w:t xml:space="preserve">indicators. Modelling of impacts of maritime policy options in GEM-E3 found that, for EU27</w:t>
      </w:r>
      <w:r>
        <w:t xml:space="preserve"> </w:t>
      </w:r>
      <w:r>
        <w:t xml:space="preserve">countries, GDP would drop by 0.001% in 2040 under both PO2 and PO3, which means that</w:t>
      </w:r>
      <w:r>
        <w:t xml:space="preserve"> </w:t>
      </w:r>
      <w:r>
        <w:t xml:space="preserve">macroeconomic impacts are expected to be marginal on average. These effects are expected to</w:t>
      </w:r>
      <w:r>
        <w:t xml:space="preserve"> </w:t>
      </w:r>
      <w:r>
        <w:t xml:space="preserve">be slightly more significant in FI, EL, SE, DK, due to higher dependency on transport provided</w:t>
      </w:r>
      <w:r>
        <w:t xml:space="preserve"> </w:t>
      </w:r>
      <w:r>
        <w:t xml:space="preserve">by smaller vessels. Impacts on third countries are expected to be negligible, on average, with a</w:t>
      </w:r>
      <w:r>
        <w:t xml:space="preserve"> </w:t>
      </w:r>
      <w:r>
        <w:t xml:space="preserve">drop in GDP estimated at 0.0003% in 2040.</w:t>
      </w:r>
      <w:r>
        <w:br/>
      </w:r>
      <w:r>
        <w:t xml:space="preserve">6.2.3.5. Carbon leakage prevention</w:t>
      </w:r>
      <w:r>
        <w:t xml:space="preserve"> </w:t>
      </w:r>
      <w:r>
        <w:t xml:space="preserve">GEM-E3 model results provide insights into how alternative ETS design choices translate into</w:t>
      </w:r>
      <w:r>
        <w:t xml:space="preserve"> </w:t>
      </w:r>
      <w:r>
        <w:t xml:space="preserve">heterogenous sectoral and macroeconomic impacts, relative to the baseline scenario by taking</w:t>
      </w:r>
      <w:r>
        <w:t xml:space="preserve"> </w:t>
      </w:r>
      <w:r>
        <w:t xml:space="preserve">into consideration key drivers within scenario assumptions such as the different free allocation</w:t>
      </w:r>
      <w:r>
        <w:t xml:space="preserve"> </w:t>
      </w:r>
      <w:r>
        <w:t xml:space="preserve">distributions across industry, as well as the different ETS coverage and cap stringency and</w:t>
      </w:r>
      <w:r>
        <w:t xml:space="preserve"> </w:t>
      </w:r>
      <w:r>
        <w:t xml:space="preserve">alternative revenue recycling. The policy scenarios assessed by the GEM-E3 model are</w:t>
      </w:r>
      <w:r>
        <w:t xml:space="preserve"> </w:t>
      </w:r>
      <w:r>
        <w:t xml:space="preserve">described in Section 6.1.1.7 and in Annex 12, Section 1.4.1.</w:t>
      </w:r>
      <w:r>
        <w:t xml:space="preserve"> </w:t>
      </w:r>
      <w:r>
        <w:t xml:space="preserve">Changes in the unit cost of production are driven by specific scenario assumptions namely: (i)</w:t>
      </w:r>
      <w:r>
        <w:t xml:space="preserve"> </w:t>
      </w:r>
      <w:r>
        <w:t xml:space="preserve">different shares of free allocation, with highest shares in PO2_90, (ii) changes in carbon prices,</w:t>
      </w:r>
      <w:r>
        <w:t xml:space="preserve"> </w:t>
      </w:r>
      <w:r>
        <w:t xml:space="preserve">notably in PO2 and PO3 where carbon prices are lower than the reference case due to the</w:t>
      </w:r>
      <w:r>
        <w:t xml:space="preserve"> </w:t>
      </w:r>
      <w:r>
        <w:t xml:space="preserve">expansion of EU ETS coverage to waste emissions, (iii) other scenario implications of waste</w:t>
      </w:r>
      <w:r>
        <w:t xml:space="preserve"> </w:t>
      </w:r>
      <w:r>
        <w:t xml:space="preserve">inclusion in EU ETS, such as the increase in the price of electricity and (iv) the impact arising</w:t>
      </w:r>
      <w:r>
        <w:t xml:space="preserve"> </w:t>
      </w:r>
      <w:r>
        <w:t xml:space="preserve">from revenue recycling. The dominant driver of the sectoral effects varies between these four</w:t>
      </w:r>
      <w:r>
        <w:t xml:space="preserve"> </w:t>
      </w:r>
      <w:r>
        <w:t xml:space="preserve">mechanisms across sectors.</w:t>
      </w:r>
      <w:r>
        <w:br/>
      </w:r>
      <w:r>
        <w:t xml:space="preserve">Among the policy measures, PO3 shows the highest reduction in production costs relative to</w:t>
      </w:r>
      <w:r>
        <w:t xml:space="preserve"> </w:t>
      </w:r>
      <w:r>
        <w:t xml:space="preserve">the baseline, despite the full phase-out of free allowances after 2034. This improvement in</w:t>
      </w:r>
      <w:r>
        <w:t xml:space="preserve"> </w:t>
      </w:r>
      <w:r>
        <w:t xml:space="preserve">competitiveness is driven by the inclusion of waste emissions in EU ETS, which leads on to a</w:t>
      </w:r>
      <w:r>
        <w:t xml:space="preserve"> </w:t>
      </w:r>
      <w:r>
        <w:t xml:space="preserve">decline in the carbon price. By contrast, policy options with alternative revenue recycling</w:t>
      </w:r>
      <w:r>
        <w:t xml:space="preserve"> </w:t>
      </w:r>
      <w:r>
        <w:t xml:space="preserve">(PO3R and PO1R) exhibit lower competitiveness, as redirecting revenues away from power-</w:t>
      </w:r>
      <w:r>
        <w:t xml:space="preserve"> </w:t>
      </w:r>
      <w:r>
        <w:t xml:space="preserve">sector investment towards households increases domestic demand, which in turn raises both</w:t>
      </w:r>
      <w:r>
        <w:t xml:space="preserve"> </w:t>
      </w:r>
      <w:r>
        <w:t xml:space="preserve">capital and labour costs.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Production and exports respond heterogeneously across policy options relative to the baseline</w:t>
      </w:r>
      <w:r>
        <w:t xml:space="preserve"> </w:t>
      </w:r>
      <w:r>
        <w:t xml:space="preserve">scenario, reflecting differences in free allocation, sectoral coverage, and revenue recycling. By</w:t>
      </w:r>
      <w:r>
        <w:t xml:space="preserve"> </w:t>
      </w:r>
      <w:r>
        <w:t xml:space="preserve">contrast, policy options with alternative recycling (PO3R and PO1R) show lower production</w:t>
      </w:r>
      <w:r>
        <w:t xml:space="preserve"> </w:t>
      </w:r>
      <w:r>
        <w:t xml:space="preserve">and export level due to reduced competitiveness.</w:t>
      </w:r>
      <w:r>
        <w:t xml:space="preserve"> </w:t>
      </w:r>
      <w:r>
        <w:t xml:space="preserve">In all policy options, GDP in 2040 increases relative to the reference scenario, reflecting</w:t>
      </w:r>
      <w:r>
        <w:t xml:space="preserve"> </w:t>
      </w:r>
      <w:r>
        <w:t xml:space="preserve">positive macroeconomic effects driven by higher exports and/or increased private</w:t>
      </w:r>
      <w:r>
        <w:t xml:space="preserve"> </w:t>
      </w:r>
      <w:r>
        <w:t xml:space="preserve">consumption, depending on the scenario. The GDP increase ranges from 0.00% under PO2_50</w:t>
      </w:r>
      <w:r>
        <w:t xml:space="preserve"> </w:t>
      </w:r>
      <w:r>
        <w:t xml:space="preserve">to 0.08% under PO3R, with the latter achieving the highest GDP level due to the combined</w:t>
      </w:r>
      <w:r>
        <w:t xml:space="preserve"> </w:t>
      </w:r>
      <w:r>
        <w:t xml:space="preserve">effect of a lower carbon price and stronger household demand stimulated by lump-sum</w:t>
      </w:r>
      <w:r>
        <w:t xml:space="preserve"> </w:t>
      </w:r>
      <w:r>
        <w:t xml:space="preserve">recycling of EU ETS revenues.</w:t>
      </w:r>
      <w:r>
        <w:t xml:space="preserve"> </w:t>
      </w:r>
      <w:r>
        <w:t xml:space="preserve">In all scenarios except those with alternative recycling schemes, an improvement in EU27</w:t>
      </w:r>
      <w:r>
        <w:t xml:space="preserve"> </w:t>
      </w:r>
      <w:r>
        <w:t xml:space="preserve">competitiveness is observed, reflected in higher exports. This outcome is driven by a higher</w:t>
      </w:r>
      <w:r>
        <w:t xml:space="preserve"> </w:t>
      </w:r>
      <w:r>
        <w:t xml:space="preserve">allocation of free allowances to EU ETS sectors (e.g. PO1), and/or lower carbon prices required</w:t>
      </w:r>
      <w:r>
        <w:t xml:space="preserve"> </w:t>
      </w:r>
      <w:r>
        <w:t xml:space="preserve">to meet the EU ETS cap because of including waste emissions in EU ETS (e.g. PO3). In the</w:t>
      </w:r>
      <w:r>
        <w:t xml:space="preserve"> </w:t>
      </w:r>
      <w:r>
        <w:t xml:space="preserve">recycling scenarios, private consumption is the main driver of GDP growth, reflecting the</w:t>
      </w:r>
      <w:r>
        <w:t xml:space="preserve"> </w:t>
      </w:r>
      <w:r>
        <w:t xml:space="preserve">lump-sum transfer of EU ETS revenues to households. In these cases, exports decline due to</w:t>
      </w:r>
      <w:r>
        <w:t xml:space="preserve"> </w:t>
      </w:r>
      <w:r>
        <w:t xml:space="preserve">higher labour and capital costs, which arise from increased household demand and upward</w:t>
      </w:r>
      <w:r>
        <w:t xml:space="preserve"> </w:t>
      </w:r>
      <w:r>
        <w:t xml:space="preserve">pressure on factor prices. In PO2 scenarios, private consumption drops marginally as increasing</w:t>
      </w:r>
      <w:r>
        <w:t xml:space="preserve"> </w:t>
      </w:r>
      <w:r>
        <w:t xml:space="preserve">electricity prices stemming from higher waste incineration, put a pressure to the remaining</w:t>
      </w:r>
      <w:r>
        <w:t xml:space="preserve"> </w:t>
      </w:r>
      <w:r>
        <w:t xml:space="preserve">disposable income.</w:t>
      </w:r>
      <w:r>
        <w:t xml:space="preserve"> </w:t>
      </w:r>
      <w:r>
        <w:t xml:space="preserve">Additional details on the competitiveness impacts of carbon leakage measures, including</w:t>
      </w:r>
      <w:r>
        <w:t xml:space="preserve"> </w:t>
      </w:r>
      <w:r>
        <w:t xml:space="preserve">figures and insight for selected sectors can be found in Annex 12, Section 1.4.2.</w:t>
      </w:r>
      <w:r>
        <w:t xml:space="preserve"> </w:t>
      </w:r>
      <w:r>
        <w:t xml:space="preserve">It was outside the scope of the impact assessment to consider the impact of the CBAM in</w:t>
      </w:r>
      <w:r>
        <w:t xml:space="preserve"> </w:t>
      </w:r>
      <w:r>
        <w:t xml:space="preserve">preventing carbon leakage up until 2040, but it is important to note that the policy instrument</w:t>
      </w:r>
      <w:r>
        <w:t xml:space="preserve"> </w:t>
      </w:r>
      <w:r>
        <w:t xml:space="preserve">will be progressively phased in as free allocation is phased out and it is expected that by</w:t>
      </w:r>
      <w:r>
        <w:t xml:space="preserve"> </w:t>
      </w:r>
      <w:r>
        <w:t xml:space="preserve">equalising the carbon price paid at the border that the risk of carbon leakage in the sectors</w:t>
      </w:r>
      <w:r>
        <w:t xml:space="preserve"> </w:t>
      </w:r>
      <w:r>
        <w:t xml:space="preserve">currently covered should be significantly, if not entirely, reduced.</w:t>
      </w:r>
      <w:r>
        <w:br/>
      </w:r>
      <w:r>
        <w:t xml:space="preserve">Free allocation was always intended to be transitory in nature so its continuation into Phase V</w:t>
      </w:r>
      <w:r>
        <w:t xml:space="preserve"> </w:t>
      </w:r>
      <w:r>
        <w:t xml:space="preserve">(2031-2040) in all of the policy measures under consideration shows an acknowledgement by</w:t>
      </w:r>
      <w:r>
        <w:t xml:space="preserve"> </w:t>
      </w:r>
      <w:r>
        <w:t xml:space="preserve">the Commission that the non-CBAM sectors will require further support to decarbonise in what</w:t>
      </w:r>
      <w:r>
        <w:t xml:space="preserve"> </w:t>
      </w:r>
      <w:r>
        <w:t xml:space="preserve">is a very challenging operating environment. However, the trajectory of the ETS cap means</w:t>
      </w:r>
      <w:r>
        <w:t xml:space="preserve"> </w:t>
      </w:r>
      <w:r>
        <w:t xml:space="preserve">that the extent to which free allocation continues to be distributed based on the existing free</w:t>
      </w:r>
      <w:r>
        <w:t xml:space="preserve"> </w:t>
      </w:r>
      <w:r>
        <w:t xml:space="preserve">allocation rules, will increasingly become less relevant if the annual amount of preliminary free</w:t>
      </w:r>
      <w:r>
        <w:t xml:space="preserve"> </w:t>
      </w:r>
      <w:r>
        <w:t xml:space="preserve">allocation calculated exceeds the annual free allocation budget and the cross sectoral correction</w:t>
      </w:r>
      <w:r>
        <w:t xml:space="preserve"> </w:t>
      </w:r>
      <w:r>
        <w:t xml:space="preserve">factor is applied in most years – ranging between 0.92 to 0.36 depending on the policy</w:t>
      </w:r>
      <w:r>
        <w:t xml:space="preserve"> </w:t>
      </w:r>
      <w:r>
        <w:t xml:space="preserve">scenario83.</w:t>
      </w:r>
      <w:r>
        <w:t xml:space="preserve"> </w:t>
      </w:r>
      <w:r>
        <w:t xml:space="preserve">An important topic in this regard is the use of allowance revenue to solely be used to support</w:t>
      </w:r>
      <w:r>
        <w:t xml:space="preserve"> </w:t>
      </w:r>
      <w:r>
        <w:t xml:space="preserve">industry, which was a frequent position advocated by industrial associations during the</w:t>
      </w:r>
      <w:r>
        <w:t xml:space="preserve"> </w:t>
      </w:r>
      <w:r>
        <w:t xml:space="preserve">stakeholder interviews. Ultimately it will require the state and private sector to work together</w:t>
      </w:r>
      <w:r>
        <w:t xml:space="preserve"> </w:t>
      </w:r>
      <w:r>
        <w:t xml:space="preserve">to ensure the enabling conditions (i.e. availability of green hydrogen, infrastructure for CCUS,</w:t>
      </w:r>
    </w:p>
    <w:p>
      <w:pPr>
        <w:pStyle w:val="BodyText"/>
      </w:pPr>
      <w:r>
        <w:t xml:space="preserve">83 The cross-sectorial correction factor (CSCF) functions as an adjustment factor in case the preliminary free</w:t>
      </w:r>
      <w:r>
        <w:t xml:space="preserve"> </w:t>
      </w:r>
      <w:r>
        <w:t xml:space="preserve">allocation (calculated based on benchmark, activity levels, etc.) is above the total free allocation budget. A</w:t>
      </w:r>
      <w:r>
        <w:t xml:space="preserve"> </w:t>
      </w:r>
      <w:r>
        <w:t xml:space="preserve">CSCF of 1 means that final free allocation equals the preliminary free allocation. A CSCF of 0.7 means that</w:t>
      </w:r>
      <w:r>
        <w:t xml:space="preserve"> </w:t>
      </w:r>
      <w:r>
        <w:t xml:space="preserve">the final free allocation is 30% lower than the calculated preliminary free allocation. N.B. the CSCF is applied</w:t>
      </w:r>
      <w:r>
        <w:t xml:space="preserve"> </w:t>
      </w:r>
      <w:r>
        <w:t xml:space="preserve">before the CBAM phase-out factor.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availability of low cost and low carbon electricity, market demand for low carbon products)</w:t>
      </w:r>
      <w:r>
        <w:t xml:space="preserve"> </w:t>
      </w:r>
      <w:r>
        <w:t xml:space="preserve">are available so that the ambitious trajectories already outlined by industrial sectors for their</w:t>
      </w:r>
      <w:r>
        <w:t xml:space="preserve"> </w:t>
      </w:r>
      <w:r>
        <w:t xml:space="preserve">decarbonisation are achieved. The instruments to support decarbonisation via the IDB and the</w:t>
      </w:r>
      <w:r>
        <w:t xml:space="preserve"> </w:t>
      </w:r>
      <w:r>
        <w:t xml:space="preserve">IF are assessed separately. In addition, other measures and initiatives announced by the</w:t>
      </w:r>
      <w:r>
        <w:t xml:space="preserve"> </w:t>
      </w:r>
      <w:r>
        <w:t xml:space="preserve">European Commission, such as the Industrial Accelerator Act, the European Grids Package, or</w:t>
      </w:r>
      <w:r>
        <w:t xml:space="preserve"> </w:t>
      </w:r>
      <w:r>
        <w:t xml:space="preserve">the CO2 Infrastructure Package, as well as the revision of the Renewable Energy Directive will</w:t>
      </w:r>
      <w:r>
        <w:t xml:space="preserve"> </w:t>
      </w:r>
      <w:r>
        <w:t xml:space="preserve">further complement EU ETS and drive the process of industrial decarbonisation</w:t>
      </w:r>
      <w:r>
        <w:t xml:space="preserve"> </w:t>
      </w:r>
      <w:r>
        <w:t xml:space="preserve">For ICC compensation, estimates indicate that indirect carbon cost accounts for between 8%-</w:t>
      </w:r>
      <w:r>
        <w:t xml:space="preserve"> </w:t>
      </w:r>
      <w:r>
        <w:t xml:space="preserve">11% of the retail electricity price paid by large industrial consumers in the EU on average in</w:t>
      </w:r>
      <w:r>
        <w:t xml:space="preserve"> </w:t>
      </w:r>
      <w:r>
        <w:t xml:space="preserve">2025, smaller than the share of taxes, network charges, or fuel costs.</w:t>
      </w:r>
      <w:r>
        <w:br/>
      </w:r>
      <w:r>
        <w:t xml:space="preserve">The upper end of this range is based on the marginal emissions factor, which takes account of</w:t>
      </w:r>
      <w:r>
        <w:t xml:space="preserve"> </w:t>
      </w:r>
      <w:r>
        <w:t xml:space="preserve">the fact that ICC can be passed on through electricity prices even when the grid is largely</w:t>
      </w:r>
      <w:r>
        <w:t xml:space="preserve"> </w:t>
      </w:r>
      <w:r>
        <w:t xml:space="preserve">decarbonised. This means that: i) carbon cost is passed through to consumers whenever fossil</w:t>
      </w:r>
      <w:r>
        <w:t xml:space="preserve"> </w:t>
      </w:r>
      <w:r>
        <w:t xml:space="preserve">fuels are the price-setting marginal generator; but ii) carbon cost is not passed through</w:t>
      </w:r>
      <w:r>
        <w:t xml:space="preserve"> </w:t>
      </w:r>
      <w:r>
        <w:t xml:space="preserve">whenever the price is set by non-fossil generation. The lower end of this range is based on the</w:t>
      </w:r>
      <w:r>
        <w:t xml:space="preserve"> </w:t>
      </w:r>
      <w:r>
        <w:t xml:space="preserve">average emissions factor of the EU power mix and represents the share of carbon cost in total</w:t>
      </w:r>
      <w:r>
        <w:t xml:space="preserve"> </w:t>
      </w:r>
      <w:r>
        <w:t xml:space="preserve">electricity system costs.</w:t>
      </w:r>
      <w:r>
        <w:br/>
      </w:r>
      <w:r>
        <w:t xml:space="preserve">The main effect of continuing to provide compensation would be to alleviate the risk of carbon</w:t>
      </w:r>
      <w:r>
        <w:t xml:space="preserve"> </w:t>
      </w:r>
      <w:r>
        <w:t xml:space="preserve">leakage and incentivise electrification by compensating for some of this cost. ICC</w:t>
      </w:r>
      <w:r>
        <w:t xml:space="preserve"> </w:t>
      </w:r>
      <w:r>
        <w:t xml:space="preserve">compensation is therefore also an important contributor to the competitiveness of electro-</w:t>
      </w:r>
      <w:r>
        <w:t xml:space="preserve"> </w:t>
      </w:r>
      <w:r>
        <w:t xml:space="preserve">intensive processes within sectors. This is particularly important for as long as direct emitting</w:t>
      </w:r>
      <w:r>
        <w:t xml:space="preserve"> </w:t>
      </w:r>
      <w:r>
        <w:t xml:space="preserve">processes continue to receive free allocation, and as long as fossil fuels continue to act as the</w:t>
      </w:r>
      <w:r>
        <w:t xml:space="preserve"> </w:t>
      </w:r>
      <w:r>
        <w:t xml:space="preserve">marginal generator, thereby exerting a greater influence on electricity prices than their</w:t>
      </w:r>
      <w:r>
        <w:t xml:space="preserve"> </w:t>
      </w:r>
      <w:r>
        <w:t xml:space="preserve">generation share would suggest.</w:t>
      </w:r>
      <w:r>
        <w:br/>
      </w:r>
      <w:r>
        <w:t xml:space="preserve">The provision of some ICC through an EU-level instrument would provide greater certainty</w:t>
      </w:r>
      <w:r>
        <w:t xml:space="preserve"> </w:t>
      </w:r>
      <w:r>
        <w:t xml:space="preserve">over the availability of compensation compared to a purely State-aid-based approach, as well</w:t>
      </w:r>
      <w:r>
        <w:t xml:space="preserve"> </w:t>
      </w:r>
      <w:r>
        <w:t xml:space="preserve">as diminish distortion of competition. Therefore, option ICC2 would have additional</w:t>
      </w:r>
      <w:r>
        <w:t xml:space="preserve"> </w:t>
      </w:r>
      <w:r>
        <w:t xml:space="preserve">competitiveness benefits to some installations (those who would not have received aid under</w:t>
      </w:r>
      <w:r>
        <w:t xml:space="preserve"> </w:t>
      </w:r>
      <w:r>
        <w:t xml:space="preserve">ICC1). On the other hand, it would bring additional administrative burden as noted in Section</w:t>
      </w:r>
      <w:r>
        <w:t xml:space="preserve"> </w:t>
      </w:r>
      <w:r>
        <w:t xml:space="preserve">6.2.2.5.</w:t>
      </w:r>
      <w:r>
        <w:br/>
      </w:r>
      <w:r>
        <w:t xml:space="preserve">As explained in Section 6.2.1.6 above (and in Annex 12), the extent of this compensation is</w:t>
      </w:r>
      <w:r>
        <w:t xml:space="preserve"> </w:t>
      </w:r>
      <w:r>
        <w:t xml:space="preserve">estimated as being equivalent to 11% - 22% of overall ETS revenues in the 2031-40 period if</w:t>
      </w:r>
      <w:r>
        <w:t xml:space="preserve"> </w:t>
      </w:r>
      <w:r>
        <w:t xml:space="preserve">all Member States were to provide State aid post-2030 using schemes similar to those currently</w:t>
      </w:r>
      <w:r>
        <w:t xml:space="preserve"> </w:t>
      </w:r>
      <w:r>
        <w:t xml:space="preserve">in place84. The higher end of the range assumes that post-2030 compensation continues to be</w:t>
      </w:r>
      <w:r>
        <w:t xml:space="preserve"> </w:t>
      </w:r>
      <w:r>
        <w:t xml:space="preserve">based on the carbon intensity of fossil-based electricity generation.</w:t>
      </w:r>
      <w:r>
        <w:br/>
      </w:r>
      <w:r>
        <w:t xml:space="preserve">6.2.3.6. Waste</w:t>
      </w:r>
      <w:r>
        <w:t xml:space="preserve"> </w:t>
      </w:r>
      <w:r>
        <w:t xml:space="preserve">Extending carbon pricing to greenhouse gas emissions from municipal waste incineration</w:t>
      </w:r>
      <w:r>
        <w:t xml:space="preserve"> </w:t>
      </w:r>
      <w:r>
        <w:t xml:space="preserve">(PO2) and hazardous waste incineration and landfilling of non-hazardous waste (PO3) can</w:t>
      </w:r>
      <w:r>
        <w:t xml:space="preserve"> </w:t>
      </w:r>
      <w:r>
        <w:t xml:space="preserve">provide an important complementary financial incentive to foster sectoral innovation, support</w:t>
      </w:r>
      <w:r>
        <w:t xml:space="preserve"> </w:t>
      </w:r>
      <w:r>
        <w:t xml:space="preserve">the economy-wide uptake of carbon removals and CCU, and contribute to the circular</w:t>
      </w:r>
      <w:r>
        <w:t xml:space="preserve"> </w:t>
      </w:r>
      <w:r>
        <w:t xml:space="preserve">economy, reinforcing recycling, more efficient material flows, and EU competitiveness. These</w:t>
      </w:r>
      <w:r>
        <w:t xml:space="preserve"> </w:t>
      </w:r>
      <w:r>
        <w:t xml:space="preserve">were also the most frequently cited reasons by stakeholders in the public consultation in support</w:t>
      </w:r>
      <w:r>
        <w:t xml:space="preserve"> </w:t>
      </w:r>
      <w:r>
        <w:t xml:space="preserve">of MWI inclusion.</w:t>
      </w:r>
    </w:p>
    <w:p>
      <w:pPr>
        <w:pStyle w:val="BodyText"/>
      </w:pPr>
      <w:r>
        <w:t xml:space="preserve">84 See Section 6.2.1.6.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First, as explained in the preceding and following sections, the inclusion of municipal waste</w:t>
      </w:r>
      <w:r>
        <w:t xml:space="preserve"> </w:t>
      </w:r>
      <w:r>
        <w:t xml:space="preserve">incineration in the scope of the EU ETS under PO2 and PO3 offers considerable opportunities</w:t>
      </w:r>
      <w:r>
        <w:t xml:space="preserve"> </w:t>
      </w:r>
      <w:r>
        <w:t xml:space="preserve">for biogenic carbon removal generation and enables the consideration of alternatives for how</w:t>
      </w:r>
      <w:r>
        <w:t xml:space="preserve"> </w:t>
      </w:r>
      <w:r>
        <w:t xml:space="preserve">to account the emissions that are captured and used in non-permanent products, such as e-fuels</w:t>
      </w:r>
      <w:r>
        <w:t xml:space="preserve"> </w:t>
      </w:r>
      <w:r>
        <w:t xml:space="preserve">and synthetic chemicals.</w:t>
      </w:r>
      <w:r>
        <w:br/>
      </w:r>
      <w:r>
        <w:t xml:space="preserve">Second, by internalising the carbon footprint of waste disposal and financially incentivising</w:t>
      </w:r>
      <w:r>
        <w:t xml:space="preserve"> </w:t>
      </w:r>
      <w:r>
        <w:t xml:space="preserve">the business case for separate waste collection, sorting, material and carbon recovery and</w:t>
      </w:r>
      <w:r>
        <w:t xml:space="preserve"> </w:t>
      </w:r>
      <w:r>
        <w:t xml:space="preserve">recycling, PO2 and PO3 contribute to the ambition set out in the Competitiveness Compass</w:t>
      </w:r>
      <w:r>
        <w:t xml:space="preserve"> </w:t>
      </w:r>
      <w:r>
        <w:t xml:space="preserve">and the Clean Industrial Deal to make the EU the world leader on the circular economy by</w:t>
      </w:r>
      <w:r>
        <w:t xml:space="preserve"> </w:t>
      </w:r>
      <w:r>
        <w:t xml:space="preserve">2030, to double the amount of circular materials by 2030, and to establish a clear link between</w:t>
      </w:r>
      <w:r>
        <w:t xml:space="preserve"> </w:t>
      </w:r>
      <w:r>
        <w:t xml:space="preserve">incentives for decarbonisation and circularity efforts by industry. Circular economy activities</w:t>
      </w:r>
      <w:r>
        <w:t xml:space="preserve"> </w:t>
      </w:r>
      <w:r>
        <w:t xml:space="preserve">already represent around 1-2% of EU GDP85 and generated almost EUR 300 billion in gross</w:t>
      </w:r>
      <w:r>
        <w:t xml:space="preserve"> </w:t>
      </w:r>
      <w:r>
        <w:t xml:space="preserve">value added, alongside EUR 122 billion in private investment, in 202186. The European</w:t>
      </w:r>
      <w:r>
        <w:t xml:space="preserve"> </w:t>
      </w:r>
      <w:r>
        <w:t xml:space="preserve">remanufacturing market’s circular potential is projected to grow from its current value of EUR</w:t>
      </w:r>
      <w:r>
        <w:t xml:space="preserve"> </w:t>
      </w:r>
      <w:r>
        <w:t xml:space="preserve">31 billion to EUR 100 billion by 2030, creating 500,000 new jobs87, with PO2 and PO3</w:t>
      </w:r>
      <w:r>
        <w:t xml:space="preserve"> </w:t>
      </w:r>
      <w:r>
        <w:t xml:space="preserve">projected to foster the growth of the EU circular economy and recycling sector. The impact is</w:t>
      </w:r>
      <w:r>
        <w:t xml:space="preserve"> </w:t>
      </w:r>
      <w:r>
        <w:t xml:space="preserve">expected to be significant for PO2, and comparatively highest for PO3, while no change</w:t>
      </w:r>
      <w:r>
        <w:t xml:space="preserve"> </w:t>
      </w:r>
      <w:r>
        <w:t xml:space="preserve">compared to the baseline is expected under PO1. Accelerating the joint transition to more</w:t>
      </w:r>
      <w:r>
        <w:t xml:space="preserve"> </w:t>
      </w:r>
      <w:r>
        <w:t xml:space="preserve">circularity and decarbonisation of waste increases the EU’s economic security, resilience and</w:t>
      </w:r>
      <w:r>
        <w:t xml:space="preserve"> </w:t>
      </w:r>
      <w:r>
        <w:t xml:space="preserve">competitiveness by reducing global dependencies on imported virgin materials and price</w:t>
      </w:r>
      <w:r>
        <w:t xml:space="preserve"> </w:t>
      </w:r>
      <w:r>
        <w:t xml:space="preserve">volatility, improving resource productivity, job creation and strengthening innovation.</w:t>
      </w:r>
      <w:r>
        <w:t xml:space="preserve"> </w:t>
      </w:r>
      <w:r>
        <w:t xml:space="preserve">Finally, while the situation substantially differs between Member States, in view of the EUs</w:t>
      </w:r>
      <w:r>
        <w:t xml:space="preserve"> </w:t>
      </w:r>
      <w:r>
        <w:t xml:space="preserve">increasing recycling and circular economy targets, the carbon price can also provide a</w:t>
      </w:r>
      <w:r>
        <w:t xml:space="preserve"> </w:t>
      </w:r>
      <w:r>
        <w:t xml:space="preserve">complementary incentive over time to aggregate infrastructure and make waste disposal more</w:t>
      </w:r>
      <w:r>
        <w:t xml:space="preserve"> </w:t>
      </w:r>
      <w:r>
        <w:t xml:space="preserve">efficient from an environmental and recycling point of view.</w:t>
      </w:r>
      <w:r>
        <w:t xml:space="preserve"> </w:t>
      </w:r>
      <w:r>
        <w:t xml:space="preserve">6.2.3.7.CCU</w:t>
      </w:r>
      <w:r>
        <w:t xml:space="preserve"> </w:t>
      </w:r>
      <w:r>
        <w:t xml:space="preserve">Under the baseline scenario, upstream accounting would make non-permanent CCU products</w:t>
      </w:r>
      <w:r>
        <w:t xml:space="preserve"> </w:t>
      </w:r>
      <w:r>
        <w:t xml:space="preserve">uncompetitive as it would require the surrender of allowances for the carbon embedded in CCU</w:t>
      </w:r>
      <w:r>
        <w:t xml:space="preserve"> </w:t>
      </w:r>
      <w:r>
        <w:t xml:space="preserve">chemicals, plastics, which does not apply to traditional virgin fossil equivalent products (for</w:t>
      </w:r>
      <w:r>
        <w:t xml:space="preserve"> </w:t>
      </w:r>
      <w:r>
        <w:t xml:space="preserve">which only direct, scope 1 emissions are covered by the ETS). Furthermore, in the baseline,</w:t>
      </w:r>
      <w:r>
        <w:t xml:space="preserve"> </w:t>
      </w:r>
      <w:r>
        <w:t xml:space="preserve">the limited incentive to invest in carbon capture results in CO2 feedstock being scarce and</w:t>
      </w:r>
      <w:r>
        <w:t xml:space="preserve"> </w:t>
      </w:r>
      <w:r>
        <w:t xml:space="preserve">expensive, which negatively affects the business case for non-permanent CCU products.</w:t>
      </w:r>
      <w:r>
        <w:br/>
      </w:r>
      <w:r>
        <w:t xml:space="preserve">The hybrid downstream and midstream accounting approach (PO2 and PO3), enabled by the</w:t>
      </w:r>
      <w:r>
        <w:t xml:space="preserve"> </w:t>
      </w:r>
      <w:r>
        <w:t xml:space="preserve">integration of waste incineration in the ETS, ensures that there is a level playing field in terms</w:t>
      </w:r>
      <w:r>
        <w:t xml:space="preserve"> </w:t>
      </w:r>
      <w:r>
        <w:t xml:space="preserve">of emissions accounting for non-permanent CCU products and their fossil fuel equivalent. Only</w:t>
      </w:r>
      <w:r>
        <w:t xml:space="preserve"> </w:t>
      </w:r>
      <w:r>
        <w:t xml:space="preserve">the combustion and process emissions from their production are reported and priced in the ETS</w:t>
      </w:r>
      <w:r>
        <w:t xml:space="preserve"> </w:t>
      </w:r>
      <w:r>
        <w:t xml:space="preserve">for both type of products, while the emissions embedded in the product will be reported and</w:t>
      </w:r>
      <w:r>
        <w:t xml:space="preserve"> </w:t>
      </w:r>
      <w:r>
        <w:t xml:space="preserve">paid for downstream when those emissions are realised, i.e. at the point of incineration. This</w:t>
      </w:r>
    </w:p>
    <w:p>
      <w:pPr>
        <w:pStyle w:val="BodyText"/>
      </w:pPr>
      <w:r>
        <w:t xml:space="preserve">85 OECD,</w:t>
      </w:r>
      <w:r>
        <w:t xml:space="preserve"> </w:t>
      </w:r>
      <w:r>
        <w:t xml:space="preserve">The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in</w:t>
      </w:r>
      <w:r>
        <w:t xml:space="preserve"> </w:t>
      </w:r>
      <w:r>
        <w:t xml:space="preserve">Cities</w:t>
      </w:r>
      <w:r>
        <w:t xml:space="preserve"> </w:t>
      </w:r>
      <w:r>
        <w:t xml:space="preserve">and</w:t>
      </w:r>
      <w:r>
        <w:t xml:space="preserve"> </w:t>
      </w:r>
      <w:r>
        <w:t xml:space="preserve">Regions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https://www.oecd.org/en/publications/the-circular-economy-in-cities-and-regions-of-the-european-</w:t>
      </w:r>
      <w:r>
        <w:t xml:space="preserve"> </w:t>
      </w:r>
      <w:r>
        <w:t xml:space="preserve">union_e09c21e2-en.html.</w:t>
      </w:r>
      <w:r>
        <w:t xml:space="preserve"> </w:t>
      </w:r>
      <w:r>
        <w:t xml:space="preserve">86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on a revised monitoring</w:t>
      </w:r>
      <w:r>
        <w:t xml:space="preserve"> </w:t>
      </w:r>
      <w:r>
        <w:t xml:space="preserve">framework for the circular economy, SWD(2023) 306 final, 15.5.2023, https://eur-lex.europa.eu/legal-</w:t>
      </w:r>
      <w:r>
        <w:t xml:space="preserve"> </w:t>
      </w:r>
      <w:r>
        <w:t xml:space="preserve">content/EN/TXT/?uri=celex:52023DC0306.</w:t>
      </w:r>
      <w:r>
        <w:t xml:space="preserve"> </w:t>
      </w:r>
      <w:r>
        <w:t xml:space="preserve">87 World Bank, 2022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accounting approach also provides flexibility for operators to decide whether the CO2 should</w:t>
      </w:r>
      <w:r>
        <w:t xml:space="preserve"> </w:t>
      </w:r>
      <w:r>
        <w:t xml:space="preserve">be stored or utilised in different types of products or applications depending on their</w:t>
      </w:r>
      <w:r>
        <w:t xml:space="preserve"> </w:t>
      </w:r>
      <w:r>
        <w:t xml:space="preserve">circumstances (location, access to CO2 infrastructure and storage, access to green H2, etc.) and</w:t>
      </w:r>
      <w:r>
        <w:t xml:space="preserve"> </w:t>
      </w:r>
      <w:r>
        <w:t xml:space="preserve">the comparative costs and benefits between storing emissions, or producing different synthetic</w:t>
      </w:r>
      <w:r>
        <w:t xml:space="preserve"> </w:t>
      </w:r>
      <w:r>
        <w:t xml:space="preserve">chemicals, plastics or e-fuels. For e-fuel producers this option gives more clarity on the costs</w:t>
      </w:r>
      <w:r>
        <w:t xml:space="preserve"> </w:t>
      </w:r>
      <w:r>
        <w:t xml:space="preserve">and trade-offs available for sourcing different CO2 feedstock for their production process.</w:t>
      </w:r>
      <w:r>
        <w:t xml:space="preserve"> </w:t>
      </w:r>
      <w:r>
        <w:t xml:space="preserve">Fossil CO2 may be more available and cheaper to capture, but it requires the surrendering of</w:t>
      </w:r>
      <w:r>
        <w:t xml:space="preserve"> </w:t>
      </w:r>
      <w:r>
        <w:t xml:space="preserve">emissions of allowances, while biogenic or atmospheric CO2 may be more expensive to source,</w:t>
      </w:r>
      <w:r>
        <w:t xml:space="preserve"> </w:t>
      </w:r>
      <w:r>
        <w:t xml:space="preserve">but do not require an ETS payment.</w:t>
      </w:r>
      <w:r>
        <w:br/>
      </w:r>
      <w:r>
        <w:t xml:space="preserve">6.2.4. SMEs</w:t>
      </w:r>
      <w:r>
        <w:t xml:space="preserve"> </w:t>
      </w:r>
      <w:r>
        <w:t xml:space="preserve">6.2.4.1. Aviation</w:t>
      </w:r>
      <w:r>
        <w:t xml:space="preserve"> </w:t>
      </w:r>
      <w:r>
        <w:t xml:space="preserve">There are more than 370 active aircraft operators in the EU ETS, and 187 of these are registered</w:t>
      </w:r>
      <w:r>
        <w:t xml:space="preserve"> </w:t>
      </w:r>
      <w:r>
        <w:t xml:space="preserve">in EU countries and therefore included in this report’s analysis.</w:t>
      </w:r>
      <w:r>
        <w:br/>
      </w:r>
      <w:r>
        <w:t xml:space="preserve">In most EU member states, large enterprises own a majority of aircraft operators. In 15</w:t>
      </w:r>
      <w:r>
        <w:t xml:space="preserve"> </w:t>
      </w:r>
      <w:r>
        <w:t xml:space="preserve">member states, large enterprises own all aircraft operators. In seven member states, 60 to 95%</w:t>
      </w:r>
      <w:r>
        <w:t xml:space="preserve"> </w:t>
      </w:r>
      <w:r>
        <w:t xml:space="preserve">of aircraft operators are owned by large enterprises: Bulgaria (60%), Poland (67%), Greece</w:t>
      </w:r>
      <w:r>
        <w:t xml:space="preserve"> </w:t>
      </w:r>
      <w:r>
        <w:t xml:space="preserve">(75%), France (86%), Belgium (86%), Italy (88%), and Germany (93%). In Romania, two</w:t>
      </w:r>
      <w:r>
        <w:t xml:space="preserve"> </w:t>
      </w:r>
      <w:r>
        <w:t xml:space="preserve">thirds of aircraft operators are owned by medium-sized enterprises. Hungary and Slovenia each</w:t>
      </w:r>
      <w:r>
        <w:t xml:space="preserve"> </w:t>
      </w:r>
      <w:r>
        <w:t xml:space="preserve">have a single aircraft operator, owned respectively by a medium-sized and a small</w:t>
      </w:r>
      <w:r>
        <w:t xml:space="preserve"> </w:t>
      </w:r>
      <w:r>
        <w:t xml:space="preserve">enterprise. For more detail, see Annex 6.</w:t>
      </w:r>
      <w:r>
        <w:t xml:space="preserve"> </w:t>
      </w:r>
      <w:r>
        <w:t xml:space="preserve">6.2.4.2. Maritime</w:t>
      </w:r>
      <w:r>
        <w:t xml:space="preserve"> </w:t>
      </w:r>
      <w:r>
        <w:t xml:space="preserve">The extension of the ETS to smaller vessels under PO2 is expected to primarily affect SMEs,</w:t>
      </w:r>
      <w:r>
        <w:t xml:space="preserve"> </w:t>
      </w:r>
      <w:r>
        <w:t xml:space="preserve">since companies managing smaller vessels tend to be on average smaller (i.e. 1.6 vessels per</w:t>
      </w:r>
      <w:r>
        <w:t xml:space="preserve"> </w:t>
      </w:r>
      <w:r>
        <w:t xml:space="preserve">company) than those already reporting under the EU maritime MRV (2.6 vessels per company).</w:t>
      </w:r>
      <w:r>
        <w:t xml:space="preserve"> </w:t>
      </w:r>
      <w:r>
        <w:t xml:space="preserve">In addition, most companies managing smaller vessels would be new to the MRV and ETS</w:t>
      </w:r>
      <w:r>
        <w:t xml:space="preserve"> </w:t>
      </w:r>
      <w:r>
        <w:t xml:space="preserve">system and would need to set up and familiarise themselves with MRV and ETS processes. A</w:t>
      </w:r>
      <w:r>
        <w:t xml:space="preserve"> </w:t>
      </w:r>
      <w:r>
        <w:t xml:space="preserve">key disadvantage for SMEs is their more limited capacity to absorb additional administrative</w:t>
      </w:r>
      <w:r>
        <w:t xml:space="preserve"> </w:t>
      </w:r>
      <w:r>
        <w:t xml:space="preserve">costs. While some administrative costs borne by shipping companies are dependent on fleet</w:t>
      </w:r>
      <w:r>
        <w:t xml:space="preserve"> </w:t>
      </w:r>
      <w:r>
        <w:t xml:space="preserve">size, other costs are fixed. As such, the proportionate administrative burden is likely to be</w:t>
      </w:r>
      <w:r>
        <w:t xml:space="preserve"> </w:t>
      </w:r>
      <w:r>
        <w:t xml:space="preserve">higher for smaller businesses who do not benefit from significant economies of scale. SMEs in</w:t>
      </w:r>
      <w:r>
        <w:t xml:space="preserve"> </w:t>
      </w:r>
      <w:r>
        <w:t xml:space="preserve">the maritime sector are expected to sell or buy allowances via intermediary traders mainly from</w:t>
      </w:r>
      <w:r>
        <w:t xml:space="preserve"> </w:t>
      </w:r>
      <w:r>
        <w:t xml:space="preserve">the financial sector instead of participating directly in the primary or secondary markets.</w:t>
      </w:r>
      <w:r>
        <w:t xml:space="preserve"> </w:t>
      </w:r>
      <w:r>
        <w:t xml:space="preserve">Another key disadvantage for SMEs is their limited ability to access financing for capital</w:t>
      </w:r>
      <w:r>
        <w:t xml:space="preserve"> </w:t>
      </w:r>
      <w:r>
        <w:t xml:space="preserve">investments in low-carbon technologies (e.g., alternative propulsion systems or onboard carbon</w:t>
      </w:r>
      <w:r>
        <w:t xml:space="preserve"> </w:t>
      </w:r>
      <w:r>
        <w:t xml:space="preserve">capture). This constraint may reduce the range of greenhouse gas abatement options available</w:t>
      </w:r>
      <w:r>
        <w:t xml:space="preserve"> </w:t>
      </w:r>
      <w:r>
        <w:t xml:space="preserve">to them, potentially increasing their exposure to ETS-related costs in the short term.</w:t>
      </w:r>
      <w:r>
        <w:br/>
      </w:r>
      <w:r>
        <w:t xml:space="preserve">6.2.4.3. Carbon leakage prevention</w:t>
      </w:r>
      <w:r>
        <w:t xml:space="preserve"> </w:t>
      </w:r>
      <w:r>
        <w:t xml:space="preserve">Businesses most likely to be affected by the policy measures were identified by using the</w:t>
      </w:r>
      <w:r>
        <w:t xml:space="preserve"> </w:t>
      </w:r>
      <w:r>
        <w:t xml:space="preserve">preliminary NIMs dataset to categorise sub-installation information for selected non-CBAM</w:t>
      </w:r>
      <w:r>
        <w:t xml:space="preserve"> </w:t>
      </w:r>
      <w:r>
        <w:t xml:space="preserve">sectors into different tCO2 emission ranges. However, SMEs cannot be directly identified from</w:t>
      </w:r>
      <w:r>
        <w:t xml:space="preserve"> </w:t>
      </w:r>
      <w:r>
        <w:t xml:space="preserve">the ETS data available and therefore proxy measures based on low direct emissions or low</w:t>
      </w:r>
      <w:r>
        <w:t xml:space="preserve"> </w:t>
      </w:r>
      <w:r>
        <w:t xml:space="preserve">electricity consumption (for indirect emissions) are adopted for the SME test. Annex 6 contains</w:t>
      </w:r>
      <w:r>
        <w:t xml:space="preserve"> </w:t>
      </w:r>
      <w:r>
        <w:t xml:space="preserve">further analysis, using non-ETS data, of the potential presence of SMEs among ETS-regulated</w:t>
      </w:r>
      <w:r>
        <w:t xml:space="preserve"> </w:t>
      </w:r>
      <w:r>
        <w:t xml:space="preserve">installations.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For the non-CBAM sectors, the lime and refined oil sectors have the lowest shares of their total</w:t>
      </w:r>
      <w:r>
        <w:t xml:space="preserve"> </w:t>
      </w:r>
      <w:r>
        <w:t xml:space="preserve">sub-installations that emit under 5,000 tCO2 (under 20% and around 20% respectively), while</w:t>
      </w:r>
      <w:r>
        <w:t xml:space="preserve"> </w:t>
      </w:r>
      <w:r>
        <w:t xml:space="preserve">the ceramics and paper and paperboard sectors have the highest shares accounting for over 60%</w:t>
      </w:r>
      <w:r>
        <w:t xml:space="preserve"> </w:t>
      </w:r>
      <w:r>
        <w:t xml:space="preserve">and 50% of their total sub-installations respectively. The chemical sectors both organic and</w:t>
      </w:r>
      <w:r>
        <w:t xml:space="preserve"> </w:t>
      </w:r>
      <w:r>
        <w:t xml:space="preserve">inorganic are within this range with a 34% and 36% share of their total sub-installations that</w:t>
      </w:r>
      <w:r>
        <w:t xml:space="preserve"> </w:t>
      </w:r>
      <w:r>
        <w:t xml:space="preserve">emit under 5,000 tCO2 respectively.</w:t>
      </w:r>
      <w:r>
        <w:br/>
      </w:r>
      <w:r>
        <w:t xml:space="preserve">SME stakeholders were represented by their sector associations in the stakeholder interviews</w:t>
      </w:r>
      <w:r>
        <w:t xml:space="preserve"> </w:t>
      </w:r>
      <w:r>
        <w:t xml:space="preserve">as well as having the opportunity to submit their views within the OPC itself. In terms of the</w:t>
      </w:r>
      <w:r>
        <w:t xml:space="preserve"> </w:t>
      </w:r>
      <w:r>
        <w:t xml:space="preserve">impact of the policy measures on SMEs within the non-CBAM sectors, the consultation</w:t>
      </w:r>
      <w:r>
        <w:t xml:space="preserve"> </w:t>
      </w:r>
      <w:r>
        <w:t xml:space="preserve">exercise collected evidence that the concerns raised (i.e. increased direct carbon costs and a</w:t>
      </w:r>
      <w:r>
        <w:t xml:space="preserve"> </w:t>
      </w:r>
      <w:r>
        <w:t xml:space="preserve">loss of international competitiveness) are very similar in nature to larger emitters but that the</w:t>
      </w:r>
      <w:r>
        <w:t xml:space="preserve"> </w:t>
      </w:r>
      <w:r>
        <w:t xml:space="preserve">magnitude of the impact may be greater. It is to be expected that CL1 (PO1) will have a smaller</w:t>
      </w:r>
      <w:r>
        <w:t xml:space="preserve"> </w:t>
      </w:r>
      <w:r>
        <w:t xml:space="preserve">impact on SMEs than CL2 (PO2) or CL3 (PO3) given that the non-CBAM sectors receive more</w:t>
      </w:r>
      <w:r>
        <w:t xml:space="preserve"> </w:t>
      </w:r>
      <w:r>
        <w:t xml:space="preserve">free allowances under the current approach without imposing additional requirements under</w:t>
      </w:r>
      <w:r>
        <w:t xml:space="preserve"> </w:t>
      </w:r>
      <w:r>
        <w:t xml:space="preserve">CL2 (PO2) to comply with conditionalities or receiving less allowances under the more rapid</w:t>
      </w:r>
      <w:r>
        <w:t xml:space="preserve"> </w:t>
      </w:r>
      <w:r>
        <w:t xml:space="preserve">phase out of free allocation envisaged under CL3 (PO3) to align with CBAM sectors. Indeed,</w:t>
      </w:r>
      <w:r>
        <w:t xml:space="preserve"> </w:t>
      </w:r>
      <w:r>
        <w:t xml:space="preserve">interviews with industrial stakeholders advanced the position that the introduction of further</w:t>
      </w:r>
      <w:r>
        <w:t xml:space="preserve"> </w:t>
      </w:r>
      <w:r>
        <w:t xml:space="preserve">conditionalities as envisaged in CL2 (PO2) would impose additional administrative costs on</w:t>
      </w:r>
      <w:r>
        <w:t xml:space="preserve"> </w:t>
      </w:r>
      <w:r>
        <w:t xml:space="preserve">operators and that these would have a higher impact SMEs. Given the strong insistence by</w:t>
      </w:r>
      <w:r>
        <w:t xml:space="preserve"> </w:t>
      </w:r>
      <w:r>
        <w:t xml:space="preserve">industrial associations regarding the importance of continued free allocation, CL3(PO3) would</w:t>
      </w:r>
      <w:r>
        <w:t xml:space="preserve"> </w:t>
      </w:r>
      <w:r>
        <w:t xml:space="preserve">increase the risk of carbon leakage, and this risk would be even greater for SMEs.</w:t>
      </w:r>
      <w:r>
        <w:t xml:space="preserve"> </w:t>
      </w:r>
      <w:r>
        <w:t xml:space="preserve">Small installations in the NIMs dataset were also identified in sectors eligible for ICC</w:t>
      </w:r>
      <w:r>
        <w:t xml:space="preserve"> </w:t>
      </w:r>
      <w:r>
        <w:t xml:space="preserve">compensation and categorised according to their annual electricity consumption. The smallest</w:t>
      </w:r>
      <w:r>
        <w:t xml:space="preserve"> </w:t>
      </w:r>
      <w:r>
        <w:t xml:space="preserve">installations (under 5,000 MWh) accounted for 20%-35% of the total number in manufacture</w:t>
      </w:r>
      <w:r>
        <w:t xml:space="preserve"> </w:t>
      </w:r>
      <w:r>
        <w:t xml:space="preserve">of other inorganic basic chemicals, aluminium production, the manufacture of basic iron and</w:t>
      </w:r>
      <w:r>
        <w:t xml:space="preserve"> </w:t>
      </w:r>
      <w:r>
        <w:t xml:space="preserve">steel, and ferro-alloys and copper production (see Annex 12 for details). This suggests that</w:t>
      </w:r>
      <w:r>
        <w:t xml:space="preserve"> </w:t>
      </w:r>
      <w:r>
        <w:t xml:space="preserve">changes to ICC compensation would have the greatest effect in these sectors, and that they</w:t>
      </w:r>
      <w:r>
        <w:t xml:space="preserve"> </w:t>
      </w:r>
      <w:r>
        <w:t xml:space="preserve">would be most affected by the potentially larger administration effort of Option ICC2 (see</w:t>
      </w:r>
      <w:r>
        <w:t xml:space="preserve"> </w:t>
      </w:r>
      <w:r>
        <w:t xml:space="preserve">Section 6.2.2.5).</w:t>
      </w:r>
      <w:r>
        <w:t xml:space="preserve"> </w:t>
      </w:r>
      <w:r>
        <w:t xml:space="preserve">6.2.4.4. Waste</w:t>
      </w:r>
      <w:r>
        <w:t xml:space="preserve"> </w:t>
      </w:r>
      <w:r>
        <w:t xml:space="preserve">PO1 is not expected to have an additional impact on SMEs as the scope of the EU ETS is not</w:t>
      </w:r>
      <w:r>
        <w:t xml:space="preserve"> </w:t>
      </w:r>
      <w:r>
        <w:t xml:space="preserve">further expanded to waste activities. Under PO2 and PO3, the waste disposal sector integrated</w:t>
      </w:r>
      <w:r>
        <w:t xml:space="preserve"> </w:t>
      </w:r>
      <w:r>
        <w:t xml:space="preserve">in the EU ETS is characterised by a relatively higher share of medium-sized enterprises</w:t>
      </w:r>
      <w:r>
        <w:t xml:space="preserve"> </w:t>
      </w:r>
      <w:r>
        <w:t xml:space="preserve">compared to most other sectors currently under the EU ETS. Both the scope of PO2 and PO3</w:t>
      </w:r>
      <w:r>
        <w:t xml:space="preserve"> </w:t>
      </w:r>
      <w:r>
        <w:t xml:space="preserve">would be modulated by the applied activity threshold. Under the ETS Directive, combustion</w:t>
      </w:r>
      <w:r>
        <w:t xml:space="preserve"> </w:t>
      </w:r>
      <w:r>
        <w:t xml:space="preserve">installations are normally included in the scope of the system if they are above the threshold of</w:t>
      </w:r>
      <w:r>
        <w:t xml:space="preserve"> </w:t>
      </w:r>
      <w:r>
        <w:t xml:space="preserve">20 MW rated thermal input. As assessed in Annex 13, an inclusion of the waste disposal sector</w:t>
      </w:r>
      <w:r>
        <w:t xml:space="preserve"> </w:t>
      </w:r>
      <w:r>
        <w:t xml:space="preserve">under PO2 or PO3 must consider the appropriateness of this thermal capacity threshold in view</w:t>
      </w:r>
      <w:r>
        <w:t xml:space="preserve"> </w:t>
      </w:r>
      <w:r>
        <w:t xml:space="preserve">of the specific nature of waste as a feedstock, regulatory consistency with the Industrial</w:t>
      </w:r>
      <w:r>
        <w:t xml:space="preserve"> </w:t>
      </w:r>
      <w:r>
        <w:t xml:space="preserve">Emissions Directive, avoiding threshold effects and risks of circumvention, and avoidance of</w:t>
      </w:r>
      <w:r>
        <w:t xml:space="preserve"> </w:t>
      </w:r>
      <w:r>
        <w:t xml:space="preserve">disproportionate impacts on small operators. Regardless of the threshold level, the impact on</w:t>
      </w:r>
      <w:r>
        <w:t xml:space="preserve"> </w:t>
      </w:r>
      <w:r>
        <w:t xml:space="preserve">SMEs can be addressed through several provisions. First, administrative and financial burdens</w:t>
      </w:r>
      <w:r>
        <w:t xml:space="preserve"> </w:t>
      </w:r>
      <w:r>
        <w:t xml:space="preserve">resulting from MRV compliance requirements are addressed through simplified MRV</w:t>
      </w:r>
      <w:r>
        <w:t xml:space="preserve"> </w:t>
      </w:r>
      <w:r>
        <w:t xml:space="preserve">provisions for smaller installations, providing a scalable and proportionate approach, avoiding</w:t>
      </w:r>
      <w:r>
        <w:t xml:space="preserve"> </w:t>
      </w:r>
      <w:r>
        <w:t xml:space="preserve">excessive burdens on low-emitting sites while still ensuring a basic level of emissions</w:t>
      </w:r>
      <w:r>
        <w:t xml:space="preserve"> </w:t>
      </w:r>
      <w:r>
        <w:t xml:space="preserve">accountability. Second, regardless of the threshold level, smaller installations would be eligible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for the opt-out clauses under the existing small- and ultra-small emitter provisions in the ETS</w:t>
      </w:r>
      <w:r>
        <w:t xml:space="preserve"> </w:t>
      </w:r>
      <w:r>
        <w:t xml:space="preserve">Directive.</w:t>
      </w:r>
      <w:r>
        <w:t xml:space="preserve"> </w:t>
      </w:r>
      <w:r>
        <w:t xml:space="preserve">6.2.4.5. CCU</w:t>
      </w:r>
      <w:r>
        <w:t xml:space="preserve"> </w:t>
      </w:r>
      <w:r>
        <w:t xml:space="preserve">While carbon capture requires expensive investments that make sense only for large</w:t>
      </w:r>
      <w:r>
        <w:t xml:space="preserve"> </w:t>
      </w:r>
      <w:r>
        <w:t xml:space="preserve">installations, many technology providers in the field of CCU that look to commercialize</w:t>
      </w:r>
      <w:r>
        <w:t xml:space="preserve"> </w:t>
      </w:r>
      <w:r>
        <w:t xml:space="preserve">recently developed technology are small, start-up businesses. Therefore, measures CCU2 and</w:t>
      </w:r>
      <w:r>
        <w:t xml:space="preserve"> </w:t>
      </w:r>
      <w:r>
        <w:t xml:space="preserve">CCU3 seek to level the playing field for these new entrants to allow new CCU products to</w:t>
      </w:r>
      <w:r>
        <w:t xml:space="preserve"> </w:t>
      </w:r>
      <w:r>
        <w:t xml:space="preserve">compete with CCS.</w:t>
      </w:r>
      <w:r>
        <w:br/>
      </w:r>
      <w:r>
        <w:t xml:space="preserve">Furthermore, these measures have been designed to be implementable based on the established</w:t>
      </w:r>
      <w:r>
        <w:t xml:space="preserve"> </w:t>
      </w:r>
      <w:r>
        <w:t xml:space="preserve">MRVA system that can ensure the accounting integrity of the EU ETS, while not imposing</w:t>
      </w:r>
      <w:r>
        <w:t xml:space="preserve"> </w:t>
      </w:r>
      <w:r>
        <w:t xml:space="preserve">excessive administrative burdens on operators. For this reason, the measure based on LCA</w:t>
      </w:r>
      <w:r>
        <w:t xml:space="preserve"> </w:t>
      </w:r>
      <w:r>
        <w:t xml:space="preserve">accounting has been discarded as overly complex and costly to implement.</w:t>
      </w:r>
      <w:r>
        <w:br/>
      </w:r>
      <w:r>
        <w:t xml:space="preserve">Stakeholders consulted as a part of the OPC questionnaire emphasize the importance of</w:t>
      </w:r>
      <w:r>
        <w:t xml:space="preserve"> </w:t>
      </w:r>
      <w:r>
        <w:t xml:space="preserve">‘administrative proportionality’ for non-permanent CCU policy measures. Especially amongst</w:t>
      </w:r>
      <w:r>
        <w:t xml:space="preserve"> </w:t>
      </w:r>
      <w:r>
        <w:t xml:space="preserve">business associations, emphasis was placed on implementing an accounting approach that</w:t>
      </w:r>
      <w:r>
        <w:t xml:space="preserve"> </w:t>
      </w:r>
      <w:r>
        <w:t xml:space="preserve">prioritizes simplicity and continuity for SMEs to effectively implement non-permanent CCU</w:t>
      </w:r>
      <w:r>
        <w:t xml:space="preserve"> </w:t>
      </w:r>
      <w:r>
        <w:t xml:space="preserve">measures.</w:t>
      </w:r>
      <w:r>
        <w:br/>
      </w:r>
      <w:r>
        <w:t xml:space="preserve">6.2.5. Public authorities</w:t>
      </w:r>
      <w:r>
        <w:t xml:space="preserve"> </w:t>
      </w:r>
      <w:r>
        <w:t xml:space="preserve">A major benefit to public authorities is represented by the auction revenue derived from the</w:t>
      </w:r>
      <w:r>
        <w:t xml:space="preserve"> </w:t>
      </w:r>
      <w:r>
        <w:t xml:space="preserve">auctioning of the EU ETS allowances. The auctioning volumes are derived from the estimates</w:t>
      </w:r>
      <w:r>
        <w:t xml:space="preserve"> </w:t>
      </w:r>
      <w:r>
        <w:t xml:space="preserve">for the allowances distributed for free to industry, and it does not take into account any split</w:t>
      </w:r>
      <w:r>
        <w:t xml:space="preserve"> </w:t>
      </w:r>
      <w:r>
        <w:t xml:space="preserve">between auction revenue that is accrued to EU level funds or to national treasures. This</w:t>
      </w:r>
      <w:r>
        <w:t xml:space="preserve"> </w:t>
      </w:r>
      <w:r>
        <w:t xml:space="preserve">represents the total maximum auction revenue, excluding only what is allocated for free to</w:t>
      </w:r>
      <w:r>
        <w:t xml:space="preserve"> </w:t>
      </w:r>
      <w:r>
        <w:t xml:space="preserve">industry from the annual cap of allowances. By deducting the estimated volumes of free</w:t>
      </w:r>
      <w:r>
        <w:t xml:space="preserve"> </w:t>
      </w:r>
      <w:r>
        <w:t xml:space="preserve">allocation from the ETS cap for each year, the cumulative the value of auction revenue will</w:t>
      </w:r>
      <w:r>
        <w:t xml:space="preserve"> </w:t>
      </w:r>
      <w:r>
        <w:t xml:space="preserve">range between aproximately EUR 600 to over 800-= billion, depending on the policy options</w:t>
      </w:r>
      <w:r>
        <w:t xml:space="preserve"> </w:t>
      </w:r>
      <w:r>
        <w:t xml:space="preserve">– see Table 22 in Annex 12 for additional details.</w:t>
      </w:r>
      <w:r>
        <w:br/>
      </w:r>
      <w:r>
        <w:t xml:space="preserve">In terms of the use of auction revenues, the quantitative assessment of macro-economic impacts</w:t>
      </w:r>
      <w:r>
        <w:t xml:space="preserve"> </w:t>
      </w:r>
      <w:r>
        <w:t xml:space="preserve">done based on GEM-E3 assume that the revenue generated by EU ETS is recycled with 50%</w:t>
      </w:r>
      <w:r>
        <w:t xml:space="preserve"> </w:t>
      </w:r>
      <w:r>
        <w:t xml:space="preserve">financing power dedicated to sector investments and 50% dedicated to improving energy</w:t>
      </w:r>
      <w:r>
        <w:t xml:space="preserve"> </w:t>
      </w:r>
      <w:r>
        <w:t xml:space="preserve">efficiency in EU ETS industries. A variant to this assumption (marked R in the respective</w:t>
      </w:r>
      <w:r>
        <w:t xml:space="preserve"> </w:t>
      </w:r>
      <w:r>
        <w:t xml:space="preserve">scenarios) considers a revised recycling structure where the 50% allocation to the power sector</w:t>
      </w:r>
      <w:r>
        <w:t xml:space="preserve"> </w:t>
      </w:r>
      <w:r>
        <w:t xml:space="preserve">is instead transferred as a lump sum payment to households.</w:t>
      </w:r>
      <w:r>
        <w:t xml:space="preserve"> </w:t>
      </w:r>
      <w:r>
        <w:t xml:space="preserve">The spending of Member States revenues is analysed yearly in the Climate Action Progress</w:t>
      </w:r>
      <w:r>
        <w:t xml:space="preserve"> </w:t>
      </w:r>
      <w:r>
        <w:t xml:space="preserve">Report and the Carbon Market Report88. The Member States reported only 5% of the ETS</w:t>
      </w:r>
      <w:r>
        <w:t xml:space="preserve"> </w:t>
      </w:r>
      <w:r>
        <w:t xml:space="preserve">revenues is used to support decarbonisation of energy intensive industries in 2024, while the</w:t>
      </w:r>
      <w:r>
        <w:t xml:space="preserve"> </w:t>
      </w:r>
      <w:r>
        <w:t xml:space="preserve">most support received by industry is for indirect cost compensation. While the Member States</w:t>
      </w:r>
      <w:r>
        <w:t xml:space="preserve"> </w:t>
      </w:r>
      <w:r>
        <w:t xml:space="preserve">could allocate a higher share of this revenue for the decarbonisation of industry,</w:t>
      </w:r>
      <w:r>
        <w:t xml:space="preserve"> </w:t>
      </w:r>
      <w:r>
        <w:t xml:space="preserve">national approaches will remain inherently fragmented, lacking the ability to exploit the</w:t>
      </w:r>
      <w:r>
        <w:t xml:space="preserve"> </w:t>
      </w:r>
      <w:r>
        <w:t xml:space="preserve">economies of scale and efficient allocation of resources the single EU market can provide.</w:t>
      </w:r>
    </w:p>
    <w:p>
      <w:pPr>
        <w:pStyle w:val="BodyText"/>
      </w:pPr>
      <w:r>
        <w:t xml:space="preserve">87 Report from the Commission to the European Parliament and the Council on the functioning of the European</w:t>
      </w:r>
      <w:r>
        <w:t xml:space="preserve"> </w:t>
      </w:r>
      <w:r>
        <w:t xml:space="preserve">carbon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COM(2025)</w:t>
      </w:r>
      <w:r>
        <w:t xml:space="preserve"> </w:t>
      </w:r>
      <w:r>
        <w:t xml:space="preserve">735</w:t>
      </w:r>
      <w:r>
        <w:t xml:space="preserve"> </w:t>
      </w:r>
      <w:r>
        <w:t xml:space="preserve">final,</w:t>
      </w:r>
      <w:r>
        <w:t xml:space="preserve"> </w:t>
      </w:r>
      <w:r>
        <w:t xml:space="preserve">3.12.2025,</w:t>
      </w:r>
      <w:r>
        <w:t xml:space="preserve"> </w:t>
      </w:r>
      <w:r>
        <w:t xml:space="preserve">https://climate.ec.europa.eu/document/download/ddc1b1de-652b-49ed-8f15-</w:t>
      </w:r>
      <w:r>
        <w:t xml:space="preserve"> </w:t>
      </w:r>
      <w:r>
        <w:t xml:space="preserve">d9fa8badd39f_en?filename=com_2025_735_en.pdf.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Therefore, EU level instruments, such as the IDB and the IF, will play a key role in the funding</w:t>
      </w:r>
      <w:r>
        <w:t xml:space="preserve"> </w:t>
      </w:r>
      <w:r>
        <w:t xml:space="preserve">of decarbonisation investments in the next period (see Annex 9 for more details).</w:t>
      </w:r>
      <w:r>
        <w:t xml:space="preserve"> </w:t>
      </w:r>
      <w:r>
        <w:t xml:space="preserve">Impacts on public authorities also relate to the operation Union Registry, which resulted from</w:t>
      </w:r>
      <w:r>
        <w:t xml:space="preserve"> </w:t>
      </w:r>
      <w:r>
        <w:t xml:space="preserve">the centralisation of 30 separate national registries under a single system. As indicated in the</w:t>
      </w:r>
      <w:r>
        <w:t xml:space="preserve"> </w:t>
      </w:r>
      <w:r>
        <w:t xml:space="preserve">ETS Evaluation (see Annex 15, Section 10.6.4), the Union Registry plays a crucial role in</w:t>
      </w:r>
      <w:r>
        <w:t xml:space="preserve"> </w:t>
      </w:r>
      <w:r>
        <w:t xml:space="preserve">ensuring the transparency, integrity, and security of the EU ETS. The changes analysed in this</w:t>
      </w:r>
      <w:r>
        <w:t xml:space="preserve"> </w:t>
      </w:r>
      <w:r>
        <w:t xml:space="preserve">impact assessment, in particular as regards PO2 and PO3, increase the scope and complexity</w:t>
      </w:r>
      <w:r>
        <w:t xml:space="preserve"> </w:t>
      </w:r>
      <w:r>
        <w:t xml:space="preserve">of the EU ETS, which in turn increase the risks for and demands on the Union Registry and the</w:t>
      </w:r>
      <w:r>
        <w:t xml:space="preserve"> </w:t>
      </w:r>
      <w:r>
        <w:t xml:space="preserve">underlying IT infrastructure. In addition, the growth of the European carbon market and the</w:t>
      </w:r>
      <w:r>
        <w:t xml:space="preserve"> </w:t>
      </w:r>
      <w:r>
        <w:t xml:space="preserve">value of the ETS allowances over the last decade89, expected to continue with the measures</w:t>
      </w:r>
      <w:r>
        <w:t xml:space="preserve"> </w:t>
      </w:r>
      <w:r>
        <w:t xml:space="preserve">analysed in this impact assessment, and the evolution of the regulatory environment90 require</w:t>
      </w:r>
      <w:r>
        <w:t xml:space="preserve"> </w:t>
      </w:r>
      <w:r>
        <w:t xml:space="preserve">a new setup for the financing of the Union registry, leaning of financial market standards and</w:t>
      </w:r>
      <w:r>
        <w:t xml:space="preserve"> </w:t>
      </w:r>
      <w:r>
        <w:t xml:space="preserve">proportionate to the growing value of the assets.</w:t>
      </w:r>
      <w:r>
        <w:br/>
      </w:r>
      <w:r>
        <w:t xml:space="preserve">Nevertheless, measures exist to address these growing risks to ensure a reliable service to its</w:t>
      </w:r>
      <w:r>
        <w:t xml:space="preserve"> </w:t>
      </w:r>
      <w:r>
        <w:t xml:space="preserve">users, through adequate financing for the operation for the operation of the Union Registry.</w:t>
      </w:r>
      <w:r>
        <w:t xml:space="preserve"> </w:t>
      </w:r>
      <w:r>
        <w:t xml:space="preserve">The central administrator of the Union Registry could be given the legal prerogative to raise</w:t>
      </w:r>
      <w:r>
        <w:t xml:space="preserve"> </w:t>
      </w:r>
      <w:r>
        <w:t xml:space="preserve">fees from the users of the system (compliance accounts and traders) or use part of the auction</w:t>
      </w:r>
      <w:r>
        <w:t xml:space="preserve"> </w:t>
      </w:r>
      <w:r>
        <w:t xml:space="preserve">revenue to finance the services it renders to these entities. These costs would cover the</w:t>
      </w:r>
      <w:r>
        <w:t xml:space="preserve"> </w:t>
      </w:r>
      <w:r>
        <w:t xml:space="preserve">development, maintenance, and operation of the Registry, IT infrastructure, users’ support, as</w:t>
      </w:r>
      <w:r>
        <w:t xml:space="preserve"> </w:t>
      </w:r>
      <w:r>
        <w:t xml:space="preserve">well as IT security, audit capacity, oversight, and other functions required to achieve better</w:t>
      </w:r>
      <w:r>
        <w:t xml:space="preserve"> </w:t>
      </w:r>
      <w:r>
        <w:t xml:space="preserve">compliance with financial market frameworks. These costs could also cover further tasks of</w:t>
      </w:r>
      <w:r>
        <w:t xml:space="preserve"> </w:t>
      </w:r>
      <w:r>
        <w:t xml:space="preserve">the Central Administrator and related non-regulatory implementation tasks in the area of ETS.</w:t>
      </w:r>
      <w:r>
        <w:br/>
      </w:r>
      <w:r>
        <w:t xml:space="preserve">6.2.5.1. Carbon removals</w:t>
      </w:r>
      <w:r>
        <w:t xml:space="preserve"> </w:t>
      </w:r>
      <w:r>
        <w:t xml:space="preserve">The fundamental, overall cost of achieving EU climate targets in terms of gross and net</w:t>
      </w:r>
      <w:r>
        <w:t xml:space="preserve"> </w:t>
      </w:r>
      <w:r>
        <w:t xml:space="preserve">emissions objectives is not expected to change materially across the five CDR measures</w:t>
      </w:r>
      <w:r>
        <w:t xml:space="preserve"> </w:t>
      </w:r>
      <w:r>
        <w:t xml:space="preserve">considered here. Similarly, the investment needed to support the development and deployment</w:t>
      </w:r>
      <w:r>
        <w:t xml:space="preserve"> </w:t>
      </w:r>
      <w:r>
        <w:t xml:space="preserve">of CDR technologies does not a priori change materially across the measures assessed. Public</w:t>
      </w:r>
      <w:r>
        <w:t xml:space="preserve"> </w:t>
      </w:r>
      <w:r>
        <w:t xml:space="preserve">disbursement can occur through the EU ETS as in PO1 and/or through other support policies</w:t>
      </w:r>
      <w:r>
        <w:t xml:space="preserve"> </w:t>
      </w:r>
      <w:r>
        <w:t xml:space="preserve">(e.g. CCfDs or a public purchasing programme) that would complement PO2 or PO3.</w:t>
      </w:r>
      <w:r>
        <w:br/>
      </w:r>
      <w:r>
        <w:t xml:space="preserve">In either case, total expenditure should be similar if the regulator has a clear commitment</w:t>
      </w:r>
      <w:r>
        <w:t xml:space="preserve"> </w:t>
      </w:r>
      <w:r>
        <w:t xml:space="preserve">towards procuring enough CDR that guarantees the extra gross emissions headroom for</w:t>
      </w:r>
      <w:r>
        <w:t xml:space="preserve"> </w:t>
      </w:r>
      <w:r>
        <w:t xml:space="preserve">operators (CR1) or to deliver the net emissions outcome (CR3), as the public purchasing</w:t>
      </w:r>
      <w:r>
        <w:t xml:space="preserve"> </w:t>
      </w:r>
      <w:r>
        <w:t xml:space="preserve">programme guarantees in PO1. In PO1, the public authority would pay the full price of each</w:t>
      </w:r>
      <w:r>
        <w:t xml:space="preserve"> </w:t>
      </w:r>
      <w:r>
        <w:t xml:space="preserve">CDR credit upfront but then recover the price difference with EUAs when the removal-backed</w:t>
      </w:r>
      <w:r>
        <w:t xml:space="preserve"> </w:t>
      </w:r>
      <w:r>
        <w:t xml:space="preserve">EUAs are auctioned, covering only the price difference in the end, comparable to CCfD support</w:t>
      </w:r>
      <w:r>
        <w:t xml:space="preserve"> </w:t>
      </w:r>
      <w:r>
        <w:t xml:space="preserve">in PO2 and PO3 (91). That said, the measures do vary considerably in terms of risk distribution</w:t>
      </w:r>
      <w:r>
        <w:t xml:space="preserve"> </w:t>
      </w:r>
      <w:r>
        <w:t xml:space="preserve">and upfront finance for CDR development and deployment.</w:t>
      </w:r>
      <w:r>
        <w:br/>
      </w:r>
      <w:r>
        <w:t xml:space="preserve">PO1 would see the regulator purchase removal units even if they are not cost competitive vis à</w:t>
      </w:r>
      <w:r>
        <w:t xml:space="preserve"> </w:t>
      </w:r>
      <w:r>
        <w:t xml:space="preserve">vis the allowance price. Thus, CR4 would likely entail significant administrative costs for the</w:t>
      </w:r>
      <w:r>
        <w:t xml:space="preserve"> </w:t>
      </w:r>
      <w:r>
        <w:t xml:space="preserve">regulator in e.g. the procurement of removal units, although it seems possible that procurement</w:t>
      </w:r>
    </w:p>
    <w:p>
      <w:pPr>
        <w:pStyle w:val="BodyText"/>
      </w:pPr>
      <w:r>
        <w:t xml:space="preserve">89 The last decade has brought a steep increase in the asset value, moving from an allowance price of EUR 5-</w:t>
      </w:r>
      <w:r>
        <w:t xml:space="preserve"> </w:t>
      </w:r>
      <w:r>
        <w:t xml:space="preserve">10 to the current level of EUR 60-80.</w:t>
      </w:r>
      <w:r>
        <w:br/>
      </w:r>
      <w:r>
        <w:t xml:space="preserve">90 Since the entry into force of the review of the Directive on Markets in Financial Instruments in 2018, the</w:t>
      </w:r>
      <w:r>
        <w:t xml:space="preserve"> </w:t>
      </w:r>
      <w:r>
        <w:t xml:space="preserve">emission allowances are categorised as financial instruments.</w:t>
      </w:r>
      <w:r>
        <w:t xml:space="preserve"> </w:t>
      </w:r>
      <w:r>
        <w:t xml:space="preserve">91 The exact amounts will depend on the timing of the purchase of the removals and the sale of allowances.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methods such as reverse auctions could yield lower overall transaction costs than if purchases</w:t>
      </w:r>
      <w:r>
        <w:t xml:space="preserve"> </w:t>
      </w:r>
      <w:r>
        <w:t xml:space="preserve">were done by individual regulated entities in the primary CDR market, and would need to be</w:t>
      </w:r>
      <w:r>
        <w:t xml:space="preserve"> </w:t>
      </w:r>
      <w:r>
        <w:t xml:space="preserve">compared with the administrative cost of complementary support measures needed under the</w:t>
      </w:r>
      <w:r>
        <w:t xml:space="preserve"> </w:t>
      </w:r>
      <w:r>
        <w:t xml:space="preserve">other policy options (e.g. CCfDs). Annex 8 provides an illustrative assessment of the</w:t>
      </w:r>
      <w:r>
        <w:t xml:space="preserve"> </w:t>
      </w:r>
      <w:r>
        <w:t xml:space="preserve">investment needs in CR4, the measure included in PO1. It estimates the total investment</w:t>
      </w:r>
      <w:r>
        <w:t xml:space="preserve"> </w:t>
      </w:r>
      <w:r>
        <w:t xml:space="preserve">requirements for achieving net emissions reduction target of 85% with the ETS integration of</w:t>
      </w:r>
      <w:r>
        <w:t xml:space="preserve"> </w:t>
      </w:r>
      <w:r>
        <w:t xml:space="preserve">173 Mt of BioCCS and DACCS (PRIMES modelling result) by 2040 at EUR 35.7 billion based</w:t>
      </w:r>
      <w:r>
        <w:t xml:space="preserve"> </w:t>
      </w:r>
      <w:r>
        <w:t xml:space="preserve">on the mid-point technology costs92. Considering different technological costs, between EUR</w:t>
      </w:r>
      <w:r>
        <w:t xml:space="preserve"> </w:t>
      </w:r>
      <w:r>
        <w:t xml:space="preserve">29 billion and EUR 43 billion (lower to upper bounds) are required as upfront investment.</w:t>
      </w:r>
      <w:r>
        <w:t xml:space="preserve"> </w:t>
      </w:r>
      <w:r>
        <w:t xml:space="preserve">However, the purchasing programme would have a final fiscal cost of EUR 3 billion (based on</w:t>
      </w:r>
      <w:r>
        <w:t xml:space="preserve"> </w:t>
      </w:r>
      <w:r>
        <w:t xml:space="preserve">the mid-point technology costs), when the revenues generated from the removal-backed</w:t>
      </w:r>
      <w:r>
        <w:t xml:space="preserve"> </w:t>
      </w:r>
      <w:r>
        <w:t xml:space="preserve">allowances is deducted from the upfront costs9394. These are illustrative results, as investment</w:t>
      </w:r>
      <w:r>
        <w:t xml:space="preserve"> </w:t>
      </w:r>
      <w:r>
        <w:t xml:space="preserve">requirements and final fiscal cost for a potential removal integration as per CR4, strongly</w:t>
      </w:r>
      <w:r>
        <w:t xml:space="preserve"> </w:t>
      </w:r>
      <w:r>
        <w:t xml:space="preserve">depend on the final ambition level set out, the corresponding ETS prices, total volume of</w:t>
      </w:r>
      <w:r>
        <w:t xml:space="preserve"> </w:t>
      </w:r>
      <w:r>
        <w:t xml:space="preserve">removals to be purchased, the ratio of BioCCS to DACCS in the portfolio, and timing of the</w:t>
      </w:r>
      <w:r>
        <w:t xml:space="preserve"> </w:t>
      </w:r>
      <w:r>
        <w:t xml:space="preserve">purchase of the removals compared to the sale of the allowances. They nevertheless suggest</w:t>
      </w:r>
      <w:r>
        <w:t xml:space="preserve"> </w:t>
      </w:r>
      <w:r>
        <w:t xml:space="preserve">that the sale of removals into the EU ETS could potentially be close to covering the full cost</w:t>
      </w:r>
      <w:r>
        <w:t xml:space="preserve"> </w:t>
      </w:r>
      <w:r>
        <w:t xml:space="preserve">of the purchasing programme, if the timing of the purchase of the removals compared to the</w:t>
      </w:r>
      <w:r>
        <w:t xml:space="preserve"> </w:t>
      </w:r>
      <w:r>
        <w:t xml:space="preserve">sale of the allowances could be fully optimised (e.g. delay in the sale of allowances to a time</w:t>
      </w:r>
      <w:r>
        <w:t xml:space="preserve"> </w:t>
      </w:r>
      <w:r>
        <w:t xml:space="preserve">when ETS prices are highest and purchase of removals when the removal prices have</w:t>
      </w:r>
      <w:r>
        <w:t xml:space="preserve"> </w:t>
      </w:r>
      <w:r>
        <w:t xml:space="preserve">decreased). However, as this is unlikely due to the need to kick start the market, budgetary</w:t>
      </w:r>
      <w:r>
        <w:t xml:space="preserve"> </w:t>
      </w:r>
      <w:r>
        <w:t xml:space="preserve">rules requiring the availability of revenues at the start of a procurement process and the</w:t>
      </w:r>
      <w:r>
        <w:t xml:space="preserve"> </w:t>
      </w:r>
      <w:r>
        <w:t xml:space="preserve">uncertainty in ETS and removal prices, a conservative approach to the calculation of the fiscal</w:t>
      </w:r>
      <w:r>
        <w:t xml:space="preserve"> </w:t>
      </w:r>
      <w:r>
        <w:t xml:space="preserve">cost would be advisable, potentially considering average ETS prices during the phase.</w:t>
      </w:r>
      <w:r>
        <w:br/>
      </w:r>
      <w:r>
        <w:t xml:space="preserve">PO2, in theory, would entail lower direct EU ETS costs for the regulator as compared to PO1.</w:t>
      </w:r>
      <w:r>
        <w:t xml:space="preserve"> </w:t>
      </w:r>
      <w:r>
        <w:t xml:space="preserve">There would not be an upfront increase in the cap that would lower ETS prices and with it, it</w:t>
      </w:r>
      <w:r>
        <w:t xml:space="preserve"> </w:t>
      </w:r>
      <w:r>
        <w:t xml:space="preserve">would also lower auction revenues for Member States, and no public purchasing would be</w:t>
      </w:r>
      <w:r>
        <w:t xml:space="preserve"> </w:t>
      </w:r>
      <w:r>
        <w:t xml:space="preserve">needed. However, in the absence of public investments in CDR through other policies, PO2</w:t>
      </w:r>
      <w:r>
        <w:t xml:space="preserve"> </w:t>
      </w:r>
      <w:r>
        <w:t xml:space="preserve">risks that the CDR development and deployment does not take place in time for the CDR scale-</w:t>
      </w:r>
      <w:r>
        <w:t xml:space="preserve"> </w:t>
      </w:r>
      <w:r>
        <w:t xml:space="preserve">up required and that the extra ‘space’ for residual emissions inside the ETS therefore not</w:t>
      </w:r>
      <w:r>
        <w:t xml:space="preserve"> </w:t>
      </w:r>
      <w:r>
        <w:t xml:space="preserve">materialize, leading to higher costs for the regulator later on.</w:t>
      </w:r>
      <w:r>
        <w:t xml:space="preserve"> </w:t>
      </w:r>
      <w:r>
        <w:t xml:space="preserve">PO3, which applies a gross cap, would see a similar effect in apparent cost savings due to lower</w:t>
      </w:r>
      <w:r>
        <w:t xml:space="preserve"> </w:t>
      </w:r>
      <w:r>
        <w:t xml:space="preserve">direct EU ETS costs for the regulator, again with the need for further support policies to ensure</w:t>
      </w:r>
      <w:r>
        <w:t xml:space="preserve"> </w:t>
      </w:r>
      <w:r>
        <w:t xml:space="preserve">that CDR development and deployment take place in time for the CDR scaleup required. This</w:t>
      </w:r>
      <w:r>
        <w:t xml:space="preserve"> </w:t>
      </w:r>
      <w:r>
        <w:t xml:space="preserve">is aggravated by the initial reduction in scarcity, which could reduce incentives for abatement</w:t>
      </w:r>
      <w:r>
        <w:t xml:space="preserve"> </w:t>
      </w:r>
      <w:r>
        <w:t xml:space="preserve">and investment in removal by regulated entities – thus potentially requiring further investments</w:t>
      </w:r>
      <w:r>
        <w:t xml:space="preserve"> </w:t>
      </w:r>
      <w:r>
        <w:t xml:space="preserve">in abatement and removal by the regulator outside the ETS. Effects are also expected on auction</w:t>
      </w:r>
      <w:r>
        <w:t xml:space="preserve"> </w:t>
      </w:r>
      <w:r>
        <w:t xml:space="preserve">revenues. Under CR3, Member States would see an increase in the number of allowances for</w:t>
      </w:r>
      <w:r>
        <w:t xml:space="preserve"> </w:t>
      </w:r>
      <w:r>
        <w:t xml:space="preserve">auction, but it is unclear whether this would entail higher revenues as the increase in the</w:t>
      </w:r>
      <w:r>
        <w:t xml:space="preserve"> </w:t>
      </w:r>
      <w:r>
        <w:t xml:space="preserve">allowance volume may be offset by a price drop due to the reduced scarcity. Moreover, the</w:t>
      </w:r>
    </w:p>
    <w:p>
      <w:pPr>
        <w:pStyle w:val="BodyText"/>
      </w:pPr>
      <w:r>
        <w:t xml:space="preserve">92 European Commission: Directorate-General for Climate Action, Ramboll Management Consulting,</w:t>
      </w:r>
      <w:r>
        <w:t xml:space="preserve"> </w:t>
      </w:r>
      <w:r>
        <w:t xml:space="preserve">Witteveen, E., Marton, C., Bert, N. et al., Carbon removals in the EU – Review of current carbon removal</w:t>
      </w:r>
      <w:r>
        <w:t xml:space="preserve"> </w:t>
      </w:r>
      <w: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https://data.europa.eu/doi/10.2834/0004994.</w:t>
      </w:r>
      <w:r>
        <w:br/>
      </w:r>
      <w:r>
        <w:t xml:space="preserve">93 The public authority would pay the full price of each CDR credit upfront but then recover the price difference</w:t>
      </w:r>
      <w:r>
        <w:t xml:space="preserve"> </w:t>
      </w:r>
      <w:r>
        <w:t xml:space="preserve">with EUAs when the removal-backed EUAs are auctioned, covering only the price difference in the end.</w:t>
      </w:r>
      <w:r>
        <w:t xml:space="preserve"> </w:t>
      </w:r>
      <w:r>
        <w:t xml:space="preserve">94 See caveats to these results at the end of Section 2.3.1.2 in Annex 8, notably the high uncertainty on the</w:t>
      </w:r>
      <w:r>
        <w:t xml:space="preserve"> </w:t>
      </w:r>
      <w:r>
        <w:t xml:space="preserve">development of technology costs and deployment capacity can greatly influence final costs.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one-in-one out mechanics would entail a reduction in auction volumes later in the phase, when</w:t>
      </w:r>
      <w:r>
        <w:t xml:space="preserve"> </w:t>
      </w:r>
      <w:r>
        <w:t xml:space="preserve">prices are expected to be higher.</w:t>
      </w:r>
      <w:r>
        <w:t xml:space="preserve"> </w:t>
      </w:r>
      <w:r>
        <w:t xml:space="preserve">Beyond direct costs, it should be noted that funding from ETS revenues provided to support</w:t>
      </w:r>
      <w:r>
        <w:t xml:space="preserve"> </w:t>
      </w:r>
      <w:r>
        <w:t xml:space="preserve">the integration of removals - in particular in PO1 which is designed with the funding as essential</w:t>
      </w:r>
      <w:r>
        <w:t xml:space="preserve"> </w:t>
      </w:r>
      <w:r>
        <w:t xml:space="preserve">element - necessarily reallocates scarce fiscal resources away from other uses, which could</w:t>
      </w:r>
      <w:r>
        <w:t xml:space="preserve"> </w:t>
      </w:r>
      <w:r>
        <w:t xml:space="preserve">potentially lead to crowding out cheaper emission reductions today and potentially increasing</w:t>
      </w:r>
      <w:r>
        <w:t xml:space="preserve"> </w:t>
      </w:r>
      <w:r>
        <w:t xml:space="preserve">the overall cost of achieving EU targets.</w:t>
      </w:r>
      <w:r>
        <w:br/>
      </w:r>
      <w:r>
        <w:t xml:space="preserve">Finally, any the integration of CDR into the EU ETS would require regulation and oversight</w:t>
      </w:r>
      <w:r>
        <w:t xml:space="preserve"> </w:t>
      </w:r>
      <w:r>
        <w:t xml:space="preserve">on CDR eligibility and market surveillance, thus resulting in administrative costs.</w:t>
      </w:r>
      <w:r>
        <w:br/>
      </w:r>
      <w:r>
        <w:t xml:space="preserve">6.2.5.2. Instruments to support investments</w:t>
      </w:r>
      <w:r>
        <w:t xml:space="preserve"> </w:t>
      </w:r>
      <w:r>
        <w:t xml:space="preserve">The IDB will be centrally managed on the EU-level except the option of the Member States</w:t>
      </w:r>
      <w:r>
        <w:t xml:space="preserve"> </w:t>
      </w:r>
      <w:r>
        <w:t xml:space="preserve">proposing the short-list of projects (in terms of allocation mechanism), not included in the main</w:t>
      </w:r>
      <w:r>
        <w:t xml:space="preserve"> </w:t>
      </w:r>
      <w:r>
        <w:t xml:space="preserve">policy options 1-3. Member States proposing shortlist would be a single case that would</w:t>
      </w:r>
      <w:r>
        <w:t xml:space="preserve"> </w:t>
      </w:r>
      <w:r>
        <w:t xml:space="preserve">generate administrative costs for Member States. The size of the cost was not estimated but</w:t>
      </w:r>
      <w:r>
        <w:t xml:space="preserve"> </w:t>
      </w:r>
      <w:r>
        <w:t xml:space="preserve">would likely be similar to estimation done for the Modernisation Fund, see below. Otherwise,</w:t>
      </w:r>
      <w:r>
        <w:t xml:space="preserve"> </w:t>
      </w:r>
      <w:r>
        <w:t xml:space="preserve">all IDB policy options are centrally managed clearly offering to MS the management of</w:t>
      </w:r>
      <w:r>
        <w:t xml:space="preserve"> </w:t>
      </w:r>
      <w:r>
        <w:t xml:space="preserve">complete project cycle from the allocation mechanism to monitoring.</w:t>
      </w:r>
      <w:r>
        <w:t xml:space="preserve"> </w:t>
      </w:r>
      <w:r>
        <w:t xml:space="preserve">For the Modernisation Fund, as shown in the evaluation, Member States are primarily</w:t>
      </w:r>
      <w:r>
        <w:t xml:space="preserve"> </w:t>
      </w:r>
      <w:r>
        <w:t xml:space="preserve">responsible for implementation. Consequently, there are some administrative costs attached to</w:t>
      </w:r>
      <w:r>
        <w:t xml:space="preserve"> </w:t>
      </w:r>
      <w:r>
        <w:t xml:space="preserve">it which have been estimated at 0.13% of the total MF envelope under the current version of</w:t>
      </w:r>
      <w:r>
        <w:t xml:space="preserve"> </w:t>
      </w:r>
      <w:r>
        <w:t xml:space="preserve">the ETS Directive.</w:t>
      </w:r>
      <w:r>
        <w:br/>
      </w:r>
      <w:r>
        <w:t xml:space="preserve">PO3 has the largest impact on administrative costs for public authorities, most notably through</w:t>
      </w:r>
      <w:r>
        <w:t xml:space="preserve"> </w:t>
      </w:r>
      <w:r>
        <w:t xml:space="preserve">introducing a vetting of all priority investments by the Investment Committee. This would</w:t>
      </w:r>
      <w:r>
        <w:t xml:space="preserve"> </w:t>
      </w:r>
      <w:r>
        <w:t xml:space="preserve">imply that all beneficiary Member States and the three non-beneficiary Member States sitting</w:t>
      </w:r>
      <w:r>
        <w:t xml:space="preserve"> </w:t>
      </w:r>
      <w:r>
        <w:t xml:space="preserve">at the Committee review all investments submitted under the Fund and decide on their</w:t>
      </w:r>
      <w:r>
        <w:t xml:space="preserve"> </w:t>
      </w:r>
      <w:r>
        <w:t xml:space="preserve">approval. At the same time, with the exclusion of gas and waste-to-energy from the scope of</w:t>
      </w:r>
      <w:r>
        <w:t xml:space="preserve"> </w:t>
      </w:r>
      <w:r>
        <w:t xml:space="preserve">the MF as well as the exclusion of non-priority investments also entailed by this Policy Option,</w:t>
      </w:r>
      <w:r>
        <w:t xml:space="preserve"> </w:t>
      </w:r>
      <w:r>
        <w:t xml:space="preserve">investments to be discussed at the Committee would be likely to be consensual. All investments</w:t>
      </w:r>
      <w:r>
        <w:t xml:space="preserve"> </w:t>
      </w:r>
      <w:r>
        <w:t xml:space="preserve">submitted would indeed have to fall under the pre-defined list of activities supported as priority</w:t>
      </w:r>
      <w:r>
        <w:t xml:space="preserve"> </w:t>
      </w:r>
      <w:r>
        <w:t xml:space="preserve">investments, with the European Investment Bank conducting a first screening. The reduction</w:t>
      </w:r>
      <w:r>
        <w:t xml:space="preserve"> </w:t>
      </w:r>
      <w:r>
        <w:t xml:space="preserve">of the share of non-priority investments to 0 would also decrease administrative efforts related</w:t>
      </w:r>
      <w:r>
        <w:t xml:space="preserve"> </w:t>
      </w:r>
      <w:r>
        <w:t xml:space="preserve">to applying to the Fund, as applications for these investments are more time-consuming.</w:t>
      </w:r>
      <w:r>
        <w:br/>
      </w:r>
      <w:r>
        <w:t xml:space="preserve">PO1 and PO2 would reduce the administrative costs related to applying to the Fund, as they</w:t>
      </w:r>
      <w:r>
        <w:t xml:space="preserve"> </w:t>
      </w:r>
      <w:r>
        <w:t xml:space="preserve">both reduce the share of MF envelope that beneficiary Member States can dedicate to non-</w:t>
      </w:r>
      <w:r>
        <w:t xml:space="preserve"> </w:t>
      </w:r>
      <w:r>
        <w:t xml:space="preserve">priority investments, which bring a notable higher burden.</w:t>
      </w:r>
      <w:r>
        <w:t xml:space="preserve"> </w:t>
      </w:r>
      <w:r>
        <w:t xml:space="preserve">6.2.5.3. Aviation</w:t>
      </w:r>
      <w:r>
        <w:t xml:space="preserve"> </w:t>
      </w:r>
      <w:r>
        <w:t xml:space="preserve">The continuation of the SAF mechanism would lead to fiscal costs for Member States if they</w:t>
      </w:r>
      <w:r>
        <w:t xml:space="preserve"> </w:t>
      </w:r>
      <w:r>
        <w:t xml:space="preserve">were to use national budgets to replace the reduced ETS revenues allocated to them, or in any</w:t>
      </w:r>
      <w:r>
        <w:t xml:space="preserve"> </w:t>
      </w:r>
      <w:r>
        <w:t xml:space="preserve">case would reduce Member State revenues. See Annex 10, Table 27, for figures on the amount</w:t>
      </w:r>
      <w:r>
        <w:t xml:space="preserve"> </w:t>
      </w:r>
      <w:r>
        <w:t xml:space="preserve">of allowances set aside for ETS-financed SAF support.</w:t>
      </w:r>
      <w:r>
        <w:t xml:space="preserve"> </w:t>
      </w:r>
      <w:r>
        <w:t xml:space="preserve">Other economic impacts on public authorities are covered in the section on administrative effort</w:t>
      </w:r>
      <w:r>
        <w:t xml:space="preserve"> </w:t>
      </w:r>
      <w:r>
        <w:t xml:space="preserve">in section 6.2.2 above, since there are no significant changes specifically for public authorities.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6.2.5.4. Maritime</w:t>
      </w:r>
      <w:r>
        <w:t xml:space="preserve"> </w:t>
      </w:r>
      <w:r>
        <w:t xml:space="preserve">The SMAP mechanism would lead to fiscal costs for Member States if they would use national</w:t>
      </w:r>
      <w:r>
        <w:t xml:space="preserve"> </w:t>
      </w:r>
      <w:r>
        <w:t xml:space="preserve">budgets to replace the reduced ETS revenues allocated to them.</w:t>
      </w:r>
      <w:r>
        <w:t xml:space="preserve"> </w:t>
      </w:r>
      <w:r>
        <w:t xml:space="preserve">The extension of the EU ETS to smaller vessels under PO2 and PO3 is expected to increase</w:t>
      </w:r>
      <w:r>
        <w:t xml:space="preserve"> </w:t>
      </w:r>
      <w:r>
        <w:t xml:space="preserve">the workload for public authorities responsible for MRV and ETS administration. This may</w:t>
      </w:r>
      <w:r>
        <w:t xml:space="preserve"> </w:t>
      </w:r>
      <w:r>
        <w:t xml:space="preserve">require additional resources and staff training, to ensure accurate reporting, effective</w:t>
      </w:r>
      <w:r>
        <w:t xml:space="preserve"> </w:t>
      </w:r>
      <w:r>
        <w:t xml:space="preserve">compliance monitoring, and timely implementation of the system. Total additional recurrent</w:t>
      </w:r>
      <w:r>
        <w:t xml:space="preserve"> </w:t>
      </w:r>
      <w:r>
        <w:t xml:space="preserve">administrative costs are estimated at EUR 0.74 million per year for PO2 and EUR 1.46 million</w:t>
      </w:r>
      <w:r>
        <w:t xml:space="preserve"> </w:t>
      </w:r>
      <w:r>
        <w:t xml:space="preserve">per year for PO3.</w:t>
      </w:r>
      <w:r>
        <w:t xml:space="preserve"> </w:t>
      </w:r>
      <w:r>
        <w:t xml:space="preserve">6.2.5.5. Carbon leakage prevention</w:t>
      </w:r>
      <w:r>
        <w:t xml:space="preserve"> </w:t>
      </w:r>
      <w:r>
        <w:t xml:space="preserve">The simplification measures included in all the policy measures on carbon leakage protection</w:t>
      </w:r>
      <w:r>
        <w:t xml:space="preserve"> </w:t>
      </w:r>
      <w:r>
        <w:t xml:space="preserve">will reduce administrative burden also for public authorities, in particular for ETS Competent</w:t>
      </w:r>
      <w:r>
        <w:t xml:space="preserve"> </w:t>
      </w:r>
      <w:r>
        <w:t xml:space="preserve">Authorities.</w:t>
      </w:r>
      <w:r>
        <w:br/>
      </w:r>
      <w:r>
        <w:t xml:space="preserve">For ICC compensation, in Option ICC1 each Member State would continue to have the option</w:t>
      </w:r>
      <w:r>
        <w:t xml:space="preserve"> </w:t>
      </w:r>
      <w:r>
        <w:t xml:space="preserve">to use some of its share of auction revenues to fund an ICC State aid scheme, retaining the</w:t>
      </w:r>
      <w:r>
        <w:t xml:space="preserve"> </w:t>
      </w:r>
      <w:r>
        <w:t xml:space="preserve">option to balance the importance of providing this aid against other revenue uses.</w:t>
      </w:r>
      <w:r>
        <w:br/>
      </w:r>
      <w:r>
        <w:t xml:space="preserve">Option ICC1 would also ask Member States to provide additional information on how their</w:t>
      </w:r>
      <w:r>
        <w:t xml:space="preserve"> </w:t>
      </w:r>
      <w:r>
        <w:t xml:space="preserve">ICC compensation measures contribute to decarbonisation. The additional burden from these</w:t>
      </w:r>
      <w:r>
        <w:t xml:space="preserve"> </w:t>
      </w:r>
      <w:r>
        <w:t xml:space="preserve">requirements is expected to be modest since it would amend an existing reporting requirement</w:t>
      </w:r>
      <w:r>
        <w:t xml:space="preserve"> </w:t>
      </w:r>
      <w:r>
        <w:t xml:space="preserve">in the ETS Directive rather than create a completely new one. Article 10a(6) already requires</w:t>
      </w:r>
      <w:r>
        <w:t xml:space="preserve"> </w:t>
      </w:r>
      <w:r>
        <w:t xml:space="preserve">Member States to make information on ICC compensation publicly available.</w:t>
      </w:r>
      <w:r>
        <w:br/>
      </w:r>
      <w:r>
        <w:t xml:space="preserve">Option ICC2 would create an additional administrative burden for public authorities at both</w:t>
      </w:r>
      <w:r>
        <w:t xml:space="preserve"> </w:t>
      </w:r>
      <w:r>
        <w:t xml:space="preserve">national and EU levels due to the need to establish and administer an additional fund.</w:t>
      </w:r>
      <w:r>
        <w:br/>
      </w:r>
      <w:r>
        <w:t xml:space="preserve">6.2.5.6. Waste</w:t>
      </w:r>
      <w:r>
        <w:t xml:space="preserve"> </w:t>
      </w:r>
      <w:r>
        <w:t xml:space="preserve">Under both PO2 and PO3, the carbon price is expected to be at least partially passed through</w:t>
      </w:r>
      <w:r>
        <w:t xml:space="preserve"> </w:t>
      </w:r>
      <w:r>
        <w:t xml:space="preserve">up the waste value chain, extending the price signal to local waste collection and disposal</w:t>
      </w:r>
      <w:r>
        <w:t xml:space="preserve"> </w:t>
      </w:r>
      <w:r>
        <w:t xml:space="preserve">authorities and contributing to incentivise improved waste prevention, reduction, collection and</w:t>
      </w:r>
      <w:r>
        <w:t xml:space="preserve"> </w:t>
      </w:r>
      <w:r>
        <w:t xml:space="preserve">sorting at source. Around one fifth of stakeholders in the public consultation expressed</w:t>
      </w:r>
      <w:r>
        <w:t xml:space="preserve"> </w:t>
      </w:r>
      <w:r>
        <w:t xml:space="preserve">concerns on the need to balance potential price impacts for households through waste collection</w:t>
      </w:r>
      <w:r>
        <w:t xml:space="preserve"> </w:t>
      </w:r>
      <w:r>
        <w:t xml:space="preserve">fees or local taxation. Evidence from Member States already applying carbon pricing on</w:t>
      </w:r>
      <w:r>
        <w:t xml:space="preserve"> </w:t>
      </w:r>
      <w:r>
        <w:t xml:space="preserve">municipal waste incineration indicates the impact on households is manageable, with average</w:t>
      </w:r>
      <w:r>
        <w:t xml:space="preserve"> </w:t>
      </w:r>
      <w:r>
        <w:t xml:space="preserve">household waste management fees increases in the order of EUR 10-15 on annual basis95. A</w:t>
      </w:r>
      <w:r>
        <w:t xml:space="preserve"> </w:t>
      </w:r>
      <w:r>
        <w:t xml:space="preserve">substantial share of the impact can further be mitigated through improved waste prevention,</w:t>
      </w:r>
      <w:r>
        <w:t xml:space="preserve"> </w:t>
      </w:r>
      <w:r>
        <w:t xml:space="preserve">reduction, collection and sorting measures by local waste disposal authorities. For this, it is</w:t>
      </w:r>
      <w:r>
        <w:t xml:space="preserve"> </w:t>
      </w:r>
      <w:r>
        <w:t xml:space="preserve">essential that local authorities channel the incentive through targeted and proven waste</w:t>
      </w:r>
      <w:r>
        <w:t xml:space="preserve"> </w:t>
      </w:r>
      <w:r>
        <w:t xml:space="preserve">measures and policies with a positive steering effect offering households a choice to avoid the</w:t>
      </w:r>
      <w:r>
        <w:t xml:space="preserve"> </w:t>
      </w:r>
      <w:r>
        <w:t xml:space="preserve">additional cost of mixed waste disposal (see Annex 13, Section 1.3.1.). Complementary circular</w:t>
      </w:r>
      <w:r>
        <w:t xml:space="preserve"> </w:t>
      </w:r>
      <w:r>
        <w:t xml:space="preserve">economy policies and financial instruments can support local authorities to implement those</w:t>
      </w:r>
      <w:r>
        <w:t xml:space="preserve"> </w:t>
      </w:r>
      <w:r>
        <w:t xml:space="preserve">circular economy measures steering waste disposal in line with the waste hierarchy and helping</w:t>
      </w:r>
      <w:r>
        <w:t xml:space="preserve"> </w:t>
      </w:r>
      <w:r>
        <w:t xml:space="preserve">households to manage impacts.</w:t>
      </w:r>
    </w:p>
    <w:p>
      <w:pPr>
        <w:pStyle w:val="BodyText"/>
      </w:pPr>
      <w:r>
        <w:t xml:space="preserve">95 EUR 10 in Sweden based on average 2025 EU ETS price; EUR 13 in Germany based on average 2025</w:t>
      </w:r>
      <w:r>
        <w:t xml:space="preserve"> </w:t>
      </w:r>
      <w:r>
        <w:t xml:space="preserve">German ETS price; EUR 15 in Norway based on average 2025 EU ETS price as mirrored by the Norwegian</w:t>
      </w:r>
      <w:r>
        <w:t xml:space="preserve"> </w:t>
      </w:r>
      <w:r>
        <w:t xml:space="preserve">carbon tax.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ETS revenues from inclusion of waste disposal activities are projected to be significant and in</w:t>
      </w:r>
      <w:r>
        <w:t xml:space="preserve"> </w:t>
      </w:r>
      <w:r>
        <w:t xml:space="preserve">the range of EUR 4.75 billion annually on average over 2031-2040 in case of an extension of</w:t>
      </w:r>
      <w:r>
        <w:t xml:space="preserve"> </w:t>
      </w:r>
      <w:r>
        <w:t xml:space="preserve">the cap to municipal waste incineration and double to triple this amount in case of a full</w:t>
      </w:r>
      <w:r>
        <w:t xml:space="preserve"> </w:t>
      </w:r>
      <w:r>
        <w:t xml:space="preserve">extension to all waste incineration and landfilling. Existing, proven measures and policies such</w:t>
      </w:r>
      <w:r>
        <w:t xml:space="preserve"> </w:t>
      </w:r>
      <w:r>
        <w:t xml:space="preserve">as improved separate, weight-based and Pay-As-You-Throw collection schemes and</w:t>
      </w:r>
      <w:r>
        <w:t xml:space="preserve"> </w:t>
      </w:r>
      <w:r>
        <w:t xml:space="preserve">strengthened Extended Producer Responsibility schemes can support cost-effective mitigation</w:t>
      </w:r>
      <w:r>
        <w:t xml:space="preserve"> </w:t>
      </w:r>
      <w:r>
        <w:t xml:space="preserve">of emissions and carbon costs throughout the waste value chain and play an important role to</w:t>
      </w:r>
      <w:r>
        <w:t xml:space="preserve"> </w:t>
      </w:r>
      <w:r>
        <w:t xml:space="preserve">manage the impacts on local waste collection and disposal authorities and ensure a smooth</w:t>
      </w:r>
      <w:r>
        <w:t xml:space="preserve"> </w:t>
      </w:r>
      <w:r>
        <w:t xml:space="preserve">transition for the waste sector, balancing environmental benefits and circularity with the social</w:t>
      </w:r>
      <w:r>
        <w:t xml:space="preserve"> </w:t>
      </w:r>
      <w:r>
        <w:t xml:space="preserve">impacts of waste management as a public service, as explored in detail in Annex 13, Section</w:t>
      </w:r>
      <w:r>
        <w:t xml:space="preserve"> </w:t>
      </w:r>
      <w:r>
        <w:t xml:space="preserve">1.3.</w:t>
      </w:r>
      <w:r>
        <w:t xml:space="preserve"> </w:t>
      </w:r>
      <w:r>
        <w:t xml:space="preserve">6.2.6. Impacts on the functioning of the internal market</w:t>
      </w:r>
      <w:r>
        <w:t xml:space="preserve"> </w:t>
      </w:r>
      <w:r>
        <w:t xml:space="preserve">6.2.6.1. Instruments to support investments</w:t>
      </w:r>
      <w:r>
        <w:t xml:space="preserve"> </w:t>
      </w:r>
      <w:r>
        <w:t xml:space="preserve">For the IDB, the options on ensuring geographical balance would be those that also have the</w:t>
      </w:r>
      <w:r>
        <w:t xml:space="preserve"> </w:t>
      </w:r>
      <w:r>
        <w:t xml:space="preserve">most tangible impact on the internal market. Most likely and at least in the short term, the best</w:t>
      </w:r>
      <w:r>
        <w:t xml:space="preserve"> </w:t>
      </w:r>
      <w:r>
        <w:t xml:space="preserve">efficiency and the best outcome for the internal market from the IDB would be achieved</w:t>
      </w:r>
      <w:r>
        <w:t xml:space="preserve"> </w:t>
      </w:r>
      <w:r>
        <w:t xml:space="preserve">through the pure EU-level competitions that favours the most mature projects, with the best</w:t>
      </w:r>
      <w:r>
        <w:t xml:space="preserve"> </w:t>
      </w:r>
      <w:r>
        <w:t xml:space="preserve">locations, benefiting from the most favourable natural endowment (in terms of renewables</w:t>
      </w:r>
      <w:r>
        <w:t xml:space="preserve"> </w:t>
      </w:r>
      <w:r>
        <w:t xml:space="preserve">potentials), industrial structures, infrastructure and ecosystems and supportive national</w:t>
      </w:r>
      <w:r>
        <w:t xml:space="preserve"> </w:t>
      </w:r>
      <w:r>
        <w:t xml:space="preserve">policies.</w:t>
      </w:r>
      <w:r>
        <w:t xml:space="preserve"> </w:t>
      </w:r>
      <w:r>
        <w:t xml:space="preserve">In the long term, however, this option can lead to missing some opportunities in</w:t>
      </w:r>
      <w:r>
        <w:t xml:space="preserve"> </w:t>
      </w:r>
      <w:r>
        <w:t xml:space="preserve">countries/regions that are hampered by lack of administrative capacity/lack of innovation</w:t>
      </w:r>
      <w:r>
        <w:t xml:space="preserve"> </w:t>
      </w:r>
      <w:r>
        <w:t xml:space="preserve">ecosystem or infrastructure rather than structural factors of their industry/economy. This option</w:t>
      </w:r>
      <w:r>
        <w:t xml:space="preserve"> </w:t>
      </w:r>
      <w:r>
        <w:t xml:space="preserve">would also mean that the leverage and spillover effects due to the IDB is concentrated in some</w:t>
      </w:r>
      <w:r>
        <w:t xml:space="preserve"> </w:t>
      </w:r>
      <w:r>
        <w:t xml:space="preserve">of the regions.</w:t>
      </w:r>
      <w:r>
        <w:t xml:space="preserve"> </w:t>
      </w:r>
      <w:r>
        <w:t xml:space="preserve">To sum up, strict national allocations (that can also take the form of ‘as a service’ or right of</w:t>
      </w:r>
      <w:r>
        <w:t xml:space="preserve"> </w:t>
      </w:r>
      <w:r>
        <w:t xml:space="preserve">the first use – see Annex 9) can be perceived as the least efficient option because they limit the</w:t>
      </w:r>
      <w:r>
        <w:t xml:space="preserve"> </w:t>
      </w:r>
      <w:r>
        <w:t xml:space="preserve">benefits of the EU-level competition. In the longer term, however, such approach might help</w:t>
      </w:r>
      <w:r>
        <w:t xml:space="preserve"> </w:t>
      </w:r>
      <w:r>
        <w:t xml:space="preserve">to address some structural problems in certain regions (e.g. if funded activities create sufficient</w:t>
      </w:r>
      <w:r>
        <w:t xml:space="preserve"> </w:t>
      </w:r>
      <w:r>
        <w:t xml:space="preserve">demand for new infrastructure or lead to creation of new industrial structures).</w:t>
      </w:r>
      <w:r>
        <w:br/>
      </w:r>
      <w:r>
        <w:t xml:space="preserve">The best balance would be most likely achieved by a mix between the EU level competition</w:t>
      </w:r>
      <w:r>
        <w:t xml:space="preserve"> </w:t>
      </w:r>
      <w:r>
        <w:t xml:space="preserve">and national allocations as it draws to large extent the benefits of the EU-level competitions</w:t>
      </w:r>
      <w:r>
        <w:t xml:space="preserve"> </w:t>
      </w:r>
      <w:r>
        <w:t xml:space="preserve">and yet safeguards part of funding for national projects with all positive leverage and spillover</w:t>
      </w:r>
      <w:r>
        <w:t xml:space="preserve"> </w:t>
      </w:r>
      <w:r>
        <w:t xml:space="preserve">effects that it will bring. This approach would avoid, in the longer-term, missing opportunities</w:t>
      </w:r>
      <w:r>
        <w:t xml:space="preserve"> </w:t>
      </w:r>
      <w:r>
        <w:t xml:space="preserve">in terms of unlocking the potential of all EU Member States in terms of industrial</w:t>
      </w:r>
      <w:r>
        <w:t xml:space="preserve"> </w:t>
      </w:r>
      <w:r>
        <w:t xml:space="preserve">decarbonisation.</w:t>
      </w:r>
      <w:r>
        <w:br/>
      </w:r>
      <w:r>
        <w:t xml:space="preserve">Continuation of the Modernisation Fund will further support lower-income Member States’</w:t>
      </w:r>
      <w:r>
        <w:t xml:space="preserve"> </w:t>
      </w:r>
      <w:r>
        <w:t xml:space="preserve">catching-up process relative to higher income ones in terms of modernisation of energy systems</w:t>
      </w:r>
      <w:r>
        <w:t xml:space="preserve"> </w:t>
      </w:r>
      <w:r>
        <w:t xml:space="preserve">and carbon intensity of the economy. Thanks to investments supported by the Fund, beneficiary</w:t>
      </w:r>
      <w:r>
        <w:t xml:space="preserve"> </w:t>
      </w:r>
      <w:r>
        <w:t xml:space="preserve">Member States can develop the needed infrastructure for the clean energy transition (e.g. stable</w:t>
      </w:r>
      <w:r>
        <w:t xml:space="preserve"> </w:t>
      </w:r>
      <w:r>
        <w:t xml:space="preserve">and modern grids, storage capacity, sizeable renewable energy capacity, EV charging</w:t>
      </w:r>
      <w:r>
        <w:t xml:space="preserve"> </w:t>
      </w:r>
      <w:r>
        <w:t xml:space="preserve">infrastructure) and attract more private investments. This is therefore conducive to creating a</w:t>
      </w:r>
      <w:r>
        <w:t xml:space="preserve"> </w:t>
      </w:r>
      <w:r>
        <w:t xml:space="preserve">level-playing field among Member States and alleviating some barriers to the single market.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6.2.6.2. Carbon leakage prevention</w:t>
      </w:r>
      <w:r>
        <w:t xml:space="preserve"> </w:t>
      </w:r>
      <w:r>
        <w:t xml:space="preserve">For direct emissions, continuation of free allocation is compatible with the internal market,</w:t>
      </w:r>
      <w:r>
        <w:t xml:space="preserve"> </w:t>
      </w:r>
      <w:r>
        <w:t xml:space="preserve">since eligibility for free allocation is harmonised at EU-level in all options considered. For</w:t>
      </w:r>
      <w:r>
        <w:t xml:space="preserve"> </w:t>
      </w:r>
      <w:r>
        <w:t xml:space="preserve">ICC, Option ICC1 would continue the current policy, which allows Member States to decide</w:t>
      </w:r>
      <w:r>
        <w:t xml:space="preserve"> </w:t>
      </w:r>
      <w:r>
        <w:t xml:space="preserve">whether to offer ICC compensation or not. This system results in a somewhat fragmented</w:t>
      </w:r>
      <w:r>
        <w:t xml:space="preserve"> </w:t>
      </w:r>
      <w:r>
        <w:t xml:space="preserve">system where 15 Member States currently offer compensation via separate national schemes96.</w:t>
      </w:r>
      <w:r>
        <w:br/>
      </w:r>
      <w:r>
        <w:t xml:space="preserve">The partial harmonisation of ICC compensation under option ICC2 would reduce this</w:t>
      </w:r>
      <w:r>
        <w:t xml:space="preserve"> </w:t>
      </w:r>
      <w:r>
        <w:t xml:space="preserve">fragmentation by offering some compensation on a harmonised basis at EU-level. This would</w:t>
      </w:r>
      <w:r>
        <w:t xml:space="preserve"> </w:t>
      </w:r>
      <w:r>
        <w:t xml:space="preserve">reduce internal market fragmentation to a limited extent by compensating a fraction of the</w:t>
      </w:r>
      <w:r>
        <w:t xml:space="preserve"> </w:t>
      </w:r>
      <w:r>
        <w:t xml:space="preserve">potential indirect cost through a harmonised fund. Funding equivalent to 5% of 2030-2040</w:t>
      </w:r>
      <w:r>
        <w:t xml:space="preserve"> </w:t>
      </w:r>
      <w:r>
        <w:t xml:space="preserve">auction revenues is level is suggested based on striking a balance between the benefits of ICC</w:t>
      </w:r>
      <w:r>
        <w:t xml:space="preserve"> </w:t>
      </w:r>
      <w:r>
        <w:t xml:space="preserve">harmonisation, compared to other uses of ETS revenues.</w:t>
      </w:r>
      <w:r>
        <w:t xml:space="preserve"> </w:t>
      </w:r>
      <w:r>
        <w:t xml:space="preserve">The issue of indirect carbon costs was often raised by industry stakeholders as this is often a</w:t>
      </w:r>
      <w:r>
        <w:t xml:space="preserve"> </w:t>
      </w:r>
      <w:r>
        <w:t xml:space="preserve">cost that they have no direct control over. It is addressed to some extent by national decisions</w:t>
      </w:r>
      <w:r>
        <w:t xml:space="preserve"> </w:t>
      </w:r>
      <w:r>
        <w:t xml:space="preserve">on whether to offer ICC compensation. However, the question of how to reduce industrial</w:t>
      </w:r>
      <w:r>
        <w:t xml:space="preserve"> </w:t>
      </w:r>
      <w:r>
        <w:t xml:space="preserve">electricity prices is broader and depends on national and European efforts to decarbonise</w:t>
      </w:r>
      <w:r>
        <w:t xml:space="preserve"> </w:t>
      </w:r>
      <w:r>
        <w:t xml:space="preserve">electricity supply and modernise the electricity grid in a way that also ensures the price of</w:t>
      </w:r>
      <w:r>
        <w:t xml:space="preserve"> </w:t>
      </w:r>
      <w:r>
        <w:t xml:space="preserve">electricity does not become excessively high in comparison to industrial competitors.</w:t>
      </w:r>
      <w:r>
        <w:br/>
      </w:r>
      <w:r>
        <w:t xml:space="preserve">The continuation of indirect cost compensation was consistently supported (with 74% of</w:t>
      </w:r>
      <w:r>
        <w:t xml:space="preserve"> </w:t>
      </w:r>
      <w:r>
        <w:t xml:space="preserve">respondents in favour) by industrial stakeholders during the open public consultation. Overall,</w:t>
      </w:r>
      <w:r>
        <w:t xml:space="preserve"> </w:t>
      </w:r>
      <w:r>
        <w:t xml:space="preserve">harmonisation was supported by 39% of stakeholders who responded to the question of whether</w:t>
      </w:r>
      <w:r>
        <w:t xml:space="preserve"> </w:t>
      </w:r>
      <w:r>
        <w:t xml:space="preserve">indirect cost compensation will remain necessary after 2030 to address the risk of carbon</w:t>
      </w:r>
      <w:r>
        <w:t xml:space="preserve"> </w:t>
      </w:r>
      <w:r>
        <w:t xml:space="preserve">leakage from indirect carbon costs not covered by other measures (such as CBAM). Several</w:t>
      </w:r>
      <w:r>
        <w:t xml:space="preserve"> </w:t>
      </w:r>
      <w:r>
        <w:t xml:space="preserve">respondents in favour of harmonisation, indicated the need to re-visit different sectors’</w:t>
      </w:r>
      <w:r>
        <w:t xml:space="preserve"> </w:t>
      </w:r>
      <w:r>
        <w:t xml:space="preserve">eligibility for ICC compensation, which is outside the scope of this review.</w:t>
      </w:r>
      <w:r>
        <w:br/>
      </w:r>
      <w:r>
        <w:t xml:space="preserve">6.2.6.3. Waste</w:t>
      </w:r>
      <w:r>
        <w:t xml:space="preserve"> </w:t>
      </w:r>
      <w:r>
        <w:t xml:space="preserve">PO1 does not increase the scope of the EU ETS compared to the baseline, consequently no</w:t>
      </w:r>
      <w:r>
        <w:t xml:space="preserve"> </w:t>
      </w:r>
      <w:r>
        <w:t xml:space="preserve">change from the baseline is expected in terms of the functioning of the internal market. The</w:t>
      </w:r>
      <w:r>
        <w:t xml:space="preserve"> </w:t>
      </w:r>
      <w:r>
        <w:t xml:space="preserve">current situation is characterised by the heterogeneous application of carbon pricing to waste</w:t>
      </w:r>
      <w:r>
        <w:t xml:space="preserve"> </w:t>
      </w:r>
      <w:r>
        <w:t xml:space="preserve">disposal. This unlevel playing field contributes to competitive distortions within the waste</w:t>
      </w:r>
      <w:r>
        <w:t xml:space="preserve"> </w:t>
      </w:r>
      <w:r>
        <w:t xml:space="preserve">management sector, between Member States, and between sectors. First, the co-incineration of</w:t>
      </w:r>
      <w:r>
        <w:t xml:space="preserve"> </w:t>
      </w:r>
      <w:r>
        <w:t xml:space="preserve">municipal waste in industrial installations is subject to the ETS carbon price, while municipal</w:t>
      </w:r>
      <w:r>
        <w:t xml:space="preserve"> </w:t>
      </w:r>
      <w:r>
        <w:t xml:space="preserve">waste incineration is generally not – except in selected Member States, at different levels.</w:t>
      </w:r>
      <w:r>
        <w:t xml:space="preserve"> </w:t>
      </w:r>
      <w:r>
        <w:t xml:space="preserve">Second, under the current climate framework (Effort Sharing Regulation), Member States</w:t>
      </w:r>
      <w:r>
        <w:t xml:space="preserve"> </w:t>
      </w:r>
      <w:r>
        <w:t xml:space="preserve">apply different price signals and instruments, while a majority apply no dedicated carbon price</w:t>
      </w:r>
      <w:r>
        <w:t xml:space="preserve"> </w:t>
      </w:r>
      <w:r>
        <w:t xml:space="preserve">signal or instrument for the sector, leading to competitive distortion on the internal market for</w:t>
      </w:r>
      <w:r>
        <w:t xml:space="preserve"> </w:t>
      </w:r>
      <w:r>
        <w:t xml:space="preserve">waste. Third, while power generation installations are covered by the EU ETS, waste-to-energy</w:t>
      </w:r>
      <w:r>
        <w:t xml:space="preserve"> </w:t>
      </w:r>
      <w:r>
        <w:t xml:space="preserve">installations are generally not, contributing to an unlevel playing field with renewable energy</w:t>
      </w:r>
      <w:r>
        <w:t xml:space="preserve"> </w:t>
      </w:r>
      <w:r>
        <w:t xml:space="preserve">production. Extending the EU ETS to municipal waste incineration installations under PO2</w:t>
      </w:r>
      <w:r>
        <w:t xml:space="preserve"> </w:t>
      </w:r>
      <w:r>
        <w:t xml:space="preserve">would contribute to harmonise coverage of waste incineration under the EU ETS, ensuring a</w:t>
      </w:r>
      <w:r>
        <w:t xml:space="preserve"> </w:t>
      </w:r>
      <w:r>
        <w:t xml:space="preserve">level playing field and addressing competitive distortions within the waste sector, between</w:t>
      </w:r>
    </w:p>
    <w:p>
      <w:pPr>
        <w:pStyle w:val="BodyText"/>
      </w:pPr>
      <w:r>
        <w:t xml:space="preserve">96 Report from the Commission to the European Parliament and the Council on the functioning of the European</w:t>
      </w:r>
      <w:r>
        <w:t xml:space="preserve"> </w:t>
      </w:r>
      <w:r>
        <w:t xml:space="preserve">carbon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COM(2025)</w:t>
      </w:r>
      <w:r>
        <w:t xml:space="preserve"> </w:t>
      </w:r>
      <w:r>
        <w:t xml:space="preserve">735</w:t>
      </w:r>
      <w:r>
        <w:t xml:space="preserve"> </w:t>
      </w:r>
      <w:r>
        <w:t xml:space="preserve">final,</w:t>
      </w:r>
      <w:r>
        <w:t xml:space="preserve"> </w:t>
      </w:r>
      <w:r>
        <w:t xml:space="preserve">3.12.2025,</w:t>
      </w:r>
      <w:r>
        <w:t xml:space="preserve"> </w:t>
      </w:r>
      <w:r>
        <w:t xml:space="preserve">https://climate.ec.europa.eu/document/download/ddc1b1de-652b-49ed-8f15-</w:t>
      </w:r>
      <w:r>
        <w:t xml:space="preserve"> </w:t>
      </w:r>
      <w:r>
        <w:t xml:space="preserve">d9fa8badd39f_en?filename=com_2025_735_en.pdf.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sectors and between Member States. First, extending the EU ETS to all non-hazardous waste</w:t>
      </w:r>
      <w:r>
        <w:t xml:space="preserve"> </w:t>
      </w:r>
      <w:r>
        <w:t xml:space="preserve">incineration installations would harmonise the application of the polluter-pays principle within</w:t>
      </w:r>
      <w:r>
        <w:t xml:space="preserve"> </w:t>
      </w:r>
      <w:r>
        <w:t xml:space="preserve">the waste incineration sector, addressing the current heterogeneous coverage of emissions from</w:t>
      </w:r>
      <w:r>
        <w:t xml:space="preserve"> </w:t>
      </w:r>
      <w:r>
        <w:t xml:space="preserve">waste incineration depending on the waste type and Member States’ classification of</w:t>
      </w:r>
      <w:r>
        <w:t xml:space="preserve"> </w:t>
      </w:r>
      <w:r>
        <w:t xml:space="preserve">installations. Second, an extension would harmonise the application of the polluter-pays</w:t>
      </w:r>
      <w:r>
        <w:t xml:space="preserve"> </w:t>
      </w:r>
      <w:r>
        <w:t xml:space="preserve">principle between waste incineration and the co-incineration of waste in industrial installations,</w:t>
      </w:r>
      <w:r>
        <w:t xml:space="preserve"> </w:t>
      </w:r>
      <w:r>
        <w:t xml:space="preserve">such as cement kilns, and between energy produced from different sources, ensuring a level</w:t>
      </w:r>
      <w:r>
        <w:t xml:space="preserve"> </w:t>
      </w:r>
      <w:r>
        <w:t xml:space="preserve">playing field between waste-to-energy and power generation installations that are connected to</w:t>
      </w:r>
      <w:r>
        <w:t xml:space="preserve"> </w:t>
      </w:r>
      <w:r>
        <w:t xml:space="preserve">a common grid or district heating system. Third, an extension would also harmonise the</w:t>
      </w:r>
      <w:r>
        <w:t xml:space="preserve"> </w:t>
      </w:r>
      <w:r>
        <w:t xml:space="preserve">application of the polluter-pays principle between Member States, addressing competitive</w:t>
      </w:r>
      <w:r>
        <w:t xml:space="preserve"> </w:t>
      </w:r>
      <w:r>
        <w:t xml:space="preserve">distortions resulting from the current differentiated coverage of waste-to-energy installations</w:t>
      </w:r>
      <w:r>
        <w:t xml:space="preserve"> </w:t>
      </w:r>
      <w:r>
        <w:t xml:space="preserve">in the EU ETS in selected Member States.</w:t>
      </w:r>
      <w:r>
        <w:t xml:space="preserve"> </w:t>
      </w:r>
      <w:r>
        <w:t xml:space="preserve">The additional extension of carbon pricing to hazardous waste incineration and landfilling</w:t>
      </w:r>
      <w:r>
        <w:t xml:space="preserve"> </w:t>
      </w:r>
      <w:r>
        <w:t xml:space="preserve">under PO3 would further contribute to harmonising the application of the polluter-pays</w:t>
      </w:r>
      <w:r>
        <w:t xml:space="preserve"> </w:t>
      </w:r>
      <w:r>
        <w:t xml:space="preserve">principle within the waste disposal sector, in addition to addressing potential competitive</w:t>
      </w:r>
      <w:r>
        <w:t xml:space="preserve"> </w:t>
      </w:r>
      <w:r>
        <w:t xml:space="preserve">distortions between waste incineration and landfilling for residual waste resulting from</w:t>
      </w:r>
      <w:r>
        <w:t xml:space="preserve"> </w:t>
      </w:r>
      <w:r>
        <w:t xml:space="preserve">different price signals, where dedicated fiscal and regulatory policies on landfilling (including</w:t>
      </w:r>
      <w:r>
        <w:t xml:space="preserve"> </w:t>
      </w:r>
      <w:r>
        <w:t xml:space="preserve">bans on landfilling of specific residual waste streams and taxes) are not already sufficiently</w:t>
      </w:r>
      <w:r>
        <w:t xml:space="preserve"> </w:t>
      </w:r>
      <w:r>
        <w:t xml:space="preserve">prohibitive to avoid such competitive disadvantages. However, depending on how the EU ETS</w:t>
      </w:r>
      <w:r>
        <w:t xml:space="preserve"> </w:t>
      </w:r>
      <w:r>
        <w:t xml:space="preserve">price is translated to gate fees for landfilling, the price gap closing effect could vary per waste</w:t>
      </w:r>
      <w:r>
        <w:t xml:space="preserve"> </w:t>
      </w:r>
      <w:r>
        <w:t xml:space="preserve">stream, as PO3 would predominantly price methane emissions from biogenic waste rather than</w:t>
      </w:r>
      <w:r>
        <w:t xml:space="preserve"> </w:t>
      </w:r>
      <w:r>
        <w:t xml:space="preserve">emissions from fossil waste streams such as plastics.</w:t>
      </w:r>
      <w:r>
        <w:t xml:space="preserve"> </w:t>
      </w:r>
      <w:r>
        <w:t xml:space="preserve">6.3.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6.3.1. Impacts on employment and skills</w:t>
      </w:r>
      <w:r>
        <w:t xml:space="preserve"> </w:t>
      </w:r>
      <w:r>
        <w:t xml:space="preserve">6.3.1.1. Cap</w:t>
      </w:r>
      <w:r>
        <w:br/>
      </w:r>
      <w:r>
        <w:t xml:space="preserve">The employment impacts of the ambition level and cap scenarios are explained below in the</w:t>
      </w:r>
      <w:r>
        <w:t xml:space="preserve"> </w:t>
      </w:r>
      <w:r>
        <w:t xml:space="preserve">section on carbon leakage. They were assessed with the GEM-E3 model.</w:t>
      </w:r>
      <w:r>
        <w:t xml:space="preserve"> </w:t>
      </w:r>
      <w:r>
        <w:t xml:space="preserve">6.3.1.2. Carbon removals</w:t>
      </w:r>
      <w:r>
        <w:t xml:space="preserve"> </w:t>
      </w:r>
      <w:r>
        <w:t xml:space="preserve">Removal integration into the EU ETS can influence employment mainly through its impact on</w:t>
      </w:r>
      <w:r>
        <w:t xml:space="preserve"> </w:t>
      </w:r>
      <w:r>
        <w:t xml:space="preserve">the pace and predictability of domestic removal deployment and associated supply chains.</w:t>
      </w:r>
      <w:r>
        <w:t xml:space="preserve"> </w:t>
      </w:r>
      <w:r>
        <w:t xml:space="preserve">Measures that provide predictable demand and bankable revenue streams for removals (PO1)</w:t>
      </w:r>
      <w:r>
        <w:t xml:space="preserve"> </w:t>
      </w:r>
      <w:r>
        <w:t xml:space="preserve">are more likely to catalyse near‑term investment and job creation in the European removal</w:t>
      </w:r>
      <w:r>
        <w:t xml:space="preserve"> </w:t>
      </w:r>
      <w:r>
        <w:t xml:space="preserve">industry. Operator‑integration measures (PO2-3) can deliver similar employment benefits if</w:t>
      </w:r>
      <w:r>
        <w:t xml:space="preserve"> </w:t>
      </w:r>
      <w:r>
        <w:t xml:space="preserve">complemented by removal policy support outside the ETS. If such support is absent however,</w:t>
      </w:r>
      <w:r>
        <w:t xml:space="preserve"> </w:t>
      </w:r>
      <w:r>
        <w:t xml:space="preserve">the weaker visibility of demand may delay investment decisions and temper job growth. Some</w:t>
      </w:r>
      <w:r>
        <w:t xml:space="preserve"> </w:t>
      </w:r>
      <w:r>
        <w:t xml:space="preserve">jobs in the removal industry may represent a shift rather than net‑increase (e.g., if cheaper</w:t>
      </w:r>
      <w:r>
        <w:t xml:space="preserve"> </w:t>
      </w:r>
      <w:r>
        <w:t xml:space="preserve">removals displace abatement action in certain sectors).</w:t>
      </w:r>
      <w:r>
        <w:t xml:space="preserve"> </w:t>
      </w:r>
      <w:r>
        <w:t xml:space="preserve">Estimates from Boston Consulting Group conclude that the development of the CDR industry</w:t>
      </w:r>
      <w:r>
        <w:t xml:space="preserve"> </w:t>
      </w:r>
      <w:r>
        <w:t xml:space="preserve">could not only bring substantial economic growth but also significant job creation. They</w:t>
      </w:r>
      <w:r>
        <w:t xml:space="preserve"> </w:t>
      </w:r>
      <w:r>
        <w:t xml:space="preserve">conclude that by 2050, the CDR sector in Europe could support up to 670,000 jobs. This growth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trajectory indicates substantial employment opportunities across various sectors involved in</w:t>
      </w:r>
      <w:r>
        <w:t xml:space="preserve"> </w:t>
      </w:r>
      <w:r>
        <w:t xml:space="preserve">CDR, including engineering &amp; manufacturing, energy, and (digital) services97.</w:t>
      </w:r>
      <w:r>
        <w:br/>
      </w:r>
      <w:r>
        <w:t xml:space="preserve">Concretely, if CDR develops as modelled in the 1.5°C- and 2°C-compatible scenarios, the job</w:t>
      </w:r>
      <w:r>
        <w:t xml:space="preserve"> </w:t>
      </w:r>
      <w:r>
        <w:t xml:space="preserve">potential in the CDR industry is expected to increase gradually, with a relatively modest growth</w:t>
      </w:r>
      <w:r>
        <w:t xml:space="preserve"> </w:t>
      </w:r>
      <w:r>
        <w:t xml:space="preserve">in the next years. By 2035, however, the sector could already support 125,000-180,000 jobs in</w:t>
      </w:r>
      <w:r>
        <w:t xml:space="preserve"> </w:t>
      </w:r>
      <w:r>
        <w:t xml:space="preserve">broader Europe. The job potential is estimated based on current sector ratios of jobs per EUR</w:t>
      </w:r>
      <w:r>
        <w:t xml:space="preserve"> </w:t>
      </w:r>
      <w:r>
        <w:t xml:space="preserve">1 million value added.</w:t>
      </w:r>
      <w:r>
        <w:t xml:space="preserve"> </w:t>
      </w:r>
      <w:r>
        <w:t xml:space="preserve">6.3.1.3. Instruments to support investments</w:t>
      </w:r>
      <w:r>
        <w:t xml:space="preserve"> </w:t>
      </w:r>
      <w:r>
        <w:t xml:space="preserve">IDB is proposed to be one of the key elements of the enabling framework that will be essential</w:t>
      </w:r>
      <w:r>
        <w:t xml:space="preserve"> </w:t>
      </w:r>
      <w:r>
        <w:t xml:space="preserve">to achieve 2040 climate target. 2040 climate target as confirmed in the modelling exercise</w:t>
      </w:r>
      <w:r>
        <w:t xml:space="preserve"> </w:t>
      </w:r>
      <w:r>
        <w:t xml:space="preserve">underpinning the 2040 climate target proposal is unlikely to be a major driver of GDP growth</w:t>
      </w:r>
      <w:r>
        <w:t xml:space="preserve"> </w:t>
      </w:r>
      <w:r>
        <w:t xml:space="preserve">and employment levels in and of its own. The transition will nevertheless imply</w:t>
      </w:r>
      <w:r>
        <w:t xml:space="preserve"> </w:t>
      </w:r>
      <w:r>
        <w:t xml:space="preserve">transformations in production and consumption patterns.</w:t>
      </w:r>
      <w:r>
        <w:t xml:space="preserve"> </w:t>
      </w:r>
      <w:r>
        <w:t xml:space="preserve">IDB can bring positive employment impacts in all sectors of economy. All economic sectors</w:t>
      </w:r>
      <w:r>
        <w:t xml:space="preserve"> </w:t>
      </w:r>
      <w:r>
        <w:t xml:space="preserve">(not only industry) will be affected by the IDB because they all consume products of industry</w:t>
      </w:r>
      <w:r>
        <w:t xml:space="preserve"> </w:t>
      </w:r>
      <w:r>
        <w:t xml:space="preserve">(e.g. fertilisers needed for agriculture are produced by chemical industry, services rely on</w:t>
      </w:r>
      <w:r>
        <w:t xml:space="preserve"> </w:t>
      </w:r>
      <w:r>
        <w:t xml:space="preserve">electricity that together with industry is in the ETS).</w:t>
      </w:r>
      <w:r>
        <w:br/>
      </w:r>
      <w:r>
        <w:t xml:space="preserve">More broadly, society as a whole will be affected (as all society actors will consume products</w:t>
      </w:r>
      <w:r>
        <w:t xml:space="preserve"> </w:t>
      </w:r>
      <w:r>
        <w:t xml:space="preserve">of industry, some will work in the industry, some will have part of their pensions linked to</w:t>
      </w:r>
      <w:r>
        <w:t xml:space="preserve"> </w:t>
      </w:r>
      <w:r>
        <w:t xml:space="preserve">performance of industrial stocks).</w:t>
      </w:r>
      <w:r>
        <w:t xml:space="preserve"> </w:t>
      </w:r>
      <w:r>
        <w:t xml:space="preserve">6.3.1.4. Aviation</w:t>
      </w:r>
      <w:r>
        <w:t xml:space="preserve"> </w:t>
      </w:r>
      <w:r>
        <w:t xml:space="preserve">The impact on employment of EEA aircraft operators is mainly dependent on demand.</w:t>
      </w:r>
      <w:r>
        <w:t xml:space="preserve"> </w:t>
      </w:r>
      <w:r>
        <w:t xml:space="preserve">Demand is projected to grow in the baseline and all options, with greatest growth outside</w:t>
      </w:r>
      <w:r>
        <w:t xml:space="preserve"> </w:t>
      </w:r>
      <w:r>
        <w:t xml:space="preserve">Europe (see 6.1.1.5) in areas which are mainly serviced by non-European airlines.</w:t>
      </w:r>
      <w:r>
        <w:t xml:space="preserve"> </w:t>
      </w:r>
      <w:r>
        <w:t xml:space="preserve">Nevertheless, employment is also projected to grow for EEA airlines, with limited differences</w:t>
      </w:r>
      <w:r>
        <w:t xml:space="preserve"> </w:t>
      </w:r>
      <w:r>
        <w:t xml:space="preserve">between the options (2.3% difference maximum from the baseline, in PO1 in 2040). By 2040,</w:t>
      </w:r>
      <w:r>
        <w:t xml:space="preserve"> </w:t>
      </w:r>
      <w:r>
        <w:t xml:space="preserve">compared to 2024, employment is modelled to grow by 28% in PO1, and by 26% in PO2/3.</w:t>
      </w:r>
      <w:r>
        <w:t xml:space="preserve"> </w:t>
      </w:r>
      <w:r>
        <w:t xml:space="preserve">This suggests that the ETS policy options do not lead to materially different employment</w:t>
      </w:r>
      <w:r>
        <w:t xml:space="preserve"> </w:t>
      </w:r>
      <w:r>
        <w:t xml:space="preserve">trajectories.</w:t>
      </w:r>
      <w:r>
        <w:br/>
      </w:r>
      <w:r>
        <w:t xml:space="preserve">The SAF industry offers a route for jobs in the refining sector to shift toward green economy,</w:t>
      </w:r>
      <w:r>
        <w:t xml:space="preserve"> </w:t>
      </w:r>
      <w:r>
        <w:t xml:space="preserve">while simultaneously leveraging the industry’s experience and existing infrastructure. In PO1,</w:t>
      </w:r>
      <w:r>
        <w:t xml:space="preserve"> </w:t>
      </w:r>
      <w:r>
        <w:t xml:space="preserve">SAF support would expire at the end of 2030. This option does not allow for an increase in</w:t>
      </w:r>
      <w:r>
        <w:t xml:space="preserve"> </w:t>
      </w:r>
      <w:r>
        <w:t xml:space="preserve">employment in SAF industry and related supply chain compared to the baseline. SAF</w:t>
      </w:r>
      <w:r>
        <w:t xml:space="preserve"> </w:t>
      </w:r>
      <w:r>
        <w:t xml:space="preserve">production mandated by ReFuelEU98 is already included in the baseline. Additional SAF</w:t>
      </w:r>
      <w:r>
        <w:t xml:space="preserve"> </w:t>
      </w:r>
      <w:r>
        <w:t xml:space="preserve">support under PO2 and PO3 compared to the baseline could trigger more investment in the</w:t>
      </w:r>
      <w:r>
        <w:t xml:space="preserve"> </w:t>
      </w:r>
      <w:r>
        <w:t xml:space="preserve">SAF sector and increase employment. This is not specifically modelled, because it is uncertain</w:t>
      </w:r>
    </w:p>
    <w:p>
      <w:pPr>
        <w:pStyle w:val="BodyText"/>
      </w:pPr>
      <w:r>
        <w:t xml:space="preserve">97 Patrick Herhold, Johanna Pütz, Karan Mistry, Robin Bierganz, Phillip Spiekermann, Louisa Maier, German</w:t>
      </w:r>
      <w:r>
        <w:t xml:space="preserve"> </w:t>
      </w:r>
      <w:r>
        <w:t xml:space="preserve">Association for Negative Emissions (DVNE) &amp; Boston Consulting Group (BCG), Europe and Germany’s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Catalyzing</w:t>
      </w:r>
      <w:r>
        <w:t xml:space="preserve"> </w:t>
      </w:r>
      <w:r>
        <w:t xml:space="preserve">a</w:t>
      </w:r>
      <w:r>
        <w:t xml:space="preserve"> </w:t>
      </w:r>
      <w:r>
        <w:t xml:space="preserve">Trillion-Euro</w:t>
      </w:r>
      <w:r>
        <w:t xml:space="preserve"> </w:t>
      </w:r>
      <w:r>
        <w:t xml:space="preserve">Industry,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https://pyreg.com/wp-</w:t>
      </w:r>
      <w:r>
        <w:t xml:space="preserve"> </w:t>
      </w:r>
      <w:r>
        <w:t xml:space="preserve">content/uploads/240620_dvne_bcg_cdr_economic_potential_en.pdf.</w:t>
      </w:r>
      <w:r>
        <w:t xml:space="preserve"> </w:t>
      </w:r>
      <w:r>
        <w:t xml:space="preserve">98 The study supporting the impact assessment of the ReFuelEU Aviation initiative (European Commission,</w:t>
      </w:r>
      <w:r>
        <w:t xml:space="preserve"> </w:t>
      </w:r>
      <w:r>
        <w:t xml:space="preserve">2021) estimated that it is expected to create more than 200,000 net additional jobs in the SAF production</w:t>
      </w:r>
      <w:r>
        <w:t xml:space="preserve"> </w:t>
      </w:r>
      <w:r>
        <w:t xml:space="preserve">industry by 2050. European Commission: Directorate-General for Mobility and Transport, E3M, Ricardo,</w:t>
      </w:r>
      <w:r>
        <w:t xml:space="preserve"> </w:t>
      </w:r>
      <w:r>
        <w:t xml:space="preserve">Oeko, Giannelos, G. et al., Study supporting the impact assessment of the ReFuelEU Aviation initiative –</w:t>
      </w:r>
      <w:r>
        <w:t xml:space="preserve"> </w:t>
      </w:r>
      <w:r>
        <w:t xml:space="preserve">Executive summary, Publications Office, 2021, https://data.europa.eu/doi/10.2832/680399.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how much, if any, additional SAF will be available (beyond mandated levels) and where it will</w:t>
      </w:r>
      <w:r>
        <w:t xml:space="preserve"> </w:t>
      </w:r>
      <w:r>
        <w:t xml:space="preserve">be produced (in Europe our elsewhere). For example, plants in Europe (FR99, UK100, DE101),</w:t>
      </w:r>
      <w:r>
        <w:t xml:space="preserve"> </w:t>
      </w:r>
      <w:r>
        <w:t xml:space="preserve">are expected to create 0.2 to 1.8 jobs for 100 tonnes of SAF produced per year, depending on</w:t>
      </w:r>
      <w:r>
        <w:t xml:space="preserve"> </w:t>
      </w:r>
      <w:r>
        <w:t xml:space="preserve">type of SAF, type of jobs (high/low skilled), inside/outside sector, and the pace of development</w:t>
      </w:r>
      <w:r>
        <w:t xml:space="preserve"> </w:t>
      </w:r>
      <w:r>
        <w:t xml:space="preserve">of the SAF production.</w:t>
      </w:r>
      <w:r>
        <w:t xml:space="preserve"> </w:t>
      </w:r>
      <w:r>
        <w:t xml:space="preserve">Impact on households</w:t>
      </w:r>
      <w:r>
        <w:t xml:space="preserve"> </w:t>
      </w:r>
      <w:r>
        <w:t xml:space="preserve">Carbon pricing on air travel promotes fairness relative to other, taxed transport modes (such as</w:t>
      </w:r>
      <w:r>
        <w:t xml:space="preserve"> </w:t>
      </w:r>
      <w:r>
        <w:t xml:space="preserve">road and rail). From the consumer perspective ticket price–to–income ratios remain broadly</w:t>
      </w:r>
      <w:r>
        <w:t xml:space="preserve"> </w:t>
      </w:r>
      <w:r>
        <w:t xml:space="preserve">stable over time across all route types and passenger segments, and passenger travel demand</w:t>
      </w:r>
      <w:r>
        <w:t xml:space="preserve"> </w:t>
      </w:r>
      <w:r>
        <w:t xml:space="preserve">continues to grow across all route types in all policy options. Highest and lowest income</w:t>
      </w:r>
      <w:r>
        <w:t xml:space="preserve"> </w:t>
      </w:r>
      <w:r>
        <w:t xml:space="preserve">households are least likely to respond to carbon price incentives. Those who can afford the</w:t>
      </w:r>
      <w:r>
        <w:t xml:space="preserve"> </w:t>
      </w:r>
      <w:r>
        <w:t xml:space="preserve">most expensive tickets are least sensitive to price increases (see 6.2.1.4 above). Those who</w:t>
      </w:r>
      <w:r>
        <w:t xml:space="preserve"> </w:t>
      </w:r>
      <w:r>
        <w:t xml:space="preserve">cannot afford the cheapest tickets now, would continue to face similar barriers without carbon</w:t>
      </w:r>
      <w:r>
        <w:t xml:space="preserve"> </w:t>
      </w:r>
      <w:r>
        <w:t xml:space="preserve">pricing. Economy- and low-cost passenger demand is more sensitive to price increases than</w:t>
      </w:r>
      <w:r>
        <w:t xml:space="preserve"> </w:t>
      </w:r>
      <w:r>
        <w:t xml:space="preserve">business/ first class (see Annex 10, section 4.1).</w:t>
      </w:r>
      <w:r>
        <w:br/>
      </w:r>
      <w:r>
        <w:t xml:space="preserve">In PO1, the impact on overall access to air travel across different income households is assessed</w:t>
      </w:r>
      <w:r>
        <w:t xml:space="preserve"> </w:t>
      </w:r>
      <w:r>
        <w:t xml:space="preserve">to be minor and positive compared to the baseline. Demand is projected to increase across all</w:t>
      </w:r>
      <w:r>
        <w:t xml:space="preserve"> </w:t>
      </w:r>
      <w:r>
        <w:t xml:space="preserve">travel classes, while average fares remain below the baseline levels (see Table 13 in Annex</w:t>
      </w:r>
      <w:r>
        <w:t xml:space="preserve"> </w:t>
      </w:r>
      <w:r>
        <w:t xml:space="preserve">10). Demand profiles differ between travel categories, where Business/ First class extra-EEA</w:t>
      </w:r>
      <w:r>
        <w:t xml:space="preserve"> </w:t>
      </w:r>
      <w:r>
        <w:t xml:space="preserve">flights are on average 5900 km one way throughout 2035-2040, with less than 0.1% difference</w:t>
      </w:r>
      <w:r>
        <w:t xml:space="preserve"> </w:t>
      </w:r>
      <w:r>
        <w:t xml:space="preserve">between the baseline and policy options. Economy class flights are shorter (~4900 km) and</w:t>
      </w:r>
      <w:r>
        <w:t xml:space="preserve"> </w:t>
      </w:r>
      <w:r>
        <w:t xml:space="preserve">show a slight variation between baseline and policy options (0.3% or less difference in 2040</w:t>
      </w:r>
      <w:r>
        <w:t xml:space="preserve"> </w:t>
      </w:r>
      <w:r>
        <w:t xml:space="preserve">compared to the baseline). Low-cost flights are shorter at around 2900 km, with a maximum</w:t>
      </w:r>
      <w:r>
        <w:t xml:space="preserve"> </w:t>
      </w:r>
      <w:r>
        <w:t xml:space="preserve">variation of 1.2% compared to the baseline in 2040. Similarly to PO1, PO2 and PO3 would</w:t>
      </w:r>
      <w:r>
        <w:t xml:space="preserve"> </w:t>
      </w:r>
      <w:r>
        <w:t xml:space="preserve">result in a very limited increase of demand for air travel, in comparison to the baseline, while</w:t>
      </w:r>
      <w:r>
        <w:t xml:space="preserve"> </w:t>
      </w:r>
      <w:r>
        <w:t xml:space="preserve">average fares remain below baseline levels.</w:t>
      </w:r>
      <w:r>
        <w:br/>
      </w:r>
      <w:r>
        <w:t xml:space="preserve">For outermost regions, islands and remote territories (including Iceland), no ETS-driven</w:t>
      </w:r>
      <w:r>
        <w:t xml:space="preserve"> </w:t>
      </w:r>
      <w:r>
        <w:t xml:space="preserve">socio-economic impacts due to connectivity changes are expected under any policy option,</w:t>
      </w:r>
      <w:r>
        <w:t xml:space="preserve"> </w:t>
      </w:r>
      <w:r>
        <w:t xml:space="preserve">compared to the baseline. In all cases, domestic flights to/from outermost regions are included</w:t>
      </w:r>
      <w:r>
        <w:t xml:space="preserve"> </w:t>
      </w:r>
      <w:r>
        <w:t xml:space="preserve">in the EU ETS from 2031, with average ticket fares expected to remain the same for PO1 and</w:t>
      </w:r>
      <w:r>
        <w:t xml:space="preserve"> </w:t>
      </w:r>
      <w:r>
        <w:t xml:space="preserve">the baseline. Thanks to the prolonged ETS support for SAF uptake in PO2 – and to a greater</w:t>
      </w:r>
      <w:r>
        <w:t xml:space="preserve"> </w:t>
      </w:r>
      <w:r>
        <w:t xml:space="preserve">extent in PO3, the aviation support study expects average ticket fares for flights between</w:t>
      </w:r>
      <w:r>
        <w:t xml:space="preserve"> </w:t>
      </w:r>
      <w:r>
        <w:t xml:space="preserve">outermost regions and their domestic mainland to be slightly lower relative to the baseline,</w:t>
      </w:r>
      <w:r>
        <w:t xml:space="preserve"> </w:t>
      </w:r>
      <w:r>
        <w:t xml:space="preserve">depending on ticket type and destination in 2035 (e.g. 1.6% reduction in the ticket price for an</w:t>
      </w:r>
      <w:r>
        <w:t xml:space="preserve"> </w:t>
      </w:r>
      <w:r>
        <w:t xml:space="preserve">economy class fare between Paris and Guadeloupe or for a low-cost carrier flight between</w:t>
      </w:r>
      <w:r>
        <w:t xml:space="preserve"> </w:t>
      </w:r>
      <w:r>
        <w:t xml:space="preserve">Madrid and Gran Canaria in PO3). Similarly to the baseline, PO2 and PO3 would most likely</w:t>
      </w:r>
    </w:p>
    <w:p>
      <w:pPr>
        <w:pStyle w:val="BodyText"/>
      </w:pPr>
      <w:r>
        <w:t xml:space="preserve">99 In France, 4 projects will produce 270 kilotons of SAF per year by 2030 and 510 jobs, which amounts to 1.8</w:t>
      </w:r>
      <w:r>
        <w:t xml:space="preserve"> </w:t>
      </w:r>
      <w:r>
        <w:t xml:space="preserve">jobs per 100 tons. French Government, France 2030 : Le Gouvernement dévoile les 4 lauréats de l’appel à</w:t>
      </w:r>
      <w:r>
        <w:t xml:space="preserve"> </w:t>
      </w:r>
      <w:r>
        <w:t xml:space="preserve">projets</w:t>
      </w:r>
      <w:r>
        <w:t xml:space="preserve"> </w:t>
      </w:r>
      <w:r>
        <w:t xml:space="preserve">Carb</w:t>
      </w:r>
      <w:r>
        <w:t xml:space="preserve"> </w:t>
      </w:r>
      <w:r>
        <w:t xml:space="preserve">Aéro,</w:t>
      </w:r>
      <w:r>
        <w:t xml:space="preserve"> </w:t>
      </w:r>
      <w:r>
        <w:t xml:space="preserve">en</w:t>
      </w:r>
      <w:r>
        <w:t xml:space="preserve"> </w:t>
      </w:r>
      <w:r>
        <w:t xml:space="preserve">faveur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décarbonation</w:t>
      </w:r>
      <w:r>
        <w:t xml:space="preserve"> </w:t>
      </w:r>
      <w:r>
        <w:t xml:space="preserve">du</w:t>
      </w:r>
      <w:r>
        <w:t xml:space="preserve"> </w:t>
      </w:r>
      <w:r>
        <w:t xml:space="preserve">transport</w:t>
      </w:r>
      <w:r>
        <w:t xml:space="preserve"> </w:t>
      </w:r>
      <w:r>
        <w:t xml:space="preserve">aérien,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https://www.info.gouv.fr/upload/media/content/0001/13/31506bf1bb147a6ca091685004ce8deb1303c3bf.pd</w:t>
      </w:r>
      <w:r>
        <w:t xml:space="preserve"> </w:t>
      </w:r>
      <w:r>
        <w:t xml:space="preserve">f</w:t>
      </w:r>
      <w:r>
        <w:t xml:space="preserve"> </w:t>
      </w:r>
      <w:r>
        <w:t xml:space="preserve">100 In the UK, it is estimated that 0.6 MT of SAF will be produced in 2030, and 10,350 jobs created, which</w:t>
      </w:r>
      <w:r>
        <w:t xml:space="preserve"> </w:t>
      </w:r>
      <w:r>
        <w:t xml:space="preserve">amounts to 1.7 jobs per 100 tons. ICF, Roadmap for the development of the UK SAF industry, 2023,</w:t>
      </w:r>
      <w:r>
        <w:t xml:space="preserve"> </w:t>
      </w:r>
      <w:r>
        <w:t xml:space="preserve">https://www.sustainableaviation.co.uk/wp-content/uploads/2023/04/Sustainable-Aviation-SAF-Roadmap-</w:t>
      </w:r>
      <w:r>
        <w:t xml:space="preserve"> </w:t>
      </w:r>
      <w:r>
        <w:t xml:space="preserve">Final.pdf.</w:t>
      </w:r>
      <w:r>
        <w:t xml:space="preserve"> </w:t>
      </w:r>
      <w:r>
        <w:t xml:space="preserve">101 In Germany, a new plant will produce 30,000 t of eSAF annually, for 65 jobs created, which amounts to 0.2</w:t>
      </w:r>
      <w:r>
        <w:t xml:space="preserve"> </w:t>
      </w:r>
      <w:r>
        <w:t xml:space="preserve">jobs per 100 tons.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only impact flights between Ireland and North America, and Iceland and North America.</w:t>
      </w:r>
      <w:r>
        <w:t xml:space="preserve"> </w:t>
      </w:r>
      <w:r>
        <w:t xml:space="preserve">However, the aviation support study determined the risk of carbon leakage, thus of social and</w:t>
      </w:r>
      <w:r>
        <w:t xml:space="preserve"> </w:t>
      </w:r>
      <w:r>
        <w:t xml:space="preserve">economic impacts, at the Irish and Icelandic airports to be low.</w:t>
      </w:r>
      <w:r>
        <w:t xml:space="preserve"> </w:t>
      </w:r>
      <w:r>
        <w:t xml:space="preserve">6.3.1.5. Maritime</w:t>
      </w:r>
      <w:r>
        <w:t xml:space="preserve"> </w:t>
      </w:r>
      <w:r>
        <w:t xml:space="preserve">Effects on employment, compared to PO1, are expected to be marginal for most EU27, similar</w:t>
      </w:r>
      <w:r>
        <w:t xml:space="preserve"> </w:t>
      </w:r>
      <w:r>
        <w:t xml:space="preserve">to the macroeconomic effects. For countries most dependent on transport from smaller vessels,</w:t>
      </w:r>
      <w:r>
        <w:t xml:space="preserve"> </w:t>
      </w:r>
      <w:r>
        <w:t xml:space="preserve">employment effects could be up to -0.025% (Finland). In third countries, employment effects</w:t>
      </w:r>
      <w:r>
        <w:t xml:space="preserve"> </w:t>
      </w:r>
      <w:r>
        <w:t xml:space="preserve">are also expected to be negligible.</w:t>
      </w:r>
      <w:r>
        <w:br/>
      </w:r>
      <w:r>
        <w:t xml:space="preserve">Due to the possibility to further mitigate the transhipment relocation risks in PO2 and PO3,</w:t>
      </w:r>
      <w:r>
        <w:t xml:space="preserve"> </w:t>
      </w:r>
      <w:r>
        <w:t xml:space="preserve">the wider social impacts of possible transhipment relocation for EU ports and their hinterlands</w:t>
      </w:r>
      <w:r>
        <w:t xml:space="preserve"> </w:t>
      </w:r>
      <w:r>
        <w:t xml:space="preserve">are likely to be reduced.</w:t>
      </w:r>
      <w:r>
        <w:br/>
      </w:r>
      <w:r>
        <w:t xml:space="preserve">The expansion of the EU ETS to smaller vessels under PO2 and even more PO3 could</w:t>
      </w:r>
      <w:r>
        <w:t xml:space="preserve"> </w:t>
      </w:r>
      <w:r>
        <w:t xml:space="preserve">affect the connectivity of essential shipping services, particularly those serving islands and</w:t>
      </w:r>
      <w:r>
        <w:t xml:space="preserve"> </w:t>
      </w:r>
      <w:r>
        <w:t xml:space="preserve">remote coastal areas, by increasing shipping costs. These services, often provided by ferries,</w:t>
      </w:r>
      <w:r>
        <w:t xml:space="preserve"> </w:t>
      </w:r>
      <w:r>
        <w:t xml:space="preserve">are vital for social and economic integration, and cost pressures may lead to reduced service</w:t>
      </w:r>
      <w:r>
        <w:t xml:space="preserve"> </w:t>
      </w:r>
      <w:r>
        <w:t xml:space="preserve">frequency, route consolidation, or fare increases.</w:t>
      </w:r>
      <w:r>
        <w:br/>
      </w:r>
      <w:r>
        <w:t xml:space="preserve">Around 58% of ferries calling at EU ports were estimated to be between 400 and 5000 GT,</w:t>
      </w:r>
      <w:r>
        <w:t xml:space="preserve"> </w:t>
      </w:r>
      <w:r>
        <w:t xml:space="preserve">which means that a large proportion of ferry services are likely to be affected by the extension</w:t>
      </w:r>
      <w:r>
        <w:t xml:space="preserve"> </w:t>
      </w:r>
      <w:r>
        <w:t xml:space="preserve">of EU ETS to smaller vessels. Tourism-based economies could feel this impact.</w:t>
      </w:r>
      <w:r>
        <w:br/>
      </w:r>
      <w:r>
        <w:t xml:space="preserve">However, public service obligations and contracts (PSO/PSC), which regulate pricing and</w:t>
      </w:r>
      <w:r>
        <w:t xml:space="preserve"> </w:t>
      </w:r>
      <w:r>
        <w:t xml:space="preserve">service levels, already help protect these routes, and EU ETS derogations for PSO/PSC-</w:t>
      </w:r>
      <w:r>
        <w:t xml:space="preserve"> </w:t>
      </w:r>
      <w:r>
        <w:t xml:space="preserve">covered services, small islands and outermost regions could further mitigate negative impacts.</w:t>
      </w:r>
      <w:r>
        <w:br/>
      </w:r>
      <w:r>
        <w:t xml:space="preserve">The outermost regions and small islands require a special attention in this regard. The carbon</w:t>
      </w:r>
      <w:r>
        <w:t xml:space="preserve"> </w:t>
      </w:r>
      <w:r>
        <w:t xml:space="preserve">price would represent a proportion of total voyage cost, though in most cases not exceeding the</w:t>
      </w:r>
      <w:r>
        <w:t xml:space="preserve"> </w:t>
      </w:r>
      <w:r>
        <w:t xml:space="preserve">cost impact of regular fuel price volatility. Still, removing derogations would mean that sudden</w:t>
      </w:r>
      <w:r>
        <w:t xml:space="preserve"> </w:t>
      </w:r>
      <w:r>
        <w:t xml:space="preserve">increases in fuel or carbon prices could pose a risk to stable, predictable maritime connectivity</w:t>
      </w:r>
      <w:r>
        <w:t xml:space="preserve"> </w:t>
      </w:r>
      <w:r>
        <w:t xml:space="preserve">for these EU regions. Since ensuring connections is essential for small islands and outermost</w:t>
      </w:r>
      <w:r>
        <w:t xml:space="preserve"> </w:t>
      </w:r>
      <w:r>
        <w:t xml:space="preserve">regions, some of the transport services are conducted under public service obligations. In these</w:t>
      </w:r>
      <w:r>
        <w:t xml:space="preserve"> </w:t>
      </w:r>
      <w:r>
        <w:t xml:space="preserve">cases, ending derogations would not induce increased ticket prices but require larger budgets</w:t>
      </w:r>
      <w:r>
        <w:t xml:space="preserve"> </w:t>
      </w:r>
      <w:r>
        <w:t xml:space="preserve">from public funding.</w:t>
      </w:r>
      <w:r>
        <w:br/>
      </w:r>
      <w:r>
        <w:t xml:space="preserve">In the particular case of ice class ships (ICS) discontinuing of ICS derogations could be a</w:t>
      </w:r>
      <w:r>
        <w:t xml:space="preserve"> </w:t>
      </w:r>
      <w:r>
        <w:t xml:space="preserve">challenge for maintaining critical logistics and regular services when ice conditions would</w:t>
      </w:r>
      <w:r>
        <w:t xml:space="preserve"> </w:t>
      </w:r>
      <w:r>
        <w:t xml:space="preserve">otherwise prevent conventional vessels from reaching these locations102.</w:t>
      </w:r>
      <w:r>
        <w:br/>
      </w:r>
      <w:r>
        <w:t xml:space="preserve">6.3.1.6. Carbon leakage prevention</w:t>
      </w:r>
      <w:r>
        <w:t xml:space="preserve"> </w:t>
      </w:r>
      <w:r>
        <w:t xml:space="preserve">The GEM-E3 model was used to estimate the impact of the implementation of policy measures</w:t>
      </w:r>
      <w:r>
        <w:t xml:space="preserve"> </w:t>
      </w:r>
      <w:r>
        <w:t xml:space="preserve">on employment levels. The largest employment gains occur in chemicals and non-metallic</w:t>
      </w:r>
      <w:r>
        <w:t xml:space="preserve"> </w:t>
      </w:r>
      <w:r>
        <w:t xml:space="preserve">minerals sector, which also records the highest production increase by 2040. Across sectors</w:t>
      </w:r>
      <w:r>
        <w:t xml:space="preserve"> </w:t>
      </w:r>
      <w:r>
        <w:t xml:space="preserve">and policy measures, the overall employment impact ranges from -0.56% to 1.76%. Among</w:t>
      </w:r>
      <w:r>
        <w:t xml:space="preserve"> </w:t>
      </w:r>
      <w:r>
        <w:t xml:space="preserve">the scenarios, PO1R shows the highest employment increase, driven by the volume of free</w:t>
      </w:r>
      <w:r>
        <w:t xml:space="preserve"> </w:t>
      </w:r>
      <w:r>
        <w:t xml:space="preserve">allowances provided along with the alternate revenue recycling option, whereas PO3 records</w:t>
      </w:r>
    </w:p>
    <w:p>
      <w:pPr>
        <w:pStyle w:val="BodyText"/>
      </w:pPr>
      <w:r>
        <w:t xml:space="preserve">102 However, Heikkilä et al. (2024) concluded that not all of the assessed ICS ship types have higher fuel</w:t>
      </w:r>
      <w:r>
        <w:t xml:space="preserve"> </w:t>
      </w:r>
      <w:r>
        <w:t xml:space="preserve">consumption and thus emissions.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lowest due to the complete phase-out of free allowances after 2034 and due to the lower</w:t>
      </w:r>
      <w:r>
        <w:t xml:space="preserve"> </w:t>
      </w:r>
      <w:r>
        <w:t xml:space="preserve">production in market services.</w:t>
      </w:r>
      <w:r>
        <w:br/>
      </w:r>
      <w:r>
        <w:t xml:space="preserve">The issue of employment is also directly linked to the long-term viability of industrial</w:t>
      </w:r>
      <w:r>
        <w:t xml:space="preserve"> </w:t>
      </w:r>
      <w:r>
        <w:t xml:space="preserve">production in Europe. During the stakeholder engagement (and further supported by OPC</w:t>
      </w:r>
      <w:r>
        <w:t xml:space="preserve"> </w:t>
      </w:r>
      <w:r>
        <w:t xml:space="preserve">inputs), industrial associations and businesses consistently argued that the competitiveness of</w:t>
      </w:r>
      <w:r>
        <w:t xml:space="preserve"> </w:t>
      </w:r>
      <w:r>
        <w:t xml:space="preserve">EU producers would be undermined without the continuation of free allocation and if not</w:t>
      </w:r>
      <w:r>
        <w:t xml:space="preserve"> </w:t>
      </w:r>
      <w:r>
        <w:t xml:space="preserve">ensuring that the necessary enabling conditions are in place for decarbonisation rather than</w:t>
      </w:r>
      <w:r>
        <w:t xml:space="preserve"> </w:t>
      </w:r>
      <w:r>
        <w:t xml:space="preserve">deindustrialisation was frequently cited by stakeholders.</w:t>
      </w:r>
      <w:r>
        <w:br/>
      </w:r>
      <w:r>
        <w:t xml:space="preserve">Continuation of ICC compensation (whether State aid or harmonised) is expected to have a</w:t>
      </w:r>
      <w:r>
        <w:t xml:space="preserve"> </w:t>
      </w:r>
      <w:r>
        <w:t xml:space="preserve">positive impact on employment by protecting against carbon leakage and supporting the</w:t>
      </w:r>
      <w:r>
        <w:t xml:space="preserve"> </w:t>
      </w:r>
      <w:r>
        <w:t xml:space="preserve">business case for electrification of industrial processes. In particular, it strengthens the business</w:t>
      </w:r>
      <w:r>
        <w:t xml:space="preserve"> </w:t>
      </w:r>
      <w:r>
        <w:t xml:space="preserve">case for electrification investments by ensuring beneficiaries will not be disadvantaged by</w:t>
      </w:r>
      <w:r>
        <w:t xml:space="preserve"> </w:t>
      </w:r>
      <w:r>
        <w:t xml:space="preserve">indirect carbon costs.</w:t>
      </w:r>
      <w:r>
        <w:br/>
      </w:r>
      <w:r>
        <w:t xml:space="preserve">6.3.1.7. Waste</w:t>
      </w:r>
      <w:r>
        <w:t xml:space="preserve"> </w:t>
      </w:r>
      <w:r>
        <w:t xml:space="preserve">The application of the carbon price signal to waste management activities (PO2 and PO3) is</w:t>
      </w:r>
      <w:r>
        <w:t xml:space="preserve"> </w:t>
      </w:r>
      <w:r>
        <w:t xml:space="preserve">projected to contribute to employment creation in the circular economy by further incentivising</w:t>
      </w:r>
      <w:r>
        <w:t xml:space="preserve"> </w:t>
      </w:r>
      <w:r>
        <w:t xml:space="preserve">sorting and recycling. Circular economy activities already represent around 1-2% of EU GDP</w:t>
      </w:r>
      <w:r>
        <w:t xml:space="preserve"> </w:t>
      </w:r>
      <w:r>
        <w:t xml:space="preserve">and 2.2% of employment, with the potential to create up to 2.5 million additional jobs by</w:t>
      </w:r>
      <w:r>
        <w:t xml:space="preserve"> </w:t>
      </w:r>
      <w:r>
        <w:t xml:space="preserve">2030103. As recycling activities are more labour-intensive than incineration of waste or</w:t>
      </w:r>
      <w:r>
        <w:t xml:space="preserve"> </w:t>
      </w:r>
      <w:r>
        <w:t xml:space="preserve">landfilling, the integration of waste disposal activities in EU ETS is projected to result in</w:t>
      </w:r>
      <w:r>
        <w:t xml:space="preserve"> </w:t>
      </w:r>
      <w:r>
        <w:t xml:space="preserve">additional employment.</w:t>
      </w:r>
      <w:r>
        <w:br/>
      </w:r>
      <w:r>
        <w:t xml:space="preserve">6.3.2. Impacts on fundamental rights</w:t>
      </w:r>
      <w:r>
        <w:br/>
      </w:r>
      <w:r>
        <w:t xml:space="preserve">In accordance with the Better Regulation Guidelines, the policy options were assessed to</w:t>
      </w:r>
      <w:r>
        <w:t xml:space="preserve"> </w:t>
      </w:r>
      <w:r>
        <w:t xml:space="preserve">understand if there is impact on the fundamental rights endorsed by the EU Charter of</w:t>
      </w:r>
      <w:r>
        <w:t xml:space="preserve"> </w:t>
      </w:r>
      <w:r>
        <w:t xml:space="preserve">Fundamental Rights. Following a screening of the fundamental rights, the judgement was taken</w:t>
      </w:r>
      <w:r>
        <w:t xml:space="preserve"> </w:t>
      </w:r>
      <w:r>
        <w:t xml:space="preserve">that the policy measures do not have a negative impact and are likely to have a positive impact</w:t>
      </w:r>
      <w:r>
        <w:t xml:space="preserve"> </w:t>
      </w:r>
      <w:r>
        <w:t xml:space="preserve">on the fundamental right with regards to environmental protection under Article 37.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Following the assessment of the economic, social, and environmental impacts, as well as their</w:t>
      </w:r>
      <w:r>
        <w:t xml:space="preserve"> </w:t>
      </w:r>
      <w:r>
        <w:t xml:space="preserve">distribution across stakeholders, the following section compares the different policy options</w:t>
      </w:r>
      <w:r>
        <w:t xml:space="preserve"> </w:t>
      </w:r>
      <w:r>
        <w:t xml:space="preserve">with regard to their effectiveness, efficiency, and coherence.</w:t>
      </w:r>
      <w:r>
        <w:br/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To compare the effectiveness of each of the policy options it is necessary to assess the extent</w:t>
      </w:r>
      <w:r>
        <w:t xml:space="preserve"> </w:t>
      </w:r>
      <w:r>
        <w:t xml:space="preserve">to which each policy option addresses the general and specific objectives that were originally</w:t>
      </w:r>
      <w:r>
        <w:t xml:space="preserve"> </w:t>
      </w:r>
      <w:r>
        <w:t xml:space="preserve">set in the problem tree diagram.</w:t>
      </w:r>
      <w:r>
        <w:br/>
      </w:r>
      <w:r>
        <w:t xml:space="preserve">The matrix is colour-coded as follows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OECD,</w:t>
      </w:r>
      <w:r>
        <w:t xml:space="preserve"> </w:t>
      </w:r>
      <w:r>
        <w:t xml:space="preserve">The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in</w:t>
      </w:r>
      <w:r>
        <w:t xml:space="preserve"> </w:t>
      </w:r>
      <w:r>
        <w:t xml:space="preserve">Cities</w:t>
      </w:r>
      <w:r>
        <w:t xml:space="preserve"> </w:t>
      </w:r>
      <w:r>
        <w:t xml:space="preserve">and</w:t>
      </w:r>
      <w:r>
        <w:t xml:space="preserve"> </w:t>
      </w:r>
      <w:r>
        <w:t xml:space="preserve">Regions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 2025,</w:t>
      </w:r>
      <w:r>
        <w:t xml:space="preserve"> </w:t>
      </w:r>
      <w:r>
        <w:t xml:space="preserve">https://www.oecd.org/en/publications/the-circular-economy-in-cities-and-regions-of-the-european-</w:t>
      </w:r>
      <w:r>
        <w:t xml:space="preserve"> </w:t>
      </w:r>
      <w:r>
        <w:t xml:space="preserve">union_e09c21e2-en.html.</w:t>
      </w:r>
      <w:r>
        <w:t xml:space="preserve"> </w:t>
      </w:r>
      <w:r>
        <w:t xml:space="preserve">Strongly negative Weakly negative Neutral Weakly positive Strongly positive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Table 14: Overview on the effectiveness of the measures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General objective 1.1: Incentivise further emission reductions</w:t>
      </w:r>
      <w:r>
        <w:t xml:space="preserve"> </w:t>
      </w:r>
      <w:r>
        <w:t xml:space="preserve">Enable</w:t>
      </w:r>
      <w:r>
        <w:t xml:space="preserve"> </w:t>
      </w:r>
      <w:r>
        <w:t xml:space="preserve">investments</w:t>
      </w:r>
      <w:r>
        <w:t xml:space="preserve"> </w:t>
      </w:r>
      <w:r>
        <w:t xml:space="preserve">(SO.1.1.1)</w:t>
      </w:r>
      <w:r>
        <w:t xml:space="preserve"> </w:t>
      </w:r>
      <w:r>
        <w:t xml:space="preserve">Neutral as the continued carbon leakage</w:t>
      </w:r>
      <w:r>
        <w:t xml:space="preserve"> </w:t>
      </w:r>
      <w:r>
        <w:t xml:space="preserve">protection, while providing additional space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provides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incentives for investment</w:t>
      </w:r>
      <w:r>
        <w:t xml:space="preserve"> </w:t>
      </w:r>
      <w:r>
        <w:t xml:space="preserve">Neutral as limited additional incentives to</w:t>
      </w:r>
      <w:r>
        <w:t xml:space="preserve"> </w:t>
      </w:r>
      <w:r>
        <w:t xml:space="preserve">invest in carbon capture and the lack of level</w:t>
      </w:r>
      <w:r>
        <w:t xml:space="preserve"> </w:t>
      </w:r>
      <w:r>
        <w:t xml:space="preserve">playing for CCU restricts investments.</w:t>
      </w:r>
      <w:r>
        <w:br/>
      </w:r>
      <w:r>
        <w:t xml:space="preserve">Weakly positive impact of IDB PO1 that</w:t>
      </w:r>
      <w:r>
        <w:t xml:space="preserve"> </w:t>
      </w:r>
      <w:r>
        <w:t xml:space="preserve">addresses well the funding gap of industrial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projects</w:t>
      </w:r>
      <w:r>
        <w:t xml:space="preserve"> </w:t>
      </w:r>
      <w:r>
        <w:t xml:space="preserve">but</w:t>
      </w:r>
      <w:r>
        <w:t xml:space="preserve"> </w:t>
      </w:r>
      <w:r>
        <w:t xml:space="preserve">represents</w:t>
      </w:r>
      <w:r>
        <w:t xml:space="preserve"> </w:t>
      </w:r>
      <w:r>
        <w:t xml:space="preserve">operational complexity, risk of projects’</w:t>
      </w:r>
      <w:r>
        <w:t xml:space="preserve"> </w:t>
      </w:r>
      <w:r>
        <w:t xml:space="preserve">dropouts,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 imbalances.</w:t>
      </w:r>
      <w:r>
        <w:t xml:space="preserve"> </w:t>
      </w:r>
      <w:r>
        <w:t xml:space="preserve">Weakly positive impact as PO1 maintains MF</w:t>
      </w:r>
      <w:r>
        <w:t xml:space="preserve"> </w:t>
      </w:r>
      <w:r>
        <w:t xml:space="preserve">with slightly increased level of environmental</w:t>
      </w:r>
      <w:r>
        <w:t xml:space="preserve"> </w:t>
      </w:r>
      <w:r>
        <w:t xml:space="preserve">ambition</w:t>
      </w:r>
      <w:r>
        <w:br/>
      </w:r>
      <w:r>
        <w:t xml:space="preserve">Neutral, limited additional incentives for</w:t>
      </w:r>
      <w:r>
        <w:t xml:space="preserve"> </w:t>
      </w:r>
      <w:r>
        <w:t xml:space="preserve">maritime sector to decarbonise.</w:t>
      </w:r>
    </w:p>
    <w:p>
      <w:pPr>
        <w:pStyle w:val="BodyText"/>
      </w:pPr>
      <w:r>
        <w:t xml:space="preserve">Strongly positive impact under PO2 as the inclusion</w:t>
      </w:r>
      <w:r>
        <w:t xml:space="preserve"> </w:t>
      </w:r>
      <w:r>
        <w:t xml:space="preserve">of conditional free allocation and hybrid downstream</w:t>
      </w:r>
      <w:r>
        <w:t xml:space="preserve"> </w:t>
      </w:r>
      <w:r>
        <w:t xml:space="preserve">and midstream accounting for CCU may prompt</w:t>
      </w:r>
      <w:r>
        <w:t xml:space="preserve"> </w:t>
      </w:r>
      <w:r>
        <w:t xml:space="preserve">additional investments.</w:t>
      </w:r>
      <w:r>
        <w:t xml:space="preserve"> </w:t>
      </w:r>
      <w:r>
        <w:t xml:space="preserve">Strongly positive of IDB PO2 that addresses well the</w:t>
      </w:r>
      <w:r>
        <w:t xml:space="preserve"> </w:t>
      </w:r>
      <w:r>
        <w:t xml:space="preserve">funding gap of industrial decarbonisation projects</w:t>
      </w:r>
      <w:r>
        <w:t xml:space="preserve"> </w:t>
      </w:r>
      <w:r>
        <w:t xml:space="preserve">and offers simplification, attractive financial model</w:t>
      </w:r>
      <w:r>
        <w:t xml:space="preserve"> </w:t>
      </w:r>
      <w:r>
        <w:t xml:space="preserve">as well as clear rewards for ‘front-runner’ projects.</w:t>
      </w:r>
      <w:r>
        <w:t xml:space="preserve"> </w:t>
      </w:r>
      <w:r>
        <w:t xml:space="preserve">The risk of unspent resources is minimised. There is</w:t>
      </w:r>
      <w:r>
        <w:t xml:space="preserve"> </w:t>
      </w:r>
      <w:r>
        <w:t xml:space="preserve">a strong alignment of funding with the scale and type</w:t>
      </w:r>
      <w:r>
        <w:t xml:space="preserve"> </w:t>
      </w:r>
      <w:r>
        <w:t xml:space="preserve">of the decarbonisation challenges and proposal</w:t>
      </w:r>
      <w:r>
        <w:t xml:space="preserve"> </w:t>
      </w:r>
      <w:r>
        <w:t xml:space="preserve">strikes a balance between the EU-level competition</w:t>
      </w:r>
      <w:r>
        <w:t xml:space="preserve"> </w:t>
      </w:r>
      <w:r>
        <w:t xml:space="preserve">as well as geographical balance.</w:t>
      </w:r>
      <w:r>
        <w:br/>
      </w:r>
      <w:r>
        <w:t xml:space="preserve">Strongly positive impact as PO2 maintains the MF</w:t>
      </w:r>
      <w:r>
        <w:t xml:space="preserve"> </w:t>
      </w:r>
      <w:r>
        <w:t xml:space="preserve">with an importantly increased level of environmental</w:t>
      </w:r>
      <w:r>
        <w:t xml:space="preserve"> </w:t>
      </w:r>
      <w:r>
        <w:t xml:space="preserve">ambition, fully aligned with 2040 policy package</w:t>
      </w:r>
      <w:r>
        <w:t xml:space="preserve"> </w:t>
      </w:r>
      <w:r>
        <w:t xml:space="preserve">Strongly positive impact to narrow the price gap</w:t>
      </w:r>
      <w:r>
        <w:t xml:space="preserve"> </w:t>
      </w:r>
      <w:r>
        <w:t xml:space="preserve">between fossil fuels and the alternative fuels and</w:t>
      </w:r>
      <w:r>
        <w:t xml:space="preserve"> </w:t>
      </w:r>
      <w:r>
        <w:t xml:space="preserve">propulsion technologies for maritime</w:t>
      </w:r>
      <w:r>
        <w:t xml:space="preserve"> </w:t>
      </w:r>
      <w:r>
        <w:t xml:space="preserve">Weakly positive impact under PO3 as the</w:t>
      </w:r>
      <w:r>
        <w:t xml:space="preserve"> </w:t>
      </w:r>
      <w:r>
        <w:t xml:space="preserve">inclusion of hybrid midstream accounting</w:t>
      </w:r>
      <w:r>
        <w:t xml:space="preserve"> </w:t>
      </w:r>
      <w:r>
        <w:t xml:space="preserve">incentivises additional investments in carbon</w:t>
      </w:r>
      <w:r>
        <w:t xml:space="preserve"> </w:t>
      </w:r>
      <w:r>
        <w:t xml:space="preserve">capture and CCU. However, the phase out of</w:t>
      </w:r>
      <w:r>
        <w:t xml:space="preserve"> </w:t>
      </w:r>
      <w:r>
        <w:t xml:space="preserve">free allocation under PO3 significantly</w:t>
      </w:r>
      <w:r>
        <w:t xml:space="preserve"> </w:t>
      </w:r>
      <w:r>
        <w:t xml:space="preserve">increases the exposure of companies to carbon</w:t>
      </w:r>
      <w:r>
        <w:t xml:space="preserve"> </w:t>
      </w:r>
      <w:r>
        <w:t xml:space="preserve">costs, which may affect their ability to invest.</w:t>
      </w:r>
      <w:r>
        <w:t xml:space="preserve"> </w:t>
      </w:r>
      <w:r>
        <w:t xml:space="preserve">Moderate impact of IDB PO3 that addresses</w:t>
      </w:r>
      <w:r>
        <w:t xml:space="preserve"> </w:t>
      </w:r>
      <w:r>
        <w:t xml:space="preserve">well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gap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decarbonisation projects but with some design</w:t>
      </w:r>
      <w:r>
        <w:t xml:space="preserve"> </w:t>
      </w:r>
      <w:r>
        <w:t xml:space="preserve">complexity and incentives for more risky</w:t>
      </w:r>
      <w:r>
        <w:t xml:space="preserve"> </w:t>
      </w:r>
      <w:r>
        <w:t xml:space="preserve">projects. There is a risk of projects’ dropouts</w:t>
      </w:r>
      <w:r>
        <w:t xml:space="preserve"> </w:t>
      </w:r>
      <w:r>
        <w:t xml:space="preserve">and administrative burden.</w:t>
      </w:r>
      <w:r>
        <w:t xml:space="preserve"> </w:t>
      </w:r>
      <w:r>
        <w:t xml:space="preserve">Strongly positive impact as PO3 maintains the</w:t>
      </w:r>
      <w:r>
        <w:t xml:space="preserve"> </w:t>
      </w:r>
      <w:r>
        <w:t xml:space="preserve">MF with an importantly increased level of</w:t>
      </w:r>
      <w:r>
        <w:t xml:space="preserve"> </w:t>
      </w:r>
      <w:r>
        <w:t xml:space="preserve">environmental ambition, fully aligned with</w:t>
      </w:r>
      <w:r>
        <w:t xml:space="preserve"> </w:t>
      </w:r>
      <w:r>
        <w:t xml:space="preserve">2040 policy package</w:t>
      </w:r>
      <w:r>
        <w:t xml:space="preserve"> </w:t>
      </w:r>
      <w:r>
        <w:t xml:space="preserve">Strongly positive impact to narrow the price</w:t>
      </w:r>
      <w:r>
        <w:t xml:space="preserve"> </w:t>
      </w:r>
      <w:r>
        <w:t xml:space="preserve">gap between fossil fuels and the alternative</w:t>
      </w:r>
      <w:r>
        <w:t xml:space="preserve"> </w:t>
      </w:r>
      <w:r>
        <w:t xml:space="preserve">fuels and propulsion technologies for maritime</w:t>
      </w:r>
      <w:r>
        <w:t xml:space="preserve"> </w:t>
      </w:r>
      <w:r>
        <w:t xml:space="preserve">Ensure full</w:t>
      </w:r>
      <w:r>
        <w:t xml:space="preserve"> </w:t>
      </w:r>
      <w:r>
        <w:t xml:space="preserve">carbon</w:t>
      </w:r>
      <w:r>
        <w:t xml:space="preserve"> </w:t>
      </w:r>
      <w:r>
        <w:t xml:space="preserve">price signal</w:t>
      </w:r>
      <w:r>
        <w:t xml:space="preserve"> </w:t>
      </w:r>
      <w:r>
        <w:t xml:space="preserve">(SO.1.1.2)</w:t>
      </w:r>
      <w:r>
        <w:t xml:space="preserve"> </w:t>
      </w:r>
      <w:r>
        <w:t xml:space="preserve">Weakly positive effect as under PO1 the</w:t>
      </w:r>
      <w:r>
        <w:t xml:space="preserve"> </w:t>
      </w:r>
      <w:r>
        <w:t xml:space="preserve">current approach for free allocation is</w:t>
      </w:r>
      <w:r>
        <w:t xml:space="preserve"> </w:t>
      </w:r>
      <w:r>
        <w:t xml:space="preserve">maintained for non-CBAM sectors. However,</w:t>
      </w:r>
      <w:r>
        <w:t xml:space="preserve"> </w:t>
      </w:r>
      <w:r>
        <w:t xml:space="preserve">the gradually reducing free allocation due to</w:t>
      </w:r>
      <w:r>
        <w:t xml:space="preserve"> </w:t>
      </w:r>
      <w:r>
        <w:t xml:space="preserve">the benchmark updates and operation of the</w:t>
      </w:r>
      <w:r>
        <w:t xml:space="preserve"> </w:t>
      </w:r>
      <w:r>
        <w:t xml:space="preserve">CSCF will increase exposure to the carbon</w:t>
      </w:r>
      <w:r>
        <w:t xml:space="preserve"> </w:t>
      </w:r>
      <w:r>
        <w:t xml:space="preserve">price signal.</w:t>
      </w:r>
      <w:r>
        <w:t xml:space="preserve"> </w:t>
      </w:r>
      <w:r>
        <w:t xml:space="preserve">Weakly positive effect as under PO2 free allocation</w:t>
      </w:r>
      <w:r>
        <w:t xml:space="preserve"> </w:t>
      </w:r>
      <w:r>
        <w:t xml:space="preserve">is more conditional so depending on levels of</w:t>
      </w:r>
      <w:r>
        <w:t xml:space="preserve"> </w:t>
      </w:r>
      <w:r>
        <w:t xml:space="preserve">compliance the exposure to the carbon price will vary</w:t>
      </w:r>
      <w:r>
        <w:t xml:space="preserve"> </w:t>
      </w:r>
      <w:r>
        <w:t xml:space="preserve">but will be more than PO1 but less than PO3.</w:t>
      </w:r>
      <w:r>
        <w:t xml:space="preserve"> </w:t>
      </w:r>
      <w:r>
        <w:t xml:space="preserve">Weakly positive impact due to inclusion of municipal</w:t>
      </w:r>
      <w:r>
        <w:t xml:space="preserve"> </w:t>
      </w:r>
      <w:r>
        <w:t xml:space="preserve">waste incineration.</w:t>
      </w:r>
      <w:r>
        <w:t xml:space="preserve"> </w:t>
      </w:r>
      <w:r>
        <w:t xml:space="preserve">Strongly positive effect as under PO3 free</w:t>
      </w:r>
      <w:r>
        <w:t xml:space="preserve"> </w:t>
      </w:r>
      <w:r>
        <w:t xml:space="preserve">allocation for non-CBAM sectors is phased</w:t>
      </w:r>
      <w:r>
        <w:t xml:space="preserve"> </w:t>
      </w:r>
      <w:r>
        <w:t xml:space="preserve">out.</w:t>
      </w:r>
      <w:r>
        <w:br/>
      </w:r>
      <w:r>
        <w:t xml:space="preserve">Positive impact due to inclusion of landfills as</w:t>
      </w:r>
      <w:r>
        <w:t xml:space="preserve"> </w:t>
      </w:r>
      <w:r>
        <w:t xml:space="preserve">well as municipal and hazardous waste</w:t>
      </w:r>
      <w:r>
        <w:t xml:space="preserve"> </w:t>
      </w:r>
      <w:r>
        <w:t xml:space="preserve">incineration.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Neutral on waste management, as no scope</w:t>
      </w:r>
      <w:r>
        <w:t xml:space="preserve"> </w:t>
      </w:r>
      <w:r>
        <w:t xml:space="preserve">extension is introduced in PO1.</w:t>
      </w:r>
      <w:r>
        <w:br/>
      </w:r>
      <w:r>
        <w:t xml:space="preserve">Weakly positive effect as smaller ships</w:t>
      </w:r>
      <w:r>
        <w:t xml:space="preserve"> </w:t>
      </w:r>
      <w:r>
        <w:t xml:space="preserve">between 400GT-5000GT remain outside of the</w:t>
      </w:r>
      <w:r>
        <w:t xml:space="preserve"> </w:t>
      </w:r>
      <w:r>
        <w:t xml:space="preserve">scope.</w:t>
      </w:r>
      <w:r>
        <w:t xml:space="preserve"> </w:t>
      </w:r>
      <w:r>
        <w:t xml:space="preserve">Positive effect as the ship categories emitting the</w:t>
      </w:r>
      <w:r>
        <w:t xml:space="preserve"> </w:t>
      </w:r>
      <w:r>
        <w:t xml:space="preserve">most among smaller ships are included.</w:t>
      </w:r>
      <w:r>
        <w:t xml:space="preserve"> </w:t>
      </w:r>
      <w:r>
        <w:t xml:space="preserve">Strongly positive impact as all smaller vessels</w:t>
      </w:r>
      <w:r>
        <w:t xml:space="preserve"> </w:t>
      </w:r>
      <w:r>
        <w:t xml:space="preserve">from vessel types non-exempted from MRV,</w:t>
      </w:r>
      <w:r>
        <w:t xml:space="preserve"> </w:t>
      </w:r>
      <w:r>
        <w:t xml:space="preserve">plus fishing vessels and non-commercial</w:t>
      </w:r>
      <w:r>
        <w:t xml:space="preserve"> </w:t>
      </w:r>
      <w:r>
        <w:t xml:space="preserve">yachts are in the scope.</w:t>
      </w:r>
      <w:r>
        <w:t xml:space="preserve"> </w:t>
      </w:r>
      <w:r>
        <w:t xml:space="preserve">Address</w:t>
      </w:r>
      <w:r>
        <w:t xml:space="preserve"> </w:t>
      </w:r>
      <w:r>
        <w:t xml:space="preserve">carbon</w:t>
      </w:r>
      <w:r>
        <w:t xml:space="preserve"> </w:t>
      </w:r>
      <w:r>
        <w:t xml:space="preserve">leakage</w:t>
      </w:r>
      <w:r>
        <w:t xml:space="preserve"> </w:t>
      </w:r>
      <w:r>
        <w:t xml:space="preserve">risk104</w:t>
      </w:r>
      <w:r>
        <w:t xml:space="preserve"> </w:t>
      </w:r>
      <w:r>
        <w:t xml:space="preserve">(SO.1.1.3)</w:t>
      </w:r>
      <w:r>
        <w:t xml:space="preserve"> </w:t>
      </w:r>
      <w:r>
        <w:t xml:space="preserve">Strongly positive effect as impact of the less</w:t>
      </w:r>
      <w:r>
        <w:t xml:space="preserve"> </w:t>
      </w:r>
      <w:r>
        <w:t xml:space="preserve">stringent cap reduces carbon leakage list and</w:t>
      </w:r>
      <w:r>
        <w:t xml:space="preserve"> </w:t>
      </w:r>
      <w:r>
        <w:t xml:space="preserve">free</w:t>
      </w:r>
      <w:r>
        <w:t xml:space="preserve"> </w:t>
      </w:r>
      <w:r>
        <w:t xml:space="preserve">allocation</w:t>
      </w:r>
      <w:r>
        <w:t xml:space="preserve"> </w:t>
      </w:r>
      <w:r>
        <w:t xml:space="preserve">continues</w:t>
      </w:r>
      <w:r>
        <w:t xml:space="preserve"> </w:t>
      </w:r>
      <w:r>
        <w:t xml:space="preserve">under</w:t>
      </w:r>
      <w:r>
        <w:t xml:space="preserve"> </w:t>
      </w:r>
      <w:r>
        <w:t xml:space="preserve">current</w:t>
      </w:r>
      <w:r>
        <w:t xml:space="preserve"> </w:t>
      </w:r>
      <w:r>
        <w:t xml:space="preserve">approach</w:t>
      </w:r>
      <w:r>
        <w:t xml:space="preserve"> </w:t>
      </w:r>
      <w:r>
        <w:t xml:space="preserve">for</w:t>
      </w:r>
      <w:r>
        <w:t xml:space="preserve"> </w:t>
      </w:r>
      <w:r>
        <w:t xml:space="preserve">PO1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conditionalities applied to free allocation.</w:t>
      </w:r>
      <w:r>
        <w:br/>
      </w:r>
      <w:r>
        <w:t xml:space="preserve">Strongly positive effect on the mobilisation of</w:t>
      </w:r>
      <w:r>
        <w:t xml:space="preserve"> </w:t>
      </w:r>
      <w:r>
        <w:t xml:space="preserve">private investment for industry decarbonisation</w:t>
      </w:r>
      <w:r>
        <w:t xml:space="preserve"> </w:t>
      </w:r>
      <w:r>
        <w:t xml:space="preserve">via IDB.</w:t>
      </w:r>
      <w:r>
        <w:t xml:space="preserve"> </w:t>
      </w:r>
      <w:r>
        <w:t xml:space="preserve">Neutral, no effect in diminishing maritime</w:t>
      </w:r>
      <w:r>
        <w:t xml:space="preserve"> </w:t>
      </w:r>
      <w:r>
        <w:t xml:space="preserve">evasion risk in comparison to baseline</w:t>
      </w:r>
      <w:r>
        <w:t xml:space="preserve"> </w:t>
      </w:r>
      <w:r>
        <w:t xml:space="preserve">Strongly positive effect as impact of the less stringent</w:t>
      </w:r>
      <w:r>
        <w:t xml:space="preserve"> </w:t>
      </w:r>
      <w:r>
        <w:t xml:space="preserve">cap reduces carbon leakage list but support is</w:t>
      </w:r>
      <w:r>
        <w:t xml:space="preserve"> </w:t>
      </w:r>
      <w:r>
        <w:t xml:space="preserve">conditional on investments so the level of free</w:t>
      </w:r>
      <w:r>
        <w:t xml:space="preserve"> </w:t>
      </w:r>
      <w:r>
        <w:t xml:space="preserve">allocation available under PO2 is less certain than</w:t>
      </w:r>
      <w:r>
        <w:t xml:space="preserve"> </w:t>
      </w:r>
      <w:r>
        <w:t xml:space="preserve">under PO1 but still better than under PO3.</w:t>
      </w:r>
      <w:r>
        <w:br/>
      </w:r>
      <w:r>
        <w:t xml:space="preserve">Strongly positive impact due to faster mobilisation of</w:t>
      </w:r>
      <w:r>
        <w:t xml:space="preserve"> </w:t>
      </w:r>
      <w:r>
        <w:t xml:space="preserve">investments for industry decarbonisation.</w:t>
      </w:r>
      <w:r>
        <w:t xml:space="preserve"> </w:t>
      </w:r>
      <w:r>
        <w:t xml:space="preserve">Positive effect in diminishing evasion risk in</w:t>
      </w:r>
      <w:r>
        <w:t xml:space="preserve"> </w:t>
      </w:r>
      <w:r>
        <w:t xml:space="preserve">maritime due to the revision of the list of</w:t>
      </w:r>
      <w:r>
        <w:t xml:space="preserve"> </w:t>
      </w:r>
      <w:r>
        <w:t xml:space="preserve">neighbouring container transshipment ports and</w:t>
      </w:r>
      <w:r>
        <w:t xml:space="preserve"> </w:t>
      </w:r>
      <w:r>
        <w:t xml:space="preserve">revised rules for offshore ships.</w:t>
      </w:r>
      <w:r>
        <w:t xml:space="preserve"> </w:t>
      </w:r>
      <w:r>
        <w:t xml:space="preserve">Weakly positive effect as impact of the less</w:t>
      </w:r>
      <w:r>
        <w:t xml:space="preserve"> </w:t>
      </w:r>
      <w:r>
        <w:t xml:space="preserve">stringent cap reduces carbon leakage risk in</w:t>
      </w:r>
      <w:r>
        <w:t xml:space="preserve"> </w:t>
      </w:r>
      <w:r>
        <w:t xml:space="preserve">PO3 but by less than in PO2 and PO1 due to</w:t>
      </w:r>
      <w:r>
        <w:t xml:space="preserve"> </w:t>
      </w:r>
      <w:r>
        <w:t xml:space="preserve">the accelerated phase out of free allocation for</w:t>
      </w:r>
      <w:r>
        <w:t xml:space="preserve"> </w:t>
      </w:r>
      <w:r>
        <w:t xml:space="preserve">non-CBAM sectors.</w:t>
      </w:r>
      <w:r>
        <w:br/>
      </w:r>
      <w:r>
        <w:t xml:space="preserve">Positive effect in diminishing evasion risk in</w:t>
      </w:r>
      <w:r>
        <w:t xml:space="preserve"> </w:t>
      </w:r>
      <w:r>
        <w:t xml:space="preserve">maritime due to the revision of the list of</w:t>
      </w:r>
      <w:r>
        <w:t xml:space="preserve"> </w:t>
      </w:r>
      <w:r>
        <w:t xml:space="preserve">neighbouring container transshipment ports</w:t>
      </w:r>
      <w:r>
        <w:t xml:space="preserve"> </w:t>
      </w:r>
      <w:r>
        <w:t xml:space="preserve">and revised rules for offshore ships.</w:t>
      </w:r>
      <w:r>
        <w:t xml:space="preserve"> </w:t>
      </w:r>
      <w:r>
        <w:t xml:space="preserve">General objective 1.2: Reaching a pre-set emissions reduction target within the budget provided by the 2040 policy package and with a net emissions calculation</w:t>
      </w:r>
      <w:r>
        <w:t xml:space="preserve"> </w:t>
      </w:r>
      <w:r>
        <w:t xml:space="preserve">Removals</w:t>
      </w:r>
      <w:r>
        <w:t xml:space="preserve"> </w:t>
      </w:r>
      <w:r>
        <w:t xml:space="preserve">integration</w:t>
      </w:r>
      <w:r>
        <w:br/>
      </w:r>
      <w:r>
        <w:t xml:space="preserve">(SO.1.2.1)</w:t>
      </w:r>
      <w:r>
        <w:t xml:space="preserve"> </w:t>
      </w:r>
      <w:r>
        <w:t xml:space="preserve">Strongly positive effect as PO1 offers more</w:t>
      </w:r>
      <w:r>
        <w:t xml:space="preserve"> </w:t>
      </w:r>
      <w:r>
        <w:t xml:space="preserve">support for removals suppliers, guarantees</w:t>
      </w:r>
      <w:r>
        <w:t xml:space="preserve"> </w:t>
      </w:r>
      <w:r>
        <w:t xml:space="preserve">inflows of units into the EU ETS, providing</w:t>
      </w:r>
      <w:r>
        <w:t xml:space="preserve"> </w:t>
      </w:r>
      <w:r>
        <w:t xml:space="preserve">guaranteed</w:t>
      </w:r>
      <w:r>
        <w:t xml:space="preserve"> </w:t>
      </w:r>
      <w:r>
        <w:t xml:space="preserve">emissions</w:t>
      </w:r>
      <w:r>
        <w:t xml:space="preserve"> </w:t>
      </w:r>
      <w:r>
        <w:t xml:space="preserve">space</w:t>
      </w:r>
      <w:r>
        <w:t xml:space="preserve"> </w:t>
      </w:r>
      <w:r>
        <w:t xml:space="preserve">without</w:t>
      </w:r>
      <w:r>
        <w:t xml:space="preserve"> </w:t>
      </w:r>
      <w:r>
        <w:t xml:space="preserve">compromising the net target (unless public</w:t>
      </w:r>
      <w:r>
        <w:t xml:space="preserve"> </w:t>
      </w:r>
      <w:r>
        <w:t xml:space="preserve">authority is not endowed with the budget</w:t>
      </w:r>
      <w:r>
        <w:t xml:space="preserve"> </w:t>
      </w:r>
      <w:r>
        <w:t xml:space="preserve">calculated to procure sufficient removals, or</w:t>
      </w:r>
      <w:r>
        <w:t xml:space="preserve"> </w:t>
      </w:r>
      <w:r>
        <w:t xml:space="preserve">the budget is insufficient). Medium mitigation</w:t>
      </w:r>
      <w:r>
        <w:t xml:space="preserve"> </w:t>
      </w:r>
      <w:r>
        <w:t xml:space="preserve">Weak positive effect as PO2 exposes the removals to</w:t>
      </w:r>
      <w:r>
        <w:t xml:space="preserve"> </w:t>
      </w:r>
      <w:r>
        <w:t xml:space="preserve">the EUA prices which is good for cost effectiveness</w:t>
      </w:r>
      <w:r>
        <w:t xml:space="preserve"> </w:t>
      </w:r>
      <w:r>
        <w:t xml:space="preserve">and economic efficiency, but entry is not guaranteed</w:t>
      </w:r>
      <w:r>
        <w:t xml:space="preserve"> </w:t>
      </w:r>
      <w:r>
        <w:t xml:space="preserve">if EUA prices &lt; removal supply costs. Lowest to</w:t>
      </w:r>
      <w:r>
        <w:t xml:space="preserve"> </w:t>
      </w:r>
      <w:r>
        <w:t xml:space="preserve">medium mitigation deterrence compared to the</w:t>
      </w:r>
      <w:r>
        <w:t xml:space="preserve"> </w:t>
      </w:r>
      <w:r>
        <w:t xml:space="preserve">baseline. Medium CDR support.</w:t>
      </w:r>
      <w:r>
        <w:t xml:space="preserve"> </w:t>
      </w:r>
      <w:r>
        <w:t xml:space="preserve">Strongly negative effect as PO3 provides</w:t>
      </w:r>
      <w:r>
        <w:t xml:space="preserve"> </w:t>
      </w:r>
      <w:r>
        <w:t xml:space="preserve">added flexibility to reach the EU ETS target</w:t>
      </w:r>
      <w:r>
        <w:t xml:space="preserve"> </w:t>
      </w:r>
      <w:r>
        <w:t xml:space="preserve">but ‘one in one out’ approach is expected to</w:t>
      </w:r>
      <w:r>
        <w:t xml:space="preserve"> </w:t>
      </w:r>
      <w:r>
        <w:t xml:space="preserve">lead to missing pre-set net reduction target</w:t>
      </w:r>
      <w:r>
        <w:t xml:space="preserve"> </w:t>
      </w:r>
      <w:r>
        <w:t xml:space="preserve">unless support measures are introduced to</w:t>
      </w:r>
      <w:r>
        <w:t xml:space="preserve"> </w:t>
      </w:r>
      <w:r>
        <w:t xml:space="preserve">cover the price differential. Highest mitigation</w:t>
      </w:r>
      <w:r>
        <w:t xml:space="preserve"> </w:t>
      </w:r>
      <w:r>
        <w:t xml:space="preserve">deterrence compared to the baseline. Lowest</w:t>
      </w:r>
    </w:p>
    <w:p>
      <w:pPr>
        <w:pStyle w:val="BodyText"/>
      </w:pPr>
      <w:r>
        <w:t xml:space="preserve">104 For non-stationary (i.e. aviation, maritime) this effectiveness in the achievement of this sub-objective is addressed in the specific sections.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deterrence compared to the baseline. Highest</w:t>
      </w:r>
      <w:r>
        <w:t xml:space="preserve"> </w:t>
      </w:r>
      <w:r>
        <w:t xml:space="preserve">CDR support.</w:t>
      </w:r>
      <w:r>
        <w:t xml:space="preserve"> </w:t>
      </w:r>
      <w:r>
        <w:t xml:space="preserve">CDR</w:t>
      </w:r>
      <w:r>
        <w:t xml:space="preserve"> </w:t>
      </w:r>
      <w:r>
        <w:t xml:space="preserve">support,</w:t>
      </w:r>
      <w:r>
        <w:t xml:space="preserve"> </w:t>
      </w:r>
      <w:r>
        <w:t xml:space="preserve">absent</w:t>
      </w:r>
      <w:r>
        <w:t xml:space="preserve"> </w:t>
      </w:r>
      <w:r>
        <w:t xml:space="preserve">complementary</w:t>
      </w:r>
      <w:r>
        <w:t xml:space="preserve"> </w:t>
      </w:r>
      <w:r>
        <w:t xml:space="preserve">measures.</w:t>
      </w:r>
      <w:r>
        <w:t xml:space="preserve"> </w:t>
      </w:r>
      <w:r>
        <w:t xml:space="preserve">Adjust EU</w:t>
      </w:r>
      <w:r>
        <w:t xml:space="preserve"> </w:t>
      </w:r>
      <w:r>
        <w:t xml:space="preserve">ETS cap in</w:t>
      </w:r>
      <w:r>
        <w:t xml:space="preserve"> </w:t>
      </w:r>
      <w:r>
        <w:t xml:space="preserve">line</w:t>
      </w:r>
      <w:r>
        <w:t xml:space="preserve"> </w:t>
      </w:r>
      <w:r>
        <w:t xml:space="preserve">with</w:t>
      </w:r>
      <w:r>
        <w:t xml:space="preserve"> </w:t>
      </w:r>
      <w:r>
        <w:t xml:space="preserve">pre-set</w:t>
      </w:r>
      <w:r>
        <w:t xml:space="preserve"> </w:t>
      </w:r>
      <w:r>
        <w:t xml:space="preserve">target</w:t>
      </w:r>
      <w:r>
        <w:t xml:space="preserve"> </w:t>
      </w:r>
      <w:r>
        <w:t xml:space="preserve">(SO.1.2.2)</w:t>
      </w:r>
      <w:r>
        <w:t xml:space="preserve"> </w:t>
      </w:r>
      <w:r>
        <w:t xml:space="preserve">Cap is adjusted according to ambition level in</w:t>
      </w:r>
      <w:r>
        <w:t xml:space="preserve"> </w:t>
      </w:r>
      <w:r>
        <w:t xml:space="preserve">2040. All POs would be based on same</w:t>
      </w:r>
      <w:r>
        <w:t xml:space="preserve"> </w:t>
      </w:r>
      <w:r>
        <w:t xml:space="preserve">trajectory / budget.</w:t>
      </w:r>
      <w:r>
        <w:t xml:space="preserve"> </w:t>
      </w:r>
      <w:r>
        <w:t xml:space="preserve">Cap is adjusted according to ambition level in 2040.</w:t>
      </w:r>
      <w:r>
        <w:t xml:space="preserve"> </w:t>
      </w:r>
      <w:r>
        <w:t xml:space="preserve">All POs would be based on same trajectory / budget.</w:t>
      </w:r>
      <w:r>
        <w:t xml:space="preserve"> </w:t>
      </w:r>
      <w:r>
        <w:t xml:space="preserve">Higher certainty about contribution from municipal</w:t>
      </w:r>
      <w:r>
        <w:t xml:space="preserve"> </w:t>
      </w:r>
      <w:r>
        <w:t xml:space="preserve">waste incineration.</w:t>
      </w:r>
    </w:p>
    <w:p>
      <w:pPr>
        <w:pStyle w:val="BodyText"/>
      </w:pPr>
      <w:r>
        <w:t xml:space="preserve">Cap is adjusted according to ambition level in</w:t>
      </w:r>
      <w:r>
        <w:t xml:space="preserve"> </w:t>
      </w:r>
      <w:r>
        <w:t xml:space="preserve">2040. All POs would be based on same</w:t>
      </w:r>
      <w:r>
        <w:t xml:space="preserve"> </w:t>
      </w:r>
      <w:r>
        <w:t xml:space="preserve">trajectory /budget. Higher certainty about</w:t>
      </w:r>
      <w:r>
        <w:t xml:space="preserve"> </w:t>
      </w:r>
      <w:r>
        <w:t xml:space="preserve">contribution from municipal and hazardous</w:t>
      </w:r>
      <w:r>
        <w:t xml:space="preserve"> </w:t>
      </w:r>
      <w:r>
        <w:t xml:space="preserve">waste incineration and landfilling.</w:t>
      </w:r>
      <w:r>
        <w:t xml:space="preserve"> </w:t>
      </w:r>
      <w:r>
        <w:t xml:space="preserve">General objective 1.3: Ensure effectiveness of EU climate action on international transport while avoiding double effort</w:t>
      </w:r>
      <w:r>
        <w:t xml:space="preserve"> </w:t>
      </w:r>
      <w:r>
        <w:t xml:space="preserve">Ensure</w:t>
      </w:r>
      <w:r>
        <w:t xml:space="preserve"> </w:t>
      </w:r>
      <w:r>
        <w:t xml:space="preserve">effective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EU’s</w:t>
      </w:r>
      <w:r>
        <w:t xml:space="preserve"> </w:t>
      </w:r>
      <w:r>
        <w:t xml:space="preserve">fair</w:t>
      </w:r>
      <w:r>
        <w:t xml:space="preserve"> </w:t>
      </w:r>
      <w:r>
        <w:t xml:space="preserve">share of int.</w:t>
      </w:r>
      <w:r>
        <w:t xml:space="preserve"> </w:t>
      </w:r>
      <w:r>
        <w:t xml:space="preserve">aviation</w:t>
      </w:r>
      <w:r>
        <w:t xml:space="preserve"> </w:t>
      </w:r>
      <w:r>
        <w:t xml:space="preserve">emissions</w:t>
      </w:r>
      <w:r>
        <w:t xml:space="preserve"> </w:t>
      </w:r>
      <w:r>
        <w:t xml:space="preserve">(SO.1.3.1)</w:t>
      </w:r>
      <w:r>
        <w:t xml:space="preserve"> </w:t>
      </w:r>
      <w:r>
        <w:t xml:space="preserve">Depending on the outcome of the CORSIA</w:t>
      </w:r>
      <w:r>
        <w:t xml:space="preserve"> </w:t>
      </w:r>
      <w:r>
        <w:t xml:space="preserve">assessment, weak negative effect: if the</w:t>
      </w:r>
      <w:r>
        <w:t xml:space="preserve"> </w:t>
      </w:r>
      <w:r>
        <w:t xml:space="preserve">assessment is positive there is an effective</w:t>
      </w:r>
      <w:r>
        <w:t xml:space="preserve"> </w:t>
      </w:r>
      <w:r>
        <w:t xml:space="preserve">carbon price on the EU’s fair share of</w:t>
      </w:r>
      <w:r>
        <w:t xml:space="preserve"> </w:t>
      </w:r>
      <w:r>
        <w:t xml:space="preserve">international aviation emissions, without a</w:t>
      </w:r>
      <w:r>
        <w:t xml:space="preserve"> </w:t>
      </w:r>
      <w:r>
        <w:t xml:space="preserve">change to the ETS scope. However, PO1</w:t>
      </w:r>
      <w:r>
        <w:t xml:space="preserve"> </w:t>
      </w:r>
      <w:r>
        <w:t xml:space="preserve">results in the highest global international</w:t>
      </w:r>
      <w:r>
        <w:t xml:space="preserve"> </w:t>
      </w:r>
      <w:r>
        <w:t xml:space="preserve">aviation emissions (600 MtCO2 in 2040,</w:t>
      </w:r>
      <w:r>
        <w:t xml:space="preserve"> </w:t>
      </w:r>
      <w:r>
        <w:t xml:space="preserve">compared to 590 MtCO2 in the baseline).</w:t>
      </w:r>
      <w:r>
        <w:t xml:space="preserve"> </w:t>
      </w:r>
      <w:r>
        <w:t xml:space="preserve">Strong positive effect by ensuring effective carbon</w:t>
      </w:r>
      <w:r>
        <w:t xml:space="preserve"> </w:t>
      </w:r>
      <w:r>
        <w:t xml:space="preserve">pricing on the EU’s fair share of international</w:t>
      </w:r>
      <w:r>
        <w:t xml:space="preserve"> </w:t>
      </w:r>
      <w:r>
        <w:t xml:space="preserve">aviation emissions (departing flights), while allowing</w:t>
      </w:r>
      <w:r>
        <w:t xml:space="preserve"> </w:t>
      </w:r>
      <w:r>
        <w:t xml:space="preserve">for the deduction of any CORSIA offsetting costs.</w:t>
      </w:r>
      <w:r>
        <w:t xml:space="preserve"> </w:t>
      </w:r>
      <w:r>
        <w:t xml:space="preserve">Global international aviation emissions are projected</w:t>
      </w:r>
      <w:r>
        <w:t xml:space="preserve"> </w:t>
      </w:r>
      <w:r>
        <w:t xml:space="preserve">at 595 MtCO2 in 2040.</w:t>
      </w:r>
      <w:r>
        <w:t xml:space="preserve"> </w:t>
      </w:r>
      <w:r>
        <w:t xml:space="preserve">Weakly positive effect by ensuring effective</w:t>
      </w:r>
      <w:r>
        <w:t xml:space="preserve"> </w:t>
      </w:r>
      <w:r>
        <w:t xml:space="preserve">carbon pricing on the EU’s fair share of</w:t>
      </w:r>
      <w:r>
        <w:t xml:space="preserve"> </w:t>
      </w:r>
      <w:r>
        <w:t xml:space="preserve">international aviation emissions (departing</w:t>
      </w:r>
      <w:r>
        <w:t xml:space="preserve"> </w:t>
      </w:r>
      <w:r>
        <w:t xml:space="preserve">flights), while allowing for the deduction of</w:t>
      </w:r>
      <w:r>
        <w:t xml:space="preserve"> </w:t>
      </w:r>
      <w:r>
        <w:t xml:space="preserve">any CORSIA offsetting costs. However, PO3</w:t>
      </w:r>
      <w:r>
        <w:t xml:space="preserve"> </w:t>
      </w:r>
      <w:r>
        <w:t xml:space="preserve">results in higher global international aviation</w:t>
      </w:r>
      <w:r>
        <w:t xml:space="preserve"> </w:t>
      </w:r>
      <w:r>
        <w:t xml:space="preserve">emissions than PO2 (same as PO2 in 2040, but</w:t>
      </w:r>
      <w:r>
        <w:t xml:space="preserve"> </w:t>
      </w:r>
      <w:r>
        <w:t xml:space="preserve">higher emissions in 2035 due to higher SAF</w:t>
      </w:r>
      <w:r>
        <w:t xml:space="preserve"> </w:t>
      </w:r>
      <w:r>
        <w:t xml:space="preserve">support, causing higher traffic).</w:t>
      </w:r>
      <w:r>
        <w:t xml:space="preserve"> </w:t>
      </w:r>
      <w:r>
        <w:t xml:space="preserve">Preserve</w:t>
      </w:r>
      <w:r>
        <w:t xml:space="preserve"> </w:t>
      </w:r>
      <w:r>
        <w:t xml:space="preserve">effective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EU’s</w:t>
      </w:r>
      <w:r>
        <w:t xml:space="preserve"> </w:t>
      </w:r>
      <w:r>
        <w:t xml:space="preserve">fair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maritime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maximise</w:t>
      </w:r>
      <w:r>
        <w:t xml:space="preserve"> </w:t>
      </w:r>
      <w:r>
        <w:t xml:space="preserve">Comparable to the baseline in terms of</w:t>
      </w:r>
      <w:r>
        <w:t xml:space="preserve"> </w:t>
      </w:r>
      <w:r>
        <w:t xml:space="preserve">maritime emissions, with cumulative GHG</w:t>
      </w:r>
      <w:r>
        <w:t xml:space="preserve"> </w:t>
      </w:r>
      <w:r>
        <w:t xml:space="preserve">emissions over 2030-2050 of 1,985 MtCO2e</w:t>
      </w:r>
      <w:r>
        <w:t xml:space="preserve"> </w:t>
      </w:r>
      <w:r>
        <w:t xml:space="preserve">and residual GHG emissions of 20 MtCO2e in</w:t>
      </w:r>
      <w:r>
        <w:t xml:space="preserve"> </w:t>
      </w:r>
      <w:r>
        <w:t xml:space="preserve">2050. Derogations are running out after 2030</w:t>
      </w:r>
      <w:r>
        <w:t xml:space="preserve"> </w:t>
      </w:r>
      <w:r>
        <w:t xml:space="preserve">in PO1 (representing 5% of maritime GHG</w:t>
      </w:r>
      <w:r>
        <w:t xml:space="preserve"> </w:t>
      </w:r>
      <w:r>
        <w:t xml:space="preserve">emissions under the ETS cope).</w:t>
      </w:r>
      <w:r>
        <w:t xml:space="preserve"> </w:t>
      </w:r>
      <w:r>
        <w:t xml:space="preserve">Positive impact on emissions with cumulative GHG</w:t>
      </w:r>
      <w:r>
        <w:t xml:space="preserve"> </w:t>
      </w:r>
      <w:r>
        <w:t xml:space="preserve">maritime emissions over 2030-2050 of 1,890</w:t>
      </w:r>
      <w:r>
        <w:t xml:space="preserve"> </w:t>
      </w:r>
      <w:r>
        <w:t xml:space="preserve">MtCO2e (5.0% reduction compared to PO1) and</w:t>
      </w:r>
      <w:r>
        <w:t xml:space="preserve"> </w:t>
      </w:r>
      <w:r>
        <w:t xml:space="preserve">residual GHG emissions of 12 MtCO2e in 2050.</w:t>
      </w:r>
      <w:r>
        <w:br/>
      </w:r>
      <w:r>
        <w:t xml:space="preserve">Positive effects in terms of regulatory efficiency as</w:t>
      </w:r>
      <w:r>
        <w:t xml:space="preserve"> </w:t>
      </w:r>
      <w:r>
        <w:t xml:space="preserve">the deduction avoids the double pricing under the</w:t>
      </w:r>
      <w:r>
        <w:t xml:space="preserve"> </w:t>
      </w:r>
      <w:r>
        <w:t xml:space="preserve">IMO measure (once adopted) and EU ETS.</w:t>
      </w:r>
      <w:r>
        <w:br/>
      </w:r>
      <w:r>
        <w:t xml:space="preserve">Positive impact on emissions with cumulative</w:t>
      </w:r>
      <w:r>
        <w:t xml:space="preserve"> </w:t>
      </w:r>
      <w:r>
        <w:t xml:space="preserve">GHG maritime emission over 2030-2050 of</w:t>
      </w:r>
      <w:r>
        <w:t xml:space="preserve"> </w:t>
      </w:r>
      <w:r>
        <w:t xml:space="preserve">1,865 MtCO2e (6.2% reduction compared to</w:t>
      </w:r>
      <w:r>
        <w:t xml:space="preserve"> </w:t>
      </w:r>
      <w:r>
        <w:t xml:space="preserve">PO1) and residual GHG emissions of 11</w:t>
      </w:r>
      <w:r>
        <w:t xml:space="preserve"> </w:t>
      </w:r>
      <w:r>
        <w:t xml:space="preserve">MtCO2e in 2050.</w:t>
      </w:r>
      <w:r>
        <w:t xml:space="preserve"> </w:t>
      </w:r>
      <w:r>
        <w:t xml:space="preserve">Positive effects in terms of regulatory</w:t>
      </w:r>
      <w:r>
        <w:t xml:space="preserve"> </w:t>
      </w:r>
      <w:r>
        <w:t xml:space="preserve">efficiency as the deduction avoids the double</w:t>
      </w:r>
      <w:r>
        <w:t xml:space="preserve"> </w:t>
      </w:r>
      <w:r>
        <w:t xml:space="preserve">pricing under the IMO measure (once adopted)</w:t>
      </w:r>
      <w:r>
        <w:t xml:space="preserve"> </w:t>
      </w:r>
      <w:r>
        <w:t xml:space="preserve">and EU ETS.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regulatory</w:t>
      </w:r>
      <w:r>
        <w:t xml:space="preserve"> </w:t>
      </w:r>
      <w:r>
        <w:t xml:space="preserve">efficiency</w:t>
      </w:r>
      <w:r>
        <w:t xml:space="preserve"> </w:t>
      </w:r>
      <w:r>
        <w:t xml:space="preserve">(SO.1.3.2)</w:t>
      </w:r>
      <w:r>
        <w:t xml:space="preserve"> </w:t>
      </w:r>
      <w:r>
        <w:t xml:space="preserve">Weakly positive impact of costs savings due to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process</w:t>
      </w:r>
      <w:r>
        <w:t xml:space="preserve"> </w:t>
      </w:r>
      <w:r>
        <w:t xml:space="preserve">enhancement</w:t>
      </w:r>
      <w:r>
        <w:t xml:space="preserve"> </w:t>
      </w:r>
      <w:r>
        <w:t xml:space="preserve">measures (up to EUR 9 million /year)</w:t>
      </w:r>
    </w:p>
    <w:p>
      <w:pPr>
        <w:pStyle w:val="BodyText"/>
      </w:pPr>
      <w:r>
        <w:t xml:space="preserve">Recycling of ETS revenues is expected to improve</w:t>
      </w:r>
      <w:r>
        <w:t xml:space="preserve"> </w:t>
      </w:r>
      <w:r>
        <w:t xml:space="preserve">the economic case for complying with ETS and the</w:t>
      </w:r>
      <w:r>
        <w:t xml:space="preserve"> </w:t>
      </w:r>
      <w:r>
        <w:t xml:space="preserve">IMO measure.</w:t>
      </w:r>
      <w:r>
        <w:t xml:space="preserve"> </w:t>
      </w:r>
      <w:r>
        <w:t xml:space="preserve">Additional weak positive impacts of cost savings due</w:t>
      </w:r>
      <w:r>
        <w:t xml:space="preserve"> </w:t>
      </w:r>
      <w:r>
        <w:t xml:space="preserve">to simplification and enhancement measures (up to 9</w:t>
      </w:r>
      <w:r>
        <w:t xml:space="preserve"> </w:t>
      </w:r>
      <w:r>
        <w:t xml:space="preserve">million EU/year).</w:t>
      </w:r>
      <w:r>
        <w:t xml:space="preserve"> </w:t>
      </w:r>
      <w:r>
        <w:t xml:space="preserve">Positive impact by inclusion of smaller ships from the</w:t>
      </w:r>
      <w:r>
        <w:t xml:space="preserve"> </w:t>
      </w:r>
      <w:r>
        <w:t xml:space="preserve">categories emitting the most, representing 13% of</w:t>
      </w:r>
      <w:r>
        <w:t xml:space="preserve"> </w:t>
      </w:r>
      <w:r>
        <w:t xml:space="preserve">ETS emissions in 2023.</w:t>
      </w:r>
      <w:r>
        <w:br/>
      </w:r>
      <w:r>
        <w:t xml:space="preserve">Weakly negative impact as derogations will diminish</w:t>
      </w:r>
      <w:r>
        <w:t xml:space="preserve"> </w:t>
      </w:r>
      <w:r>
        <w:t xml:space="preserve">the emissions subject to ETS by 5%. More than half</w:t>
      </w:r>
      <w:r>
        <w:t xml:space="preserve"> </w:t>
      </w:r>
      <w:r>
        <w:t xml:space="preserve">(50.8%) of them benefit outermost regions and</w:t>
      </w:r>
      <w:r>
        <w:t xml:space="preserve"> </w:t>
      </w:r>
      <w:r>
        <w:t xml:space="preserve">around a third benefit small island.</w:t>
      </w:r>
    </w:p>
    <w:p>
      <w:pPr>
        <w:pStyle w:val="BodyText"/>
      </w:pPr>
      <w:r>
        <w:t xml:space="preserve">Recycling of ETS revenues is expected to</w:t>
      </w:r>
      <w:r>
        <w:t xml:space="preserve"> </w:t>
      </w:r>
      <w:r>
        <w:t xml:space="preserve">improve the economic case for complying with</w:t>
      </w:r>
      <w:r>
        <w:t xml:space="preserve"> </w:t>
      </w:r>
      <w:r>
        <w:t xml:space="preserve">the IMO measure.</w:t>
      </w:r>
      <w:r>
        <w:br/>
      </w:r>
      <w:r>
        <w:t xml:space="preserve">Additional weak positive impacts of costs</w:t>
      </w:r>
      <w:r>
        <w:t xml:space="preserve"> </w:t>
      </w:r>
      <w:r>
        <w:t xml:space="preserve">savings due to simplification and enhancement</w:t>
      </w:r>
      <w:r>
        <w:t xml:space="preserve"> </w:t>
      </w:r>
      <w:r>
        <w:t xml:space="preserve">measures (up to 9 million EU/year)</w:t>
      </w:r>
      <w:r>
        <w:t xml:space="preserve"> </w:t>
      </w:r>
      <w:r>
        <w:t xml:space="preserve">Positive impact by inclusion of all small ships</w:t>
      </w:r>
      <w:r>
        <w:t xml:space="preserve"> </w:t>
      </w:r>
      <w:r>
        <w:t xml:space="preserve">(17% of ETS emissions in 2023).</w:t>
      </w:r>
      <w:r>
        <w:t xml:space="preserve"> </w:t>
      </w:r>
      <w:r>
        <w:t xml:space="preserve">Weakly negative impact as derogations will</w:t>
      </w:r>
      <w:r>
        <w:t xml:space="preserve"> </w:t>
      </w:r>
      <w:r>
        <w:t xml:space="preserve">diminish the emissions subject to ETS by 5%.</w:t>
      </w:r>
      <w:r>
        <w:t xml:space="preserve"> </w:t>
      </w:r>
      <w:r>
        <w:t xml:space="preserve">More than half of them benefit outermost</w:t>
      </w:r>
      <w:r>
        <w:t xml:space="preserve"> </w:t>
      </w:r>
      <w:r>
        <w:t xml:space="preserve">regions and around a third benefit small island.</w:t>
      </w:r>
    </w:p>
    <w:p>
      <w:pPr>
        <w:pStyle w:val="BodyText"/>
      </w:pPr>
      <w:r>
        <w:t xml:space="preserve">General objective 2.1: Ensure efficient market functioning</w:t>
      </w:r>
      <w:r>
        <w:t xml:space="preserve"> </w:t>
      </w:r>
      <w:r>
        <w:t xml:space="preserve">Increase</w:t>
      </w:r>
      <w:r>
        <w:t xml:space="preserve"> </w:t>
      </w:r>
      <w:r>
        <w:t xml:space="preserve">size of the</w:t>
      </w:r>
      <w:r>
        <w:t xml:space="preserve"> </w:t>
      </w:r>
      <w:r>
        <w:t xml:space="preserve">market</w:t>
      </w:r>
      <w:r>
        <w:t xml:space="preserve"> </w:t>
      </w:r>
      <w:r>
        <w:t xml:space="preserve">(SO.2.1.1)</w:t>
      </w:r>
      <w:r>
        <w:t xml:space="preserve"> </w:t>
      </w:r>
      <w:r>
        <w:t xml:space="preserve">No impact on the increase in the size of the</w:t>
      </w:r>
      <w:r>
        <w:t xml:space="preserve"> </w:t>
      </w:r>
      <w:r>
        <w:t xml:space="preserve">market in relation to waste management and</w:t>
      </w:r>
      <w:r>
        <w:t xml:space="preserve"> </w:t>
      </w:r>
      <w:r>
        <w:t xml:space="preserve">aviation as no further extension of the scope</w:t>
      </w:r>
      <w:r>
        <w:t xml:space="preserve"> </w:t>
      </w:r>
      <w:r>
        <w:t xml:space="preserve">occurs in PO1. Integration of removals in PO1</w:t>
      </w:r>
      <w:r>
        <w:t xml:space="preserve"> </w:t>
      </w:r>
      <w:r>
        <w:t xml:space="preserve">is a net cap integration, but the public authority</w:t>
      </w:r>
      <w:r>
        <w:t xml:space="preserve"> </w:t>
      </w:r>
      <w:r>
        <w:t xml:space="preserve">commits to purchasing the removals, resulting</w:t>
      </w:r>
      <w:r>
        <w:t xml:space="preserve"> </w:t>
      </w:r>
      <w:r>
        <w:t xml:space="preserve">in the emissions space of the gross cap as in</w:t>
      </w:r>
      <w:r>
        <w:t xml:space="preserve"> </w:t>
      </w:r>
      <w:r>
        <w:t xml:space="preserve">PO3. The risk of removals generation falls on</w:t>
      </w:r>
      <w:r>
        <w:t xml:space="preserve"> </w:t>
      </w:r>
      <w:r>
        <w:t xml:space="preserve">the public authority, with a positive impact for</w:t>
      </w:r>
      <w:r>
        <w:t xml:space="preserve"> </w:t>
      </w:r>
      <w:r>
        <w:t xml:space="preserve">the size of the market.</w:t>
      </w:r>
      <w:r>
        <w:t xml:space="preserve"> </w:t>
      </w:r>
      <w:r>
        <w:t xml:space="preserve">Positive effect on the increase in the size of the</w:t>
      </w:r>
      <w:r>
        <w:t xml:space="preserve"> </w:t>
      </w:r>
      <w:r>
        <w:t xml:space="preserve">market but PO2 is less ambitious than PO3 as scope</w:t>
      </w:r>
      <w:r>
        <w:t xml:space="preserve"> </w:t>
      </w:r>
      <w:r>
        <w:t xml:space="preserve">is only extended to all municipal waste incinerator</w:t>
      </w:r>
      <w:r>
        <w:t xml:space="preserve"> </w:t>
      </w:r>
      <w:r>
        <w:t xml:space="preserve">installations. For aviation, positive effect compared</w:t>
      </w:r>
      <w:r>
        <w:t xml:space="preserve"> </w:t>
      </w:r>
      <w:r>
        <w:t xml:space="preserve">to PO1 as the size of the market is increased to</w:t>
      </w:r>
      <w:r>
        <w:t xml:space="preserve"> </w:t>
      </w:r>
      <w:r>
        <w:t xml:space="preserve">departing flights.</w:t>
      </w:r>
      <w:r>
        <w:t xml:space="preserve"> </w:t>
      </w:r>
      <w:r>
        <w:t xml:space="preserve">Integration of removals in PO2 allows the market to</w:t>
      </w:r>
      <w:r>
        <w:t xml:space="preserve"> </w:t>
      </w:r>
      <w:r>
        <w:t xml:space="preserve">increase with the integration of removals by</w:t>
      </w:r>
      <w:r>
        <w:t xml:space="preserve"> </w:t>
      </w:r>
      <w:r>
        <w:t xml:space="preserve">operators. The cap is set at the net level, and the gross</w:t>
      </w:r>
      <w:r>
        <w:t xml:space="preserve"> </w:t>
      </w:r>
      <w:r>
        <w:t xml:space="preserve">depends on the cost competitiveness of removals and</w:t>
      </w:r>
      <w:r>
        <w:t xml:space="preserve"> </w:t>
      </w:r>
      <w:r>
        <w:t xml:space="preserve">support policies.</w:t>
      </w:r>
      <w:r>
        <w:br/>
      </w:r>
      <w:r>
        <w:t xml:space="preserve">Positive effect on the increase in the size of the</w:t>
      </w:r>
      <w:r>
        <w:t xml:space="preserve"> </w:t>
      </w:r>
      <w:r>
        <w:t xml:space="preserve">market with PO3 extending the scope of the</w:t>
      </w:r>
      <w:r>
        <w:t xml:space="preserve"> </w:t>
      </w:r>
      <w:r>
        <w:t xml:space="preserve">EU ETS to all municipal and hazardous waste</w:t>
      </w:r>
      <w:r>
        <w:t xml:space="preserve"> </w:t>
      </w:r>
      <w:r>
        <w:t xml:space="preserve">incinerator installations and landfilling of non-</w:t>
      </w:r>
      <w:r>
        <w:t xml:space="preserve"> </w:t>
      </w:r>
      <w:r>
        <w:t xml:space="preserve">hazardous waste. For aviation, positive effect</w:t>
      </w:r>
      <w:r>
        <w:t xml:space="preserve"> </w:t>
      </w:r>
      <w:r>
        <w:t xml:space="preserve">as the size of the market is increased to</w:t>
      </w:r>
      <w:r>
        <w:t xml:space="preserve"> </w:t>
      </w:r>
      <w:r>
        <w:t xml:space="preserve">departing flights.</w:t>
      </w:r>
      <w:r>
        <w:t xml:space="preserve"> </w:t>
      </w:r>
      <w:r>
        <w:t xml:space="preserve">Integration of removals in PO3 results in the</w:t>
      </w:r>
      <w:r>
        <w:t xml:space="preserve"> </w:t>
      </w:r>
      <w:r>
        <w:t xml:space="preserve">cap being set at the gross level. The uncertainty</w:t>
      </w:r>
      <w:r>
        <w:t xml:space="preserve"> </w:t>
      </w:r>
      <w:r>
        <w:t xml:space="preserve">in the removals generation falls on the climate</w:t>
      </w:r>
      <w:r>
        <w:t xml:space="preserve"> </w:t>
      </w:r>
      <w:r>
        <w:t xml:space="preserve">ambition, as the attainment of the net objective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Positive effect as the ship categories emitting the</w:t>
      </w:r>
      <w:r>
        <w:t xml:space="preserve"> </w:t>
      </w:r>
      <w:r>
        <w:t xml:space="preserve">most among smaller ships are included</w:t>
      </w:r>
      <w:r>
        <w:br/>
      </w:r>
      <w:r>
        <w:t xml:space="preserve">is uncertain, with a positive impact for the size</w:t>
      </w:r>
      <w:r>
        <w:t xml:space="preserve"> </w:t>
      </w:r>
      <w:r>
        <w:t xml:space="preserve">of the market.</w:t>
      </w:r>
      <w:r>
        <w:t xml:space="preserve"> </w:t>
      </w:r>
      <w:r>
        <w:t xml:space="preserve">Strong positive impact as all vessel types non-</w:t>
      </w:r>
      <w:r>
        <w:t xml:space="preserve"> </w:t>
      </w:r>
      <w:r>
        <w:t xml:space="preserve">exempted from MRV, plus fishing vessels and</w:t>
      </w:r>
      <w:r>
        <w:t xml:space="preserve"> </w:t>
      </w:r>
      <w:r>
        <w:t xml:space="preserve">non-commercial yachts are in the scope</w:t>
      </w:r>
      <w:r>
        <w:t xml:space="preserve"> </w:t>
      </w:r>
      <w:r>
        <w:t xml:space="preserve">Adjust</w:t>
      </w:r>
      <w:r>
        <w:t xml:space="preserve"> </w:t>
      </w:r>
      <w:r>
        <w:t xml:space="preserve">MSR</w:t>
      </w:r>
      <w:r>
        <w:t xml:space="preserve"> </w:t>
      </w:r>
      <w:r>
        <w:t xml:space="preserve">parameters</w:t>
      </w:r>
      <w:r>
        <w:t xml:space="preserve"> </w:t>
      </w:r>
      <w:r>
        <w:t xml:space="preserve">(SO.2.1.2)</w:t>
      </w:r>
      <w:r>
        <w:t xml:space="preserve"> </w:t>
      </w:r>
      <w:r>
        <w:t xml:space="preserve">Weakly positive as PO1 broadly achieves the</w:t>
      </w:r>
      <w:r>
        <w:t xml:space="preserve"> </w:t>
      </w:r>
      <w:r>
        <w:t xml:space="preserve">two primary objectives of the MSR. First, the</w:t>
      </w:r>
      <w:r>
        <w:t xml:space="preserve"> </w:t>
      </w:r>
      <w:r>
        <w:t xml:space="preserve">MSR contributes to reducing the historical</w:t>
      </w:r>
      <w:r>
        <w:t xml:space="preserve"> </w:t>
      </w:r>
      <w:r>
        <w:t xml:space="preserve">surplus of allowances by removing supply of</w:t>
      </w:r>
      <w:r>
        <w:t xml:space="preserve"> </w:t>
      </w:r>
      <w:r>
        <w:t xml:space="preserve">allowances and preventing a drop in carbon</w:t>
      </w:r>
      <w:r>
        <w:t xml:space="preserve"> </w:t>
      </w:r>
      <w:r>
        <w:t xml:space="preserve">prices and weakened investment signals for</w:t>
      </w:r>
      <w:r>
        <w:t xml:space="preserve"> </w:t>
      </w:r>
      <w:r>
        <w:t xml:space="preserve">low-carbon technologies. Under PO1 the MSR</w:t>
      </w:r>
      <w:r>
        <w:t xml:space="preserve"> </w:t>
      </w:r>
      <w:r>
        <w:t xml:space="preserve">starts releasing allowances to keep the market</w:t>
      </w:r>
      <w:r>
        <w:t xml:space="preserve"> </w:t>
      </w:r>
      <w:r>
        <w:t xml:space="preserve">balanced. However, while in the short-term</w:t>
      </w:r>
      <w:r>
        <w:t xml:space="preserve"> </w:t>
      </w:r>
      <w:r>
        <w:t xml:space="preserve">prices are evolving relatively stable until</w:t>
      </w:r>
      <w:r>
        <w:t xml:space="preserve"> </w:t>
      </w:r>
      <w:r>
        <w:t xml:space="preserve">2034, as from 2035 PO1 observe a relative</w:t>
      </w:r>
      <w:r>
        <w:t xml:space="preserve"> </w:t>
      </w:r>
      <w:r>
        <w:t xml:space="preserve">steeper increase of ETS prices as compared to</w:t>
      </w:r>
      <w:r>
        <w:t xml:space="preserve"> </w:t>
      </w:r>
      <w:r>
        <w:t xml:space="preserve">PO2 and PO3. Second, PO1 enhances the</w:t>
      </w:r>
      <w:r>
        <w:t xml:space="preserve"> </w:t>
      </w:r>
      <w:r>
        <w:t xml:space="preserve">resilience of the EU ETS and performs well in</w:t>
      </w:r>
      <w:r>
        <w:t xml:space="preserve"> </w:t>
      </w:r>
      <w:r>
        <w:t xml:space="preserve">response to future demand shocks.</w:t>
      </w:r>
    </w:p>
    <w:p>
      <w:pPr>
        <w:pStyle w:val="BodyText"/>
      </w:pPr>
      <w:r>
        <w:t xml:space="preserve">Strongly positive as PO2 and fully achieves the two</w:t>
      </w:r>
      <w:r>
        <w:t xml:space="preserve"> </w:t>
      </w:r>
      <w:r>
        <w:t xml:space="preserve">primary objectives of the MSR. First, the MSR</w:t>
      </w:r>
      <w:r>
        <w:t xml:space="preserve"> </w:t>
      </w:r>
      <w:r>
        <w:t xml:space="preserve">contributes to reducing the historical surplus of</w:t>
      </w:r>
      <w:r>
        <w:t xml:space="preserve"> </w:t>
      </w:r>
      <w:r>
        <w:t xml:space="preserve">allowances by removing supply of allowances and</w:t>
      </w:r>
      <w:r>
        <w:t xml:space="preserve"> </w:t>
      </w:r>
      <w:r>
        <w:t xml:space="preserve">preventing a drop in carbon prices and weakened</w:t>
      </w:r>
      <w:r>
        <w:t xml:space="preserve"> </w:t>
      </w:r>
      <w:r>
        <w:t xml:space="preserve">investment signals for low-carbon technologies.</w:t>
      </w:r>
      <w:r>
        <w:t xml:space="preserve"> </w:t>
      </w:r>
      <w:r>
        <w:t xml:space="preserve">Under PO2 the MSR starts releasing allowances to</w:t>
      </w:r>
      <w:r>
        <w:t xml:space="preserve"> </w:t>
      </w:r>
      <w:r>
        <w:t xml:space="preserve">keep the market balanced. Second, PO2 enhances</w:t>
      </w:r>
      <w:r>
        <w:t xml:space="preserve"> </w:t>
      </w:r>
      <w:r>
        <w:t xml:space="preserve">the resilience of the EU ETS and performs well in</w:t>
      </w:r>
      <w:r>
        <w:t xml:space="preserve"> </w:t>
      </w:r>
      <w:r>
        <w:t xml:space="preserve">response to future demand shocks.</w:t>
      </w:r>
    </w:p>
    <w:p>
      <w:pPr>
        <w:pStyle w:val="BodyText"/>
      </w:pPr>
      <w:r>
        <w:t xml:space="preserve">Strongly positive as PO3 as it entails the same</w:t>
      </w:r>
      <w:r>
        <w:t xml:space="preserve"> </w:t>
      </w:r>
      <w:r>
        <w:t xml:space="preserve">design features for the MSR as PO2.</w:t>
      </w:r>
      <w:r>
        <w:t xml:space="preserve"> </w:t>
      </w:r>
      <w:r>
        <w:t xml:space="preserve">Therefore, PO3 fully achieves the two</w:t>
      </w:r>
      <w:r>
        <w:t xml:space="preserve"> </w:t>
      </w:r>
      <w:r>
        <w:t xml:space="preserve">primary objectives of MSR as it employs the</w:t>
      </w:r>
      <w:r>
        <w:t xml:space="preserve"> </w:t>
      </w:r>
      <w:r>
        <w:t xml:space="preserve">same MSR parameters. First, the PO3</w:t>
      </w:r>
      <w:r>
        <w:t xml:space="preserve"> </w:t>
      </w:r>
      <w:r>
        <w:t xml:space="preserve">contributes to reducing the historical surplus</w:t>
      </w:r>
      <w:r>
        <w:t xml:space="preserve"> </w:t>
      </w:r>
      <w:r>
        <w:t xml:space="preserve">and provides for the most stable and steady</w:t>
      </w:r>
      <w:r>
        <w:t xml:space="preserve"> </w:t>
      </w:r>
      <w:r>
        <w:t xml:space="preserve">price evolution until 2040. Second, PO3 also</w:t>
      </w:r>
      <w:r>
        <w:t xml:space="preserve"> </w:t>
      </w:r>
      <w:r>
        <w:t xml:space="preserve">enhances the resilience of the EU ETS and</w:t>
      </w:r>
      <w:r>
        <w:t xml:space="preserve"> </w:t>
      </w:r>
      <w:r>
        <w:t xml:space="preserve">performs well in response to future demand</w:t>
      </w:r>
      <w:r>
        <w:t xml:space="preserve"> </w:t>
      </w:r>
      <w:r>
        <w:t xml:space="preserve">shocks.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each policy option can be assessed by comparing the expected benefits</w:t>
      </w:r>
      <w:r>
        <w:t xml:space="preserve"> </w:t>
      </w:r>
      <w:r>
        <w:t xml:space="preserve">(i.e., reduction of direct costs or externalities) against the respective expected costs incurred</w:t>
      </w:r>
      <w:r>
        <w:t xml:space="preserve"> </w:t>
      </w:r>
      <w:r>
        <w:t xml:space="preserve">for the delivery of each the policy options. Therefore, efficiency concerns the extent to which</w:t>
      </w:r>
      <w:r>
        <w:t xml:space="preserve"> </w:t>
      </w:r>
      <w:r>
        <w:t xml:space="preserve">objectives can be achieved for a given level of resource/at least cost.</w:t>
      </w:r>
      <w:r>
        <w:br/>
      </w:r>
      <w:r>
        <w:t xml:space="preserve">The combined measures under the different POs have economic, social, and environmental</w:t>
      </w:r>
      <w:r>
        <w:t xml:space="preserve"> </w:t>
      </w:r>
      <w:r>
        <w:t xml:space="preserve">impacts. The major costs of the policy options come in the form of an increase in the</w:t>
      </w:r>
      <w:r>
        <w:t xml:space="preserve"> </w:t>
      </w:r>
      <w:r>
        <w:t xml:space="preserve">adjustment costs, administrative and indirect costs for the private sector to implement the</w:t>
      </w:r>
      <w:r>
        <w:t xml:space="preserve"> </w:t>
      </w:r>
      <w:r>
        <w:t xml:space="preserve">requirements of the policy options. Additionally, EU Member State authorities are expected</w:t>
      </w:r>
      <w:r>
        <w:t xml:space="preserve"> </w:t>
      </w:r>
      <w:r>
        <w:t xml:space="preserve">to benefit from an increase in revenues from higher volumes of auctioned allowances and</w:t>
      </w:r>
      <w:r>
        <w:t xml:space="preserve"> </w:t>
      </w:r>
      <w:r>
        <w:t xml:space="preserve">this will offset costs associated with the implementation of the reforms.</w:t>
      </w:r>
      <w:r>
        <w:br/>
      </w:r>
      <w:r>
        <w:t xml:space="preserve">Given that all policy options envisage a less stringent ETS cap, the costs and investments</w:t>
      </w:r>
      <w:r>
        <w:t xml:space="preserve"> </w:t>
      </w:r>
      <w:r>
        <w:t xml:space="preserve">are expected to be less compared to the baseline. These lower system costs (excluding</w:t>
      </w:r>
      <w:r>
        <w:t xml:space="preserve"> </w:t>
      </w:r>
      <w:r>
        <w:t xml:space="preserve">auction payments) in PO1 and PO2 are mainly driven by changes in the cumulative annual</w:t>
      </w:r>
      <w:r>
        <w:t xml:space="preserve"> </w:t>
      </w:r>
      <w:r>
        <w:t xml:space="preserve">expenses borne by final energy users, which include operating and capital expenditures as</w:t>
      </w:r>
      <w:r>
        <w:t xml:space="preserve"> </w:t>
      </w:r>
      <w:r>
        <w:t xml:space="preserve">well as taxes.</w:t>
      </w:r>
      <w:r>
        <w:t xml:space="preserve"> </w:t>
      </w:r>
      <w:r>
        <w:t xml:space="preserve">In PO1 providing certainty and thus lower capital costs for removals will benefit both</w:t>
      </w:r>
      <w:r>
        <w:t xml:space="preserve"> </w:t>
      </w:r>
      <w:r>
        <w:t xml:space="preserve">removals producers and consumers. However, it does result in a burden placed on the public</w:t>
      </w:r>
      <w:r>
        <w:t xml:space="preserve"> </w:t>
      </w:r>
      <w:r>
        <w:t xml:space="preserve">authority to either deliver on the removals or face non-attainment of the environmental</w:t>
      </w:r>
      <w:r>
        <w:t xml:space="preserve"> </w:t>
      </w:r>
      <w:r>
        <w:t xml:space="preserve">objective. If a limit is applied to the removals that can be purchased the full theoretical</w:t>
      </w:r>
      <w:r>
        <w:t xml:space="preserve"> </w:t>
      </w:r>
      <w:r>
        <w:t xml:space="preserve">economic benefits would also be limited to a maximum, although the guaranteed availability</w:t>
      </w:r>
      <w:r>
        <w:t xml:space="preserve"> </w:t>
      </w:r>
      <w:r>
        <w:t xml:space="preserve">of removals would allow higher gross emissions, as well as lower prices for the removals.</w:t>
      </w:r>
      <w:r>
        <w:br/>
      </w:r>
      <w:r>
        <w:t xml:space="preserve">In PO2, the higher uncertainty for removals producers leads to higher discount rates and</w:t>
      </w:r>
      <w:r>
        <w:t xml:space="preserve"> </w:t>
      </w:r>
      <w:r>
        <w:t xml:space="preserve">lower volumes. As a result, abatement efforts expected to be higher, particularly in industry</w:t>
      </w:r>
      <w:r>
        <w:t xml:space="preserve"> </w:t>
      </w:r>
      <w:r>
        <w:t xml:space="preserve">(as reflected in higher capital costs relative to the baseline), but the total costs of removals</w:t>
      </w:r>
      <w:r>
        <w:t xml:space="preserve"> </w:t>
      </w:r>
      <w:r>
        <w:t xml:space="preserve">are lower, as a result of smaller removal volumes. The higher EU ETS price in such a</w:t>
      </w:r>
      <w:r>
        <w:t xml:space="preserve"> </w:t>
      </w:r>
      <w:r>
        <w:t xml:space="preserve">scenario increases auction revenues, which could be recycled into the economy, also to</w:t>
      </w:r>
      <w:r>
        <w:t xml:space="preserve"> </w:t>
      </w:r>
      <w:r>
        <w:t xml:space="preserve">support or expand removal activities. This feedback could partially offset the higher EU ETS</w:t>
      </w:r>
      <w:r>
        <w:t xml:space="preserve"> </w:t>
      </w:r>
      <w:r>
        <w:t xml:space="preserve">price, though the net effect remains uncertain due to efficiency and transaction cost</w:t>
      </w:r>
      <w:r>
        <w:t xml:space="preserve"> </w:t>
      </w:r>
      <w:r>
        <w:t xml:space="preserve">considerations. When including auction payments, system costs would be higher.</w:t>
      </w:r>
      <w:r>
        <w:t xml:space="preserve"> </w:t>
      </w:r>
      <w:r>
        <w:t xml:space="preserve">In PO3 modelling results for removals would be driven by the constraint of attaining the</w:t>
      </w:r>
      <w:r>
        <w:t xml:space="preserve"> </w:t>
      </w:r>
      <w:r>
        <w:t xml:space="preserve">targets for 2040 and 2050. However, the higher uncertainty for removals and the lack of</w:t>
      </w:r>
      <w:r>
        <w:t xml:space="preserve"> </w:t>
      </w:r>
      <w:r>
        <w:t xml:space="preserve">incentive for reducing below the gross emissions cap might well lead to an</w:t>
      </w:r>
      <w:r>
        <w:t xml:space="preserve"> </w:t>
      </w:r>
      <w:r>
        <w:t xml:space="preserve">underachievement of the removal objective and therefore an underachievement of the 2040</w:t>
      </w:r>
      <w:r>
        <w:t xml:space="preserve"> </w:t>
      </w:r>
      <w:r>
        <w:t xml:space="preserve">target. As this consideration is not modellable, it should be acknowledged qualitatively.</w:t>
      </w:r>
      <w:r>
        <w:br/>
      </w:r>
      <w:r>
        <w:t xml:space="preserve">In sum, the most efficient option for removals would be PO1, as this option gives highest</w:t>
      </w:r>
      <w:r>
        <w:t xml:space="preserve"> </w:t>
      </w:r>
      <w:r>
        <w:t xml:space="preserve">certainty to the removals sector allowing it to scale and learn, and as it gives gross emissions</w:t>
      </w:r>
      <w:r>
        <w:t xml:space="preserve"> </w:t>
      </w:r>
      <w:r>
        <w:t xml:space="preserve">space to EU ETS operators.</w:t>
      </w:r>
      <w:r>
        <w:br/>
      </w:r>
      <w:r>
        <w:t xml:space="preserve">In addition to the costs and benefits from the cap, waste management integration and carbon</w:t>
      </w:r>
      <w:r>
        <w:t xml:space="preserve"> </w:t>
      </w:r>
      <w:r>
        <w:t xml:space="preserve">removals, results have been integrated in this impact assessment through GEM-E3</w:t>
      </w:r>
      <w:r>
        <w:t xml:space="preserve"> </w:t>
      </w:r>
      <w:r>
        <w:t xml:space="preserve">modelling that focuses on the macro-economic costs and benefits that focuses on a</w:t>
      </w:r>
      <w:r>
        <w:t xml:space="preserve"> </w:t>
      </w:r>
      <w:r>
        <w:t xml:space="preserve">comparison of PO1 to the 85% PRIMES scenario. The impact of changes to free allocation</w:t>
      </w:r>
      <w:r>
        <w:t xml:space="preserve"> </w:t>
      </w:r>
      <w:r>
        <w:t xml:space="preserve">envisaged under PO2 and PO3 are reflected and the modelling output does take into account</w:t>
      </w:r>
      <w:r>
        <w:t xml:space="preserve"> </w:t>
      </w:r>
      <w:r>
        <w:t xml:space="preserve">the potential change of scope (i.e. inclusion of waste management activities), but not of other</w:t>
      </w:r>
      <w:r>
        <w:t xml:space="preserve"> </w:t>
      </w:r>
      <w:r>
        <w:t xml:space="preserve">measures included in policy measures PO1-3.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Table 15: Summary of costs and benefits per policy option compared to the 85% PRIMES</w:t>
      </w:r>
      <w:r>
        <w:t xml:space="preserve"> </w:t>
      </w:r>
      <w:r>
        <w:t xml:space="preserve">scenario based on GEM-E3</w:t>
      </w:r>
    </w:p>
    <w:p>
      <w:pPr>
        <w:pStyle w:val="BodyText"/>
      </w:pPr>
      <w:r>
        <w:t xml:space="preserve">Difference to the baseline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Adjustment cost</w:t>
      </w:r>
    </w:p>
    <w:p>
      <w:pPr>
        <w:pStyle w:val="BodyText"/>
      </w:pPr>
      <w:r>
        <w:t xml:space="preserve">Unit cost of production</w:t>
      </w:r>
      <w:r>
        <w:t xml:space="preserve"> </w:t>
      </w:r>
      <w:r>
        <w:t xml:space="preserve">%</w:t>
      </w:r>
      <w:r>
        <w:t xml:space="preserve"> </w:t>
      </w:r>
      <w:r>
        <w:t xml:space="preserve">0.02</w:t>
      </w:r>
      <w:r>
        <w:t xml:space="preserve"> </w:t>
      </w:r>
      <w:r>
        <w:t xml:space="preserve">-0.04, -0.02</w:t>
      </w:r>
      <w:r>
        <w:t xml:space="preserve"> </w:t>
      </w:r>
      <w:r>
        <w:t xml:space="preserve">-0.12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GDP change</w:t>
      </w:r>
      <w:r>
        <w:t xml:space="preserve"> </w:t>
      </w:r>
      <w:r>
        <w:t xml:space="preserve">%</w:t>
      </w:r>
      <w:r>
        <w:t xml:space="preserve"> </w:t>
      </w:r>
      <w:r>
        <w:t xml:space="preserve">0.01</w:t>
      </w:r>
      <w:r>
        <w:t xml:space="preserve"> </w:t>
      </w:r>
      <w:r>
        <w:t xml:space="preserve">-0.01, 0.00</w:t>
      </w:r>
      <w:r>
        <w:t xml:space="preserve"> </w:t>
      </w:r>
      <w:r>
        <w:t xml:space="preserve">0.02</w:t>
      </w:r>
      <w:r>
        <w:t xml:space="preserve"> </w:t>
      </w:r>
      <w:r>
        <w:t xml:space="preserve">Sectoral Employment - ETS sectors (% change</w:t>
      </w:r>
      <w:r>
        <w:t xml:space="preserve"> </w:t>
      </w:r>
      <w:r>
        <w:t xml:space="preserve">from baseline)</w:t>
      </w:r>
      <w:r>
        <w:t xml:space="preserve"> </w:t>
      </w:r>
      <w:r>
        <w:t xml:space="preserve">%</w:t>
      </w:r>
      <w:r>
        <w:t xml:space="preserve"> </w:t>
      </w:r>
      <w:r>
        <w:t xml:space="preserve">0.01</w:t>
      </w:r>
      <w:r>
        <w:t xml:space="preserve"> </w:t>
      </w:r>
      <w:r>
        <w:t xml:space="preserve">-0.05, -0.03</w:t>
      </w:r>
      <w:r>
        <w:t xml:space="preserve"> </w:t>
      </w:r>
      <w:r>
        <w:t xml:space="preserve">-0.06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Total private consumption (% change from</w:t>
      </w:r>
      <w:r>
        <w:t xml:space="preserve"> </w:t>
      </w:r>
      <w:r>
        <w:t xml:space="preserve">baseline)</w:t>
      </w:r>
      <w:r>
        <w:t xml:space="preserve"> </w:t>
      </w:r>
      <w:r>
        <w:t xml:space="preserve">%</w:t>
      </w:r>
      <w:r>
        <w:t xml:space="preserve"> </w:t>
      </w:r>
      <w:r>
        <w:t xml:space="preserve">0.02</w:t>
      </w:r>
      <w:r>
        <w:t xml:space="preserve"> </w:t>
      </w:r>
      <w:r>
        <w:t xml:space="preserve">-0.08, -0.05</w:t>
      </w:r>
      <w:r>
        <w:t xml:space="preserve"> </w:t>
      </w:r>
      <w:r>
        <w:t xml:space="preserve">-0.10</w:t>
      </w:r>
      <w:r>
        <w:t xml:space="preserve"> </w:t>
      </w:r>
      <w:r>
        <w:t xml:space="preserve">To supplement the modelling outputs, further quantitative analysis has been undertaken to</w:t>
      </w:r>
      <w:r>
        <w:t xml:space="preserve"> </w:t>
      </w:r>
      <w:r>
        <w:t xml:space="preserve">understand further the costs and benefits associated with the policy options. In terms of the</w:t>
      </w:r>
      <w:r>
        <w:t xml:space="preserve"> </w:t>
      </w:r>
      <w:r>
        <w:t xml:space="preserve">administrative costs, it is envisaged that PO2 will result in some increase in administrative</w:t>
      </w:r>
      <w:r>
        <w:t xml:space="preserve"> </w:t>
      </w:r>
      <w:r>
        <w:t xml:space="preserve">costs compared with the baseline as it will involve changes to free allocation with further</w:t>
      </w:r>
      <w:r>
        <w:t xml:space="preserve"> </w:t>
      </w:r>
      <w:r>
        <w:t xml:space="preserve">conditionality requirements included, as well as additional MRV costs for waste incineration</w:t>
      </w:r>
      <w:r>
        <w:t xml:space="preserve"> </w:t>
      </w:r>
      <w:r>
        <w:t xml:space="preserve">installations (the later would also be an additional cost for PO3). These estimates for</w:t>
      </w:r>
      <w:r>
        <w:t xml:space="preserve"> </w:t>
      </w:r>
      <w:r>
        <w:t xml:space="preserve">administrative cost have been transparently calculated based on existing literature and</w:t>
      </w:r>
      <w:r>
        <w:t xml:space="preserve"> </w:t>
      </w:r>
      <w:r>
        <w:t xml:space="preserve">stakeholder input (i.e. survey and interview processes). Importantly it is expected that the</w:t>
      </w:r>
      <w:r>
        <w:t xml:space="preserve"> </w:t>
      </w:r>
      <w:r>
        <w:t xml:space="preserve">potential maximum revenues that will be generated from each of the policy options are likely</w:t>
      </w:r>
      <w:r>
        <w:t xml:space="preserve"> </w:t>
      </w:r>
      <w:r>
        <w:t xml:space="preserve">to offset these additional administrative costs.</w:t>
      </w:r>
      <w:r>
        <w:br/>
      </w:r>
      <w:r>
        <w:t xml:space="preserve">Table 16: Summary of costs and benefits per policy option compared to the baseline based on</w:t>
      </w:r>
      <w:r>
        <w:t xml:space="preserve"> </w:t>
      </w:r>
      <w:r>
        <w:t xml:space="preserve">further quantitative estimates</w:t>
      </w:r>
    </w:p>
    <w:p>
      <w:pPr>
        <w:pStyle w:val="BodyText"/>
      </w:pPr>
      <w:r>
        <w:t xml:space="preserve">Difference to the baseline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Adjustment cost</w:t>
      </w:r>
    </w:p>
    <w:p>
      <w:pPr>
        <w:pStyle w:val="BodyText"/>
      </w:pPr>
      <w:r>
        <w:t xml:space="preserve">Cost of phasing out free allocation</w:t>
      </w:r>
      <w:r>
        <w:t xml:space="preserve"> </w:t>
      </w:r>
      <w:r>
        <w:t xml:space="preserve">Bn EUR</w:t>
      </w:r>
      <w:r>
        <w:t xml:space="preserve"> </w:t>
      </w:r>
      <w:r>
        <w:t xml:space="preserve">-55</w:t>
      </w:r>
      <w:r>
        <w:t xml:space="preserve"> </w:t>
      </w:r>
      <w:r>
        <w:t xml:space="preserve">-67</w:t>
      </w:r>
      <w:r>
        <w:t xml:space="preserve"> </w:t>
      </w:r>
      <w:r>
        <w:t xml:space="preserve">49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Applying for free allocation cost</w:t>
      </w:r>
      <w:r>
        <w:t xml:space="preserve"> </w:t>
      </w:r>
      <w:r>
        <w:t xml:space="preserve">M EUR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MRV costs for inclusion of waste activities</w:t>
      </w:r>
      <w:r>
        <w:t xml:space="preserve"> </w:t>
      </w:r>
      <w:r>
        <w:t xml:space="preserve">M EUR</w:t>
      </w:r>
      <w:r>
        <w:t xml:space="preserve"> </w:t>
      </w:r>
      <w:r>
        <w:t xml:space="preserve">0</w:t>
      </w:r>
      <w:r>
        <w:t xml:space="preserve"> </w:t>
      </w:r>
      <w:r>
        <w:t xml:space="preserve">7.8 - 78</w:t>
      </w:r>
      <w:r>
        <w:t xml:space="preserve"> </w:t>
      </w:r>
      <w:r>
        <w:t xml:space="preserve">&lt;7.8 - 78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Benefits</w:t>
      </w:r>
    </w:p>
    <w:p>
      <w:pPr>
        <w:pStyle w:val="BodyText"/>
      </w:pPr>
      <w:r>
        <w:t xml:space="preserve">Revenues</w:t>
      </w:r>
      <w:r>
        <w:t xml:space="preserve"> </w:t>
      </w:r>
      <w:r>
        <w:t xml:space="preserve">Bn EUR</w:t>
      </w:r>
      <w:r>
        <w:t xml:space="preserve"> </w:t>
      </w:r>
      <w:r>
        <w:t xml:space="preserve">315</w:t>
      </w:r>
      <w:r>
        <w:t xml:space="preserve"> </w:t>
      </w:r>
      <w:r>
        <w:t xml:space="preserve">335</w:t>
      </w:r>
      <w:r>
        <w:t xml:space="preserve"> </w:t>
      </w:r>
      <w:r>
        <w:t xml:space="preserve">540</w:t>
      </w:r>
      <w:r>
        <w:t xml:space="preserve"> </w:t>
      </w:r>
      <w:r>
        <w:t xml:space="preserve">Overall, all policy options result in net benefits relative to the baseline, on these elements.</w:t>
      </w:r>
      <w:r>
        <w:t xml:space="preserve"> </w:t>
      </w:r>
      <w:r>
        <w:t xml:space="preserve">This is evident from the output from the modelling runs from PRIMES and GEM-E3 as well</w:t>
      </w:r>
      <w:r>
        <w:t xml:space="preserve"> </w:t>
      </w:r>
      <w:r>
        <w:t xml:space="preserve">as the further quantitative estimates.</w:t>
      </w:r>
      <w:r>
        <w:t xml:space="preserve"> </w:t>
      </w:r>
      <w:r>
        <w:t xml:space="preserve">For aviation, PO2 is the most efficient policy option because (other than the baseline) it</w:t>
      </w:r>
      <w:r>
        <w:t xml:space="preserve"> </w:t>
      </w:r>
      <w:r>
        <w:t xml:space="preserve">results in the highest emissions reductions and the highest revenues to be used for climate</w:t>
      </w:r>
      <w:r>
        <w:t xml:space="preserve"> </w:t>
      </w:r>
      <w:r>
        <w:t xml:space="preserve">purposes. It also sets aside more allowances for ETS-financed SAF support than are</w:t>
      </w:r>
      <w:r>
        <w:t xml:space="preserve"> </w:t>
      </w:r>
      <w:r>
        <w:t xml:space="preserve">currently available or would be available in the baseline/ PO1 (which do not allow for further</w:t>
      </w:r>
      <w:r>
        <w:t xml:space="preserve"> </w:t>
      </w:r>
      <w:r>
        <w:t xml:space="preserve">ETS-financed SAF support). See Annex 10, Section 1.3, 1.5, 2.3, 2.4 and 3.1.</w:t>
      </w:r>
      <w:r>
        <w:t xml:space="preserve"> </w:t>
      </w:r>
      <w:r>
        <w:t xml:space="preserve">Regarding maritime transport, the efficiency of the different policy options is compared in</w:t>
      </w:r>
      <w:r>
        <w:t xml:space="preserve"> </w:t>
      </w:r>
      <w:r>
        <w:t xml:space="preserve">terms of their social Net Present Value (NPV), which compares discounted benefits of</w:t>
      </w:r>
      <w:r>
        <w:t xml:space="preserve"> </w:t>
      </w:r>
      <w:r>
        <w:t xml:space="preserve">emission savings from the maritime sector against discounted abatement costs and</w:t>
      </w:r>
      <w:r>
        <w:t xml:space="preserve"> </w:t>
      </w:r>
      <w:r>
        <w:t xml:space="preserve">administrative costs. ETS or possible IMO payments are excluded from this analysis as they</w:t>
      </w:r>
      <w:r>
        <w:t xml:space="preserve"> </w:t>
      </w:r>
      <w:r>
        <w:t xml:space="preserve">represent a transfer between agents from the perspective of the society. Results presented in</w:t>
      </w:r>
      <w:r>
        <w:t xml:space="preserve"> </w:t>
      </w:r>
      <w:r>
        <w:t xml:space="preserve">Table 17 show that both PO2 and PO3 would lead to a positive social NPV, compared to</w:t>
      </w:r>
      <w:r>
        <w:t xml:space="preserve"> </w:t>
      </w:r>
      <w:r>
        <w:t xml:space="preserve">PO1.</w:t>
      </w:r>
      <w:r>
        <w:br/>
      </w:r>
      <w:r>
        <w:t xml:space="preserve">Table 17: Social Net Present Value (NPV) of policy options PO2 and PO3 compared to PO1</w:t>
      </w:r>
      <w:r>
        <w:t xml:space="preserve"> </w:t>
      </w:r>
      <w:r>
        <w:t xml:space="preserve">(million EUR)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Monetised GHG emission benefits</w:t>
      </w:r>
      <w:r>
        <w:br/>
      </w:r>
      <w:r>
        <w:t xml:space="preserve">22,075</w:t>
      </w:r>
      <w:r>
        <w:t xml:space="preserve"> </w:t>
      </w:r>
      <w:r>
        <w:t xml:space="preserve">27,790</w:t>
      </w:r>
      <w:r>
        <w:t xml:space="preserve"> </w:t>
      </w:r>
      <w:r>
        <w:t xml:space="preserve">Monetised air quality benefits</w:t>
      </w:r>
      <w:r>
        <w:br/>
      </w:r>
      <w:r>
        <w:t xml:space="preserve">64</w:t>
      </w:r>
      <w:r>
        <w:t xml:space="preserve"> </w:t>
      </w:r>
      <w:r>
        <w:t xml:space="preserve">53</w:t>
      </w:r>
      <w:r>
        <w:t xml:space="preserve"> </w:t>
      </w:r>
      <w:r>
        <w:t xml:space="preserve">Additional costs excl. EU ETS revenues</w:t>
      </w:r>
      <w:r>
        <w:br/>
      </w:r>
      <w:r>
        <w:t xml:space="preserve">-14,404</w:t>
      </w:r>
      <w:r>
        <w:t xml:space="preserve"> </w:t>
      </w:r>
      <w:r>
        <w:t xml:space="preserve">-16,171</w:t>
      </w:r>
      <w:r>
        <w:t xml:space="preserve"> </w:t>
      </w:r>
      <w:r>
        <w:t xml:space="preserve">Administrative costs</w:t>
      </w:r>
      <w:r>
        <w:br/>
      </w:r>
      <w:r>
        <w:t xml:space="preserve">-436</w:t>
      </w:r>
      <w:r>
        <w:t xml:space="preserve"> </w:t>
      </w:r>
      <w:r>
        <w:t xml:space="preserve">-860</w:t>
      </w:r>
      <w:r>
        <w:t xml:space="preserve"> </w:t>
      </w:r>
      <w:r>
        <w:t xml:space="preserve">Administrative and enforcement costs for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-17</w:t>
      </w:r>
      <w:r>
        <w:t xml:space="preserve"> </w:t>
      </w:r>
      <w:r>
        <w:t xml:space="preserve">-33</w:t>
      </w:r>
      <w:r>
        <w:t xml:space="preserve"> </w:t>
      </w:r>
      <w:r>
        <w:t xml:space="preserve">Social NPV</w:t>
      </w:r>
      <w:r>
        <w:br/>
      </w:r>
      <w:r>
        <w:t xml:space="preserve">7,283</w:t>
      </w:r>
      <w:r>
        <w:t xml:space="preserve"> </w:t>
      </w:r>
      <w:r>
        <w:t xml:space="preserve">10,778</w:t>
      </w:r>
      <w:r>
        <w:t xml:space="preserve"> </w:t>
      </w:r>
      <w:r>
        <w:t xml:space="preserve">All policy options can work in full synergy with the FuelEU maritime initiative as carbon</w:t>
      </w:r>
      <w:r>
        <w:t xml:space="preserve"> </w:t>
      </w:r>
      <w:r>
        <w:t xml:space="preserve">pricing will reduce the price gap between sustainable low carbon alternative fuels and</w:t>
      </w:r>
      <w:r>
        <w:t xml:space="preserve"> </w:t>
      </w:r>
      <w:r>
        <w:t xml:space="preserve">traditional fossil fuels, and it will trigger energy efficiency improvements that will make the</w:t>
      </w:r>
      <w:r>
        <w:t xml:space="preserve"> </w:t>
      </w:r>
      <w:r>
        <w:t xml:space="preserve">switch to alternative fuels more affordable by reducing the overall fuel consumption.</w:t>
      </w:r>
      <w:r>
        <w:t xml:space="preserve"> </w:t>
      </w:r>
      <w:r>
        <w:t xml:space="preserve">Simplification introduced in all options reduces administrative burden on shipping</w:t>
      </w:r>
      <w:r>
        <w:t xml:space="preserve"> </w:t>
      </w:r>
      <w:r>
        <w:t xml:space="preserve">companies coherently with the requirements under FuelEU.</w:t>
      </w:r>
      <w:r>
        <w:br/>
      </w:r>
      <w:r>
        <w:t xml:space="preserve">The ETS funded Sustainable Maritime Alternative Propulsion mechanism assessed in PO2</w:t>
      </w:r>
      <w:r>
        <w:t xml:space="preserve"> </w:t>
      </w:r>
      <w:r>
        <w:t xml:space="preserve">and PO3 could be used to advance innovation and accelerate the deployment of renewable</w:t>
      </w:r>
      <w:r>
        <w:t xml:space="preserve"> </w:t>
      </w:r>
      <w:r>
        <w:t xml:space="preserve">and low-carbon fuels, and clean propulsion technologies beyond the proposals submitted</w:t>
      </w:r>
      <w:r>
        <w:t xml:space="preserve"> </w:t>
      </w:r>
      <w:r>
        <w:t xml:space="preserve">under the Innovation Fund calls from 2023, 2024 and 2025. Such a dedicated support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mechanism would complement other policies (e.g. carbon pricing, fuel standards) and help</w:t>
      </w:r>
      <w:r>
        <w:t xml:space="preserve"> </w:t>
      </w:r>
      <w:r>
        <w:t xml:space="preserve">create a predictable demand for these fuels and technologies. It would stimulate their</w:t>
      </w:r>
      <w:r>
        <w:t xml:space="preserve"> </w:t>
      </w:r>
      <w:r>
        <w:t xml:space="preserve">selection and deployment, as well as the gradual technological improvement of yet immature</w:t>
      </w:r>
      <w:r>
        <w:t xml:space="preserve"> </w:t>
      </w:r>
      <w:r>
        <w:t xml:space="preserve">solutions. In this context, it would complement the IMO measures (once adopted) by making</w:t>
      </w:r>
      <w:r>
        <w:t xml:space="preserve"> </w:t>
      </w:r>
      <w:r>
        <w:t xml:space="preserve">sustainable maritime propulsion more economically viable.</w:t>
      </w:r>
      <w:r>
        <w:t xml:space="preserve"> </w:t>
      </w:r>
      <w:r>
        <w:t xml:space="preserve">For the Industrial Decarbonisation Bank, the efficiency is best achieved by the allocation</w:t>
      </w:r>
      <w:r>
        <w:t xml:space="preserve"> </w:t>
      </w:r>
      <w:r>
        <w:t xml:space="preserve">mechanisms of auctions as well as variable premium in terms of form of support (both</w:t>
      </w:r>
      <w:r>
        <w:t xml:space="preserve"> </w:t>
      </w:r>
      <w:r>
        <w:t xml:space="preserve">included in PO3). Still to be stressed that actual efficiency of any funding mechanism will</w:t>
      </w:r>
      <w:r>
        <w:t xml:space="preserve"> </w:t>
      </w:r>
      <w:r>
        <w:t xml:space="preserve">rely on features much more granular than addressed in this IA (e.g. completion bonds,</w:t>
      </w:r>
      <w:r>
        <w:t xml:space="preserve"> </w:t>
      </w:r>
      <w:r>
        <w:t xml:space="preserve">monitoring arrangements etc). Also, while PO3 is the most efficient, it inherently attracts</w:t>
      </w:r>
      <w:r>
        <w:t xml:space="preserve"> </w:t>
      </w:r>
      <w:r>
        <w:t xml:space="preserve">more risky projects that in the end might not be implemented (if faced with adverse market</w:t>
      </w:r>
      <w:r>
        <w:t xml:space="preserve"> </w:t>
      </w:r>
      <w:r>
        <w:t xml:space="preserve">conditions etc) so to the detriment of effectiveness.</w:t>
      </w:r>
      <w:r>
        <w:t xml:space="preserve"> </w:t>
      </w:r>
      <w:r>
        <w:t xml:space="preserve">For the Modernisation Fund, PO3 importantly increases administrative costs as subjecting</w:t>
      </w:r>
      <w:r>
        <w:t xml:space="preserve"> </w:t>
      </w:r>
      <w:r>
        <w:t xml:space="preserve">all priority investments to Investment Committee governance would require a substantially</w:t>
      </w:r>
      <w:r>
        <w:t xml:space="preserve"> </w:t>
      </w:r>
      <w:r>
        <w:t xml:space="preserve">heavier process, involving many more actors. PO2 has the lowest administrative costs since</w:t>
      </w:r>
      <w:r>
        <w:t xml:space="preserve"> </w:t>
      </w:r>
      <w:r>
        <w:t xml:space="preserve">it gives more limited space to non-priority investments (5% max, compared to 10% max in</w:t>
      </w:r>
      <w:r>
        <w:t xml:space="preserve"> </w:t>
      </w:r>
      <w:r>
        <w:t xml:space="preserve">PO1), the approval process of which is more burdensome and no additional role to the</w:t>
      </w:r>
      <w:r>
        <w:t xml:space="preserve"> </w:t>
      </w:r>
      <w:r>
        <w:t xml:space="preserve">Investment Committee.</w:t>
      </w:r>
      <w:r>
        <w:t xml:space="preserve"> </w:t>
      </w:r>
      <w:r>
        <w:t xml:space="preserve">In terms of abatement costs, PO3 (through a total ban on gas infrastructure) can gear</w:t>
      </w:r>
      <w:r>
        <w:t xml:space="preserve"> </w:t>
      </w:r>
      <w:r>
        <w:t xml:space="preserve">investments of beneficiary Member States more towards new renewable capacity which are</w:t>
      </w:r>
      <w:r>
        <w:t xml:space="preserve"> </w:t>
      </w:r>
      <w:r>
        <w:t xml:space="preserve">becoming increasingly cheaper than investments in gas. PO2 and PO1 also but to a relatively</w:t>
      </w:r>
      <w:r>
        <w:t xml:space="preserve"> </w:t>
      </w:r>
      <w:r>
        <w:t xml:space="preserve">lesser extent. However, the abatement costs will continue to be mostly determined by the</w:t>
      </w:r>
      <w:r>
        <w:t xml:space="preserve"> </w:t>
      </w:r>
      <w:r>
        <w:t xml:space="preserve">nature of the investments that Member States decide to support, within the eligible activities</w:t>
      </w:r>
      <w:r>
        <w:t xml:space="preserve"> </w:t>
      </w:r>
      <w:r>
        <w:t xml:space="preserve">permitted by the Fund.</w:t>
      </w:r>
      <w:r>
        <w:t xml:space="preserve"> </w:t>
      </w:r>
      <w:r>
        <w:t xml:space="preserve">Options PO2 and PO3 introduce a deduction from the surrendering obligations of emissions</w:t>
      </w:r>
      <w:r>
        <w:t xml:space="preserve"> </w:t>
      </w:r>
      <w:r>
        <w:t xml:space="preserve">priced under IMO measures (once adopted). This deduction ensures that regional measures</w:t>
      </w:r>
      <w:r>
        <w:t xml:space="preserve"> </w:t>
      </w:r>
      <w:r>
        <w:t xml:space="preserve">and global measures work efficiently together in terms of carbon pricing, preventing double</w:t>
      </w:r>
      <w:r>
        <w:t xml:space="preserve"> </w:t>
      </w:r>
      <w:r>
        <w:t xml:space="preserve">payments and allowing at the same time the EU ETS maritime to continue contributing to</w:t>
      </w:r>
      <w:r>
        <w:t xml:space="preserve"> </w:t>
      </w:r>
      <w:r>
        <w:t xml:space="preserve">the implementation of the 2040 EU targets and climate policy objectives.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ETS is a well-established cornerstone of the EU’s policy to combat climate change and</w:t>
      </w:r>
      <w:r>
        <w:t xml:space="preserve"> </w:t>
      </w:r>
      <w:r>
        <w:t xml:space="preserve">its key tool for reducing greenhouse gas emissions cost-effectively. With its focus on</w:t>
      </w:r>
      <w:r>
        <w:t xml:space="preserve"> </w:t>
      </w:r>
      <w:r>
        <w:t xml:space="preserve">markets and economic emission reduction incentives, it is coherent with other EU policies</w:t>
      </w:r>
      <w:r>
        <w:t xml:space="preserve"> </w:t>
      </w:r>
      <w:r>
        <w:t xml:space="preserve">which primarily address non-price barriers. The EU ETS evaluation (see Annex 15)</w:t>
      </w:r>
      <w:r>
        <w:t xml:space="preserve"> </w:t>
      </w:r>
      <w:r>
        <w:t xml:space="preserve">highlighted the coherence of the instrument with complementary policies for energy sector,</w:t>
      </w:r>
      <w:r>
        <w:t xml:space="preserve"> </w:t>
      </w:r>
      <w:r>
        <w:t xml:space="preserve">such as the Renewable Energy Directive and the Energy Efficiency Directive. Together,</w:t>
      </w:r>
      <w:r>
        <w:t xml:space="preserve"> </w:t>
      </w:r>
      <w:r>
        <w:t xml:space="preserve">these instruments were responsible for significative emissions reductions in the energy</w:t>
      </w:r>
      <w:r>
        <w:t xml:space="preserve"> </w:t>
      </w:r>
      <w:r>
        <w:t xml:space="preserve">sector.</w:t>
      </w:r>
      <w:r>
        <w:br/>
      </w:r>
      <w:r>
        <w:t xml:space="preserve">Increasing the environmental contribution of the ETS with an enlarged scope, as in PO2 and</w:t>
      </w:r>
      <w:r>
        <w:t xml:space="preserve"> </w:t>
      </w:r>
      <w:r>
        <w:t xml:space="preserve">more extensively in PO3, does not change its technology-neutral character, allowing it to</w:t>
      </w:r>
      <w:r>
        <w:t xml:space="preserve"> </w:t>
      </w:r>
      <w:r>
        <w:t xml:space="preserve">continue to run alongside sector-specific policies. The Market Stability Reserve will</w:t>
      </w:r>
      <w:r>
        <w:t xml:space="preserve"> </w:t>
      </w:r>
      <w:r>
        <w:t xml:space="preserve">continue to enhance policy synergies by mitigating supply/demand imbalances regardless of</w:t>
      </w:r>
      <w:r>
        <w:t xml:space="preserve"> </w:t>
      </w:r>
      <w:r>
        <w:t xml:space="preserve">their origin, for instance by reducing the impact that complementary and overlapping</w:t>
      </w:r>
      <w:r>
        <w:t xml:space="preserve"> </w:t>
      </w:r>
      <w:r>
        <w:t xml:space="preserve">policies in the area of renewables or energy efficiency can have on the carbon market. PO2</w:t>
      </w:r>
      <w:r>
        <w:t xml:space="preserve"> </w:t>
      </w:r>
      <w:r>
        <w:t xml:space="preserve">and PO3 are most coherent for the MSR as they allow to maintain narrower TNAC-to-</w:t>
      </w:r>
      <w:r>
        <w:t xml:space="preserve"> </w:t>
      </w:r>
      <w:r>
        <w:t xml:space="preserve">emissions ratios through timely releases whilst preserving deeper post-2040 intervention</w:t>
      </w:r>
      <w:r>
        <w:t xml:space="preserve"> </w:t>
      </w:r>
      <w:r>
        <w:t xml:space="preserve">capacity. Both options also demonstrate the lowest inter-annual price volatility with smooth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trajectories resilient to shocks and provide for the most optimal market conditions balancing</w:t>
      </w:r>
      <w:r>
        <w:t xml:space="preserve"> </w:t>
      </w:r>
      <w:r>
        <w:t xml:space="preserve">responsiveness with transparency.</w:t>
      </w:r>
      <w:r>
        <w:t xml:space="preserve"> </w:t>
      </w:r>
      <w:r>
        <w:t xml:space="preserve">For aviation, including departing flights under PO2 and PO3 is coherent with the scope of</w:t>
      </w:r>
      <w:r>
        <w:t xml:space="preserve"> </w:t>
      </w:r>
      <w:r>
        <w:t xml:space="preserve">application of ReFuelEU Aviation and automatically unlocks additional ETS-financed</w:t>
      </w:r>
      <w:r>
        <w:t xml:space="preserve"> </w:t>
      </w:r>
      <w:r>
        <w:t xml:space="preserve">support for SAF. Both PO2 and PO3 are supportive of multilateral action, as they allow the</w:t>
      </w:r>
      <w:r>
        <w:t xml:space="preserve"> </w:t>
      </w:r>
      <w:r>
        <w:t xml:space="preserve">deduction of CORSIA offsetting costs.</w:t>
      </w:r>
      <w:r>
        <w:br/>
      </w:r>
      <w:r>
        <w:t xml:space="preserve">For maritime, all policy options are fully consistent with existing EU legislation such as the</w:t>
      </w:r>
      <w:r>
        <w:t xml:space="preserve"> </w:t>
      </w:r>
      <w:r>
        <w:t xml:space="preserve">EU maritime transport MRV framework and FuelEU. The deduction mechanism in PO1 and</w:t>
      </w:r>
      <w:r>
        <w:t xml:space="preserve"> </w:t>
      </w:r>
      <w:r>
        <w:t xml:space="preserve">PO2 would ensure coherence with future IMO measures (once adopted)</w:t>
      </w:r>
      <w:r>
        <w:t xml:space="preserve"> </w:t>
      </w:r>
      <w:r>
        <w:t xml:space="preserve">The integration of carbon removals in all POs and the recognition of non-permanent CCU</w:t>
      </w:r>
      <w:r>
        <w:t xml:space="preserve"> </w:t>
      </w:r>
      <w:r>
        <w:t xml:space="preserve">in PO2 and PO3 are coherent with the policies being developed under the Industrial Carbon</w:t>
      </w:r>
      <w:r>
        <w:t xml:space="preserve"> </w:t>
      </w:r>
      <w:r>
        <w:t xml:space="preserve">Management Strategy and the broader framework of the Clean Industrial Deal, fostering the</w:t>
      </w:r>
      <w:r>
        <w:t xml:space="preserve"> </w:t>
      </w:r>
      <w:r>
        <w:t xml:space="preserve">competitiveness of the EU. PO1 would be most coherent as it provides the greatest support</w:t>
      </w:r>
      <w:r>
        <w:t xml:space="preserve"> </w:t>
      </w:r>
      <w:r>
        <w:t xml:space="preserve">for removals while provide the greatest certainty to industry on the space available under</w:t>
      </w:r>
      <w:r>
        <w:t xml:space="preserve"> </w:t>
      </w:r>
      <w:r>
        <w:t xml:space="preserve">the ETS and for the achievement of the net target, in coherence with the European Climate</w:t>
      </w:r>
      <w:r>
        <w:t xml:space="preserve"> </w:t>
      </w:r>
      <w:r>
        <w:t xml:space="preserve">Law.</w:t>
      </w:r>
      <w:r>
        <w:t xml:space="preserve"> </w:t>
      </w:r>
      <w:r>
        <w:t xml:space="preserve">The inclusion of the waste management sector into the EU ETS in PO2 and PO3 is coherent</w:t>
      </w:r>
      <w:r>
        <w:t xml:space="preserve"> </w:t>
      </w:r>
      <w:r>
        <w:t xml:space="preserve">with the objectives of Waste Framework Directive, fostering the transition to a circular</w:t>
      </w:r>
      <w:r>
        <w:t xml:space="preserve"> </w:t>
      </w:r>
      <w:r>
        <w:t xml:space="preserve">economy, and the broader environmental policy framework of the EU.</w:t>
      </w:r>
      <w:r>
        <w:br/>
      </w:r>
      <w:r>
        <w:t xml:space="preserve">There are no marked differences between the POs on Industrial Decarbonisation Bank in</w:t>
      </w:r>
      <w:r>
        <w:t xml:space="preserve"> </w:t>
      </w:r>
      <w:r>
        <w:t xml:space="preserve">terms of coherence. The IDB as a whole, however, needs to ensure coherence with other</w:t>
      </w:r>
      <w:r>
        <w:t xml:space="preserve"> </w:t>
      </w:r>
      <w:r>
        <w:t xml:space="preserve">climate policies. As climate action progresses and the hardest to abate emissions have to be</w:t>
      </w:r>
      <w:r>
        <w:t xml:space="preserve"> </w:t>
      </w:r>
      <w:r>
        <w:t xml:space="preserve">reached, the use of ETS’s revenues to support investment become more relevant to ensure</w:t>
      </w:r>
      <w:r>
        <w:t xml:space="preserve"> </w:t>
      </w:r>
      <w:r>
        <w:t xml:space="preserve">the investments take place. The strengthened EU-level support provided by the continuation</w:t>
      </w:r>
      <w:r>
        <w:t xml:space="preserve"> </w:t>
      </w:r>
      <w:r>
        <w:t xml:space="preserve">of the Innovation Fund and new Industrial Decarbonisation Bank are from an EU single</w:t>
      </w:r>
      <w:r>
        <w:t xml:space="preserve"> </w:t>
      </w:r>
      <w:r>
        <w:t xml:space="preserve">market perspective coherent with the carbon price signal and regulatory framework (both</w:t>
      </w:r>
      <w:r>
        <w:t xml:space="preserve"> </w:t>
      </w:r>
      <w:r>
        <w:t xml:space="preserve">also driving the investments but currently not fully sufficient). Coherence with other EU-</w:t>
      </w:r>
      <w:r>
        <w:t xml:space="preserve"> </w:t>
      </w:r>
      <w:r>
        <w:t xml:space="preserve">wide funding mechanisms can be fostered by focusing on specific stages of the technology</w:t>
      </w:r>
      <w:r>
        <w:t xml:space="preserve"> </w:t>
      </w:r>
      <w:r>
        <w:t xml:space="preserve">development or ‘investment journey’ (avoiding overlaps with other programmes) as well as</w:t>
      </w:r>
      <w:r>
        <w:t xml:space="preserve"> </w:t>
      </w:r>
      <w:r>
        <w:t xml:space="preserve">by creating an aligned governance framework of ECF and IDB. The coherence with other</w:t>
      </w:r>
      <w:r>
        <w:t xml:space="preserve"> </w:t>
      </w:r>
      <w:r>
        <w:t xml:space="preserve">ETS based support instruments and the national use of ETS revenues continues to be</w:t>
      </w:r>
      <w:r>
        <w:t xml:space="preserve"> </w:t>
      </w:r>
      <w:r>
        <w:t xml:space="preserve">fostered, including via State aid rules that enable the funding on the national level.</w:t>
      </w:r>
      <w:r>
        <w:t xml:space="preserve"> </w:t>
      </w:r>
      <w:r>
        <w:t xml:space="preserve">Additionally, the set-up of the ‘as-a-service’ feature could enable even better integration of</w:t>
      </w:r>
      <w:r>
        <w:t xml:space="preserve"> </w:t>
      </w:r>
      <w:r>
        <w:t xml:space="preserve">the State aid and EU-level funding if applied to the IDB funding instruments.</w:t>
      </w:r>
      <w:r>
        <w:br/>
      </w:r>
      <w:r>
        <w:t xml:space="preserve">Expanding eligibility of priority investments to CCS and direct electrification of industry in</w:t>
      </w:r>
      <w:r>
        <w:t xml:space="preserve"> </w:t>
      </w:r>
      <w:r>
        <w:t xml:space="preserve">all POs is coherent with the policies being developed under the Industrial Carbon</w:t>
      </w:r>
      <w:r>
        <w:t xml:space="preserve"> </w:t>
      </w:r>
      <w:r>
        <w:t xml:space="preserve">Management Strategy and the broader framework of the Clean Industrial Deal. After 2030,</w:t>
      </w:r>
      <w:r>
        <w:t xml:space="preserve"> </w:t>
      </w:r>
      <w:r>
        <w:t xml:space="preserve">hard-to-abate sectors will still need deployment of solutions like CCS and direct</w:t>
      </w:r>
      <w:r>
        <w:t xml:space="preserve"> </w:t>
      </w:r>
      <w:r>
        <w:t xml:space="preserve">electrification which are costly. The phase out of public support to investments involving</w:t>
      </w:r>
      <w:r>
        <w:t xml:space="preserve"> </w:t>
      </w:r>
      <w:r>
        <w:t xml:space="preserve">natural gas and waste-to-energy is also consistent with the EU’s 2040 decarbonation targets</w:t>
      </w:r>
      <w:r>
        <w:t xml:space="preserve"> </w:t>
      </w:r>
      <w:r>
        <w:t xml:space="preserve">since lower-emitting alternatives exist. In that respect, PO3 is the most consistent with the</w:t>
      </w:r>
      <w:r>
        <w:t xml:space="preserve"> </w:t>
      </w:r>
      <w:r>
        <w:t xml:space="preserve">EU’s decarbonation targets, followed by PO2 and finally by PO1.</w:t>
      </w:r>
      <w:r>
        <w:t xml:space="preserve"> </w:t>
      </w:r>
      <w:r>
        <w:t xml:space="preserve">7.4.</w:t>
      </w:r>
      <w:r>
        <w:t xml:space="preserve"> </w:t>
      </w:r>
      <w:r>
        <w:t xml:space="preserve">Summary</w:t>
      </w:r>
      <w:r>
        <w:t xml:space="preserve"> </w:t>
      </w:r>
      <w:r>
        <w:t xml:space="preserve">Table 18 below provides a summary of the comparison of the options against the baseline</w:t>
      </w:r>
      <w:r>
        <w:t xml:space="preserve"> </w:t>
      </w:r>
      <w:r>
        <w:t xml:space="preserve">scenario in terms of effectiveness, efficiency, and proportionality. The following ranking</w:t>
      </w:r>
      <w:r>
        <w:t xml:space="preserve"> </w:t>
      </w:r>
      <w:r>
        <w:t xml:space="preserve">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 than 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effective/efficient/coherent than the baseline).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Table 18: Summary of the comparison of the policy options against the baseline scenario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</w:t>
      </w:r>
      <w:r>
        <w:t xml:space="preserve"> </w:t>
      </w:r>
      <w:r>
        <w:t xml:space="preserve">All policy options achieve the same ETS emissions reduction target, although for variable</w:t>
      </w:r>
      <w:r>
        <w:t xml:space="preserve"> </w:t>
      </w:r>
      <w:r>
        <w:t xml:space="preserve">scope / share of the economy-wide emission with PO2 and PO3 each adding additional</w:t>
      </w:r>
      <w:r>
        <w:t xml:space="preserve"> </w:t>
      </w:r>
      <w:r>
        <w:t xml:space="preserve">scope. The decision on the preferred policy option is informed by their relative effectiveness</w:t>
      </w:r>
      <w:r>
        <w:t xml:space="preserve"> </w:t>
      </w:r>
      <w:r>
        <w:t xml:space="preserve">and efficiency. While each PO has been primarily modelled with CAP2, each PO could be</w:t>
      </w:r>
      <w:r>
        <w:t xml:space="preserve"> </w:t>
      </w:r>
      <w:r>
        <w:t xml:space="preserve">implemented under CAP3, with the same relative impacts as in above comparison table of</w:t>
      </w:r>
      <w:r>
        <w:t xml:space="preserve"> </w:t>
      </w:r>
      <w:r>
        <w:t xml:space="preserve">the policy options relative to the baseline scenario.</w:t>
      </w:r>
      <w:r>
        <w:t xml:space="preserve"> </w:t>
      </w:r>
      <w:r>
        <w:t xml:space="preserve">PO2 was considered to be the preferred policy option. Together, its measures strengthen the</w:t>
      </w:r>
      <w:r>
        <w:t xml:space="preserve"> </w:t>
      </w:r>
      <w:r>
        <w:t xml:space="preserve">environmental effectiveness of the system while maintaining proportionality, regulatory</w:t>
      </w:r>
      <w:r>
        <w:t xml:space="preserve"> </w:t>
      </w:r>
      <w:r>
        <w:t xml:space="preserve">stability, and fairness across sectors, and safeguarding competitiveness.</w:t>
      </w:r>
      <w:r>
        <w:t xml:space="preserve"> </w:t>
      </w:r>
      <w:r>
        <w:t xml:space="preserve">Whilst PO3 was in some regards more effective (i.e. in terms of extending the scope further</w:t>
      </w:r>
      <w:r>
        <w:t xml:space="preserve"> </w:t>
      </w:r>
      <w:r>
        <w:t xml:space="preserve">and reducing the phase out of free allocation to enhance the price signal), the efficiency of</w:t>
      </w:r>
      <w:r>
        <w:t xml:space="preserve"> </w:t>
      </w:r>
      <w:r>
        <w:t xml:space="preserve">this option was lower due to the additional costs in terms of adjustment and administrative</w:t>
      </w:r>
      <w:r>
        <w:t xml:space="preserve"> </w:t>
      </w:r>
      <w:r>
        <w:t xml:space="preserve">effort compared to the other policy options.</w:t>
      </w:r>
      <w:r>
        <w:t xml:space="preserve"> </w:t>
      </w:r>
      <w:r>
        <w:t xml:space="preserve">PO1 was also deemed to not be the preferred policy option as it did not achieve all the</w:t>
      </w:r>
      <w:r>
        <w:t xml:space="preserve"> </w:t>
      </w:r>
      <w:r>
        <w:t xml:space="preserve">objectives that were set for the assessment. For example, this option was not considered to</w:t>
      </w:r>
      <w:r>
        <w:t xml:space="preserve"> </w:t>
      </w:r>
      <w:r>
        <w:t xml:space="preserve">be effective in addressing future concerns regarding the functioning of the market as it did</w:t>
      </w:r>
      <w:r>
        <w:t xml:space="preserve"> </w:t>
      </w:r>
      <w:r>
        <w:t xml:space="preserve">not increase the size of the market to new activities such as in the waste sector, and it had</w:t>
      </w:r>
      <w:r>
        <w:t xml:space="preserve"> </w:t>
      </w:r>
      <w:r>
        <w:t xml:space="preserve">the weakest improvements in terms of enabling investments. It also showed the weakest</w:t>
      </w:r>
      <w:r>
        <w:t xml:space="preserve"> </w:t>
      </w:r>
      <w:r>
        <w:t xml:space="preserve">results towards ensuring effectiveness of EU climate action on international transport while</w:t>
      </w:r>
      <w:r>
        <w:t xml:space="preserve"> </w:t>
      </w:r>
      <w:r>
        <w:t xml:space="preserve">avoiding double effort.</w:t>
      </w:r>
      <w:r>
        <w:t xml:space="preserve"> </w:t>
      </w:r>
      <w:r>
        <w:t xml:space="preserve">The proposed reforms brought by PO2 maintain the existing compliance framework of the</w:t>
      </w:r>
      <w:r>
        <w:t xml:space="preserve"> </w:t>
      </w:r>
      <w:r>
        <w:t xml:space="preserve">EU ETS, while introducing new obligations and funding streams, mainly during the 2031-</w:t>
      </w:r>
      <w:r>
        <w:t xml:space="preserve"> </w:t>
      </w:r>
      <w:r>
        <w:t xml:space="preserve">2040 period, that are considered the preferred options:</w:t>
      </w:r>
      <w:r>
        <w:br/>
      </w:r>
      <w:r>
        <w:t xml:space="preserve">• From 2031, the revised cap (and from 2028 the reformed MSR parameters) would</w:t>
      </w:r>
      <w:r>
        <w:t xml:space="preserve"> </w:t>
      </w:r>
      <w:r>
        <w:t xml:space="preserve">apply to all ETS sectors, reducing the decreasing rate of cap, lowering the carbon</w:t>
      </w:r>
      <w:r>
        <w:t xml:space="preserve"> </w:t>
      </w:r>
      <w:r>
        <w:t xml:space="preserve">prices and improving market predictability.</w:t>
      </w:r>
      <w:r>
        <w:t xml:space="preserve"> </w:t>
      </w:r>
      <w:r>
        <w:t xml:space="preserve">• Free allocation is continued as a carbon leakage prevention mechanism, but part of</w:t>
      </w:r>
      <w:r>
        <w:t xml:space="preserve"> </w:t>
      </w:r>
      <w:r>
        <w:t xml:space="preserve">the free allocation is gradually made conditional on decarbonisation investments.</w:t>
      </w:r>
      <w:r>
        <w:t xml:space="preserve"> </w:t>
      </w:r>
      <w:r>
        <w:t xml:space="preserve">Additional free allocation is made available to CBAM sectors to address residual</w:t>
      </w:r>
      <w:r>
        <w:t xml:space="preserve"> </w:t>
      </w:r>
      <w:r>
        <w:t xml:space="preserve">carbon leakage risks.</w:t>
      </w:r>
      <w:r>
        <w:t xml:space="preserve"> </w:t>
      </w:r>
      <w:r>
        <w:t xml:space="preserve">• Public authorities, both at the national and EU level, would extend ETS registries</w:t>
      </w:r>
      <w:r>
        <w:t xml:space="preserve"> </w:t>
      </w:r>
      <w:r>
        <w:t xml:space="preserve">and oversight systems to cover new operator categories and activities, and verify</w:t>
      </w:r>
      <w:r>
        <w:t xml:space="preserve"> </w:t>
      </w:r>
      <w:r>
        <w:t xml:space="preserve">conditionality compliance for free allocation. These new administrative tasks are</w:t>
      </w:r>
      <w:r>
        <w:t xml:space="preserve"> </w:t>
      </w:r>
      <w:r>
        <w:t xml:space="preserve">expected to build on existing processes and to be operational by 2031.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• The ETS Directive would continue to encourage Member States to compensate</w:t>
      </w:r>
      <w:r>
        <w:t xml:space="preserve"> </w:t>
      </w:r>
      <w:r>
        <w:t xml:space="preserve">indirect carbon costs via State aid, while calling for this aid to contribute to the</w:t>
      </w:r>
      <w:r>
        <w:t xml:space="preserve"> </w:t>
      </w:r>
      <w:r>
        <w:t xml:space="preserve">sectors’ decarbonisation.</w:t>
      </w:r>
      <w:r>
        <w:t xml:space="preserve"> </w:t>
      </w:r>
      <w:r>
        <w:t xml:space="preserve">• An effective carbon price would apply also to the EU’s fair share of international</w:t>
      </w:r>
      <w:r>
        <w:t xml:space="preserve"> </w:t>
      </w:r>
      <w:r>
        <w:t xml:space="preserve">aviation emissions, and the approach would be coherent with the ReFuelEU Aviation</w:t>
      </w:r>
      <w:r>
        <w:t xml:space="preserve"> </w:t>
      </w:r>
      <w:r>
        <w:t xml:space="preserve">scope of application. ETS support for SAF uptake would be increased compared to</w:t>
      </w:r>
      <w:r>
        <w:t xml:space="preserve"> </w:t>
      </w:r>
      <w:r>
        <w:t xml:space="preserve">today, while ensuring that Member States still receive ETS revenues to tackle</w:t>
      </w:r>
      <w:r>
        <w:t xml:space="preserve"> </w:t>
      </w:r>
      <w:r>
        <w:t xml:space="preserve">decarbonisation further.</w:t>
      </w:r>
      <w:r>
        <w:t xml:space="preserve"> </w:t>
      </w:r>
      <w:r>
        <w:t xml:space="preserve">• The preferred approach for maritime would introduce an ETS-funded mechanism to</w:t>
      </w:r>
      <w:r>
        <w:t xml:space="preserve"> </w:t>
      </w:r>
      <w:r>
        <w:t xml:space="preserve">support the uptake of sustainable fuels and clean propulsion technologies, combined</w:t>
      </w:r>
      <w:r>
        <w:t xml:space="preserve"> </w:t>
      </w:r>
      <w:r>
        <w:t xml:space="preserve">with a partial ETS scope extension to smaller vessels, reflecting the needed balance</w:t>
      </w:r>
      <w:r>
        <w:t xml:space="preserve"> </w:t>
      </w:r>
      <w:r>
        <w:t xml:space="preserve">between environmental benefits and implementation costs. Simplification and</w:t>
      </w:r>
      <w:r>
        <w:t xml:space="preserve"> </w:t>
      </w:r>
      <w:r>
        <w:t xml:space="preserve">enhancement measures would be implemented to improve the effective</w:t>
      </w:r>
      <w:r>
        <w:t xml:space="preserve"> </w:t>
      </w:r>
      <w:r>
        <w:t xml:space="preserve">implementation of the system, also in relation to the risk of evasion, and an IMO</w:t>
      </w:r>
      <w:r>
        <w:t xml:space="preserve"> </w:t>
      </w:r>
      <w:r>
        <w:t xml:space="preserve">deduction mechanism would be introduced to ensure the coherence of the ETS with</w:t>
      </w:r>
      <w:r>
        <w:t xml:space="preserve"> </w:t>
      </w:r>
      <w:r>
        <w:t xml:space="preserve">future IMO global measures.</w:t>
      </w:r>
      <w:r>
        <w:br/>
      </w:r>
      <w:r>
        <w:t xml:space="preserve">• The inclusion of all municipal waste incinerators would enter into force from 2031,</w:t>
      </w:r>
      <w:r>
        <w:t xml:space="preserve"> </w:t>
      </w:r>
      <w:r>
        <w:t xml:space="preserve">allowing to implement the hybrid downstream and mid-stream accounting for non-</w:t>
      </w:r>
      <w:r>
        <w:t xml:space="preserve"> </w:t>
      </w:r>
      <w:r>
        <w:t xml:space="preserve">permanent CCU. New regulated operators, such as e-fuel distributors and waste</w:t>
      </w:r>
      <w:r>
        <w:t xml:space="preserve"> </w:t>
      </w:r>
      <w:r>
        <w:t xml:space="preserve">incinerators must obtain ETS permits, prepare MRV plans, report verified emissions,</w:t>
      </w:r>
      <w:r>
        <w:t xml:space="preserve"> </w:t>
      </w:r>
      <w:r>
        <w:t xml:space="preserve">and surrender allowances accordingly.</w:t>
      </w:r>
      <w:r>
        <w:t xml:space="preserve"> </w:t>
      </w:r>
      <w:r>
        <w:t xml:space="preserve">• The preferred approach for implementation of the IDB would offer a toolbox of</w:t>
      </w:r>
      <w:r>
        <w:t xml:space="preserve"> </w:t>
      </w:r>
      <w:r>
        <w:t xml:space="preserve">funding instruments (in terms of allocation method and type of support to be</w:t>
      </w:r>
      <w:r>
        <w:t xml:space="preserve"> </w:t>
      </w:r>
      <w:r>
        <w:t xml:space="preserve">provided), allowing policymakers to tailor support to evolving policy priorities and</w:t>
      </w:r>
      <w:r>
        <w:t xml:space="preserve"> </w:t>
      </w:r>
      <w:r>
        <w:t xml:space="preserve">industrial needs. With many uncertainties for the industrial decarbonisation projects,</w:t>
      </w:r>
      <w:r>
        <w:t xml:space="preserve"> </w:t>
      </w:r>
      <w:r>
        <w:t xml:space="preserve">there is an urgent need to provide support that creates solid business cases,</w:t>
      </w:r>
      <w:r>
        <w:t xml:space="preserve"> </w:t>
      </w:r>
      <w:r>
        <w:t xml:space="preserve">administratively simple and with predictable cash flows for the projects. This is why,</w:t>
      </w:r>
      <w:r>
        <w:t xml:space="preserve"> </w:t>
      </w:r>
      <w:r>
        <w:t xml:space="preserve">in the early years of the IDB operation (i.e. the ‘Investment Booster’ announced in</w:t>
      </w:r>
      <w:r>
        <w:t xml:space="preserve"> </w:t>
      </w:r>
      <w:r>
        <w:t xml:space="preserve">March 2026105, the Commission could start with administrative schemes awarding a</w:t>
      </w:r>
      <w:r>
        <w:t xml:space="preserve"> </w:t>
      </w:r>
      <w:r>
        <w:t xml:space="preserve">fixed premium and striking the balance between the EU-level competition and</w:t>
      </w:r>
      <w:r>
        <w:t xml:space="preserve"> </w:t>
      </w:r>
      <w:r>
        <w:t xml:space="preserve">national allocations (notably for solidarity purposes). As technologies mature, ETS</w:t>
      </w:r>
      <w:r>
        <w:t xml:space="preserve"> </w:t>
      </w:r>
      <w:r>
        <w:t xml:space="preserve">prices increase and regulatory frameworks fully take effect, the Commission could</w:t>
      </w:r>
      <w:r>
        <w:t xml:space="preserve"> </w:t>
      </w:r>
      <w:r>
        <w:t xml:space="preserve">move to auctions for a Carbon Contracts for Difference in order to maximise the</w:t>
      </w:r>
      <w:r>
        <w:t xml:space="preserve"> </w:t>
      </w:r>
      <w:r>
        <w:t xml:space="preserve">efficiency of the support. This approach could be combined with stronger national</w:t>
      </w:r>
      <w:r>
        <w:t xml:space="preserve"> </w:t>
      </w:r>
      <w:r>
        <w:t xml:space="preserve">allocations, in the form of ‘as a service’ contributions or by applying by the</w:t>
      </w:r>
      <w:r>
        <w:t xml:space="preserve"> </w:t>
      </w:r>
      <w:r>
        <w:t xml:space="preserve">Commission ‘right of the first use’ to ensure that decarbonisation projects materialise</w:t>
      </w:r>
      <w:r>
        <w:t xml:space="preserve"> </w:t>
      </w:r>
      <w:r>
        <w:t xml:space="preserve">in all countries and bring positive spillover effects to them.</w:t>
      </w:r>
      <w:r>
        <w:t xml:space="preserve"> </w:t>
      </w:r>
      <w:r>
        <w:t xml:space="preserve">As an exception, PO1 is preferred for carbon removals, as it is considered preferable to</w:t>
      </w:r>
      <w:r>
        <w:t xml:space="preserve"> </w:t>
      </w:r>
      <w:r>
        <w:t xml:space="preserve">provide certainty to the ETS sectors on the gross emissions space available and the CDR</w:t>
      </w:r>
      <w:r>
        <w:t xml:space="preserve"> </w:t>
      </w:r>
      <w:r>
        <w:t xml:space="preserve">industry on the demand for carbon removals, for the benefit of the EU’s competitiveness.</w:t>
      </w:r>
      <w:r>
        <w:br/>
      </w:r>
      <w:r>
        <w:t xml:space="preserve">For the cap no single option is preferred, and the decision on the cap can be analytically</w:t>
      </w:r>
      <w:r>
        <w:t xml:space="preserve"> </w:t>
      </w:r>
      <w:r>
        <w:t xml:space="preserve">separated from the other issues discussed. However, a sufficiently ambitious cap in the first</w:t>
      </w:r>
      <w:r>
        <w:t xml:space="preserve"> </w:t>
      </w:r>
      <w:r>
        <w:t xml:space="preserve">half of the decade would have significant advantages. From an environmental point of view</w:t>
      </w:r>
      <w:r>
        <w:t xml:space="preserve"> </w:t>
      </w:r>
      <w:r>
        <w:t xml:space="preserve">carbon budgets would be lower. While energy system costs would to an extent be higher,</w:t>
      </w:r>
      <w:r>
        <w:t xml:space="preserve"> </w:t>
      </w:r>
      <w:r>
        <w:t xml:space="preserve">system cost impacts could be mitigated through distribution of ETS auctioning revenues and</w:t>
      </w:r>
      <w:r>
        <w:t xml:space="preserve"> </w:t>
      </w:r>
      <w:r>
        <w:t xml:space="preserve">supporting policies. Investments, when frontloaded in the decade, would be lower in the last</w:t>
      </w:r>
    </w:p>
    <w:p>
      <w:pPr>
        <w:pStyle w:val="BodyText"/>
      </w:pPr>
      <w:r>
        <w:t xml:space="preserve">105 https://ec.europa.eu/commission/presscorner/detail/en/statement_26_663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five years. The frontloading of investments would increase the probability of faster</w:t>
      </w:r>
      <w:r>
        <w:t xml:space="preserve"> </w:t>
      </w:r>
      <w:r>
        <w:t xml:space="preserve">technological developments through scaling up and learning by doing. It would allow a fast</w:t>
      </w:r>
      <w:r>
        <w:t xml:space="preserve"> </w:t>
      </w:r>
      <w:r>
        <w:t xml:space="preserve">electrification of the energy system and increase Europe’s energy independence. As pointed</w:t>
      </w:r>
      <w:r>
        <w:t xml:space="preserve"> </w:t>
      </w:r>
      <w:r>
        <w:t xml:space="preserve">out in the 2040 Climate Target IA, this will also depend on Europe’s ability to secure supply</w:t>
      </w:r>
      <w:r>
        <w:t xml:space="preserve"> </w:t>
      </w:r>
      <w:r>
        <w:t xml:space="preserve">chains for new technologies. For the final five years of the decade, there is a higher</w:t>
      </w:r>
      <w:r>
        <w:t xml:space="preserve"> </w:t>
      </w:r>
      <w:r>
        <w:t xml:space="preserve">uncertainty regarding the necessary technologies, and a greater need to provide emissions</w:t>
      </w:r>
      <w:r>
        <w:t xml:space="preserve"> </w:t>
      </w:r>
      <w:r>
        <w:t xml:space="preserve">space for industry. For the pathway towards 2040 it would thus be prudent to assume the</w:t>
      </w:r>
      <w:r>
        <w:t xml:space="preserve"> </w:t>
      </w:r>
      <w:r>
        <w:t xml:space="preserve">use of international credits, in order to generate sufficient emissions space for ETS operators,</w:t>
      </w:r>
      <w:r>
        <w:t xml:space="preserve"> </w:t>
      </w:r>
      <w:r>
        <w:t xml:space="preserve">while still keeping an ambitious overall carbon budget.</w:t>
      </w:r>
      <w:r>
        <w:t xml:space="preserve"> </w:t>
      </w:r>
      <w:r>
        <w:t xml:space="preserve">The assessment carried out in this impact assessment shows that the preferred option,</w:t>
      </w:r>
      <w:r>
        <w:t xml:space="preserve"> </w:t>
      </w:r>
      <w:r>
        <w:t xml:space="preserve">including this exception, is consistent with the European Climate Law’s objectives, as</w:t>
      </w:r>
      <w:r>
        <w:t xml:space="preserve"> </w:t>
      </w:r>
      <w:r>
        <w:t xml:space="preserve">required by Article 6(4) of the European Climate Law. The climate impact of the measures</w:t>
      </w:r>
      <w:r>
        <w:t xml:space="preserve"> </w:t>
      </w:r>
      <w:r>
        <w:t xml:space="preserve">and in general the alignment of the ETS towards that objective and the intermediate 2040</w:t>
      </w:r>
      <w:r>
        <w:t xml:space="preserve"> </w:t>
      </w:r>
      <w:r>
        <w:t xml:space="preserve">target are at the core of this assessment. Where the measures introduce a certain level of</w:t>
      </w:r>
      <w:r>
        <w:t xml:space="preserve"> </w:t>
      </w:r>
      <w:r>
        <w:t xml:space="preserve">uncertainty towards reaching the net climate contribution of the EU ETS (removals</w:t>
      </w:r>
      <w:r>
        <w:t xml:space="preserve"> </w:t>
      </w:r>
      <w:r>
        <w:t xml:space="preserve">integration with a pre-increase of the cap) or can potentially create loopholes in the</w:t>
      </w:r>
      <w:r>
        <w:t xml:space="preserve"> </w:t>
      </w:r>
      <w:r>
        <w:t xml:space="preserve">accounting of emissions (downstream accounting of the CCU) the level of the risks are</w:t>
      </w:r>
      <w:r>
        <w:t xml:space="preserve"> </w:t>
      </w:r>
      <w:r>
        <w:t xml:space="preserve">assessed and justified towards the achievement of the climate objectives more broadly,</w:t>
      </w:r>
      <w:r>
        <w:t xml:space="preserve"> </w:t>
      </w:r>
      <w:r>
        <w:t xml:space="preserve">together with the introduction of mitigating tools (on removals: the measures are justified to</w:t>
      </w:r>
      <w:r>
        <w:t xml:space="preserve"> </w:t>
      </w:r>
      <w:r>
        <w:t xml:space="preserve">achieve the scale-up of removals and avoid carbon leakage, and risks are mitigated with</w:t>
      </w:r>
      <w:r>
        <w:t xml:space="preserve"> </w:t>
      </w:r>
      <w:r>
        <w:t xml:space="preserve">sufficient budget for the purchase of removals; for CCU, the risks are justified to incentivise</w:t>
      </w:r>
      <w:r>
        <w:t xml:space="preserve"> </w:t>
      </w:r>
      <w:r>
        <w:t xml:space="preserve">CCU while introducing mitigation measures for loopholes).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Since the revision of the ETS Directive in 2018, a number of simplifications have been</w:t>
      </w:r>
      <w:r>
        <w:t xml:space="preserve"> </w:t>
      </w:r>
      <w:r>
        <w:t xml:space="preserve">introduced. Article 27a was added to the Directive, allowing Member States to exclude</w:t>
      </w:r>
      <w:r>
        <w:t xml:space="preserve"> </w:t>
      </w:r>
      <w:r>
        <w:t xml:space="preserve">installations emitting less than 2,500 tCO2e per year. In addition, a number of</w:t>
      </w:r>
      <w:r>
        <w:t xml:space="preserve"> </w:t>
      </w:r>
      <w:r>
        <w:t xml:space="preserve">simplifications, and clarifications have been made through amendments to the Monitoring</w:t>
      </w:r>
      <w:r>
        <w:t xml:space="preserve"> </w:t>
      </w:r>
      <w:r>
        <w:t xml:space="preserve">and Reporting Regulation (Commission Implementing Regulation 2018/2066), and</w:t>
      </w:r>
      <w:r>
        <w:t xml:space="preserve"> </w:t>
      </w:r>
      <w:r>
        <w:t xml:space="preserve">standardised methodologies and tools have been developed to facilitate implementation.</w:t>
      </w:r>
      <w:r>
        <w:t xml:space="preserve"> </w:t>
      </w:r>
      <w:r>
        <w:t xml:space="preserve">These measures are discussed further in the Evaluation Report accompanying this Impact</w:t>
      </w:r>
      <w:r>
        <w:t xml:space="preserve"> </w:t>
      </w:r>
      <w:r>
        <w:t xml:space="preserve">Assessment, with a number of possible measures for additional streamlining and</w:t>
      </w:r>
      <w:r>
        <w:t xml:space="preserve"> </w:t>
      </w:r>
      <w:r>
        <w:t xml:space="preserve">simplification being proposed (see Annex 15).</w:t>
      </w:r>
      <w:r>
        <w:br/>
      </w:r>
      <w:r>
        <w:t xml:space="preserve">Several of the measures in this Impact Assessment covering emissions from stationary</w:t>
      </w:r>
      <w:r>
        <w:t xml:space="preserve"> </w:t>
      </w:r>
      <w:r>
        <w:t xml:space="preserve">installations generally do not involve simplification, since they are considering expanding</w:t>
      </w:r>
      <w:r>
        <w:t xml:space="preserve"> </w:t>
      </w:r>
      <w:r>
        <w:t xml:space="preserve">the scope of EU ETS. However, they entail a simplification from a broader perspective, as</w:t>
      </w:r>
      <w:r>
        <w:t xml:space="preserve"> </w:t>
      </w:r>
      <w:r>
        <w:t xml:space="preserve">EU-wide climate action should prevent a piece-meal approach of national or subnational</w:t>
      </w:r>
      <w:r>
        <w:t xml:space="preserve"> </w:t>
      </w:r>
      <w:r>
        <w:t xml:space="preserve">measures that add complexity to the internal market. In addition, the carbon leakage</w:t>
      </w:r>
      <w:r>
        <w:t xml:space="preserve"> </w:t>
      </w:r>
      <w:r>
        <w:t xml:space="preserve">prevention measures assessed consider simplifying the provision of free allocation by not</w:t>
      </w:r>
      <w:r>
        <w:t xml:space="preserve"> </w:t>
      </w:r>
      <w:r>
        <w:t xml:space="preserve">updating the carbon leakage list for Phase V (2031-2040), thereby eliminating</w:t>
      </w:r>
      <w:r>
        <w:t xml:space="preserve"> </w:t>
      </w:r>
      <w:r>
        <w:t xml:space="preserve">administrative burden for operators. The option of expanding conditionality in free</w:t>
      </w:r>
      <w:r>
        <w:t xml:space="preserve"> </w:t>
      </w:r>
      <w:r>
        <w:t xml:space="preserve">allocation would involve some increase in administrative effort, which has to be weighed</w:t>
      </w:r>
      <w:r>
        <w:t xml:space="preserve"> </w:t>
      </w:r>
      <w:r>
        <w:t xml:space="preserve">against the environmental benefits of conditionality and the value of the free allocation (see</w:t>
      </w:r>
      <w:r>
        <w:t xml:space="preserve"> </w:t>
      </w:r>
      <w:r>
        <w:t xml:space="preserve">Section 6.2.1.6). Annex 12 considers the case for including more small installations within</w:t>
      </w:r>
      <w:r>
        <w:t xml:space="preserve"> </w:t>
      </w:r>
      <w:r>
        <w:t xml:space="preserve">EU ETS by lowering the 20 MW thermal capacity threshold. However, it concludes that</w:t>
      </w:r>
      <w:r>
        <w:t xml:space="preserve"> </w:t>
      </w:r>
      <w:r>
        <w:t xml:space="preserve">such an expansion would not be proportionate since most of the relevant emissions will be</w:t>
      </w:r>
      <w:r>
        <w:t xml:space="preserve"> </w:t>
      </w:r>
      <w:r>
        <w:t xml:space="preserve">covered by EU ETS2.</w:t>
      </w:r>
      <w:r>
        <w:br/>
      </w:r>
      <w:r>
        <w:t xml:space="preserve">The evaluation carried out on the implementation of the MRV Maritime Regulation (see</w:t>
      </w:r>
      <w:r>
        <w:t xml:space="preserve"> </w:t>
      </w:r>
      <w:r>
        <w:t xml:space="preserve">Annex 15) confirmed that the MRV system functions as a robust framework, which has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successfully handled the changes stemming from the 2023 revision without compromising</w:t>
      </w:r>
      <w:r>
        <w:t xml:space="preserve"> </w:t>
      </w:r>
      <w:r>
        <w:t xml:space="preserve">overall data quality or usability. At the same time, the evaluation identified some</w:t>
      </w:r>
      <w:r>
        <w:t xml:space="preserve"> </w:t>
      </w:r>
      <w:r>
        <w:t xml:space="preserve">divergences and duplications between the MRV system for maritime and other regulatory</w:t>
      </w:r>
      <w:r>
        <w:t xml:space="preserve"> </w:t>
      </w:r>
      <w:r>
        <w:t xml:space="preserve">frameworks on shipping decarbonisation106, which hold potential for undue burden on</w:t>
      </w:r>
      <w:r>
        <w:t xml:space="preserve"> </w:t>
      </w:r>
      <w:r>
        <w:t xml:space="preserve">operators. The evaluation found that, rather than a structural overhaul of the MRV system,</w:t>
      </w:r>
      <w:r>
        <w:t xml:space="preserve"> </w:t>
      </w:r>
      <w:r>
        <w:t xml:space="preserve">incremental improvements through simplification initiatives could enhance the harmonised</w:t>
      </w:r>
      <w:r>
        <w:t xml:space="preserve"> </w:t>
      </w:r>
      <w:r>
        <w:t xml:space="preserve">and robust implementation of the system, minimise existing duplications and deliver</w:t>
      </w:r>
      <w:r>
        <w:t xml:space="preserve"> </w:t>
      </w:r>
      <w:r>
        <w:t xml:space="preserve">efficiency gains.</w:t>
      </w:r>
      <w:r>
        <w:br/>
      </w:r>
      <w:r>
        <w:t xml:space="preserve">Policy measure SI1 for maritime ‘Simplification, and targeted enhancement measures’</w:t>
      </w:r>
      <w:r>
        <w:t xml:space="preserve"> </w:t>
      </w:r>
      <w:r>
        <w:t xml:space="preserve">includes specific simplification elements for the MRV maritime system which would enable</w:t>
      </w:r>
      <w:r>
        <w:t xml:space="preserve"> </w:t>
      </w:r>
      <w:r>
        <w:t xml:space="preserve">shipping companies to exploit untapped synergies, minimise undue burden, and ultimately</w:t>
      </w:r>
      <w:r>
        <w:t xml:space="preserve"> </w:t>
      </w:r>
      <w:r>
        <w:t xml:space="preserve">reduce administrative compliance costs. Among other things, the measure would ensure that</w:t>
      </w:r>
      <w:r>
        <w:t xml:space="preserve"> </w:t>
      </w:r>
      <w:r>
        <w:t xml:space="preserve">one entity is responsible for compliance in respect of the emissions of a given ship under the</w:t>
      </w:r>
      <w:r>
        <w:t xml:space="preserve"> </w:t>
      </w:r>
      <w:r>
        <w:t xml:space="preserve">ETS/MRV maritime and the FuelEU Maritime systems and that the monitoring-and-</w:t>
      </w:r>
      <w:r>
        <w:t xml:space="preserve"> </w:t>
      </w:r>
      <w:r>
        <w:t xml:space="preserve">reporting-only-once principle is implemented. The present impact assessment estimates that</w:t>
      </w:r>
      <w:r>
        <w:t xml:space="preserve"> </w:t>
      </w:r>
      <w:r>
        <w:t xml:space="preserve">simplification elements for maritime could deliver to shipping companies’ annual savings</w:t>
      </w:r>
      <w:r>
        <w:t xml:space="preserve"> </w:t>
      </w:r>
      <w:r>
        <w:t xml:space="preserve">between 10% and 20% of current annual MRV administrative compliance costs.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The Commission will continue to monitor and evaluate the functioning of the ETS in its</w:t>
      </w:r>
      <w:r>
        <w:t xml:space="preserve"> </w:t>
      </w:r>
      <w:r>
        <w:t xml:space="preserve">annual Carbon Market Report, as foreseen under Article 10(5) of the ETS Directive. This</w:t>
      </w:r>
      <w:r>
        <w:t xml:space="preserve"> </w:t>
      </w:r>
      <w:r>
        <w:t xml:space="preserve">covers also the impacts of the current revision of the ETS.</w:t>
      </w:r>
      <w:r>
        <w:br/>
      </w:r>
      <w:r>
        <w:t xml:space="preserve">Furthermore, evaluation of progress on the application of the ETS Directive is regulated in</w:t>
      </w:r>
      <w:r>
        <w:t xml:space="preserve"> </w:t>
      </w:r>
      <w:r>
        <w:t xml:space="preserve">the current Article 21, which requires Member States to submit to report to the Commission</w:t>
      </w:r>
      <w:r>
        <w:t xml:space="preserve"> </w:t>
      </w:r>
      <w:r>
        <w:t xml:space="preserve">on issues including the allocation of allowances, operation of the Registry, application of</w:t>
      </w:r>
      <w:r>
        <w:t xml:space="preserve"> </w:t>
      </w:r>
      <w:r>
        <w:t xml:space="preserve">monitoring and reporting, verification and accreditation and issues relating to compliance.</w:t>
      </w:r>
      <w:r>
        <w:br/>
      </w:r>
      <w:r>
        <w:t xml:space="preserve">The measures above (namely the Commission’s annual Carbon Market Report and Member</w:t>
      </w:r>
      <w:r>
        <w:t xml:space="preserve"> </w:t>
      </w:r>
      <w:r>
        <w:t xml:space="preserve">States reporting) shall also apply to the sectors to which emissions trading is extended. The</w:t>
      </w:r>
      <w:r>
        <w:t xml:space="preserve"> </w:t>
      </w:r>
      <w:r>
        <w:t xml:space="preserve">MRV data obtained through the regulation of the new sectors will be a key source for</w:t>
      </w:r>
      <w:r>
        <w:t xml:space="preserve"> </w:t>
      </w:r>
      <w:r>
        <w:t xml:space="preserve">information for the Commission to evaluate progress in the sectors concerned.</w:t>
      </w:r>
      <w:r>
        <w:br/>
      </w:r>
      <w:r>
        <w:t xml:space="preserve">With respect to maritime transport, the Commission will notably rely on data collected</w:t>
      </w:r>
      <w:r>
        <w:t xml:space="preserve"> </w:t>
      </w:r>
      <w:r>
        <w:t xml:space="preserve">through the EU maritime transport MRV system and analysis from the annual report on CO2</w:t>
      </w:r>
      <w:r>
        <w:t xml:space="preserve"> </w:t>
      </w:r>
      <w:r>
        <w:t xml:space="preserve">emissions from maritime transport, which provides aggregated and explained results. With</w:t>
      </w:r>
      <w:r>
        <w:t xml:space="preserve"> </w:t>
      </w:r>
      <w:r>
        <w:t xml:space="preserve">respect to the possible extension to buildings and transport, the Commission will rely on</w:t>
      </w:r>
      <w:r>
        <w:t xml:space="preserve"> </w:t>
      </w:r>
      <w:r>
        <w:t xml:space="preserve">data collected through the new MRV system for these sectors, while comparing them also</w:t>
      </w:r>
      <w:r>
        <w:t xml:space="preserve"> </w:t>
      </w:r>
      <w:r>
        <w:t xml:space="preserve">with the corresponding GHG inventory data for these sectors.</w:t>
      </w:r>
      <w:r>
        <w:br/>
      </w:r>
      <w:r>
        <w:t xml:space="preserve">The integrated governance and monitoring process under the Regulation on the Governance</w:t>
      </w:r>
      <w:r>
        <w:t xml:space="preserve"> </w:t>
      </w:r>
      <w:r>
        <w:t xml:space="preserve">of the Energy Union and Climate action is also expected to make sure that climate and</w:t>
      </w:r>
      <w:r>
        <w:t xml:space="preserve"> </w:t>
      </w:r>
      <w:r>
        <w:t xml:space="preserve">energy-related actions at European, as well as regional, national and local level, including</w:t>
      </w:r>
      <w:r>
        <w:t xml:space="preserve"> </w:t>
      </w:r>
      <w:r>
        <w:t xml:space="preserve">the ETS, contribute to the EU climate neutrality and Energy Union’s objectives.</w:t>
      </w:r>
      <w:r>
        <w:br/>
      </w:r>
      <w:r>
        <w:t xml:space="preserve">Several market analysts regularly closely follow various aspects of the carbon market and</w:t>
      </w:r>
      <w:r>
        <w:t xml:space="preserve"> </w:t>
      </w:r>
      <w:r>
        <w:t xml:space="preserve">its functioning, and the Commission will continue to monitor this work. Also, through</w:t>
      </w:r>
      <w:r>
        <w:t xml:space="preserve"> </w:t>
      </w:r>
      <w:r>
        <w:t xml:space="preserve">regular contacts with stakeholders, the Commission is alert to their views and concerns about</w:t>
      </w:r>
      <w:r>
        <w:t xml:space="preserve"> </w:t>
      </w:r>
      <w:r>
        <w:t xml:space="preserve">the functioning of the ETS. ETS-related matters are discussed in a dedicated forum, the</w:t>
      </w:r>
    </w:p>
    <w:p>
      <w:pPr>
        <w:pStyle w:val="BodyText"/>
      </w:pPr>
      <w:r>
        <w:t xml:space="preserve">106 Such as the FuelEU Maritime Regulation at the EU level and the International Maritime Organisation</w:t>
      </w:r>
      <w:r>
        <w:t xml:space="preserve"> </w:t>
      </w:r>
      <w:r>
        <w:t xml:space="preserve">Data Collection System (IMO DCS) at the global level.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Climate Change Expert Group (CCEG) which brings together Member States Competent</w:t>
      </w:r>
      <w:r>
        <w:t xml:space="preserve"> </w:t>
      </w:r>
      <w:r>
        <w:t xml:space="preserve">Authorities, stakeholders (industry associations and NGOs) and the Commission. In its</w:t>
      </w:r>
      <w:r>
        <w:t xml:space="preserve"> </w:t>
      </w:r>
      <w:r>
        <w:t xml:space="preserve">different formations, the CCEG discusses the implementation of free allocation, auctioning</w:t>
      </w:r>
      <w:r>
        <w:t xml:space="preserve"> </w:t>
      </w:r>
      <w:r>
        <w:t xml:space="preserve">and issues related to the functioning of the Union Registry. In addition, the ETS Compliance</w:t>
      </w:r>
      <w:r>
        <w:t xml:space="preserve"> </w:t>
      </w:r>
      <w:r>
        <w:t xml:space="preserve">Forum provides the Competent Authorities of all ETS countries (the 27 Member States,</w:t>
      </w:r>
      <w:r>
        <w:t xml:space="preserve"> </w:t>
      </w:r>
      <w:r>
        <w:t xml:space="preserve">Norway, Iceland and Liechtenstein) with a platform for sharing information, learning and</w:t>
      </w:r>
      <w:r>
        <w:t xml:space="preserve"> </w:t>
      </w:r>
      <w:r>
        <w:t xml:space="preserve">experience, leading to effective implementation of the ETS. The forum executes targeted</w:t>
      </w:r>
      <w:r>
        <w:t xml:space="preserve"> </w:t>
      </w:r>
      <w:r>
        <w:t xml:space="preserve">events, such as the Compliance Forum Conference, organized annually and aimed at sharing</w:t>
      </w:r>
      <w:r>
        <w:t xml:space="preserve"> </w:t>
      </w:r>
      <w:r>
        <w:t xml:space="preserve">experiences and facilitating dialogue amongst Member States Competent Authorities, as</w:t>
      </w:r>
      <w:r>
        <w:t xml:space="preserve"> </w:t>
      </w:r>
      <w:r>
        <w:t xml:space="preserve">well as Task Forces dedicated to specific topics and training events. National Accreditation</w:t>
      </w:r>
      <w:r>
        <w:t xml:space="preserve"> </w:t>
      </w:r>
      <w:r>
        <w:t xml:space="preserve">Bodies and verifiers are sometimes invited to participate to the activities of the ETS</w:t>
      </w:r>
      <w:r>
        <w:t xml:space="preserve"> </w:t>
      </w:r>
      <w:r>
        <w:t xml:space="preserve">Compliance Forum, where relevant. Furthermore, the Technical Working Group on ETS</w:t>
      </w:r>
      <w:r>
        <w:t xml:space="preserve"> </w:t>
      </w:r>
      <w:r>
        <w:t xml:space="preserve">MRVA brings together representatives of Member States Competent Authorities to share</w:t>
      </w:r>
      <w:r>
        <w:t xml:space="preserve"> </w:t>
      </w:r>
      <w:r>
        <w:t xml:space="preserve">experiences and suggestions concerning effective and efficient implementation of</w:t>
      </w:r>
      <w:r>
        <w:t xml:space="preserve"> </w:t>
      </w:r>
      <w:r>
        <w:t xml:space="preserve">Commission Implementing Regulation (EU) No 2018/2066 (Monitoring and Reporting</w:t>
      </w:r>
      <w:r>
        <w:t xml:space="preserve"> </w:t>
      </w:r>
      <w:r>
        <w:t xml:space="preserve">Regulation) and Commission Implementing Regulation (EU) No. 2018/2067 (Accreditation</w:t>
      </w:r>
      <w:r>
        <w:t xml:space="preserve"> </w:t>
      </w:r>
      <w:r>
        <w:t xml:space="preserve">and Verification Regulation) to discuss potential updates and improvements of the ETS</w:t>
      </w:r>
      <w:r>
        <w:t xml:space="preserve"> </w:t>
      </w:r>
      <w:r>
        <w:t xml:space="preserve">MRVA Regulations.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LIST OF TABLES</w:t>
      </w:r>
    </w:p>
    <w:p>
      <w:pPr>
        <w:pStyle w:val="BodyText"/>
      </w:pPr>
      <w:r>
        <w:t xml:space="preserve">Table 1:</w:t>
      </w:r>
      <w:r>
        <w:t xml:space="preserve"> </w:t>
      </w:r>
      <w:r>
        <w:t xml:space="preserve">Overview of policy measures and policy options …………………………………….. 17</w:t>
      </w:r>
      <w:r>
        <w:t xml:space="preserve"> </w:t>
      </w:r>
      <w:r>
        <w:t xml:space="preserve">Table 2:</w:t>
      </w:r>
      <w:r>
        <w:t xml:space="preserve"> </w:t>
      </w:r>
      <w:r>
        <w:t xml:space="preserve">Table showing approximate cap trajectories, when including extra EEA</w:t>
      </w:r>
      <w:r>
        <w:t xml:space="preserve"> </w:t>
      </w:r>
      <w:r>
        <w:t xml:space="preserve">aviation in the target ……………………………………………………………………………………………… 23</w:t>
      </w:r>
      <w:r>
        <w:t xml:space="preserve"> </w:t>
      </w:r>
      <w:r>
        <w:t xml:space="preserve">Table 3:</w:t>
      </w:r>
      <w:r>
        <w:t xml:space="preserve"> </w:t>
      </w:r>
      <w:r>
        <w:t xml:space="preserve">Net caps trajectories for POTEnCIA, excluding international extra EEA</w:t>
      </w:r>
      <w:r>
        <w:t xml:space="preserve"> </w:t>
      </w:r>
      <w:r>
        <w:t xml:space="preserve">aviation and with added removals linked allowances ………………………………………………… 24</w:t>
      </w:r>
      <w:r>
        <w:t xml:space="preserve"> </w:t>
      </w:r>
      <w:r>
        <w:t xml:space="preserve">Table 4:</w:t>
      </w:r>
      <w:r>
        <w:t xml:space="preserve"> </w:t>
      </w:r>
      <w:r>
        <w:t xml:space="preserve">PO environmental impact summary ………………………………………………………. 29</w:t>
      </w:r>
      <w:r>
        <w:t xml:space="preserve"> </w:t>
      </w:r>
      <w:r>
        <w:t xml:space="preserve">Table 5:</w:t>
      </w:r>
      <w:r>
        <w:t xml:space="preserve"> </w:t>
      </w:r>
      <w:r>
        <w:t xml:space="preserve">Policy options and global international aviation emissions (inside Europe:</w:t>
      </w:r>
      <w:r>
        <w:t xml:space="preserve"> </w:t>
      </w:r>
      <w:r>
        <w:t xml:space="preserve">domestic and international; outside Europe: international only) ………………………………….. 33</w:t>
      </w:r>
      <w:r>
        <w:t xml:space="preserve"> </w:t>
      </w:r>
      <w:r>
        <w:t xml:space="preserve">Table 6:</w:t>
      </w:r>
      <w:r>
        <w:t xml:space="preserve"> </w:t>
      </w:r>
      <w:r>
        <w:t xml:space="preserve">Global international aviation CO2 emissions ………………………………………….. 35</w:t>
      </w:r>
      <w:r>
        <w:t xml:space="preserve"> </w:t>
      </w:r>
      <w:r>
        <w:t xml:space="preserve">Table 7:</w:t>
      </w:r>
      <w:r>
        <w:t xml:space="preserve"> </w:t>
      </w:r>
      <w:r>
        <w:t xml:space="preserve">Total estimated externality costs …………………………………………………………… 44</w:t>
      </w:r>
      <w:r>
        <w:t xml:space="preserve"> </w:t>
      </w:r>
      <w:r>
        <w:t xml:space="preserve">Table 8:</w:t>
      </w:r>
      <w:r>
        <w:t xml:space="preserve"> </w:t>
      </w:r>
      <w:r>
        <w:t xml:space="preserve">Annual investment expenditure, energy related excluding transport in CAP 3</w:t>
      </w:r>
      <w:r>
        <w:t xml:space="preserve"> </w:t>
      </w:r>
      <w:r>
        <w:t xml:space="preserve">“9085” scenario ……………………………………………………………………………………………………. 59</w:t>
      </w:r>
      <w:r>
        <w:t xml:space="preserve"> </w:t>
      </w:r>
      <w:r>
        <w:t xml:space="preserve">Table 9:</w:t>
      </w:r>
      <w:r>
        <w:t xml:space="preserve"> </w:t>
      </w:r>
      <w:r>
        <w:t xml:space="preserve">Investment needs in ETS sectors, deviation of the CAP4 “accelerated 9085”</w:t>
      </w:r>
      <w:r>
        <w:t xml:space="preserve"> </w:t>
      </w:r>
      <w:r>
        <w:t xml:space="preserve">scenario and CAP2 “85%” scenario relative to CAP 3 “9085” scenario ………………………. 60</w:t>
      </w:r>
      <w:r>
        <w:t xml:space="preserve"> </w:t>
      </w:r>
      <w:r>
        <w:t xml:space="preserve">Table 10:</w:t>
      </w:r>
      <w:r>
        <w:t xml:space="preserve"> </w:t>
      </w:r>
      <w:r>
        <w:t xml:space="preserve">Energy system costs as % of GDP in the CAP 3 “9085” scenario ……………… 61</w:t>
      </w:r>
      <w:r>
        <w:t xml:space="preserve"> </w:t>
      </w:r>
      <w:r>
        <w:t xml:space="preserve">Table 11:</w:t>
      </w:r>
      <w:r>
        <w:t xml:space="preserve"> </w:t>
      </w:r>
      <w:r>
        <w:t xml:space="preserve">Energy system costs in ETS sectors, deviation of the CAP2 ‘85’ and CAP4</w:t>
      </w:r>
      <w:r>
        <w:t xml:space="preserve"> </w:t>
      </w:r>
      <w:r>
        <w:t xml:space="preserve">“accelerated 9085” scenario relative to CAP 3 “9085” scenario …………………………………. 61</w:t>
      </w:r>
      <w:r>
        <w:t xml:space="preserve"> </w:t>
      </w:r>
      <w:r>
        <w:t xml:space="preserve">Table 12:</w:t>
      </w:r>
      <w:r>
        <w:t xml:space="preserve"> </w:t>
      </w:r>
      <w:r>
        <w:t xml:space="preserve">Carbon costs as percentage of total operating costs …………………………………. 64</w:t>
      </w:r>
      <w:r>
        <w:t xml:space="preserve"> </w:t>
      </w:r>
      <w:r>
        <w:t xml:space="preserve">Table 13:</w:t>
      </w:r>
      <w:r>
        <w:t xml:space="preserve"> </w:t>
      </w:r>
      <w:r>
        <w:t xml:space="preserve">Case study averages for risk of passenger shift and emissions change compared</w:t>
      </w:r>
      <w:r>
        <w:t xml:space="preserve"> </w:t>
      </w:r>
      <w:r>
        <w:t xml:space="preserve">to the original EEA-route ………………………………………………………………………………………. 66</w:t>
      </w:r>
      <w:r>
        <w:t xml:space="preserve"> </w:t>
      </w:r>
      <w:r>
        <w:t xml:space="preserve">Table 14:</w:t>
      </w:r>
      <w:r>
        <w:t xml:space="preserve"> </w:t>
      </w:r>
      <w:r>
        <w:t xml:space="preserve">Overview on the effectiveness of the measures ………………………………………. 86</w:t>
      </w:r>
      <w:r>
        <w:t xml:space="preserve"> </w:t>
      </w:r>
      <w:r>
        <w:t xml:space="preserve">Table 15:</w:t>
      </w:r>
      <w:r>
        <w:t xml:space="preserve"> </w:t>
      </w:r>
      <w:r>
        <w:t xml:space="preserve">Summary of costs and benefits per policy option compared to the 85% PRIMES</w:t>
      </w:r>
      <w:r>
        <w:t xml:space="preserve"> </w:t>
      </w:r>
      <w:r>
        <w:t xml:space="preserve">scenario based on GEM-E3 ……………………………………………………………………………………. 93</w:t>
      </w:r>
      <w:r>
        <w:t xml:space="preserve"> </w:t>
      </w:r>
      <w:r>
        <w:t xml:space="preserve">Table 16:</w:t>
      </w:r>
      <w:r>
        <w:t xml:space="preserve"> </w:t>
      </w:r>
      <w:r>
        <w:t xml:space="preserve">Summary of costs and benefits per policy option compared to the baseline based</w:t>
      </w:r>
      <w:r>
        <w:t xml:space="preserve"> </w:t>
      </w:r>
      <w:r>
        <w:t xml:space="preserve">on further quantitative estimates …………………………………………………………………………….. 93</w:t>
      </w:r>
      <w:r>
        <w:t xml:space="preserve"> </w:t>
      </w:r>
      <w:r>
        <w:t xml:space="preserve">Table 17:</w:t>
      </w:r>
      <w:r>
        <w:t xml:space="preserve"> </w:t>
      </w:r>
      <w:r>
        <w:t xml:space="preserve">Social Net Present Value (NPV) of policy options PO2 and PO3 compared to</w:t>
      </w:r>
      <w:r>
        <w:t xml:space="preserve"> </w:t>
      </w:r>
      <w:r>
        <w:t xml:space="preserve">PO1 (million EUR) ……………………………………………………………………………………………….. 94</w:t>
      </w:r>
      <w:r>
        <w:t xml:space="preserve"> </w:t>
      </w:r>
      <w:r>
        <w:t xml:space="preserve">Table 18:</w:t>
      </w:r>
      <w:r>
        <w:t xml:space="preserve"> </w:t>
      </w:r>
      <w:r>
        <w:t xml:space="preserve">Summary of the comparison of the policy options against the baseline scenario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LIST OF FIGURES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How the EU ETS works ………………………………………………………………………… 1</w:t>
      </w:r>
      <w:r>
        <w:t xml:space="preserve"> </w:t>
      </w:r>
      <w:r>
        <w:t xml:space="preserve">Figure 2:</w:t>
      </w:r>
      <w:r>
        <w:t xml:space="preserve"> </w:t>
      </w:r>
      <w:r>
        <w:t xml:space="preserve">EU ETS in the context of the EU’s climate and energy policy framework …… 2</w:t>
      </w:r>
      <w:r>
        <w:t xml:space="preserve"> </w:t>
      </w:r>
      <w:r>
        <w:t xml:space="preserve">Figure 3:</w:t>
      </w:r>
      <w:r>
        <w:t xml:space="preserve"> </w:t>
      </w:r>
      <w:r>
        <w:t xml:space="preserve">Problem tree……………………………………………………………………………………….. 10</w:t>
      </w:r>
      <w:r>
        <w:t xml:space="preserve"> </w:t>
      </w:r>
      <w:r>
        <w:t xml:space="preserve">Figure 4:</w:t>
      </w:r>
      <w:r>
        <w:t xml:space="preserve"> </w:t>
      </w:r>
      <w:r>
        <w:t xml:space="preserve">Illustration of support logic for two consecutive funding rounds of the IDB . 30</w:t>
      </w:r>
      <w:r>
        <w:t xml:space="preserve"> </w:t>
      </w:r>
      <w:r>
        <w:t xml:space="preserve">Figure 5:</w:t>
      </w:r>
      <w:r>
        <w:t xml:space="preserve"> </w:t>
      </w:r>
      <w:r>
        <w:t xml:space="preserve">MSR Policy options results – indexed EUA price evolution …………………….. 47</w:t>
      </w:r>
      <w:r>
        <w:t xml:space="preserve"> </w:t>
      </w:r>
      <w:r>
        <w:t xml:space="preserve">Figure 6:</w:t>
      </w:r>
      <w:r>
        <w:t xml:space="preserve"> </w:t>
      </w:r>
      <w:r>
        <w:t xml:space="preserve">Policy options results - TNAC-to-Emissions ratio …………………………………… 49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2026-07-31T16:48:49Z</dcterms:created>
  <dcterms:modified xsi:type="dcterms:W3CDTF">2026-07-31T16:48:49Z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