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17.7.2026</w:t>
      </w:r>
      <w:r>
        <w:br/>
      </w:r>
      <w:r>
        <w:t xml:space="preserve">SWD(2026) 616 final</w:t>
      </w:r>
      <w:r>
        <w:t xml:space="preserve"> </w:t>
      </w:r>
      <w:r>
        <w:t xml:space="preserve">PART 2/5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DIRECTIVE OF THE EUROPEAN PARLIAMENT AND OF THE COUNCIL</w:t>
      </w:r>
      <w:r>
        <w:t xml:space="preserve"> </w:t>
      </w:r>
      <w:r>
        <w:t xml:space="preserve">amending Directive 2003/87/EC and Decision (EU) 2015/1814 as regards driving</w:t>
      </w:r>
      <w:r>
        <w:t xml:space="preserve"> </w:t>
      </w:r>
      <w:r>
        <w:t xml:space="preserve">competitiveness and cost-effective decarbonisation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amending Directive 2003/87/EC as regards revised benchmark values for the heat and</w:t>
      </w:r>
      <w:r>
        <w:t xml:space="preserve"> </w:t>
      </w:r>
      <w:r>
        <w:t xml:space="preserve">fuel benchmarks for the period from 2026 to 2030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amending Regulations (EU) 2015/757 and (EU) 2023/1805 to simplify and streamline</w:t>
      </w:r>
      <w:r>
        <w:t xml:space="preserve"> </w:t>
      </w:r>
      <w:r>
        <w:t xml:space="preserve">monitoring, reporting and verification and to align with revisions of the EU Emissions</w:t>
      </w:r>
      <w:r>
        <w:t xml:space="preserve"> </w:t>
      </w:r>
      <w:r>
        <w:t xml:space="preserve">Trading System</w:t>
      </w:r>
      <w:r>
        <w:t xml:space="preserve"> </w:t>
      </w:r>
      <w:r>
        <w:t xml:space="preserve">{COM(2026) 616 final} - {COM(2026) 619 final} - {COM(2026) 620 final} -</w:t>
      </w:r>
      <w:r>
        <w:t xml:space="preserve"> </w:t>
      </w:r>
      <w:r>
        <w:t xml:space="preserve">{SEC(2026) 616 final} - {SWD(2026) 617 final} - {SWD(2026) 618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1: PROCEDURAL INFORMATION ……………………………………………………….. 5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…………………………………………….. 5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…………………………………………………………………………….. 5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……………………………………………………………………………. 5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 8</w:t>
      </w:r>
      <w:r>
        <w:t xml:space="preserve"> </w:t>
      </w:r>
      <w:r>
        <w:t xml:space="preserve">ANNEX 2: STAKEHOLDER CONSULTATION (SYNOPSIS REPORT) …………… 9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 9</w:t>
      </w:r>
      <w:r>
        <w:t xml:space="preserve"> </w:t>
      </w:r>
      <w:r>
        <w:t xml:space="preserve">2.</w:t>
      </w:r>
      <w:r>
        <w:t xml:space="preserve"> </w:t>
      </w:r>
      <w:r>
        <w:t xml:space="preserve">METHODOLOGY FOR DATA PROCESSING ………………………………………………………….. 10</w:t>
      </w:r>
      <w:r>
        <w:t xml:space="preserve"> </w:t>
      </w:r>
      <w:r>
        <w:t xml:space="preserve">3.</w:t>
      </w:r>
      <w:r>
        <w:t xml:space="preserve"> </w:t>
      </w:r>
      <w:r>
        <w:t xml:space="preserve">RESULTS OF THE OPEN PUBLIC CONSULTATION ………………………………………………… 11</w:t>
      </w:r>
      <w:r>
        <w:t xml:space="preserve"> </w:t>
      </w:r>
      <w:r>
        <w:t xml:space="preserve">3.1.</w:t>
      </w:r>
      <w:r>
        <w:t xml:space="preserve"> </w:t>
      </w:r>
      <w:r>
        <w:t xml:space="preserve">Overview of participants ……………………………………………………………………….. 11</w:t>
      </w:r>
      <w:r>
        <w:t xml:space="preserve"> </w:t>
      </w:r>
      <w:r>
        <w:t xml:space="preserve">3.2.</w:t>
      </w:r>
      <w:r>
        <w:t xml:space="preserve"> </w:t>
      </w:r>
      <w:r>
        <w:t xml:space="preserve">Evaluation ……………………………………………………………………………………………… 11</w:t>
      </w:r>
      <w:r>
        <w:t xml:space="preserve"> </w:t>
      </w:r>
      <w:r>
        <w:t xml:space="preserve">3.2.1.</w:t>
      </w:r>
      <w:r>
        <w:t xml:space="preserve"> </w:t>
      </w:r>
      <w:r>
        <w:t xml:space="preserve">Effectiveness ……………………………………………………………………………………… 11</w:t>
      </w:r>
      <w:r>
        <w:t xml:space="preserve"> </w:t>
      </w:r>
      <w:r>
        <w:t xml:space="preserve">3.2.2.</w:t>
      </w:r>
      <w:r>
        <w:t xml:space="preserve"> </w:t>
      </w:r>
      <w:r>
        <w:t xml:space="preserve">Cost-efficiency …………………………………………………………………………………… 12</w:t>
      </w:r>
      <w:r>
        <w:t xml:space="preserve"> </w:t>
      </w:r>
      <w:r>
        <w:t xml:space="preserve">3.2.3.</w:t>
      </w:r>
      <w:r>
        <w:t xml:space="preserve"> </w:t>
      </w:r>
      <w:r>
        <w:t xml:space="preserve">Relevance and added value ………………………………………………………………… 12</w:t>
      </w:r>
      <w:r>
        <w:t xml:space="preserve"> </w:t>
      </w:r>
      <w:r>
        <w:t xml:space="preserve">3.2.4.</w:t>
      </w:r>
      <w:r>
        <w:t xml:space="preserve"> </w:t>
      </w:r>
      <w:r>
        <w:t xml:space="preserve">Simplification and coherence …………………………………………………………….. 13</w:t>
      </w:r>
      <w:r>
        <w:t xml:space="preserve"> </w:t>
      </w:r>
      <w:r>
        <w:t xml:space="preserve">3.3.</w:t>
      </w:r>
      <w:r>
        <w:t xml:space="preserve"> </w:t>
      </w:r>
      <w:r>
        <w:t xml:space="preserve">Impact assessment …………………………………………………………………………………. 14</w:t>
      </w:r>
      <w:r>
        <w:t xml:space="preserve"> </w:t>
      </w:r>
      <w:r>
        <w:t xml:space="preserve">3.3.1.</w:t>
      </w:r>
      <w:r>
        <w:t xml:space="preserve"> </w:t>
      </w:r>
      <w:r>
        <w:t xml:space="preserve">Aviation …………………………………………………………………………………………….. 14</w:t>
      </w:r>
      <w:r>
        <w:t xml:space="preserve"> </w:t>
      </w:r>
      <w:r>
        <w:t xml:space="preserve">3.3.3.</w:t>
      </w:r>
      <w:r>
        <w:t xml:space="preserve"> </w:t>
      </w:r>
      <w:r>
        <w:t xml:space="preserve">Measures to address the risk of carbon leakage for emissions not covered by</w:t>
      </w:r>
      <w:r>
        <w:t xml:space="preserve"> </w:t>
      </w:r>
      <w:r>
        <w:t xml:space="preserve">CBAM sectors …………………………………………………………………………………………………… 18</w:t>
      </w:r>
      <w:r>
        <w:t xml:space="preserve"> </w:t>
      </w:r>
      <w:r>
        <w:t xml:space="preserve">3.3.4.</w:t>
      </w:r>
      <w:r>
        <w:t xml:space="preserve"> </w:t>
      </w:r>
      <w:r>
        <w:t xml:space="preserve">Revenue use ………………………………………………………………………………………. 19</w:t>
      </w:r>
      <w:r>
        <w:t xml:space="preserve"> </w:t>
      </w:r>
      <w:r>
        <w:t xml:space="preserve">3.3.5.</w:t>
      </w:r>
      <w:r>
        <w:t xml:space="preserve"> </w:t>
      </w:r>
      <w:r>
        <w:t xml:space="preserve">Industrial decarbonisation support ……………………………………………………… 20</w:t>
      </w:r>
      <w:r>
        <w:t xml:space="preserve"> </w:t>
      </w:r>
      <w:r>
        <w:t xml:space="preserve">3.3.6.</w:t>
      </w:r>
      <w:r>
        <w:t xml:space="preserve"> </w:t>
      </w:r>
      <w:r>
        <w:t xml:space="preserve">Market Stability Reserve (MSR) ………………………………………………………… 21</w:t>
      </w:r>
      <w:r>
        <w:t xml:space="preserve"> </w:t>
      </w:r>
      <w:r>
        <w:t xml:space="preserve">3.3.7.</w:t>
      </w:r>
      <w:r>
        <w:t xml:space="preserve"> </w:t>
      </w:r>
      <w:r>
        <w:t xml:space="preserve">Carbon removals………………………………………………………………………………… 22</w:t>
      </w:r>
      <w:r>
        <w:t xml:space="preserve"> </w:t>
      </w:r>
      <w:r>
        <w:t xml:space="preserve">3.3.8.</w:t>
      </w:r>
      <w:r>
        <w:t xml:space="preserve"> </w:t>
      </w:r>
      <w:r>
        <w:t xml:space="preserve">CO2 transport …………………………………………………………………………………….. 23</w:t>
      </w:r>
      <w:r>
        <w:t xml:space="preserve"> </w:t>
      </w:r>
      <w:r>
        <w:t xml:space="preserve">3.3.9.</w:t>
      </w:r>
      <w:r>
        <w:t xml:space="preserve"> </w:t>
      </w:r>
      <w:r>
        <w:t xml:space="preserve">CCU ………………………………………………………………………………………………….. 23</w:t>
      </w:r>
      <w:r>
        <w:t xml:space="preserve"> </w:t>
      </w:r>
      <w:r>
        <w:t xml:space="preserve">3.3.10.</w:t>
      </w:r>
      <w:r>
        <w:t xml:space="preserve"> </w:t>
      </w:r>
      <w:r>
        <w:t xml:space="preserve">Municipal waste incineration (MWI) and other waste management processes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3.3.11.</w:t>
      </w:r>
      <w:r>
        <w:t xml:space="preserve"> </w:t>
      </w:r>
      <w:r>
        <w:t xml:space="preserve">20MW Threshold ………………………………………………………………………………. 26</w:t>
      </w:r>
      <w:r>
        <w:t xml:space="preserve"> </w:t>
      </w:r>
      <w:r>
        <w:t xml:space="preserve">3.3.12.</w:t>
      </w:r>
      <w:r>
        <w:t xml:space="preserve"> </w:t>
      </w:r>
      <w:r>
        <w:t xml:space="preserve">Linking ………………………………………………………………………………………………. 26</w:t>
      </w:r>
      <w:r>
        <w:t xml:space="preserve"> </w:t>
      </w:r>
      <w:r>
        <w:t xml:space="preserve">3.4.</w:t>
      </w:r>
      <w:r>
        <w:t xml:space="preserve"> </w:t>
      </w:r>
      <w:r>
        <w:t xml:space="preserve">Position papers ………………………………………………………………………………………. 27</w:t>
      </w:r>
      <w:r>
        <w:t xml:space="preserve"> </w:t>
      </w:r>
      <w:r>
        <w:t xml:space="preserve">3.4.1.</w:t>
      </w:r>
      <w:r>
        <w:t xml:space="preserve"> </w:t>
      </w:r>
      <w:r>
        <w:t xml:space="preserve">Aviation …………………………………………………………………………………………….. 27</w:t>
      </w:r>
      <w:r>
        <w:t xml:space="preserve"> </w:t>
      </w:r>
      <w:r>
        <w:t xml:space="preserve">3.4.2.</w:t>
      </w:r>
      <w:r>
        <w:t xml:space="preserve"> </w:t>
      </w:r>
      <w:r>
        <w:t xml:space="preserve">Maritime ……………………………………………………………………………………………. 27</w:t>
      </w:r>
      <w:r>
        <w:t xml:space="preserve"> </w:t>
      </w:r>
      <w:r>
        <w:t xml:space="preserve">3.4.3.</w:t>
      </w:r>
      <w:r>
        <w:t xml:space="preserve"> </w:t>
      </w:r>
      <w:r>
        <w:t xml:space="preserve">Measures to address carbon leakage …………………………………………………… 28</w:t>
      </w:r>
    </w:p>
    <w:p>
      <w:pPr>
        <w:pStyle w:val="BodyText"/>
      </w:pPr>
      <w:r>
        <w:t xml:space="preserve">3.4.4.</w:t>
      </w:r>
      <w:r>
        <w:t xml:space="preserve"> </w:t>
      </w:r>
      <w:r>
        <w:t xml:space="preserve">Revenue use ………………………………………………………………………………………. 28</w:t>
      </w:r>
      <w:r>
        <w:t xml:space="preserve"> </w:t>
      </w:r>
      <w:r>
        <w:t xml:space="preserve">3.4.5.</w:t>
      </w:r>
      <w:r>
        <w:t xml:space="preserve"> </w:t>
      </w:r>
      <w:r>
        <w:t xml:space="preserve">Market Stability Reserve (MSR) ………………………………………………………… 28</w:t>
      </w:r>
      <w:r>
        <w:t xml:space="preserve"> </w:t>
      </w:r>
      <w:r>
        <w:t xml:space="preserve">3.4.6.</w:t>
      </w:r>
      <w:r>
        <w:t xml:space="preserve"> </w:t>
      </w:r>
      <w:r>
        <w:t xml:space="preserve">New technologies ………………………………………………………………………………. 28</w:t>
      </w:r>
      <w:r>
        <w:t xml:space="preserve"> </w:t>
      </w:r>
      <w:r>
        <w:t xml:space="preserve">3.4.7.</w:t>
      </w:r>
      <w:r>
        <w:t xml:space="preserve"> </w:t>
      </w:r>
      <w:r>
        <w:t xml:space="preserve">Potential expansion of the scope of the Directive ……………………………….. 28</w:t>
      </w:r>
      <w:r>
        <w:t xml:space="preserve"> </w:t>
      </w:r>
      <w:r>
        <w:t xml:space="preserve">3.4.8.</w:t>
      </w:r>
      <w:r>
        <w:t xml:space="preserve"> </w:t>
      </w:r>
      <w:r>
        <w:t xml:space="preserve">20MW threshold ………………………………………………………………………………… 29</w:t>
      </w:r>
      <w:r>
        <w:t xml:space="preserve"> </w:t>
      </w:r>
      <w:r>
        <w:t xml:space="preserve">3.5.</w:t>
      </w:r>
      <w:r>
        <w:t xml:space="preserve"> </w:t>
      </w:r>
      <w:r>
        <w:t xml:space="preserve">Interviews ……………………………………………………………………………………………… 29</w:t>
      </w:r>
      <w:r>
        <w:t xml:space="preserve"> </w:t>
      </w:r>
      <w:r>
        <w:t xml:space="preserve">ANNEX 3: WHO IS AFFECTED BY THE INITIATIVE AND HOW? ……………… 30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………………………………………………….. 30</w:t>
      </w:r>
      <w:r>
        <w:t xml:space="preserve"> </w:t>
      </w:r>
      <w:r>
        <w:t xml:space="preserve">1.1.</w:t>
      </w:r>
      <w:r>
        <w:t xml:space="preserve"> </w:t>
      </w:r>
      <w:r>
        <w:t xml:space="preserve">Effects on regulated entities …………………………………………………………………… 30</w:t>
      </w:r>
      <w:r>
        <w:t xml:space="preserve"> </w:t>
      </w:r>
      <w:r>
        <w:t xml:space="preserve">1.1.1.</w:t>
      </w:r>
      <w:r>
        <w:t xml:space="preserve"> </w:t>
      </w:r>
      <w:r>
        <w:t xml:space="preserve">Stationary installations ………………………………………………………………………. 30</w:t>
      </w:r>
      <w:r>
        <w:t xml:space="preserve"> </w:t>
      </w:r>
      <w:r>
        <w:t xml:space="preserve">1.1.2.</w:t>
      </w:r>
      <w:r>
        <w:t xml:space="preserve"> </w:t>
      </w:r>
      <w:r>
        <w:t xml:space="preserve">Aviation and maritime transport ………………………………………………………… 31</w:t>
      </w:r>
      <w:r>
        <w:t xml:space="preserve"> </w:t>
      </w:r>
      <w:r>
        <w:t xml:space="preserve">1.2.</w:t>
      </w:r>
      <w:r>
        <w:t xml:space="preserve"> </w:t>
      </w:r>
      <w:r>
        <w:t xml:space="preserve">Effects on other stakeholders …………………………………………………………………. 32</w:t>
      </w:r>
      <w:r>
        <w:t xml:space="preserve"> </w:t>
      </w:r>
      <w:r>
        <w:t xml:space="preserve">1.2.1.</w:t>
      </w:r>
      <w:r>
        <w:t xml:space="preserve"> </w:t>
      </w:r>
      <w:r>
        <w:t xml:space="preserve">SMEs …………………………………………………………………………………………………. 32</w:t>
      </w:r>
      <w:r>
        <w:t xml:space="preserve"> </w:t>
      </w:r>
      <w:r>
        <w:t xml:space="preserve">1.2.2.</w:t>
      </w:r>
      <w:r>
        <w:t xml:space="preserve"> </w:t>
      </w:r>
      <w:r>
        <w:t xml:space="preserve">Public authorities ……………………………………………………………………………….. 32</w:t>
      </w:r>
      <w:r>
        <w:t xml:space="preserve"> </w:t>
      </w:r>
      <w:r>
        <w:t xml:space="preserve">1.2.3.</w:t>
      </w:r>
      <w:r>
        <w:t xml:space="preserve"> </w:t>
      </w:r>
      <w:r>
        <w:t xml:space="preserve">Citizens ……………………………………………………………………………………………… 33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 34</w:t>
      </w:r>
      <w:r>
        <w:t xml:space="preserve"> </w:t>
      </w:r>
      <w:r>
        <w:t xml:space="preserve">2.1.</w:t>
      </w:r>
      <w:r>
        <w:t xml:space="preserve"> </w:t>
      </w:r>
      <w:r>
        <w:t xml:space="preserve">Overview of benefits – preferred option…………………………………………………. 35</w:t>
      </w:r>
      <w:r>
        <w:t xml:space="preserve"> </w:t>
      </w:r>
      <w:r>
        <w:t xml:space="preserve">2.2.</w:t>
      </w:r>
      <w:r>
        <w:t xml:space="preserve"> </w:t>
      </w:r>
      <w:r>
        <w:t xml:space="preserve">Overview of costs – preferred option ……………………………………………………… 40</w:t>
      </w:r>
      <w:r>
        <w:t xml:space="preserve"> </w:t>
      </w:r>
      <w:r>
        <w:t xml:space="preserve">2.3.</w:t>
      </w:r>
      <w:r>
        <w:t xml:space="preserve"> </w:t>
      </w:r>
      <w:r>
        <w:t xml:space="preserve">Application of the “one in, one out” approach – Preferred option…………… 49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……………………………………………. 51</w:t>
      </w:r>
      <w:r>
        <w:t xml:space="preserve"> </w:t>
      </w:r>
      <w:r>
        <w:t xml:space="preserve">ANNEX 4: MODELLING ………………………………………………………………………………………. 54</w:t>
      </w:r>
      <w:r>
        <w:t xml:space="preserve"> </w:t>
      </w:r>
      <w:r>
        <w:t xml:space="preserve">LIST OF TABLES ………………………………………………………………………………………………….. 54</w:t>
      </w:r>
      <w:r>
        <w:t xml:space="preserve"> </w:t>
      </w:r>
      <w:r>
        <w:t xml:space="preserve">LIST OF FIGURES ………………………………………………………………………………………………… 54</w:t>
      </w:r>
      <w:r>
        <w:t xml:space="preserve"> </w:t>
      </w:r>
      <w:r>
        <w:t xml:space="preserve">1.</w:t>
      </w:r>
      <w:r>
        <w:t xml:space="preserve"> </w:t>
      </w:r>
      <w:r>
        <w:t xml:space="preserve">ANALYSIS OF FUTURE GHG EMISSIONS …………………………………………………………… 55</w:t>
      </w:r>
      <w:r>
        <w:t xml:space="preserve"> </w:t>
      </w:r>
      <w:r>
        <w:t xml:space="preserve">1.1.</w:t>
      </w:r>
      <w:r>
        <w:t xml:space="preserve"> </w:t>
      </w:r>
      <w:r>
        <w:t xml:space="preserve">Models …………………………………………………………………………………………………… 55</w:t>
      </w:r>
      <w:r>
        <w:t xml:space="preserve"> </w:t>
      </w:r>
      <w:r>
        <w:t xml:space="preserve">1.1.1.</w:t>
      </w:r>
      <w:r>
        <w:t xml:space="preserve"> </w:t>
      </w:r>
      <w:r>
        <w:t xml:space="preserve">Main modelling suite for GHG emissions ………………………………………….. 55</w:t>
      </w:r>
      <w:r>
        <w:t xml:space="preserve"> </w:t>
      </w:r>
      <w:r>
        <w:t xml:space="preserve">1.1.2.</w:t>
      </w:r>
      <w:r>
        <w:t xml:space="preserve"> </w:t>
      </w:r>
      <w:r>
        <w:t xml:space="preserve">Modelling used for the current Impact Assessment ……………………………. 56</w:t>
      </w:r>
      <w:r>
        <w:t xml:space="preserve"> </w:t>
      </w:r>
      <w:r>
        <w:t xml:space="preserve">1.2.</w:t>
      </w:r>
      <w:r>
        <w:t xml:space="preserve"> </w:t>
      </w:r>
      <w:r>
        <w:t xml:space="preserve">Key Assumptions …………………………………………………………………………………… 67</w:t>
      </w:r>
      <w:r>
        <w:t xml:space="preserve"> </w:t>
      </w:r>
      <w:r>
        <w:t xml:space="preserve">1.2.1.</w:t>
      </w:r>
      <w:r>
        <w:t xml:space="preserve"> </w:t>
      </w:r>
      <w:r>
        <w:t xml:space="preserve">Economic Assumptions ……………………………………………………………………… 67</w:t>
      </w:r>
      <w:r>
        <w:t xml:space="preserve"> </w:t>
      </w:r>
      <w:r>
        <w:t xml:space="preserve">1.2.2.</w:t>
      </w:r>
      <w:r>
        <w:t xml:space="preserve"> </w:t>
      </w:r>
      <w:r>
        <w:t xml:space="preserve">International energy prices assumptions …………………………………………….. 69</w:t>
      </w:r>
      <w:r>
        <w:t xml:space="preserve"> </w:t>
      </w:r>
      <w:r>
        <w:t xml:space="preserve">1.2.3.</w:t>
      </w:r>
      <w:r>
        <w:t xml:space="preserve"> </w:t>
      </w:r>
      <w:r>
        <w:t xml:space="preserve">Technology assumptions ……………………………………………………………………. 70</w:t>
      </w:r>
      <w:r>
        <w:t xml:space="preserve"> </w:t>
      </w:r>
      <w:r>
        <w:t xml:space="preserve">1.2.3.1. International aviation carbon pricing ………………………………………………….. 70</w:t>
      </w:r>
      <w:r>
        <w:t xml:space="preserve"> </w:t>
      </w:r>
      <w:r>
        <w:t xml:space="preserve">2.</w:t>
      </w:r>
      <w:r>
        <w:t xml:space="preserve"> </w:t>
      </w:r>
      <w:r>
        <w:t xml:space="preserve">SCENARIOS …………………………………………………………………………………………………….. 71</w:t>
      </w:r>
      <w:r>
        <w:t xml:space="preserve"> </w:t>
      </w:r>
      <w:r>
        <w:t xml:space="preserve">2.1.</w:t>
      </w:r>
      <w:r>
        <w:t xml:space="preserve"> </w:t>
      </w:r>
      <w:r>
        <w:t xml:space="preserve">Baseline Scenario ………………………………………………………………………………….. 71</w:t>
      </w:r>
      <w:r>
        <w:t xml:space="preserve"> </w:t>
      </w:r>
      <w:r>
        <w:t xml:space="preserve">2.2.</w:t>
      </w:r>
      <w:r>
        <w:t xml:space="preserve"> </w:t>
      </w:r>
      <w:r>
        <w:t xml:space="preserve">85% Policy Scenario ……………………………………………………………………………… 73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Integration of different models ………………………………………………………………. 75</w:t>
      </w:r>
      <w:r>
        <w:t xml:space="preserve"> </w:t>
      </w:r>
      <w:r>
        <w:t xml:space="preserve">3.</w:t>
      </w:r>
      <w:r>
        <w:t xml:space="preserve"> </w:t>
      </w:r>
      <w:r>
        <w:t xml:space="preserve">MODELLING FOR THE MARKET STABILITY RESERVE (POLES-ENERDATA) ……… 75</w:t>
      </w:r>
      <w:r>
        <w:t xml:space="preserve"> </w:t>
      </w:r>
      <w:r>
        <w:t xml:space="preserve">3.1.</w:t>
      </w:r>
      <w:r>
        <w:t xml:space="preserve"> </w:t>
      </w:r>
      <w:r>
        <w:t xml:space="preserve">Approach for MSR analysis …………………………………………………………………… 75</w:t>
      </w:r>
      <w:r>
        <w:t xml:space="preserve"> </w:t>
      </w:r>
      <w:r>
        <w:t xml:space="preserve">3.2.</w:t>
      </w:r>
      <w:r>
        <w:t xml:space="preserve"> </w:t>
      </w:r>
      <w:r>
        <w:t xml:space="preserve">Presentation of the model ………………………………………………………………………. 76</w:t>
      </w:r>
      <w:r>
        <w:t xml:space="preserve"> </w:t>
      </w:r>
      <w:r>
        <w:t xml:space="preserve">3.3.</w:t>
      </w:r>
      <w:r>
        <w:t xml:space="preserve"> </w:t>
      </w:r>
      <w:r>
        <w:t xml:space="preserve">Baseline scenario design ………………………………………………………………………… 80</w:t>
      </w:r>
      <w:r>
        <w:t xml:space="preserve"> </w:t>
      </w:r>
      <w:r>
        <w:t xml:space="preserve">3.4.</w:t>
      </w:r>
      <w:r>
        <w:t xml:space="preserve"> </w:t>
      </w:r>
      <w:r>
        <w:t xml:space="preserve">Adaptation of the baseline with MSR modelling ……………………………………. 80</w:t>
      </w:r>
      <w:r>
        <w:t xml:space="preserve"> </w:t>
      </w:r>
      <w:r>
        <w:t xml:space="preserve">3.4.1.</w:t>
      </w:r>
      <w:r>
        <w:t xml:space="preserve"> </w:t>
      </w:r>
      <w:r>
        <w:t xml:space="preserve">MSR methodology applied to the core working scenario ……………………. 80</w:t>
      </w:r>
      <w:r>
        <w:t xml:space="preserve"> </w:t>
      </w:r>
      <w:r>
        <w:t xml:space="preserve">3.4.2.</w:t>
      </w:r>
      <w:r>
        <w:t xml:space="preserve"> </w:t>
      </w:r>
      <w:r>
        <w:t xml:space="preserve">Modelling the removals ……………………………………………………………………… 81</w:t>
      </w:r>
      <w:r>
        <w:t xml:space="preserve"> </w:t>
      </w:r>
      <w:r>
        <w:t xml:space="preserve">3.4.3.</w:t>
      </w:r>
      <w:r>
        <w:t xml:space="preserve"> </w:t>
      </w:r>
      <w:r>
        <w:t xml:space="preserve">Market parameters ……………………………………………………………………………… 82</w:t>
      </w:r>
      <w:r>
        <w:t xml:space="preserve"> </w:t>
      </w:r>
      <w:r>
        <w:t xml:space="preserve">3.5.</w:t>
      </w:r>
      <w:r>
        <w:t xml:space="preserve"> </w:t>
      </w:r>
      <w:r>
        <w:t xml:space="preserve">Assessing the impact of the policy options on the functioning of the MSR84</w:t>
      </w:r>
      <w:r>
        <w:t xml:space="preserve"> </w:t>
      </w:r>
      <w:r>
        <w:t xml:space="preserve">ANNEX 5: COMPETITIVENESS CHECK ………………………………………………………….. 86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 ………………………………………………… 86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………………………………………………………………………………… 87</w:t>
      </w:r>
      <w:r>
        <w:t xml:space="preserve"> </w:t>
      </w:r>
      <w:r>
        <w:t xml:space="preserve">2.1.</w:t>
      </w:r>
      <w:r>
        <w:t xml:space="preserve"> </w:t>
      </w:r>
      <w:r>
        <w:t xml:space="preserve">Cost and price competitiveness ……………………………………………………………… 87</w:t>
      </w:r>
      <w:r>
        <w:t xml:space="preserve"> </w:t>
      </w:r>
      <w:r>
        <w:t xml:space="preserve">2.2.</w:t>
      </w:r>
      <w:r>
        <w:t xml:space="preserve"> </w:t>
      </w:r>
      <w:r>
        <w:t xml:space="preserve">International competitiveness ………………………………………………………………… 88</w:t>
      </w:r>
      <w:r>
        <w:t xml:space="preserve"> </w:t>
      </w:r>
      <w:r>
        <w:t xml:space="preserve">2.3.</w:t>
      </w:r>
      <w:r>
        <w:t xml:space="preserve"> </w:t>
      </w:r>
      <w:r>
        <w:t xml:space="preserve">Capacity to innovate ………………………………………………………………………………. 88</w:t>
      </w:r>
      <w:r>
        <w:t xml:space="preserve"> </w:t>
      </w:r>
      <w:r>
        <w:t xml:space="preserve">2.4.</w:t>
      </w:r>
      <w:r>
        <w:t xml:space="preserve"> </w:t>
      </w:r>
      <w:r>
        <w:t xml:space="preserve">SME competitiveness …………………………………………………………………………….. 89</w:t>
      </w:r>
      <w:r>
        <w:t xml:space="preserve"> </w:t>
      </w:r>
      <w:r>
        <w:t xml:space="preserve">3.</w:t>
      </w:r>
      <w:r>
        <w:t xml:space="preserve"> </w:t>
      </w:r>
      <w:r>
        <w:t xml:space="preserve">COMPETITIVE POSITION OF THE MOST AFFECTED SECTORS ……………………………….. 89</w:t>
      </w:r>
      <w:r>
        <w:t xml:space="preserve"> </w:t>
      </w:r>
      <w:r>
        <w:t xml:space="preserve">3.1.</w:t>
      </w:r>
      <w:r>
        <w:t xml:space="preserve"> </w:t>
      </w:r>
      <w:r>
        <w:t xml:space="preserve">Industry (stationary installations) …………………………………………………………… 89</w:t>
      </w:r>
      <w:r>
        <w:t xml:space="preserve"> </w:t>
      </w:r>
      <w:r>
        <w:t xml:space="preserve">3.2.</w:t>
      </w:r>
      <w:r>
        <w:t xml:space="preserve"> </w:t>
      </w:r>
      <w:r>
        <w:t xml:space="preserve">Waste …………………………………………………………………………………………………….. 90</w:t>
      </w:r>
      <w:r>
        <w:t xml:space="preserve"> </w:t>
      </w:r>
      <w:r>
        <w:t xml:space="preserve">3.3.</w:t>
      </w:r>
      <w:r>
        <w:t xml:space="preserve"> </w:t>
      </w:r>
      <w:r>
        <w:t xml:space="preserve">Aviation ………………………………………………………………………………………………… 90</w:t>
      </w:r>
      <w:r>
        <w:t xml:space="preserve"> </w:t>
      </w:r>
      <w:r>
        <w:t xml:space="preserve">3.4.</w:t>
      </w:r>
      <w:r>
        <w:t xml:space="preserve"> </w:t>
      </w:r>
      <w:r>
        <w:t xml:space="preserve">Maritime………………………………………………………………………………………………… 91</w:t>
      </w:r>
      <w:r>
        <w:t xml:space="preserve"> </w:t>
      </w:r>
      <w:r>
        <w:t xml:space="preserve">4.</w:t>
      </w:r>
      <w:r>
        <w:t xml:space="preserve"> </w:t>
      </w:r>
      <w:r>
        <w:t xml:space="preserve">OVERALL CONCLUSION …………………………………………………………………………………… 91</w:t>
      </w:r>
      <w:r>
        <w:t xml:space="preserve"> </w:t>
      </w:r>
      <w:r>
        <w:t xml:space="preserve">ANNEX 6: THE SME TEST ………………………………………………………………………………….. 92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SMES …………………………………………………………………… 92</w:t>
      </w:r>
      <w:r>
        <w:t xml:space="preserve"> </w:t>
      </w:r>
      <w:r>
        <w:t xml:space="preserve">ANNEX 7: PROBLEM DEFINITION, DETAILED BASELINE AND POLICY</w:t>
      </w:r>
      <w:r>
        <w:br/>
      </w:r>
      <w:r>
        <w:t xml:space="preserve">MEASURES ……………………………………………………………………………………………………………. 97</w:t>
      </w:r>
      <w:r>
        <w:t xml:space="preserve"> </w:t>
      </w:r>
      <w:r>
        <w:t xml:space="preserve">LIST OF TABLES ……………………………………………………………………………………………………… 97</w:t>
      </w:r>
      <w:r>
        <w:t xml:space="preserve"> </w:t>
      </w:r>
      <w:r>
        <w:t xml:space="preserve">LIST OF FIGURES ……………………………………………………………………………………………………. 97</w:t>
      </w:r>
      <w:r>
        <w:t xml:space="preserve"> </w:t>
      </w:r>
      <w:r>
        <w:t xml:space="preserve">1.</w:t>
      </w:r>
      <w:r>
        <w:t xml:space="preserve"> </w:t>
      </w:r>
      <w:r>
        <w:t xml:space="preserve">PROBLEM DEFINITION …………………………………………………………………………………….. 98</w:t>
      </w:r>
      <w:r>
        <w:t xml:space="preserve"> </w:t>
      </w:r>
      <w:r>
        <w:t xml:space="preserve">1.1.</w:t>
      </w:r>
      <w:r>
        <w:t xml:space="preserve"> </w:t>
      </w:r>
      <w:r>
        <w:t xml:space="preserve">Problem drivers ……………………………………………………………………………………… 98</w:t>
      </w:r>
      <w:r>
        <w:t xml:space="preserve"> </w:t>
      </w:r>
      <w:r>
        <w:t xml:space="preserve">1.2.</w:t>
      </w:r>
      <w:r>
        <w:t xml:space="preserve"> </w:t>
      </w:r>
      <w:r>
        <w:t xml:space="preserve">Specific objectives ………………………………………………………………………………. 102</w:t>
      </w:r>
      <w:r>
        <w:t xml:space="preserve"> </w:t>
      </w:r>
      <w:r>
        <w:t xml:space="preserve">1.3.</w:t>
      </w:r>
      <w:r>
        <w:t xml:space="preserve"> </w:t>
      </w:r>
      <w:r>
        <w:t xml:space="preserve">Baseline ………………………………………………………………………………………………. 105</w:t>
      </w:r>
      <w:r>
        <w:t xml:space="preserve"> </w:t>
      </w:r>
      <w:r>
        <w:t xml:space="preserve">2.</w:t>
      </w:r>
      <w:r>
        <w:t xml:space="preserve"> </w:t>
      </w:r>
      <w:r>
        <w:t xml:space="preserve">OVERVIEW OF POLICY MEASURES …………………………………………………………………. 109</w:t>
      </w:r>
      <w:r>
        <w:t xml:space="preserve"> </w:t>
      </w:r>
      <w:r>
        <w:t xml:space="preserve">2.1.</w:t>
      </w:r>
      <w:r>
        <w:t xml:space="preserve"> </w:t>
      </w:r>
      <w:r>
        <w:t xml:space="preserve">Ambition …………………………………………………………………………………………….. 109</w:t>
      </w:r>
    </w:p>
    <w:p>
      <w:pPr>
        <w:pStyle w:val="BodyText"/>
      </w:pPr>
      <w:r>
        <w:t xml:space="preserve">1.1.1 Cap ……………………………………………………………………………………………………… 109</w:t>
      </w:r>
      <w:r>
        <w:t xml:space="preserve"> </w:t>
      </w:r>
      <w:r>
        <w:t xml:space="preserve">2.1.1.</w:t>
      </w:r>
      <w:r>
        <w:t xml:space="preserve"> </w:t>
      </w:r>
      <w:r>
        <w:t xml:space="preserve">Carbon removals……………………………………………………………………………… 110</w:t>
      </w:r>
      <w:r>
        <w:t xml:space="preserve"> </w:t>
      </w:r>
      <w:r>
        <w:t xml:space="preserve">2.1.2.</w:t>
      </w:r>
      <w:r>
        <w:t xml:space="preserve"> </w:t>
      </w:r>
      <w:r>
        <w:t xml:space="preserve">Market Stability Reserve (MSR) ……………………………………………………… 112</w:t>
      </w:r>
      <w:r>
        <w:t xml:space="preserve"> </w:t>
      </w:r>
      <w:r>
        <w:t xml:space="preserve">2.2.</w:t>
      </w:r>
      <w:r>
        <w:t xml:space="preserve"> </w:t>
      </w:r>
      <w:r>
        <w:t xml:space="preserve">Instruments to support investments ……………………………………………………… 113</w:t>
      </w:r>
      <w:r>
        <w:t xml:space="preserve"> </w:t>
      </w:r>
      <w:r>
        <w:t xml:space="preserve">2.2.1.</w:t>
      </w:r>
      <w:r>
        <w:t xml:space="preserve"> </w:t>
      </w:r>
      <w:r>
        <w:t xml:space="preserve">Industrial Decarbonisation Bank ……………………………………………………… 113</w:t>
      </w:r>
      <w:r>
        <w:t xml:space="preserve"> </w:t>
      </w:r>
      <w:r>
        <w:t xml:space="preserve">2.2.2.</w:t>
      </w:r>
      <w:r>
        <w:t xml:space="preserve"> </w:t>
      </w:r>
      <w:r>
        <w:t xml:space="preserve">Modernisation Fund ………………………………………………………………………… 115</w:t>
      </w:r>
      <w:r>
        <w:t xml:space="preserve"> </w:t>
      </w:r>
      <w:r>
        <w:t xml:space="preserve">2.3.</w:t>
      </w:r>
      <w:r>
        <w:t xml:space="preserve"> </w:t>
      </w:r>
      <w:r>
        <w:t xml:space="preserve">Aviation ……………………………………………………………………………………………… 117</w:t>
      </w:r>
      <w:r>
        <w:t xml:space="preserve"> </w:t>
      </w:r>
      <w:r>
        <w:t xml:space="preserve">2.4.</w:t>
      </w:r>
      <w:r>
        <w:t xml:space="preserve"> </w:t>
      </w:r>
      <w:r>
        <w:t xml:space="preserve">Maritime……………………………………………………………………………………………… 119</w:t>
      </w:r>
      <w:r>
        <w:t xml:space="preserve"> </w:t>
      </w:r>
      <w:r>
        <w:t xml:space="preserve">2.5.</w:t>
      </w:r>
      <w:r>
        <w:t xml:space="preserve"> </w:t>
      </w:r>
      <w:r>
        <w:t xml:space="preserve">Stationary installations ………………………………………………………………………… 121</w:t>
      </w:r>
      <w:r>
        <w:t xml:space="preserve"> </w:t>
      </w:r>
      <w:r>
        <w:t xml:space="preserve">2.5.1.</w:t>
      </w:r>
      <w:r>
        <w:t xml:space="preserve"> </w:t>
      </w:r>
      <w:r>
        <w:t xml:space="preserve">Carbon leakage prevention measures for direct emissions ……………….. 121</w:t>
      </w:r>
      <w:r>
        <w:t xml:space="preserve"> </w:t>
      </w:r>
      <w:r>
        <w:t xml:space="preserve">2.5.2.</w:t>
      </w:r>
      <w:r>
        <w:t xml:space="preserve"> </w:t>
      </w:r>
      <w:r>
        <w:t xml:space="preserve">Carbon leakage prevention measures for indirect emissions ……………. 122</w:t>
      </w:r>
      <w:r>
        <w:t xml:space="preserve"> </w:t>
      </w:r>
      <w:r>
        <w:t xml:space="preserve">2.5.3.</w:t>
      </w:r>
      <w:r>
        <w:t xml:space="preserve"> </w:t>
      </w:r>
      <w:r>
        <w:t xml:space="preserve">20MW threshold ……………………………………………………………………………… 123</w:t>
      </w:r>
      <w:r>
        <w:t xml:space="preserve"> </w:t>
      </w:r>
      <w:r>
        <w:t xml:space="preserve">2.6.</w:t>
      </w:r>
      <w:r>
        <w:t xml:space="preserve"> </w:t>
      </w:r>
      <w:r>
        <w:t xml:space="preserve">Waste ………………………………………………………………………………………………….. 124</w:t>
      </w:r>
      <w:r>
        <w:t xml:space="preserve"> </w:t>
      </w:r>
      <w:r>
        <w:t xml:space="preserve">2.7.</w:t>
      </w:r>
      <w:r>
        <w:t xml:space="preserve"> </w:t>
      </w:r>
      <w:r>
        <w:t xml:space="preserve">CCU ……………………………………………………………………………………………………. 126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The Directorate-General (DG) for Climate Action has led the preparation of this initiative and</w:t>
      </w:r>
      <w:r>
        <w:t xml:space="preserve"> </w:t>
      </w:r>
      <w:r>
        <w:t xml:space="preserve">the work on the Impact Assessment in the European Commission. The planning entry was</w:t>
      </w:r>
      <w:r>
        <w:t xml:space="preserve"> </w:t>
      </w:r>
      <w:r>
        <w:t xml:space="preserve">approved in Decide Planning under the reference PLAN/2024/2770. It is included in the 2026</w:t>
      </w:r>
      <w:r>
        <w:t xml:space="preserve"> </w:t>
      </w:r>
      <w:r>
        <w:t xml:space="preserve">Commission Work Programme1 under the headline ambition A new plan for Europe’s</w:t>
      </w:r>
      <w:r>
        <w:t xml:space="preserve"> </w:t>
      </w:r>
      <w:r>
        <w:t xml:space="preserve">sustainable prosperity and competitiveness and the policy objective Climate.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planned adoption date (Q3 2026) was included in the Commission Work Programme.</w:t>
      </w:r>
      <w:r>
        <w:t xml:space="preserve"> </w:t>
      </w:r>
      <w:r>
        <w:t xml:space="preserve">The Open Public Consultation was online between 14 April 2025 and 08 July 2025.</w:t>
      </w:r>
      <w:r>
        <w:br/>
      </w:r>
      <w:r>
        <w:t xml:space="preserve">An inter-service steering group (ISSG) was established in October 2024 to prepare this</w:t>
      </w:r>
      <w:r>
        <w:t xml:space="preserve"> </w:t>
      </w:r>
      <w:r>
        <w:t xml:space="preserve">initiative. Its members were: SG, LS, AGRI, BUDG, COMM, COMP, CNECT, DEFIS, DGT,</w:t>
      </w:r>
      <w:r>
        <w:t xml:space="preserve"> </w:t>
      </w:r>
      <w:r>
        <w:t xml:space="preserve">DIGIT, EAC, ECFIN, ECHO, EEAS, EMPL, ENER, ENV, ESTAT, FISMA, FPI, GROW,</w:t>
      </w:r>
      <w:r>
        <w:t xml:space="preserve"> </w:t>
      </w:r>
      <w:r>
        <w:t xml:space="preserve">HOME, HR, IDEA, INTPA, JRC, JUST, MARE, MENA, MOVE, NEAR, OLAF, REFORM,</w:t>
      </w:r>
      <w:r>
        <w:t xml:space="preserve"> </w:t>
      </w:r>
      <w:r>
        <w:t xml:space="preserve">REGIO, RTD, SANTE, TAXUD and TRADE. The ISSG met five times in the period from</w:t>
      </w:r>
      <w:r>
        <w:t xml:space="preserve"> </w:t>
      </w:r>
      <w:r>
        <w:t xml:space="preserve">November 2024 until adoption. On 20 November 2024 it discussed the draft Call for</w:t>
      </w:r>
      <w:r>
        <w:t xml:space="preserve"> </w:t>
      </w:r>
      <w:r>
        <w:t xml:space="preserve">Evidence, Stakeholder consultation strategy and questionnaires for the Open Public</w:t>
      </w:r>
      <w:r>
        <w:t xml:space="preserve"> </w:t>
      </w:r>
      <w:r>
        <w:t xml:space="preserve">Consultations, on 10 March 2025 the aviation study inception report, on 3 July 2025 the</w:t>
      </w:r>
      <w:r>
        <w:t xml:space="preserve"> </w:t>
      </w:r>
      <w:r>
        <w:t xml:space="preserve">measures assessed in the Impact Assessment draft, and on 28 January 2026 the policy options.</w:t>
      </w:r>
      <w:r>
        <w:t xml:space="preserve"> </w:t>
      </w:r>
      <w:r>
        <w:t xml:space="preserve">The Interservice Consultation was launched on 19 June 2026 and closed on 1 July 2026.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An upstream orientation meeting on the review of the EU ETS for maritime, aviation and</w:t>
      </w:r>
      <w:r>
        <w:t xml:space="preserve"> </w:t>
      </w:r>
      <w:r>
        <w:t xml:space="preserve">stationary installations, and of the Market Stability Reserve was held in October 2025. A draft</w:t>
      </w:r>
      <w:r>
        <w:t xml:space="preserve"> </w:t>
      </w:r>
      <w:r>
        <w:t xml:space="preserve">Evaluation and Impact Assessment were submitted to the Regulatory Scrutiny Board (RSB)</w:t>
      </w:r>
      <w:r>
        <w:t xml:space="preserve"> </w:t>
      </w:r>
      <w:r>
        <w:t xml:space="preserve">on 23 March 2026. Following the RSB meeting on 15 April 2026, a positive opinion with</w:t>
      </w:r>
      <w:r>
        <w:t xml:space="preserve"> </w:t>
      </w:r>
      <w:r>
        <w:t xml:space="preserve">comments was issued on 17 April 2026.</w:t>
      </w:r>
      <w:r>
        <w:br/>
      </w:r>
      <w:r>
        <w:t xml:space="preserve">The RSB’s recommendations for improvement have been addressed as presented below.</w:t>
      </w:r>
      <w:r>
        <w:t xml:space="preserve"> </w:t>
      </w:r>
      <w:r>
        <w:t xml:space="preserve">Evaluation:</w:t>
      </w:r>
      <w:r>
        <w:t xml:space="preserve"> </w:t>
      </w:r>
      <w:r>
        <w:t xml:space="preserve">1) What benefits and costs can be attributed to the EU ETS over the evaluation period? What</w:t>
      </w:r>
      <w:r>
        <w:t xml:space="preserve"> </w:t>
      </w:r>
      <w:r>
        <w:t xml:space="preserve">is the cost pass-through and distribution of costs and benefits? With regards to energy intensive</w:t>
      </w:r>
      <w:r>
        <w:t xml:space="preserve"> </w:t>
      </w:r>
      <w:r>
        <w:t xml:space="preserve">industries, how could the analysis, conclusions and lessons learned be strengthened regarding</w:t>
      </w:r>
      <w:r>
        <w:t xml:space="preserve"> </w:t>
      </w:r>
      <w:r>
        <w:t xml:space="preserve">the carbon price signal to provide incentive(s) to decarbonise? What were marginal abatement</w:t>
      </w:r>
      <w:r>
        <w:t xml:space="preserve"> </w:t>
      </w:r>
      <w:r>
        <w:t xml:space="preserve">costs and what carbon price levels were needed to incentivise decarbonisation in different</w:t>
      </w:r>
      <w:r>
        <w:t xml:space="preserve"> </w:t>
      </w:r>
      <w:r>
        <w:t xml:space="preserve">sectors? How could the results of the evaluation be better used in the impact assessment, in</w:t>
      </w:r>
      <w:r>
        <w:t xml:space="preserve"> </w:t>
      </w:r>
      <w:r>
        <w:t xml:space="preserve">particular for the design of the policy options?</w:t>
      </w:r>
      <w:r>
        <w:br/>
      </w:r>
      <w:r>
        <w:t xml:space="preserve">• We have presented the findings on benefits and costs in more detail throughout the</w:t>
      </w:r>
      <w:r>
        <w:t xml:space="preserve"> </w:t>
      </w:r>
      <w:r>
        <w:t xml:space="preserve">evaluation report, including insights for sectors in Appendix III, section 8.3.4.2., and</w:t>
      </w:r>
      <w:r>
        <w:t xml:space="preserve"> </w:t>
      </w:r>
      <w:r>
        <w:t xml:space="preserve">downstream implications in terms of competitiveness and investment decisions in</w:t>
      </w:r>
      <w:r>
        <w:t xml:space="preserve"> </w:t>
      </w:r>
      <w:r>
        <w:t xml:space="preserve">Appendix III, section 8.3.4.5.</w:t>
      </w:r>
      <w:r>
        <w:t xml:space="preserve"> </w:t>
      </w:r>
      <w:r>
        <w:t xml:space="preserve">• We have included an overview table of costs and benefits in Appendix IV.</w:t>
      </w:r>
    </w:p>
    <w:p>
      <w:pPr>
        <w:pStyle w:val="BodyText"/>
      </w:pPr>
      <w:r>
        <w:t xml:space="preserve">1</w:t>
      </w:r>
      <w:r>
        <w:br/>
      </w:r>
      <w:r>
        <w:t xml:space="preserve">COM/2025/870 final</w:t>
      </w:r>
    </w:p>
    <w:p>
      <w:pPr>
        <w:pStyle w:val="BodyText"/>
      </w:pPr>
      <w:r>
        <w:t xml:space="preserve">• The presentation of findings and conclusions in the Evaluation Report has been</w:t>
      </w:r>
      <w:r>
        <w:t xml:space="preserve"> </w:t>
      </w:r>
      <w:r>
        <w:t xml:space="preserve">improved to enhance clarity.</w:t>
      </w:r>
      <w:r>
        <w:t xml:space="preserve"> </w:t>
      </w:r>
      <w:r>
        <w:t xml:space="preserve">• Section 4.1.1.1.2. has been improved with more detail on abatement costs of the main</w:t>
      </w:r>
      <w:r>
        <w:t xml:space="preserve"> </w:t>
      </w:r>
      <w:r>
        <w:t xml:space="preserve">sectors, complementary support measures in place, and effects of exposure to the carbon</w:t>
      </w:r>
      <w:r>
        <w:t xml:space="preserve"> </w:t>
      </w:r>
      <w:r>
        <w:t xml:space="preserve">price signal.</w:t>
      </w:r>
      <w:r>
        <w:t xml:space="preserve"> </w:t>
      </w:r>
      <w:r>
        <w:t xml:space="preserve">• The presentation and conclusions have been improved to strengthen clarity on the</w:t>
      </w:r>
      <w:r>
        <w:t xml:space="preserve"> </w:t>
      </w:r>
      <w:r>
        <w:t xml:space="preserve">evaluation of carbon leakage prevention in Appendix III, section 8.3., and the analysis</w:t>
      </w:r>
      <w:r>
        <w:t xml:space="preserve"> </w:t>
      </w:r>
      <w:r>
        <w:t xml:space="preserve">on suitability of coverage of sectors.</w:t>
      </w:r>
      <w:r>
        <w:t xml:space="preserve"> </w:t>
      </w:r>
      <w:r>
        <w:t xml:space="preserve">• The findings of the evaluation have been integrated in the problem definition (e.g. P1</w:t>
      </w:r>
      <w:r>
        <w:t xml:space="preserve"> </w:t>
      </w:r>
      <w:r>
        <w:t xml:space="preserve">and D2), measures and policy options in the impact assessment (e.g. on free allocation,</w:t>
      </w:r>
      <w:r>
        <w:t xml:space="preserve"> </w:t>
      </w:r>
      <w:r>
        <w:t xml:space="preserve">Modernisation and Innovation Fund).</w:t>
      </w:r>
      <w:r>
        <w:br/>
      </w:r>
      <w:r>
        <w:t xml:space="preserve">Impact assessment:</w:t>
      </w:r>
      <w:r>
        <w:t xml:space="preserve"> </w:t>
      </w:r>
      <w:r>
        <w:t xml:space="preserve">2) How could the definition of the problem[s] be strengthened and made clearer as regards</w:t>
      </w:r>
      <w:r>
        <w:t xml:space="preserve"> </w:t>
      </w:r>
      <w:r>
        <w:t xml:space="preserve">the constraints stemming from the 2040 EU climate target? How can the specific objectives be</w:t>
      </w:r>
      <w:r>
        <w:t xml:space="preserve"> </w:t>
      </w:r>
      <w:r>
        <w:t xml:space="preserve">formulated in SMART terms, better reflecting available evidence? How is cost-effectiveness</w:t>
      </w:r>
      <w:r>
        <w:t xml:space="preserve"> </w:t>
      </w:r>
      <w:r>
        <w:t xml:space="preserve">defined and to which timeframe does it apply? How can the intervention logic and the causal</w:t>
      </w:r>
      <w:r>
        <w:t xml:space="preserve"> </w:t>
      </w:r>
      <w:r>
        <w:t xml:space="preserve">link between the problems and policy options be improved? What is the most appropriate</w:t>
      </w:r>
      <w:r>
        <w:t xml:space="preserve"> </w:t>
      </w:r>
      <w:r>
        <w:t xml:space="preserve">baseline scenario to assess the policy measures and options?</w:t>
      </w:r>
      <w:r>
        <w:t xml:space="preserve"> </w:t>
      </w:r>
      <w:r>
        <w:t xml:space="preserve">• We have strengthened the analysis on the marginal abatement costs for ETS1 sectors</w:t>
      </w:r>
      <w:r>
        <w:t xml:space="preserve"> </w:t>
      </w:r>
      <w:r>
        <w:t xml:space="preserve">compared to the carbon price as a basis to quantify driver D1.</w:t>
      </w:r>
      <w:r>
        <w:t xml:space="preserve"> </w:t>
      </w:r>
      <w:r>
        <w:t xml:space="preserve">• We have included a general explanation of the Technological Readiness Levels of</w:t>
      </w:r>
      <w:r>
        <w:t xml:space="preserve"> </w:t>
      </w:r>
      <w:r>
        <w:t xml:space="preserve">technologies assumed in the models, in addition to more information regarding the</w:t>
      </w:r>
      <w:r>
        <w:t xml:space="preserve"> </w:t>
      </w:r>
      <w:r>
        <w:t xml:space="preserve">economic viability of needed technologies at current and expected price levels.</w:t>
      </w:r>
      <w:r>
        <w:t xml:space="preserve"> </w:t>
      </w:r>
      <w:r>
        <w:t xml:space="preserve">• The quantification of driver D1.2, D2 and D3 has been strengthened regarding the size</w:t>
      </w:r>
      <w:r>
        <w:t xml:space="preserve"> </w:t>
      </w:r>
      <w:r>
        <w:t xml:space="preserve">of the financing gap, free allocation, the 20MW threshold, maritime and aviation.</w:t>
      </w:r>
      <w:r>
        <w:t xml:space="preserve"> </w:t>
      </w:r>
      <w:r>
        <w:t xml:space="preserve">• We have clarified that the impact assessment examines various trajectories reflecting a</w:t>
      </w:r>
      <w:r>
        <w:t xml:space="preserve"> </w:t>
      </w:r>
      <w:r>
        <w:t xml:space="preserve">commensurate and cost-effective ETS-contribution to the overall 2040 target in the</w:t>
      </w:r>
      <w:r>
        <w:t xml:space="preserve"> </w:t>
      </w:r>
      <w:r>
        <w:t xml:space="preserve">Climate Law, always starting from alignment between the EU ETS and the 2040 target.</w:t>
      </w:r>
      <w:r>
        <w:t xml:space="preserve"> </w:t>
      </w:r>
      <w:r>
        <w:t xml:space="preserve">• Annex 7 has been further developed to better reflect the assessment criteria in the</w:t>
      </w:r>
      <w:r>
        <w:t xml:space="preserve"> </w:t>
      </w:r>
      <w:r>
        <w:t xml:space="preserve">definition of the objectives, with the objectives formulated as measurable to assess cost-</w:t>
      </w:r>
      <w:r>
        <w:t xml:space="preserve"> </w:t>
      </w:r>
      <w:r>
        <w:t xml:space="preserve">effectiveness in the relevant period.</w:t>
      </w:r>
      <w:r>
        <w:t xml:space="preserve"> </w:t>
      </w:r>
      <w:r>
        <w:t xml:space="preserve">• We have clarified the causal link between the problems and policy options in the</w:t>
      </w:r>
      <w:r>
        <w:t xml:space="preserve"> </w:t>
      </w:r>
      <w:r>
        <w:t xml:space="preserve">intervention logic and analysis throughout the report.</w:t>
      </w:r>
      <w:r>
        <w:br/>
      </w:r>
      <w:r>
        <w:t xml:space="preserve">• We have clarified the explanations on the use of the baseline and the 85% scenario in</w:t>
      </w:r>
      <w:r>
        <w:t xml:space="preserve"> </w:t>
      </w:r>
      <w:r>
        <w:t xml:space="preserve">the main report, as well as in Annex 4, section 2.2.</w:t>
      </w:r>
      <w:r>
        <w:t xml:space="preserve"> </w:t>
      </w:r>
      <w:r>
        <w:t xml:space="preserve">• We have clarified the choices made in deciding the appropriate baseline in section 5.1,</w:t>
      </w:r>
      <w:r>
        <w:t xml:space="preserve"> </w:t>
      </w:r>
      <w:r>
        <w:t xml:space="preserve">including the justification for the exceptions to the legal default for free allocation</w:t>
      </w:r>
      <w:r>
        <w:t xml:space="preserve"> </w:t>
      </w:r>
      <w:r>
        <w:t xml:space="preserve">provisions and IDB, as well as the MSR0 scenario in addition to the baseline for the</w:t>
      </w:r>
      <w:r>
        <w:t xml:space="preserve"> </w:t>
      </w:r>
      <w:r>
        <w:t xml:space="preserve">MSR.</w:t>
      </w:r>
      <w:r>
        <w:t xml:space="preserve"> </w:t>
      </w:r>
      <w:r>
        <w:t xml:space="preserve">3) How can the report better present the rationale for packaging the measures into the policy</w:t>
      </w:r>
      <w:r>
        <w:t xml:space="preserve"> </w:t>
      </w:r>
      <w:r>
        <w:t xml:space="preserve">options? How are the policy measures expected to interact with each other? How could the</w:t>
      </w:r>
      <w:r>
        <w:t xml:space="preserve"> </w:t>
      </w:r>
      <w:r>
        <w:t xml:space="preserve">impacts of the policy options be modelled?</w:t>
      </w:r>
      <w:r>
        <w:t xml:space="preserve"> </w:t>
      </w:r>
      <w:r>
        <w:t xml:space="preserve">• We have clarified the approach to model the impacts of each policy measures and the</w:t>
      </w:r>
      <w:r>
        <w:t xml:space="preserve"> </w:t>
      </w:r>
      <w:r>
        <w:t xml:space="preserve">effects of their interaction. A more detailed overview has been included in Section 7 of</w:t>
      </w:r>
      <w:r>
        <w:t xml:space="preserve"> </w:t>
      </w:r>
      <w:r>
        <w:t xml:space="preserve">the main report to enhance the overview of the combined impact of the policy options.</w:t>
      </w:r>
    </w:p>
    <w:p>
      <w:pPr>
        <w:pStyle w:val="BodyText"/>
      </w:pPr>
      <w:r>
        <w:t xml:space="preserve">• We have reinforced the qualitative and quantitative assessment of synergies and</w:t>
      </w:r>
      <w:r>
        <w:t xml:space="preserve"> </w:t>
      </w:r>
      <w:r>
        <w:t xml:space="preserve">interactions between the IDB, free (conditional) allowances and indirect cost</w:t>
      </w:r>
      <w:r>
        <w:t xml:space="preserve"> </w:t>
      </w:r>
      <w:r>
        <w:t xml:space="preserve">compensation.</w:t>
      </w:r>
      <w:r>
        <w:t xml:space="preserve"> </w:t>
      </w:r>
      <w:r>
        <w:t xml:space="preserve">• We have expanded on the interaction between the development of marginal abatement</w:t>
      </w:r>
      <w:r>
        <w:t xml:space="preserve"> </w:t>
      </w:r>
      <w:r>
        <w:t xml:space="preserve">costs and complementary enabling conditions to clarify the development of overall</w:t>
      </w:r>
      <w:r>
        <w:t xml:space="preserve"> </w:t>
      </w:r>
      <w:r>
        <w:t xml:space="preserve">investment needs, in addition to clarifying uncertainties in the Potencia model.</w:t>
      </w:r>
      <w:r>
        <w:t xml:space="preserve"> </w:t>
      </w:r>
      <w:r>
        <w:t xml:space="preserve">4) How to properly account for the costs and the benefits of the preferred option vis-à-vis the</w:t>
      </w:r>
      <w:r>
        <w:t xml:space="preserve"> </w:t>
      </w:r>
      <w:r>
        <w:t xml:space="preserve">baseline? What are the administrative and the adjustment costs of the preferred option? What</w:t>
      </w:r>
      <w:r>
        <w:t xml:space="preserve"> </w:t>
      </w:r>
      <w:r>
        <w:t xml:space="preserve">is the distribution of costs and benefits? How could the analyses of both competitiveness and</w:t>
      </w:r>
      <w:r>
        <w:t xml:space="preserve"> </w:t>
      </w:r>
      <w:r>
        <w:t xml:space="preserve">affordability be improved? How could the report be clearer regarding the key assumptions, in</w:t>
      </w:r>
      <w:r>
        <w:t xml:space="preserve"> </w:t>
      </w:r>
      <w:r>
        <w:t xml:space="preserve">particular related to technologies and investment behaviour? How do the analyses deal with</w:t>
      </w:r>
      <w:r>
        <w:t xml:space="preserve"> </w:t>
      </w:r>
      <w:r>
        <w:t xml:space="preserve">the uncertainty of key assumptions?</w:t>
      </w:r>
      <w:r>
        <w:t xml:space="preserve"> </w:t>
      </w:r>
      <w:r>
        <w:t xml:space="preserve">• We have more clearly distinguished the costs and benefits stemming from the baseline</w:t>
      </w:r>
      <w:r>
        <w:t xml:space="preserve"> </w:t>
      </w:r>
      <w:r>
        <w:t xml:space="preserve">from those incurred due to the policy options, for those topics where the baseline</w:t>
      </w:r>
      <w:r>
        <w:t xml:space="preserve"> </w:t>
      </w:r>
      <w:r>
        <w:t xml:space="preserve">includes a continuation of the policy.</w:t>
      </w:r>
      <w:r>
        <w:t xml:space="preserve"> </w:t>
      </w:r>
      <w:r>
        <w:t xml:space="preserve">• Costs and benefits of the preferred option have been quantified in Annex 3 on an issue-</w:t>
      </w:r>
      <w:r>
        <w:t xml:space="preserve"> </w:t>
      </w:r>
      <w:r>
        <w:t xml:space="preserve">by-issue basis to provide greater transparency in view of the preferred option being a</w:t>
      </w:r>
      <w:r>
        <w:t xml:space="preserve"> </w:t>
      </w:r>
      <w:r>
        <w:t xml:space="preserve">collection of different components.</w:t>
      </w:r>
      <w:r>
        <w:t xml:space="preserve"> </w:t>
      </w:r>
      <w:r>
        <w:t xml:space="preserve">• Due to the heterogeneous nature and differences in the focus and level of detail of the</w:t>
      </w:r>
      <w:r>
        <w:t xml:space="preserve"> </w:t>
      </w:r>
      <w:r>
        <w:t xml:space="preserve">quantitative analysis across different topics, as well as the dependence on future</w:t>
      </w:r>
      <w:r>
        <w:t xml:space="preserve"> </w:t>
      </w:r>
      <w:r>
        <w:t xml:space="preserve">implementing measures (notably the design of future MRV requirements) in certain</w:t>
      </w:r>
      <w:r>
        <w:t xml:space="preserve"> </w:t>
      </w:r>
      <w:r>
        <w:t xml:space="preserve">cases, it has not been possible to monetise the aggregated costs and benefits of the</w:t>
      </w:r>
      <w:r>
        <w:t xml:space="preserve"> </w:t>
      </w:r>
      <w:r>
        <w:t xml:space="preserve">preferred option.</w:t>
      </w:r>
      <w:r>
        <w:t xml:space="preserve"> </w:t>
      </w:r>
      <w:r>
        <w:t xml:space="preserve">• For the analysis on competitiveness and affordability, we have included concrete</w:t>
      </w:r>
      <w:r>
        <w:t xml:space="preserve"> </w:t>
      </w:r>
      <w:r>
        <w:t xml:space="preserve">references to the analysis of the 2040 climate target impact assessment and further</w:t>
      </w:r>
      <w:r>
        <w:t xml:space="preserve"> </w:t>
      </w:r>
      <w:r>
        <w:t xml:space="preserve">developed the impact assessment of the IDB in these terms. In addition, the report</w:t>
      </w:r>
      <w:r>
        <w:t xml:space="preserve"> </w:t>
      </w:r>
      <w:r>
        <w:t xml:space="preserve">further clarifies the complementary role of other policies which go beyond the remit of</w:t>
      </w:r>
      <w:r>
        <w:t xml:space="preserve"> </w:t>
      </w:r>
      <w:r>
        <w:t xml:space="preserve">the EU ETS and will be assessed in more detail in those respective areas.</w:t>
      </w:r>
      <w:r>
        <w:t xml:space="preserve"> </w:t>
      </w:r>
      <w:r>
        <w:t xml:space="preserve">• Annex 4 has been updated with more information on key assumptions and</w:t>
      </w:r>
      <w:r>
        <w:t xml:space="preserve"> </w:t>
      </w:r>
      <w:r>
        <w:t xml:space="preserve">preconditions (infrastructure, technology development) for the target to be reached.</w:t>
      </w:r>
      <w:r>
        <w:t xml:space="preserve"> </w:t>
      </w:r>
      <w:r>
        <w:t xml:space="preserve">5) How can the report become clearer and more accessible, considering that the main impact</w:t>
      </w:r>
      <w:r>
        <w:t xml:space="preserve"> </w:t>
      </w:r>
      <w:r>
        <w:t xml:space="preserve">assessment report builds on the several sub-impact assessments provided in annexes? In this</w:t>
      </w:r>
      <w:r>
        <w:t xml:space="preserve"> </w:t>
      </w:r>
      <w:r>
        <w:t xml:space="preserve">respect, ow can the report improve the logic of building the different policy options for the ETS</w:t>
      </w:r>
      <w:r>
        <w:t xml:space="preserve"> </w:t>
      </w:r>
      <w:r>
        <w:t xml:space="preserve">review?</w:t>
      </w:r>
      <w:r>
        <w:t xml:space="preserve"> </w:t>
      </w:r>
      <w:r>
        <w:t xml:space="preserve">• We have reviewed and improved the clarify of the overall narrative in the main report,</w:t>
      </w:r>
      <w:r>
        <w:t xml:space="preserve"> </w:t>
      </w:r>
      <w:r>
        <w:t xml:space="preserve">in addition to including bracketed references to more detailed information in the</w:t>
      </w:r>
      <w:r>
        <w:t xml:space="preserve"> </w:t>
      </w:r>
      <w:r>
        <w:t xml:space="preserve">annexes where relevant.</w:t>
      </w:r>
      <w:r>
        <w:t xml:space="preserve"> </w:t>
      </w:r>
      <w:r>
        <w:t xml:space="preserve">• We have included a visual representation of the functioning of the EU ETS and its role</w:t>
      </w:r>
      <w:r>
        <w:t xml:space="preserve"> </w:t>
      </w:r>
      <w:r>
        <w:t xml:space="preserve">within the relevant climate and energy policy framework.</w:t>
      </w:r>
      <w:r>
        <w:t xml:space="preserve"> </w:t>
      </w:r>
      <w:r>
        <w:t xml:space="preserve">• A description of the logic behind the combination of measures into three policy options,</w:t>
      </w:r>
      <w:r>
        <w:t xml:space="preserve"> </w:t>
      </w:r>
      <w:r>
        <w:t xml:space="preserve">the key trade-offs between the options and the measures that drive their overall impact</w:t>
      </w:r>
      <w:r>
        <w:t xml:space="preserve"> </w:t>
      </w:r>
      <w:r>
        <w:t xml:space="preserve">has been included in section 5.2. of the main report.</w:t>
      </w:r>
    </w:p>
    <w:p>
      <w:pPr>
        <w:pStyle w:val="Compact"/>
        <w:numPr>
          <w:ilvl w:val="0"/>
          <w:numId w:val="1001"/>
        </w:numPr>
      </w:pPr>
      <w:r>
        <w:t xml:space="preserve">EVIDENCE, SOURCES AND QUALITY</w:t>
      </w:r>
      <w:r>
        <w:t xml:space="preserve"> </w:t>
      </w:r>
      <w:r>
        <w:t xml:space="preserve">This initiative builds upon evidence gathered in the Impact Assessment for the previous ETS</w:t>
      </w:r>
      <w:r>
        <w:t xml:space="preserve"> </w:t>
      </w:r>
      <w:r>
        <w:t xml:space="preserve">revision2 concluded in 2023, the Impact Assessment accompanying the 2040 Climate Target</w:t>
      </w:r>
      <w:r>
        <w:t xml:space="preserve"> </w:t>
      </w:r>
      <w:r>
        <w:t xml:space="preserve">Communication and Proposal3 and any relevant evidence compiled in other concurrent</w:t>
      </w:r>
      <w:r>
        <w:t xml:space="preserve"> </w:t>
      </w:r>
      <w:r>
        <w:t xml:space="preserve">initiatives. It builds on emissions data and experiences from the implementation of the EU</w:t>
      </w:r>
      <w:r>
        <w:t xml:space="preserve"> </w:t>
      </w:r>
      <w:r>
        <w:t xml:space="preserve">monitoring, reporting and verification systems. It makes use of modelling scenarios using</w:t>
      </w:r>
      <w:r>
        <w:t xml:space="preserve"> </w:t>
      </w:r>
      <w:r>
        <w:t xml:space="preserve">PRIMES, GEM-E3 and POLES models, as described in Annex 4 on Modelling and analytical</w:t>
      </w:r>
      <w:r>
        <w:t xml:space="preserve"> </w:t>
      </w:r>
      <w:r>
        <w:t xml:space="preserve">methods. In addition, it makes uses of several support contracts. Concerning the maritime and</w:t>
      </w:r>
      <w:r>
        <w:t xml:space="preserve"> </w:t>
      </w:r>
      <w:r>
        <w:t xml:space="preserve">aviation sectors, sector-specific studies were carried out by Ricardo4. Further information on</w:t>
      </w:r>
      <w:r>
        <w:t xml:space="preserve"> </w:t>
      </w:r>
      <w:r>
        <w:t xml:space="preserve">evidence, scenarios and sources is provided in Annexes 2 and 4.</w:t>
      </w:r>
    </w:p>
    <w:p>
      <w:pPr>
        <w:pStyle w:val="FirstParagraph"/>
      </w:pPr>
      <w:r>
        <w:t xml:space="preserve">2</w:t>
      </w:r>
      <w:r>
        <w:br/>
      </w:r>
      <w:r>
        <w:t xml:space="preserve">SWD(2021) 601</w:t>
      </w:r>
      <w:r>
        <w:t xml:space="preserve"> </w:t>
      </w:r>
      <w:r>
        <w:t xml:space="preserve">3</w:t>
      </w:r>
      <w:r>
        <w:br/>
      </w:r>
      <w:r>
        <w:t xml:space="preserve">SWD(2024) 63</w:t>
      </w:r>
      <w:r>
        <w:t xml:space="preserve"> </w:t>
      </w:r>
      <w:r>
        <w:t xml:space="preserve">4</w:t>
      </w:r>
      <w:r>
        <w:br/>
      </w:r>
      <w:r>
        <w:t xml:space="preserve">Ricardo (forthcoming). Support for the 2026 review of the ETS directive for maritime, report prepared for</w:t>
      </w:r>
      <w:r>
        <w:t xml:space="preserve"> </w:t>
      </w:r>
      <w:r>
        <w:t xml:space="preserve">DG CLIMA, (forthcoming);</w:t>
      </w:r>
      <w:r>
        <w:br/>
      </w:r>
      <w:r>
        <w:t xml:space="preserve">Ricardo et al., (2024). Supporting study for the implementation of the ETS Directive and MRV requirements</w:t>
      </w:r>
      <w:r>
        <w:t xml:space="preserve"> </w:t>
      </w:r>
      <w:r>
        <w:t xml:space="preserve">for maritime transport”, and more specifically “MRV maritime evaluation support” part (forthcoming):</w:t>
      </w:r>
      <w:r>
        <w:br/>
      </w:r>
      <w:r>
        <w:t xml:space="preserve">Ricardo (forthcoming) Opportunities of the Green Transition for the EU Maritime Industry and Value Chain.</w:t>
      </w:r>
      <w:r>
        <w:t xml:space="preserve"> </w:t>
      </w:r>
      <w:r>
        <w:t xml:space="preserve">Ricardo (forthcoming). Support for the review by the Commission concerning the implementation of ICAO’s</w:t>
      </w:r>
      <w:r>
        <w:t xml:space="preserve"> </w:t>
      </w:r>
      <w:r>
        <w:t xml:space="preserve">CORSIA, and for Commission reports on certain types of flights, social impacts, and air connectivity of</w:t>
      </w:r>
      <w:r>
        <w:t xml:space="preserve"> </w:t>
      </w:r>
      <w:r>
        <w:t xml:space="preserve">islands, remote territories and Iceland, prepared for DG CLIMA.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As part of the back-to-back evaluation and impact assessment to support the revision of the EU</w:t>
      </w:r>
      <w:r>
        <w:t xml:space="preserve"> </w:t>
      </w:r>
      <w:r>
        <w:t xml:space="preserve">ETS Directive and the Market Stability Reserve (MSR) Decision, the Commission carried out</w:t>
      </w:r>
      <w:r>
        <w:t xml:space="preserve"> </w:t>
      </w:r>
      <w:r>
        <w:t xml:space="preserve">a series of consultation activities5. The scope of the consultation consisted of an evaluation of</w:t>
      </w:r>
      <w:r>
        <w:t xml:space="preserve"> </w:t>
      </w:r>
      <w:r>
        <w:t xml:space="preserve">the current framework and an impact assessment on a wide range of options for provisions</w:t>
      </w:r>
      <w:r>
        <w:t xml:space="preserve"> </w:t>
      </w:r>
      <w:r>
        <w:t xml:space="preserve">subject to review. In particular, the main objective of the consultation was to gather stakeholder</w:t>
      </w:r>
      <w:r>
        <w:t xml:space="preserve"> </w:t>
      </w:r>
      <w:r>
        <w:t xml:space="preserve">views on the aviation and maritime sectors, carbon leakage, carbon removals, municipal waste</w:t>
      </w:r>
      <w:r>
        <w:t xml:space="preserve"> </w:t>
      </w:r>
      <w:r>
        <w:t xml:space="preserve">incineration (MWI), non-permanent carbon capture and use (CCU), thermal input thresholds,</w:t>
      </w:r>
      <w:r>
        <w:t xml:space="preserve"> </w:t>
      </w:r>
      <w:r>
        <w:t xml:space="preserve">linking with other carbon markets, and the Market Stability Reserve. The consultation further</w:t>
      </w:r>
      <w:r>
        <w:t xml:space="preserve"> </w:t>
      </w:r>
      <w:r>
        <w:t xml:space="preserve">examined the use of revenues and low-carbon support mechanisms. The Commission also</w:t>
      </w:r>
      <w:r>
        <w:t xml:space="preserve"> </w:t>
      </w:r>
      <w:r>
        <w:t xml:space="preserve">looked for inputs on possible simplification measures.</w:t>
      </w:r>
      <w:r>
        <w:br/>
      </w:r>
      <w:r>
        <w:t xml:space="preserve">The Commission organised an open public consultation (OPC) via an online survey. The OPC</w:t>
      </w:r>
      <w:r>
        <w:t xml:space="preserve"> </w:t>
      </w:r>
      <w:r>
        <w:t xml:space="preserve">was open for 12 weeks, in line with the Better Regulation Guidelines, from 15 April to 8 July</w:t>
      </w:r>
      <w:r>
        <w:t xml:space="preserve"> </w:t>
      </w:r>
      <w:r>
        <w:t xml:space="preserve">2025. The questionnaire contained 61 questions, mainly multiple-choice questions but with the</w:t>
      </w:r>
      <w:r>
        <w:t xml:space="preserve"> </w:t>
      </w:r>
      <w:r>
        <w:t xml:space="preserve">possibility to elaborate on the given response.</w:t>
      </w:r>
      <w:r>
        <w:t xml:space="preserve"> </w:t>
      </w:r>
      <w:r>
        <w:t xml:space="preserve">During the open public consultation period, position papers and feedback to the Call for</w:t>
      </w:r>
      <w:r>
        <w:t xml:space="preserve"> </w:t>
      </w:r>
      <w:r>
        <w:t xml:space="preserve">evidence could also be submitted. In addition, targeted interviews were conducted to gather</w:t>
      </w:r>
      <w:r>
        <w:t xml:space="preserve"> </w:t>
      </w:r>
      <w:r>
        <w:t xml:space="preserve">more detailed information from specific stakeholder groups.</w:t>
      </w:r>
      <w:r>
        <w:br/>
      </w:r>
      <w:r>
        <w:t xml:space="preserve">The Commission engaged a contractor6 to analyse the results of the online survey, feedback on</w:t>
      </w:r>
      <w:r>
        <w:t xml:space="preserve"> </w:t>
      </w:r>
      <w:r>
        <w:t xml:space="preserve">the call for evidence and stakeholder interviews. The results are summarised below based on</w:t>
      </w:r>
      <w:r>
        <w:t xml:space="preserve"> </w:t>
      </w:r>
      <w:r>
        <w:t xml:space="preserve">the report provided by the contractor.</w:t>
      </w:r>
      <w:r>
        <w:br/>
      </w:r>
      <w:r>
        <w:t xml:space="preserve">The Commission also instructed contractors7 to collect views and inputs on the implementation</w:t>
      </w:r>
      <w:r>
        <w:t xml:space="preserve"> </w:t>
      </w:r>
      <w:r>
        <w:t xml:space="preserve">of MRVA rules for stationary installations and maritime operators through detailed</w:t>
      </w:r>
      <w:r>
        <w:t xml:space="preserve"> </w:t>
      </w:r>
      <w:r>
        <w:t xml:space="preserve">questionnaires. The outcome of the study will be reflected in the MRVA related sections of</w:t>
      </w:r>
      <w:r>
        <w:t xml:space="preserve"> </w:t>
      </w:r>
      <w:r>
        <w:t xml:space="preserve">evaluation report.</w:t>
      </w:r>
      <w:r>
        <w:br/>
      </w:r>
      <w:r>
        <w:t xml:space="preserve">In addition, the Commission participated in multiple (virtual) bilateral and multilateral</w:t>
      </w:r>
      <w:r>
        <w:t xml:space="preserve"> </w:t>
      </w:r>
      <w:r>
        <w:t xml:space="preserve">stakeholder meetings to discuss the revision of the ETS, including with companies and business</w:t>
      </w:r>
      <w:r>
        <w:t xml:space="preserve"> </w:t>
      </w:r>
      <w:r>
        <w:t xml:space="preserve">associations across different sectors, trade unions, non-governmental organisations (NGOs)</w:t>
      </w:r>
      <w:r>
        <w:t xml:space="preserve"> </w:t>
      </w:r>
      <w:r>
        <w:t xml:space="preserve">and public authorities of Member States. The Commission also participated in several virtual</w:t>
      </w:r>
      <w:r>
        <w:t xml:space="preserve"> </w:t>
      </w:r>
      <w:r>
        <w:t xml:space="preserve">conferences in order to present the upcoming revision of the ETS and to invite stakeholders to</w:t>
      </w:r>
      <w:r>
        <w:t xml:space="preserve"> </w:t>
      </w:r>
      <w:r>
        <w:t xml:space="preserve">participate in the public consultation. Finally, a joint meeting of the European Sustainable</w:t>
      </w:r>
      <w:r>
        <w:t xml:space="preserve"> </w:t>
      </w:r>
      <w:r>
        <w:t xml:space="preserve">Shipping Forum sub-group on the implementation of MRV and ETS maritime (ESSF) and</w:t>
      </w:r>
      <w:r>
        <w:t xml:space="preserve"> </w:t>
      </w:r>
      <w:r>
        <w:t xml:space="preserve">Climate Change Expert Group (CCEG Maritime) was held to collect insights and input on</w:t>
      </w:r>
      <w:r>
        <w:t xml:space="preserve"> </w:t>
      </w:r>
      <w:r>
        <w:t xml:space="preserve">maritime-related topics from Member States and stakeholders.</w:t>
      </w:r>
      <w:r>
        <w:t xml:space="preserve"> </w:t>
      </w:r>
      <w:r>
        <w:t xml:space="preserve">In parallel, as part of the reality check exercise, the Commission also organised a targeted</w:t>
      </w:r>
      <w:r>
        <w:t xml:space="preserve"> </w:t>
      </w:r>
      <w:r>
        <w:t xml:space="preserve">workshop on the EU ETS with over 50 representatives from stationary installations across the</w:t>
      </w:r>
      <w:r>
        <w:t xml:space="preserve"> </w:t>
      </w:r>
      <w:r>
        <w:t xml:space="preserve">EU on 29 January 2026, which focused on experiences with practical implementation and</w:t>
      </w:r>
    </w:p>
    <w:p>
      <w:pPr>
        <w:pStyle w:val="BodyText"/>
      </w:pPr>
      <w:r>
        <w:t xml:space="preserve">5</w:t>
      </w:r>
      <w:r>
        <w:br/>
      </w:r>
      <w:r>
        <w:t xml:space="preserve">The details of the public consultation can be found at: EU emissions trading system for maritime, aviation</w:t>
      </w:r>
      <w:r>
        <w:t xml:space="preserve"> </w:t>
      </w:r>
      <w:r>
        <w:t xml:space="preserve">and stationary installations, and market stability reserve – review.</w:t>
      </w:r>
      <w:r>
        <w:br/>
      </w:r>
      <w:r>
        <w:t xml:space="preserve">6</w:t>
      </w:r>
      <w:r>
        <w:br/>
      </w:r>
      <w:r>
        <w:t xml:space="preserve">Ricardo. Service contract 090203/2024/924074/SER/CLIMA.B.1</w:t>
      </w:r>
      <w:r>
        <w:t xml:space="preserve"> </w:t>
      </w:r>
      <w:r>
        <w:t xml:space="preserve">7</w:t>
      </w:r>
      <w:r>
        <w:br/>
      </w:r>
      <w:r>
        <w:t xml:space="preserve">Ricardo Nederland B.V; Viegand Maagøe A/S and SQ Consult.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identification of areas for simplification and streamlining of compliance processes and</w:t>
      </w:r>
      <w:r>
        <w:t xml:space="preserve"> </w:t>
      </w:r>
      <w:r>
        <w:t xml:space="preserve">requirements.</w:t>
      </w:r>
      <w:r>
        <w:br/>
      </w:r>
      <w:r>
        <w:t xml:space="preserve">Finally, the Commission organised a high-level stakeholder roundtable on the review of the</w:t>
      </w:r>
      <w:r>
        <w:t xml:space="preserve"> </w:t>
      </w:r>
      <w:r>
        <w:t xml:space="preserve">EU ETS on 12 May 2026, bringing together close to 60 EU association and company</w:t>
      </w:r>
      <w:r>
        <w:t xml:space="preserve"> </w:t>
      </w:r>
      <w:r>
        <w:t xml:space="preserve">representatives from more than 20 sectors covered under the EU ETS, civil society</w:t>
      </w:r>
      <w:r>
        <w:t xml:space="preserve"> </w:t>
      </w:r>
      <w:r>
        <w:t xml:space="preserve">organisations and other relevant stakeholders such as auction platforms and market analysts,</w:t>
      </w:r>
      <w:r>
        <w:t xml:space="preserve"> </w:t>
      </w:r>
      <w:r>
        <w:t xml:space="preserve">from different geographical areas across the EU. The Roundtable complemented the public</w:t>
      </w:r>
      <w:r>
        <w:t xml:space="preserve"> </w:t>
      </w:r>
      <w:r>
        <w:t xml:space="preserve">consultation on the evaluation and the review of the EU Emissions Trading System and the</w:t>
      </w:r>
      <w:r>
        <w:t xml:space="preserve"> </w:t>
      </w:r>
      <w:r>
        <w:t xml:space="preserve">Market Stability Reserve conducted in 2025, in view of the interim developments on the</w:t>
      </w:r>
      <w:r>
        <w:t xml:space="preserve"> </w:t>
      </w:r>
      <w:r>
        <w:t xml:space="preserve">evaluation and review process, geopolitical events and guidance from the March 2026</w:t>
      </w:r>
      <w:r>
        <w:t xml:space="preserve"> </w:t>
      </w:r>
      <w:r>
        <w:t xml:space="preserve">European Council and the 2040 target amendment to the European Climate Law. The</w:t>
      </w:r>
      <w:r>
        <w:t xml:space="preserve"> </w:t>
      </w:r>
      <w:r>
        <w:t xml:space="preserve">Roundtable gathered additional input on the policy priorities to guide the upcoming review of</w:t>
      </w:r>
      <w:r>
        <w:t xml:space="preserve"> </w:t>
      </w:r>
      <w:r>
        <w:t xml:space="preserve">the EU ETS and the Market Stability Reserve (MSR) for the 2031-2040 period and the</w:t>
      </w:r>
      <w:r>
        <w:t xml:space="preserve"> </w:t>
      </w:r>
      <w:r>
        <w:t xml:space="preserve">complementary instruments needed to make decarbonisation a driver of EU competitiveness</w:t>
      </w:r>
      <w:r>
        <w:t xml:space="preserve"> </w:t>
      </w:r>
      <w:r>
        <w:t xml:space="preserve">and resilience. The Roundtable was also publicly web-streamed, with online observers invited</w:t>
      </w:r>
      <w:r>
        <w:t xml:space="preserve"> </w:t>
      </w:r>
      <w:r>
        <w:t xml:space="preserve">to share positions in writing after the event.</w:t>
      </w:r>
      <w:r>
        <w:t xml:space="preserve"> </w:t>
      </w:r>
      <w:r>
        <w:t xml:space="preserve">2. METHODOLOGY FOR DATA PROCESSING</w:t>
      </w:r>
      <w:r>
        <w:t xml:space="preserve"> </w:t>
      </w:r>
      <w:r>
        <w:t xml:space="preserve">The questionnaire mainly consisted of closed questions presented as multiple-choice or</w:t>
      </w:r>
      <w:r>
        <w:t xml:space="preserve"> </w:t>
      </w:r>
      <w:r>
        <w:t xml:space="preserve">multiple-answer questions8. The questionnaire also included several open-ended questions,</w:t>
      </w:r>
      <w:r>
        <w:t xml:space="preserve"> </w:t>
      </w:r>
      <w:r>
        <w:t xml:space="preserve">mostly to elaborate on responses to closed questions, as well as some stand-alone open-ended</w:t>
      </w:r>
      <w:r>
        <w:t xml:space="preserve"> </w:t>
      </w:r>
      <w:r>
        <w:t xml:space="preserve">questions. The results of all questions have been analysed quantitatively. For open-ended</w:t>
      </w:r>
      <w:r>
        <w:t xml:space="preserve"> </w:t>
      </w:r>
      <w:r>
        <w:t xml:space="preserve">questions, key views raised by respondents were identified and grouped by theme, allowing</w:t>
      </w:r>
      <w:r>
        <w:t xml:space="preserve"> </w:t>
      </w:r>
      <w:r>
        <w:t xml:space="preserve">the frequency of each issue to be assessed quantitatively.</w:t>
      </w:r>
      <w:r>
        <w:t xml:space="preserve"> </w:t>
      </w:r>
      <w:r>
        <w:t xml:space="preserve">In accordance with the Better Regulation Guidelines and Toolbox, sets of coordinated</w:t>
      </w:r>
      <w:r>
        <w:t xml:space="preserve"> </w:t>
      </w:r>
      <w:r>
        <w:t xml:space="preserve">responses have been identified and analysed separately as campaigns. Campaigns were</w:t>
      </w:r>
      <w:r>
        <w:t xml:space="preserve"> </w:t>
      </w:r>
      <w:r>
        <w:t xml:space="preserve">identified horizontally where respondents with key shared characteristics9 submitted similar or</w:t>
      </w:r>
      <w:r>
        <w:t xml:space="preserve"> </w:t>
      </w:r>
      <w:r>
        <w:t xml:space="preserve">identical answers across multiple questions in the questionnaire. A scoring method (R x Q = S)</w:t>
      </w:r>
      <w:r>
        <w:t xml:space="preserve"> </w:t>
      </w:r>
      <w:r>
        <w:t xml:space="preserve">was applied that considered the combination of the number of respondents (R)10 and the</w:t>
      </w:r>
      <w:r>
        <w:t xml:space="preserve"> </w:t>
      </w:r>
      <w:r>
        <w:t xml:space="preserve">number of questions where similar or identical responses (Q) were submitted11 with the</w:t>
      </w:r>
    </w:p>
    <w:p>
      <w:pPr>
        <w:pStyle w:val="BodyText"/>
      </w:pPr>
      <w:r>
        <w:t xml:space="preserve">8</w:t>
      </w:r>
      <w:r>
        <w:br/>
      </w:r>
      <w:r>
        <w:t xml:space="preserve">Results for questions allowing multiple answers indicate the number of responses, which may exceed the total</w:t>
      </w:r>
      <w:r>
        <w:t xml:space="preserve"> </w:t>
      </w:r>
      <w:r>
        <w:t xml:space="preserve">number of respondents.</w:t>
      </w:r>
      <w:r>
        <w:t xml:space="preserve"> </w:t>
      </w:r>
      <w:r>
        <w:t xml:space="preserve">9</w:t>
      </w:r>
      <w:r>
        <w:br/>
      </w:r>
      <w:r>
        <w:t xml:space="preserve">Same stakeholder type, same sector within a stakeholder type, or stakeholders within the same stakeholder</w:t>
      </w:r>
      <w:r>
        <w:t xml:space="preserve"> </w:t>
      </w:r>
      <w:r>
        <w:t xml:space="preserve">type all located in the same Member State.</w:t>
      </w:r>
      <w:r>
        <w:t xml:space="preserve"> </w:t>
      </w:r>
      <w:r>
        <w:t xml:space="preserve">10</w:t>
      </w:r>
      <w:r>
        <w:br/>
      </w:r>
      <w:r>
        <w:t xml:space="preserve">With the threshold for (R) set at 4 or higher.</w:t>
      </w:r>
      <w:r>
        <w:t xml:space="preserve"> </w:t>
      </w:r>
      <w:r>
        <w:t xml:space="preserve">11</w:t>
      </w:r>
      <w:r>
        <w:br/>
      </w:r>
      <w:r>
        <w:t xml:space="preserve">For open-ended questions, similarity was measured by exact, case-sensitive character overlap: a response was</w:t>
      </w:r>
      <w:r>
        <w:t xml:space="preserve"> </w:t>
      </w:r>
      <w:r>
        <w:t xml:space="preserve">considered “repeated” if at least 30% of its characters matched another answer word-for-word. Groups were</w:t>
      </w:r>
      <w:r>
        <w:t xml:space="preserve"> </w:t>
      </w:r>
      <w:r>
        <w:t xml:space="preserve">constructed iteratively, beginning with matching pairs and then expanding until stable clusters were formed.</w:t>
      </w:r>
      <w:r>
        <w:t xml:space="preserve"> </w:t>
      </w:r>
      <w:r>
        <w:t xml:space="preserve">For closed questions, the assessment was merged with that of the open-ended questions as a correlation in</w:t>
      </w:r>
      <w:r>
        <w:t xml:space="preserve"> </w:t>
      </w:r>
      <w:r>
        <w:t xml:space="preserve">coordinated responses was identified with most groups of respondents who coordinated responses to open-</w:t>
      </w:r>
      <w:r>
        <w:t xml:space="preserve"> </w:t>
      </w:r>
      <w:r>
        <w:t xml:space="preserve">ended questions also having submitted coordinated responses to related closed question(s). For those closed</w:t>
      </w:r>
      <w:r>
        <w:t xml:space="preserve"> </w:t>
      </w:r>
      <w:r>
        <w:t xml:space="preserve">questions, similarity was measured by a threshold of at least 80% of responses being identical.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threshold (S) defined as 50 or higher to ensure that strongly coordinated sets of responses</w:t>
      </w:r>
      <w:r>
        <w:t xml:space="preserve"> </w:t>
      </w:r>
      <w:r>
        <w:t xml:space="preserve">throughout the questionnaire were transparently identified12.</w:t>
      </w:r>
      <w:r>
        <w:t xml:space="preserve"> </w:t>
      </w:r>
      <w:r>
        <w:t xml:space="preserve">The analysis of the closed and open-ended responses identified 13 campaigns, mainly affecting</w:t>
      </w:r>
      <w:r>
        <w:t xml:space="preserve"> </w:t>
      </w:r>
      <w:r>
        <w:t xml:space="preserve">the stationary installation section of the Impact Assessment. While these had a visible impact</w:t>
      </w:r>
      <w:r>
        <w:t xml:space="preserve"> </w:t>
      </w:r>
      <w:r>
        <w:t xml:space="preserve">on the responses submitted to open-ended questions, they did not significantly affect the results</w:t>
      </w:r>
      <w:r>
        <w:t xml:space="preserve"> </w:t>
      </w:r>
      <w:r>
        <w:t xml:space="preserve">of closed questions. In particular, the relative ranking of options was not altered.</w:t>
      </w:r>
      <w:r>
        <w:t xml:space="preserve"> </w:t>
      </w:r>
      <w:r>
        <w:t xml:space="preserve">Additional position papers or feedback on the Call for evidence could be submitted to the OPC.</w:t>
      </w:r>
      <w:r>
        <w:t xml:space="preserve"> </w:t>
      </w:r>
      <w:r>
        <w:t xml:space="preserve">In total, 404 unique contributions were received (of which 377 as feedback to the Call for</w:t>
      </w:r>
      <w:r>
        <w:t xml:space="preserve"> </w:t>
      </w:r>
      <w:r>
        <w:t xml:space="preserve">evidence and 27 directly submitted): each could include feedback, a position paper, or both.</w:t>
      </w:r>
      <w:r>
        <w:t xml:space="preserve"> </w:t>
      </w:r>
      <w:r>
        <w:t xml:space="preserve">Altogether, these comprised 377 feedback responses and 323 papers. Based on a preliminary</w:t>
      </w:r>
      <w:r>
        <w:t xml:space="preserve"> </w:t>
      </w:r>
      <w:r>
        <w:t xml:space="preserve">review and a selection, 372 papers and feedback were thoroughly analysed. These were</w:t>
      </w:r>
      <w:r>
        <w:t xml:space="preserve"> </w:t>
      </w:r>
      <w:r>
        <w:t xml:space="preserve">processed via cataloguing, meaning data from each contribution was logged in a database to</w:t>
      </w:r>
      <w:r>
        <w:t xml:space="preserve"> </w:t>
      </w:r>
      <w:r>
        <w:t xml:space="preserve">provide key themes, issues raised and author.</w:t>
      </w:r>
      <w:r>
        <w:br/>
      </w:r>
      <w:r>
        <w:t xml:space="preserve">3. RESULTS OF THE OPEN PUBLIC CONSULTATION</w:t>
      </w:r>
      <w:r>
        <w:t xml:space="preserve"> </w:t>
      </w:r>
      <w:r>
        <w:t xml:space="preserve">3.1. Overview of participants</w:t>
      </w:r>
      <w:r>
        <w:t xml:space="preserve"> </w:t>
      </w:r>
      <w:r>
        <w:t xml:space="preserve">The online survey received a total of 540 responses. Respondents represented a wide</w:t>
      </w:r>
      <w:r>
        <w:t xml:space="preserve"> </w:t>
      </w:r>
      <w:r>
        <w:t xml:space="preserve">geographic distribution: 478 responses originated from 23 Member States. The largest shares</w:t>
      </w:r>
      <w:r>
        <w:t xml:space="preserve"> </w:t>
      </w:r>
      <w:r>
        <w:t xml:space="preserve">came from Belgium (113; 21%)13, Germany (93; 17%), and France (77; 14%). 59 responses</w:t>
      </w:r>
      <w:r>
        <w:t xml:space="preserve"> </w:t>
      </w:r>
      <w:r>
        <w:t xml:space="preserve">were submitted from outside the EU14.</w:t>
      </w:r>
      <w:r>
        <w:br/>
      </w:r>
      <w:r>
        <w:t xml:space="preserve">The majority of responses (411, 76%) were submitted by private sector stakeholders, including</w:t>
      </w:r>
      <w:r>
        <w:t xml:space="preserve"> </w:t>
      </w:r>
      <w:r>
        <w:t xml:space="preserve">companies and businesses (233, 43%) and business associations (178; 33%), followed by</w:t>
      </w:r>
      <w:r>
        <w:t xml:space="preserve"> </w:t>
      </w:r>
      <w:r>
        <w:t xml:space="preserve">NGOs (44; 8%), public authorities (37; 7%), EU citizens (10; 2%), environmental</w:t>
      </w:r>
      <w:r>
        <w:t xml:space="preserve"> </w:t>
      </w:r>
      <w:r>
        <w:t xml:space="preserve">organisations (8; 1%), academic or research institutions (4; 1%) and trade unions (3; 1%)15.</w:t>
      </w:r>
      <w:r>
        <w:t xml:space="preserve"> </w:t>
      </w:r>
      <w:r>
        <w:t xml:space="preserve">Within the company/business category, 84 out of 233 respondents (36%) were classified as</w:t>
      </w:r>
      <w:r>
        <w:t xml:space="preserve"> </w:t>
      </w:r>
      <w:r>
        <w:t xml:space="preserve">SMEs.</w:t>
      </w:r>
      <w:r>
        <w:t xml:space="preserve"> </w:t>
      </w:r>
      <w:r>
        <w:t xml:space="preserve">In terms of the sectors represented, respondents most frequently identified with the waste</w:t>
      </w:r>
      <w:r>
        <w:t xml:space="preserve"> </w:t>
      </w:r>
      <w:r>
        <w:t xml:space="preserve">management sector (133, 26%), followed by the energy sector (107; 21%) and other sectors</w:t>
      </w:r>
      <w:r>
        <w:t xml:space="preserve"> </w:t>
      </w:r>
      <w:r>
        <w:t xml:space="preserve">not explicitly listed (103; 20%). Manufacturing industry sectors16 combined represented 104</w:t>
      </w:r>
      <w:r>
        <w:t xml:space="preserve"> </w:t>
      </w:r>
      <w:r>
        <w:t xml:space="preserve">(20%) of respondents, maritime 29 (5.7%), and aviation 15 (2.9%).</w:t>
      </w:r>
    </w:p>
    <w:p>
      <w:pPr>
        <w:pStyle w:val="BodyText"/>
      </w:pPr>
      <w:r>
        <w:t xml:space="preserve">12 This methodology allowed to identify stakeholders with coordinated responses ranging from large groups of</w:t>
      </w:r>
      <w:r>
        <w:t xml:space="preserve"> </w:t>
      </w:r>
      <w:r>
        <w:t xml:space="preserve">respondents submitting similar responses to a targeted topic (f. ex. 25 local public authorities coordinating on</w:t>
      </w:r>
      <w:r>
        <w:t xml:space="preserve"> </w:t>
      </w:r>
      <w:r>
        <w:t xml:space="preserve">questions on waste management), to smaller numbers of respondents submitting similar responses across</w:t>
      </w:r>
      <w:r>
        <w:t xml:space="preserve"> </w:t>
      </w:r>
      <w:r>
        <w:t xml:space="preserve">multiple topics (f. ex 5 companies/businesses from the chemicals sector horizontally coordinating on different</w:t>
      </w:r>
      <w:r>
        <w:t xml:space="preserve"> </w:t>
      </w:r>
      <w:r>
        <w:t xml:space="preserve">topics related to stationary installations in the impact assessment).</w:t>
      </w:r>
      <w:r>
        <w:t xml:space="preserve"> </w:t>
      </w:r>
      <w:r>
        <w:t xml:space="preserve">13 This result is influenced by the fact that many business associations and NGOs are based in Belgium.</w:t>
      </w:r>
      <w:r>
        <w:t xml:space="preserve"> </w:t>
      </w:r>
      <w:r>
        <w:t xml:space="preserve">14</w:t>
      </w:r>
      <w:r>
        <w:br/>
      </w:r>
      <w:r>
        <w:t xml:space="preserve">In addition, 3 out of the 540 respondents did not specify the country of origin.</w:t>
      </w:r>
      <w:r>
        <w:t xml:space="preserve"> </w:t>
      </w:r>
      <w:r>
        <w:t xml:space="preserve">15</w:t>
      </w:r>
      <w:r>
        <w:br/>
      </w:r>
      <w:r>
        <w:t xml:space="preserve">In the further analysis of OPC results, the analysis per stakeholder type is focused on the private sector</w:t>
      </w:r>
      <w:r>
        <w:t xml:space="preserve"> </w:t>
      </w:r>
      <w:r>
        <w:t xml:space="preserve">(companies/businesses and business associations) and NGOs, given the large share of respondents from these</w:t>
      </w:r>
      <w:r>
        <w:t xml:space="preserve"> </w:t>
      </w:r>
      <w:r>
        <w:t xml:space="preserve">groups. Results for other stakeholder groups have to be interpreted with caution. For instance, the number of</w:t>
      </w:r>
      <w:r>
        <w:t xml:space="preserve"> </w:t>
      </w:r>
      <w:r>
        <w:t xml:space="preserve">replies from trade unions, academic/research institutions or EU citizens is too low to draw representative</w:t>
      </w:r>
      <w:r>
        <w:t xml:space="preserve"> </w:t>
      </w:r>
      <w:r>
        <w:t xml:space="preserve">conclusions, while public authorities encompass a diverse spectrum from different levels and policy areas,</w:t>
      </w:r>
      <w:r>
        <w:t xml:space="preserve"> </w:t>
      </w:r>
      <w:r>
        <w:t xml:space="preserve">including local, regional and federal authorities. These stakeholder groups will therefore only be mentioned</w:t>
      </w:r>
      <w:r>
        <w:t xml:space="preserve"> </w:t>
      </w:r>
      <w:r>
        <w:t xml:space="preserve">explicitly where relevant.</w:t>
      </w:r>
      <w:r>
        <w:t xml:space="preserve"> </w:t>
      </w:r>
      <w:r>
        <w:t xml:space="preserve">16</w:t>
      </w:r>
      <w:r>
        <w:br/>
      </w:r>
      <w:r>
        <w:t xml:space="preserve">Chemicals and fertilisers, other energy-intensive industry, steel, cement, glass and ceramics, non-ferrous</w:t>
      </w:r>
      <w:r>
        <w:t xml:space="preserve"> </w:t>
      </w:r>
      <w:r>
        <w:t xml:space="preserve">metals.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3.2. Evaluation</w:t>
      </w:r>
      <w:r>
        <w:t xml:space="preserve"> </w:t>
      </w:r>
      <w:r>
        <w:t xml:space="preserve">3.2.1. Effectiveness</w:t>
      </w:r>
      <w:r>
        <w:t xml:space="preserve"> </w:t>
      </w:r>
      <w:r>
        <w:t xml:space="preserve">69% of respondents (216 out of 314) from a wide range of stakeholder groups (including the</w:t>
      </w:r>
      <w:r>
        <w:t xml:space="preserve"> </w:t>
      </w:r>
      <w:r>
        <w:t xml:space="preserve">majority of companies/businesses, business associations and NGOs) considered the ETS</w:t>
      </w:r>
      <w:r>
        <w:t xml:space="preserve"> </w:t>
      </w:r>
      <w:r>
        <w:t xml:space="preserve">Directive moderately (157; 50%) to very (59, 19%) effective in reducing GHG emissions. A</w:t>
      </w:r>
      <w:r>
        <w:t xml:space="preserve"> </w:t>
      </w:r>
      <w:r>
        <w:t xml:space="preserve">further 23% (72) considered it slightly effective. Only 2% (7) believed it had not been effective</w:t>
      </w:r>
      <w:r>
        <w:t xml:space="preserve"> </w:t>
      </w:r>
      <w:r>
        <w:t xml:space="preserve">at all, and 6% (19) indicated they did not know.</w:t>
      </w:r>
      <w:r>
        <w:br/>
      </w:r>
      <w:r>
        <w:t xml:space="preserve">Current carbon leakage protection measures in non-CBAM sectors were considered moderately</w:t>
      </w:r>
      <w:r>
        <w:t xml:space="preserve"> </w:t>
      </w:r>
      <w:r>
        <w:t xml:space="preserve">(138; 46%) to very (18; 6%) effective by more than half of respondents (154 out of 300), mainly</w:t>
      </w:r>
      <w:r>
        <w:t xml:space="preserve"> </w:t>
      </w:r>
      <w:r>
        <w:t xml:space="preserve">from companies/businesses and business associations. Conversely, most NGO respondents as</w:t>
      </w:r>
      <w:r>
        <w:t xml:space="preserve"> </w:t>
      </w:r>
      <w:r>
        <w:t xml:space="preserve">well as companies/businesses from non-eligible sectors considered current carbon leakage</w:t>
      </w:r>
      <w:r>
        <w:t xml:space="preserve"> </w:t>
      </w:r>
      <w:r>
        <w:t xml:space="preserve">measures only slightly (60; 20%) or not (27; 9%) effective.</w:t>
      </w:r>
      <w:r>
        <w:br/>
      </w:r>
      <w:r>
        <w:t xml:space="preserve">A broad majority from across stakeholder groups agreed that the MSR has so far been very</w:t>
      </w:r>
      <w:r>
        <w:t xml:space="preserve"> </w:t>
      </w:r>
      <w:r>
        <w:t xml:space="preserve">(100 out of 282; 35%) to moderately (82; 29%) effective in addressing the surplus on the</w:t>
      </w:r>
      <w:r>
        <w:t xml:space="preserve"> </w:t>
      </w:r>
      <w:r>
        <w:t xml:space="preserve">market, while only 10% (28) considered it slightly effective and 2% (5) not effective. However,</w:t>
      </w:r>
      <w:r>
        <w:t xml:space="preserve"> </w:t>
      </w:r>
      <w:r>
        <w:t xml:space="preserve">looking at the future, mainly NGOs supported maintaining this role as a key feature to stabilise</w:t>
      </w:r>
      <w:r>
        <w:t xml:space="preserve"> </w:t>
      </w:r>
      <w:r>
        <w:t xml:space="preserve">the carbon price signal. Companies/businesses and business associations on the other hand</w:t>
      </w:r>
      <w:r>
        <w:t xml:space="preserve"> </w:t>
      </w:r>
      <w:r>
        <w:t xml:space="preserve">frequently questioned the future role of MSR intakes and the invalidation mechanism in view</w:t>
      </w:r>
      <w:r>
        <w:t xml:space="preserve"> </w:t>
      </w:r>
      <w:r>
        <w:t xml:space="preserve">of expected future scarcity on the market and predominantly considered limiting excessive</w:t>
      </w:r>
      <w:r>
        <w:t xml:space="preserve"> </w:t>
      </w:r>
      <w:r>
        <w:t xml:space="preserve">price volatility and ensuring liquidity on the market as the most important role for the MSR.</w:t>
      </w:r>
      <w:r>
        <w:t xml:space="preserve"> </w:t>
      </w:r>
      <w:r>
        <w:t xml:space="preserve">Views were divided on the MSR’s effectiveness so far in this regard. While 39% of respondents</w:t>
      </w:r>
      <w:r>
        <w:t xml:space="preserve"> </w:t>
      </w:r>
      <w:r>
        <w:t xml:space="preserve">(110 out of 283), including most NGOs, considered the MSR moderately (88; 31%) to very</w:t>
      </w:r>
      <w:r>
        <w:t xml:space="preserve"> </w:t>
      </w:r>
      <w:r>
        <w:t xml:space="preserve">(22; 8%) effective in improving the system’s resilience to major shocks, 34% of respondents,</w:t>
      </w:r>
      <w:r>
        <w:t xml:space="preserve"> </w:t>
      </w:r>
      <w:r>
        <w:t xml:space="preserve">mainly companies/businesses and business associations, considered it only slightly (55; 19%)</w:t>
      </w:r>
      <w:r>
        <w:t xml:space="preserve"> </w:t>
      </w:r>
      <w:r>
        <w:t xml:space="preserve">or not (43; 15%) effective at all. Overall, the questions related to the MSR gathered high</w:t>
      </w:r>
      <w:r>
        <w:t xml:space="preserve"> </w:t>
      </w:r>
      <w:r>
        <w:t xml:space="preserve">degrees of uncertainty (ranging from 24% to 32%), suggesting stakeholders were less familiar</w:t>
      </w:r>
      <w:r>
        <w:t xml:space="preserve"> </w:t>
      </w:r>
      <w:r>
        <w:t xml:space="preserve">with the functioning of the MSR compared to the ETS.</w:t>
      </w:r>
      <w:r>
        <w:br/>
      </w:r>
      <w:r>
        <w:t xml:space="preserve">3.2.2. Cost-efficiency</w:t>
      </w:r>
      <w:r>
        <w:br/>
      </w:r>
      <w:r>
        <w:t xml:space="preserve">Overall, slightly more than half of respondents from a wide range of stakeholder groups view</w:t>
      </w:r>
      <w:r>
        <w:t xml:space="preserve"> </w:t>
      </w:r>
      <w:r>
        <w:t xml:space="preserve">the ETS Directive as moderately (111 out of 291; 38%) to very (39; 13%) efficient in achieving</w:t>
      </w:r>
      <w:r>
        <w:t xml:space="preserve"> </w:t>
      </w:r>
      <w:r>
        <w:t xml:space="preserve">its objectives in a cost-efficient manner. Conversely, 52 respondents (18%), including a</w:t>
      </w:r>
      <w:r>
        <w:t xml:space="preserve"> </w:t>
      </w:r>
      <w:r>
        <w:t xml:space="preserve">majority of NGOs17, considered it not cost-efficient, while nearly a quarter of respondents</w:t>
      </w:r>
      <w:r>
        <w:t xml:space="preserve"> </w:t>
      </w:r>
      <w:r>
        <w:t xml:space="preserve">considered it only slightly cost-efficient (67; 23%).</w:t>
      </w:r>
      <w:r>
        <w:br/>
      </w:r>
      <w:r>
        <w:t xml:space="preserve">The largest share of respondents, including most NGOs, also considered the MSR Decision to</w:t>
      </w:r>
      <w:r>
        <w:t xml:space="preserve"> </w:t>
      </w:r>
      <w:r>
        <w:t xml:space="preserve">be moderately (69 out of 276; 25%) to very efficient (38; 14%), compared to a smaller share,</w:t>
      </w:r>
      <w:r>
        <w:t xml:space="preserve"> </w:t>
      </w:r>
      <w:r>
        <w:t xml:space="preserve">mainly companies/businesses and business associations, viewing it as slightly efficient (36;</w:t>
      </w:r>
      <w:r>
        <w:t xml:space="preserve"> </w:t>
      </w:r>
      <w:r>
        <w:t xml:space="preserve">13%) or not efficient (37; 13%). However, more than one third of respondents (35%) indicated</w:t>
      </w:r>
      <w:r>
        <w:t xml:space="preserve"> </w:t>
      </w:r>
      <w:r>
        <w:t xml:space="preserve">they did not know. Similarly to previous questions on the MSR, these results indicate a higher</w:t>
      </w:r>
      <w:r>
        <w:t xml:space="preserve"> </w:t>
      </w:r>
      <w:r>
        <w:t xml:space="preserve">degree of division between stakeholder types and a relatively lower degree of familiarity</w:t>
      </w:r>
      <w:r>
        <w:t xml:space="preserve"> </w:t>
      </w:r>
      <w:r>
        <w:t xml:space="preserve">overall with the functioning of the MSR compared to the ETS.</w:t>
      </w:r>
    </w:p>
    <w:p>
      <w:pPr>
        <w:pStyle w:val="BodyText"/>
      </w:pPr>
      <w:r>
        <w:t xml:space="preserve">17 While no specific open-field question was attached to this closed question, analysis of open-field responses</w:t>
      </w:r>
      <w:r>
        <w:t xml:space="preserve"> </w:t>
      </w:r>
      <w:r>
        <w:t xml:space="preserve">throughout the OPC suggests this is mainly due to the perceived inefficiency of free allocation among the</w:t>
      </w:r>
      <w:r>
        <w:t xml:space="preserve"> </w:t>
      </w:r>
      <w:r>
        <w:t xml:space="preserve">majority of NGO stakeholders.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3.2.3. Relevance and added value</w:t>
      </w:r>
      <w:r>
        <w:t xml:space="preserve"> </w:t>
      </w:r>
      <w:r>
        <w:t xml:space="preserve">Three quarters of respondents from a wide range of stakeholder groups considered that the</w:t>
      </w:r>
      <w:r>
        <w:t xml:space="preserve"> </w:t>
      </w:r>
      <w:r>
        <w:t xml:space="preserve">needs/problems addressed by the ETS Directive continue to require action at EU level to a very</w:t>
      </w:r>
      <w:r>
        <w:t xml:space="preserve"> </w:t>
      </w:r>
      <w:r>
        <w:t xml:space="preserve">large (138 out of 294, 47%) or large (81; 27%) extent, with a further 45 (15%) agreeing to</w:t>
      </w:r>
      <w:r>
        <w:t xml:space="preserve"> </w:t>
      </w:r>
      <w:r>
        <w:t xml:space="preserve">some extent. Only small shares agreed to a small extent (11; 4%) or not at all (5; 2%), indicating</w:t>
      </w:r>
      <w:r>
        <w:t xml:space="preserve"> </w:t>
      </w:r>
      <w:r>
        <w:t xml:space="preserve">strong support for ongoing EU-level action to reduce GHG emissions.</w:t>
      </w:r>
      <w:r>
        <w:t xml:space="preserve"> </w:t>
      </w:r>
      <w:r>
        <w:t xml:space="preserve">Similarly, a very broad majority of respondents from across all stakeholder groups perceived</w:t>
      </w:r>
      <w:r>
        <w:t xml:space="preserve"> </w:t>
      </w:r>
      <w:r>
        <w:t xml:space="preserve">the EU ETS and MSR as having high (93 out of 298, 31%) or very high (86; 29%) added value</w:t>
      </w:r>
      <w:r>
        <w:t xml:space="preserve"> </w:t>
      </w:r>
      <w:r>
        <w:t xml:space="preserve">in reducing GHG emissions in the EU, with a further 80 (27%) considering the added value</w:t>
      </w:r>
      <w:r>
        <w:t xml:space="preserve"> </w:t>
      </w:r>
      <w:r>
        <w:t xml:space="preserve">moderate. Less than one tenth rated added value as low (11; 3%) or very low (17; 6%),</w:t>
      </w:r>
      <w:r>
        <w:t xml:space="preserve"> </w:t>
      </w:r>
      <w:r>
        <w:t xml:space="preserve">suggesting strong support for the key role of the EU ETS and MSR in EU climate policy going</w:t>
      </w:r>
      <w:r>
        <w:t xml:space="preserve"> </w:t>
      </w:r>
      <w:r>
        <w:t xml:space="preserve">forward.</w:t>
      </w:r>
      <w:r>
        <w:t xml:space="preserve"> </w:t>
      </w:r>
      <w:r>
        <w:t xml:space="preserve">3.2.4. Simplification and coherence</w:t>
      </w:r>
      <w:r>
        <w:br/>
      </w:r>
      <w:r>
        <w:t xml:space="preserve">Several open-ended and closed questions in the evaluation invited stakeholders’ views and</w:t>
      </w:r>
      <w:r>
        <w:t xml:space="preserve"> </w:t>
      </w:r>
      <w:r>
        <w:t xml:space="preserve">suggestions on the coherence, administrative cost and simplification of the ETS Directive</w:t>
      </w:r>
      <w:r>
        <w:t xml:space="preserve"> </w:t>
      </w:r>
      <w:r>
        <w:t xml:space="preserve">without negatively affecting the achievement of its objectives. The responses and suggestions</w:t>
      </w:r>
      <w:r>
        <w:t xml:space="preserve"> </w:t>
      </w:r>
      <w:r>
        <w:t xml:space="preserve">provided were similar across these questions.</w:t>
      </w:r>
      <w:r>
        <w:t xml:space="preserve"> </w:t>
      </w:r>
      <w:r>
        <w:t xml:space="preserve">A majority of respondents across all stakeholder groups considered that improvements could</w:t>
      </w:r>
      <w:r>
        <w:t xml:space="preserve"> </w:t>
      </w:r>
      <w:r>
        <w:t xml:space="preserve">be made to reduce the administrative burden and regulatory cost of the ETS Directive, with 84</w:t>
      </w:r>
      <w:r>
        <w:t xml:space="preserve"> </w:t>
      </w:r>
      <w:r>
        <w:t xml:space="preserve">out of 287 (29%) viewing it only slightly efficient and 77 (27%) not efficient in this respect, a</w:t>
      </w:r>
      <w:r>
        <w:t xml:space="preserve"> </w:t>
      </w:r>
      <w:r>
        <w:t xml:space="preserve">view which was most strongly shared among SMEs. Conversely, one third of respondents</w:t>
      </w:r>
      <w:r>
        <w:t xml:space="preserve"> </w:t>
      </w:r>
      <w:r>
        <w:t xml:space="preserve">(mainly from the energy and cleantech sectors) considered the administrative burden to be</w:t>
      </w:r>
      <w:r>
        <w:t xml:space="preserve"> </w:t>
      </w:r>
      <w:r>
        <w:t xml:space="preserve">moderately (69; 24%) to very (17; 6%) efficient.</w:t>
      </w:r>
      <w:r>
        <w:br/>
      </w:r>
      <w:r>
        <w:t xml:space="preserve">Respondents were encouraged to provide suggestions to improve administrative burden and</w:t>
      </w:r>
      <w:r>
        <w:t xml:space="preserve"> </w:t>
      </w:r>
      <w:r>
        <w:t xml:space="preserve">support simplification without negatively affecting the achievement of its objectives. The most</w:t>
      </w:r>
      <w:r>
        <w:t xml:space="preserve"> </w:t>
      </w:r>
      <w:r>
        <w:t xml:space="preserve">frequently raised suggestions (nearly half of responses), mainly from companies/businesses</w:t>
      </w:r>
      <w:r>
        <w:t xml:space="preserve"> </w:t>
      </w:r>
      <w:r>
        <w:t xml:space="preserve">and business associations and specifically from SMEs, related to the simplification and</w:t>
      </w:r>
      <w:r>
        <w:t xml:space="preserve"> </w:t>
      </w:r>
      <w:r>
        <w:t xml:space="preserve">harmonisation of MRV rules in combination with streamlined reporting practices and ensuring</w:t>
      </w:r>
      <w:r>
        <w:t xml:space="preserve"> </w:t>
      </w:r>
      <w:r>
        <w:t xml:space="preserve">that guidance, tools and processes are timely in place before the implementation deadline.</w:t>
      </w:r>
      <w:r>
        <w:t xml:space="preserve"> </w:t>
      </w:r>
      <w:r>
        <w:t xml:space="preserve">Concrete suggestions frequently raised included the use of standardized/harmonised digital</w:t>
      </w:r>
      <w:r>
        <w:t xml:space="preserve"> </w:t>
      </w:r>
      <w:r>
        <w:t xml:space="preserve">tools, automated data collection and simplified compliance requirements for smaller emitters,</w:t>
      </w:r>
      <w:r>
        <w:t xml:space="preserve"> </w:t>
      </w:r>
      <w:r>
        <w:t xml:space="preserve">a reduced frequency of submissions, harmonised templates, expanded and harmonised opt-out</w:t>
      </w:r>
      <w:r>
        <w:t xml:space="preserve"> </w:t>
      </w:r>
      <w:r>
        <w:t xml:space="preserve">rules for smaller emitters, streamlining the audit cycles by only conducting a full on-site audit</w:t>
      </w:r>
      <w:r>
        <w:t xml:space="preserve"> </w:t>
      </w:r>
      <w:r>
        <w:t xml:space="preserve">every three years with a simplified remote audit in the intervening years, simplifying reporting</w:t>
      </w:r>
      <w:r>
        <w:t xml:space="preserve"> </w:t>
      </w:r>
      <w:r>
        <w:t xml:space="preserve">by providing pre-filled data based on past submissions where possible and simplifying the</w:t>
      </w:r>
      <w:r>
        <w:t xml:space="preserve"> </w:t>
      </w:r>
      <w:r>
        <w:t xml:space="preserve">scope of emission data reporting. Specifically, several SMEs from the waste sector suggested</w:t>
      </w:r>
      <w:r>
        <w:t xml:space="preserve"> </w:t>
      </w:r>
      <w:r>
        <w:t xml:space="preserve">to update MRV rules with regards to MWI installations.</w:t>
      </w:r>
      <w:r>
        <w:br/>
      </w:r>
      <w:r>
        <w:t xml:space="preserve">In second place came the simplification and increased coherence of free allocation and</w:t>
      </w:r>
      <w:r>
        <w:t xml:space="preserve"> </w:t>
      </w:r>
      <w:r>
        <w:t xml:space="preserve">benchmarking rules (around two fifths of responses). Concrete suggestions were however</w:t>
      </w:r>
      <w:r>
        <w:t xml:space="preserve"> </w:t>
      </w:r>
      <w:r>
        <w:t xml:space="preserve">strongly divided between stakeholder groups, with companies/businesses and business</w:t>
      </w:r>
      <w:r>
        <w:t xml:space="preserve"> </w:t>
      </w:r>
      <w:r>
        <w:t xml:space="preserve">associations mainly favouring simplified free allocation rules to reduce administrative burden</w:t>
      </w:r>
      <w:r>
        <w:t xml:space="preserve"> </w:t>
      </w:r>
      <w:r>
        <w:t xml:space="preserve">and strengthen coherence with overall competitiveness aims, while NGOs favoured a</w:t>
      </w:r>
      <w:r>
        <w:t xml:space="preserve"> </w:t>
      </w:r>
      <w:r>
        <w:t xml:space="preserve">replacement of free allocation by full auctioning as a means to reduce administrative burden,</w:t>
      </w:r>
      <w:r>
        <w:t xml:space="preserve"> </w:t>
      </w:r>
      <w:r>
        <w:t xml:space="preserve">simplify the ETS Directive and strengthen coherence with the polluter pays principle.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The third frequently raised suggestion (around a quarter of responses), mainly by</w:t>
      </w:r>
      <w:r>
        <w:t xml:space="preserve"> </w:t>
      </w:r>
      <w:r>
        <w:t xml:space="preserve">companies/businesses and business associations, related to improving coherence with other EU</w:t>
      </w:r>
      <w:r>
        <w:t xml:space="preserve"> </w:t>
      </w:r>
      <w:r>
        <w:t xml:space="preserve">energy and climate legislation. This was confirmed by the results of a separate question on the</w:t>
      </w:r>
      <w:r>
        <w:t xml:space="preserve"> </w:t>
      </w:r>
      <w:r>
        <w:t xml:space="preserve">perceived coherence of the ETS and MSR with other EU policies and international climate</w:t>
      </w:r>
      <w:r>
        <w:t xml:space="preserve"> </w:t>
      </w:r>
      <w:r>
        <w:t xml:space="preserve">agreements, where views were divided with the largest share, including most</w:t>
      </w:r>
      <w:r>
        <w:t xml:space="preserve"> </w:t>
      </w:r>
      <w:r>
        <w:t xml:space="preserve">companies/businesses and business associations, perceiving only some extent of coherence</w:t>
      </w:r>
      <w:r>
        <w:t xml:space="preserve"> </w:t>
      </w:r>
      <w:r>
        <w:t xml:space="preserve">(110 out of 293; 38%), or no coherence at all (21; 7%), compared to large (63; 22%) or very</w:t>
      </w:r>
      <w:r>
        <w:t xml:space="preserve"> </w:t>
      </w:r>
      <w:r>
        <w:t xml:space="preserve">large (21; 7%) extents of coherence (including most NGOs) . Suggestions for improving</w:t>
      </w:r>
      <w:r>
        <w:t xml:space="preserve"> </w:t>
      </w:r>
      <w:r>
        <w:t xml:space="preserve">coherence focused on streamlining rules and reporting requirements with other EU energy and</w:t>
      </w:r>
      <w:r>
        <w:t xml:space="preserve"> </w:t>
      </w:r>
      <w:r>
        <w:t xml:space="preserve">climate legislation (one third of responses), followed by stronger coherence with international</w:t>
      </w:r>
      <w:r>
        <w:t xml:space="preserve"> </w:t>
      </w:r>
      <w:r>
        <w:t xml:space="preserve">frameworks for GHG emission reductions in the maritime and aviation sectors (a quarter of</w:t>
      </w:r>
      <w:r>
        <w:t xml:space="preserve"> </w:t>
      </w:r>
      <w:r>
        <w:t xml:space="preserve">responses).</w:t>
      </w:r>
      <w:r>
        <w:t xml:space="preserve"> </w:t>
      </w:r>
      <w:r>
        <w:t xml:space="preserve">3.3. Impact assessment</w:t>
      </w:r>
      <w:r>
        <w:t xml:space="preserve"> </w:t>
      </w:r>
      <w:r>
        <w:t xml:space="preserve">3.3.1. Aviation</w:t>
      </w:r>
      <w:r>
        <w:t xml:space="preserve"> </w:t>
      </w:r>
      <w:r>
        <w:t xml:space="preserve">The consultation on the EU ETS highlighted that most respondents see the application of the</w:t>
      </w:r>
      <w:r>
        <w:t xml:space="preserve"> </w:t>
      </w:r>
      <w:r>
        <w:t xml:space="preserve">EU to aviation as a necessary instrument for aligning the aviation sector with the EU’s climate</w:t>
      </w:r>
      <w:r>
        <w:t xml:space="preserve"> </w:t>
      </w:r>
      <w:r>
        <w:t xml:space="preserve">objectives, whereas a smaller share of respondents mostly comprised of industry stakeholders</w:t>
      </w:r>
      <w:r>
        <w:t xml:space="preserve"> </w:t>
      </w:r>
      <w:r>
        <w:t xml:space="preserve">see it as a source of challenges. There is broad support for strengthening aviation’s contribution</w:t>
      </w:r>
      <w:r>
        <w:t xml:space="preserve"> </w:t>
      </w:r>
      <w:r>
        <w:t xml:space="preserve">to EU climate objectives. Stakeholders have diverging views on how best to reconcile</w:t>
      </w:r>
      <w:r>
        <w:t xml:space="preserve"> </w:t>
      </w:r>
      <w:r>
        <w:t xml:space="preserve">environmental integrity with competitiveness, connectivity, and global coordination.</w:t>
      </w:r>
      <w:r>
        <w:t xml:space="preserve"> </w:t>
      </w:r>
      <w:r>
        <w:t xml:space="preserve">3.3.1.1.</w:t>
      </w:r>
      <w:r>
        <w:t xml:space="preserve"> </w:t>
      </w:r>
      <w:r>
        <w:t xml:space="preserve">Perceived level of climate action by the aviation sector compared to</w:t>
      </w:r>
      <w:r>
        <w:t xml:space="preserve"> </w:t>
      </w:r>
      <w:r>
        <w:t xml:space="preserve">climate commitments</w:t>
      </w:r>
      <w:r>
        <w:br/>
      </w:r>
      <w:r>
        <w:t xml:space="preserve">Around half of respondents considered the aviation sector’s current level of climate action</w:t>
      </w:r>
      <w:r>
        <w:t xml:space="preserve"> </w:t>
      </w:r>
      <w:r>
        <w:t xml:space="preserve">insufficient to meet climate targets, with one quarter of respondents (48 out of 183, 26%)</w:t>
      </w:r>
      <w:r>
        <w:t xml:space="preserve"> </w:t>
      </w:r>
      <w:r>
        <w:t xml:space="preserve">judging it not sufficient at all and another quarter (45, 25%) rating it as somewhat sufficient</w:t>
      </w:r>
      <w:r>
        <w:t xml:space="preserve"> </w:t>
      </w:r>
      <w:r>
        <w:t xml:space="preserve">but unlikely to meet the Paris Agreement and European Climate Law targets. This perception</w:t>
      </w:r>
      <w:r>
        <w:t xml:space="preserve"> </w:t>
      </w:r>
      <w:r>
        <w:t xml:space="preserve">was particularly strong among civil society organisations (NGOs and environmental</w:t>
      </w:r>
      <w:r>
        <w:t xml:space="preserve"> </w:t>
      </w:r>
      <w:r>
        <w:t xml:space="preserve">organisations), but it was also widely shared by the majority of companies (80%), business</w:t>
      </w:r>
      <w:r>
        <w:t xml:space="preserve"> </w:t>
      </w:r>
      <w:r>
        <w:t xml:space="preserve">associations (78%), and public authorities (80%) that responded to the question.</w:t>
      </w:r>
      <w:r>
        <w:br/>
      </w:r>
      <w:r>
        <w:t xml:space="preserve">When asked about the main concerns regarding the sector’s decarbonisation pace, these</w:t>
      </w:r>
      <w:r>
        <w:t xml:space="preserve"> </w:t>
      </w:r>
      <w:r>
        <w:t xml:space="preserve">stakeholders pointed to the need for increased support for development and deployment of</w:t>
      </w:r>
      <w:r>
        <w:t xml:space="preserve"> </w:t>
      </w:r>
      <w:r>
        <w:t xml:space="preserve">sustainable aviation fuels (SAF) (10 mentions) to address their current limited availability and</w:t>
      </w:r>
      <w:r>
        <w:t xml:space="preserve"> </w:t>
      </w:r>
      <w:r>
        <w:t xml:space="preserve">high costs (14 mentions). Several of these stakeholders questioned the effectiveness of current</w:t>
      </w:r>
      <w:r>
        <w:t xml:space="preserve"> </w:t>
      </w:r>
      <w:r>
        <w:t xml:space="preserve">policy instruments in tackling aviation emissions. In particular, they challenged the current EU</w:t>
      </w:r>
      <w:r>
        <w:t xml:space="preserve"> </w:t>
      </w:r>
      <w:r>
        <w:t xml:space="preserve">ETS system for its low carbon prices and free allowances (8 mentions), as well as its limited</w:t>
      </w:r>
      <w:r>
        <w:t xml:space="preserve"> </w:t>
      </w:r>
      <w:r>
        <w:t xml:space="preserve">scope to only intra-EEA flights (7 mentions). Additional concerns included the aviation sector</w:t>
      </w:r>
      <w:r>
        <w:t xml:space="preserve"> </w:t>
      </w:r>
      <w:r>
        <w:t xml:space="preserve">being undertaxed relative to other sectors (5 mentions) and the current lack of commercial</w:t>
      </w:r>
      <w:r>
        <w:t xml:space="preserve"> </w:t>
      </w:r>
      <w:r>
        <w:t xml:space="preserve">viability for zero-emission aircraft technologies such as hydrogen and electric planes (1</w:t>
      </w:r>
      <w:r>
        <w:t xml:space="preserve"> </w:t>
      </w:r>
      <w:r>
        <w:t xml:space="preserve">mention).</w:t>
      </w:r>
      <w:r>
        <w:t xml:space="preserve"> </w:t>
      </w:r>
      <w:r>
        <w:t xml:space="preserve">Only a small minority of stakeholders (16, 9%) considered current action sufficient, largely</w:t>
      </w:r>
      <w:r>
        <w:t xml:space="preserve"> </w:t>
      </w:r>
      <w:r>
        <w:t xml:space="preserve">comprised of companies and business associations, namely airlines, aviation associations, one</w:t>
      </w:r>
      <w:r>
        <w:t xml:space="preserve"> </w:t>
      </w:r>
      <w:r>
        <w:t xml:space="preserve">Original Equipment Manufacturer (OEM) and one SAF producer, citing the already established</w:t>
      </w:r>
      <w:r>
        <w:t xml:space="preserve"> </w:t>
      </w:r>
      <w:r>
        <w:t xml:space="preserve">pledges and strategies to achieve net zero operations by 2050 as main argument against further</w:t>
      </w:r>
      <w:r>
        <w:t xml:space="preserve"> </w:t>
      </w:r>
      <w:r>
        <w:t xml:space="preserve">action (4 mentions). For these stakeholders decarbonisation ambitions need to align with the</w:t>
      </w:r>
      <w:r>
        <w:t xml:space="preserve"> </w:t>
      </w:r>
      <w:r>
        <w:t xml:space="preserve">industry’s capacity to invest and compete globally (2 mentions).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3.3.1.2.</w:t>
      </w:r>
      <w:r>
        <w:t xml:space="preserve"> </w:t>
      </w:r>
      <w:r>
        <w:t xml:space="preserve">Adequacy of the current EU ETS approach to international flights</w:t>
      </w:r>
      <w:r>
        <w:t xml:space="preserve"> </w:t>
      </w:r>
      <w:r>
        <w:t xml:space="preserve">outside Europe</w:t>
      </w:r>
      <w:r>
        <w:t xml:space="preserve"> </w:t>
      </w:r>
      <w:r>
        <w:t xml:space="preserve">Nearly 40% of respondents considered that the current approach to international flights outside</w:t>
      </w:r>
      <w:r>
        <w:t xml:space="preserve"> </w:t>
      </w:r>
      <w:r>
        <w:t xml:space="preserve">Europe does not adequately address emissions from these flights. This perception of</w:t>
      </w:r>
      <w:r>
        <w:t xml:space="preserve"> </w:t>
      </w:r>
      <w:r>
        <w:t xml:space="preserve">inadequacy was unanimous among civil society organisations, and was also the majority view</w:t>
      </w:r>
      <w:r>
        <w:t xml:space="preserve"> </w:t>
      </w:r>
      <w:r>
        <w:t xml:space="preserve">among companies, business associations, public authorities and respondents in the “Other”</w:t>
      </w:r>
      <w:r>
        <w:t xml:space="preserve"> </w:t>
      </w:r>
      <w:r>
        <w:t xml:space="preserve">category, which criticised CORSIA for its voluntary participation, lack of emissions reduction</w:t>
      </w:r>
      <w:r>
        <w:t xml:space="preserve"> </w:t>
      </w:r>
      <w:r>
        <w:t xml:space="preserve">targets, absence of an effective carbon price, and limited in-sector reductions (21 mentions).</w:t>
      </w:r>
      <w:r>
        <w:t xml:space="preserve"> </w:t>
      </w:r>
      <w:r>
        <w:t xml:space="preserve">Due to CORSIA’s shortcomings, stakeholders underlined how the limited scope of the EU ETS</w:t>
      </w:r>
      <w:r>
        <w:t xml:space="preserve"> </w:t>
      </w:r>
      <w:r>
        <w:t xml:space="preserve">may lead to carbon leakage (4 mentions) and called for stronger EU leadership (2 mentions).</w:t>
      </w:r>
      <w:r>
        <w:t xml:space="preserve"> </w:t>
      </w:r>
      <w:r>
        <w:t xml:space="preserve">Many argued that the EU ETS should be extended to cover all departing flights (20 mentions).</w:t>
      </w:r>
      <w:r>
        <w:t xml:space="preserve"> </w:t>
      </w:r>
      <w:r>
        <w:t xml:space="preserve">Among respondents in disagreement with the current approach, NGOs criticised CORSIA’s</w:t>
      </w:r>
      <w:r>
        <w:t xml:space="preserve"> </w:t>
      </w:r>
      <w:r>
        <w:t xml:space="preserve">lack of integrity because of the questionable quality of carbon offsets (10 mentions), and</w:t>
      </w:r>
      <w:r>
        <w:t xml:space="preserve"> </w:t>
      </w:r>
      <w:r>
        <w:t xml:space="preserve">ICAO’s slow and ineffective progress on delivering meaningful climate action (2 mentions).</w:t>
      </w:r>
      <w:r>
        <w:t xml:space="preserve"> </w:t>
      </w:r>
      <w:r>
        <w:t xml:space="preserve">Conversely, companies and business associations emphasised the importance of prioritising a</w:t>
      </w:r>
      <w:r>
        <w:t xml:space="preserve"> </w:t>
      </w:r>
      <w:r>
        <w:t xml:space="preserve">global approach by strengthening CORSIA rather than relying solely on unilateral EU</w:t>
      </w:r>
      <w:r>
        <w:t xml:space="preserve"> </w:t>
      </w:r>
      <w:r>
        <w:t xml:space="preserve">measures (16 mentions), and raised concerns about extending the EU ETS, due to potential</w:t>
      </w:r>
      <w:r>
        <w:t xml:space="preserve"> </w:t>
      </w:r>
      <w:r>
        <w:t xml:space="preserve">competitive disadvantages for carriers operating outside Europe and not subject to equivalent</w:t>
      </w:r>
      <w:r>
        <w:t xml:space="preserve"> </w:t>
      </w:r>
      <w:r>
        <w:t xml:space="preserve">obligations (2 mentions).</w:t>
      </w:r>
      <w:r>
        <w:t xml:space="preserve"> </w:t>
      </w:r>
      <w:r>
        <w:t xml:space="preserve">29 respondents (15%), mostly from companies and business associations, argued that the</w:t>
      </w:r>
      <w:r>
        <w:t xml:space="preserve"> </w:t>
      </w:r>
      <w:r>
        <w:t xml:space="preserve">current approach to international flights outside Europe is appropriate, highlighting that</w:t>
      </w:r>
      <w:r>
        <w:t xml:space="preserve"> </w:t>
      </w:r>
      <w:r>
        <w:t xml:space="preserve">CORSIA is a suitable global mechanism to address emissions (9 mentions). In addition, they</w:t>
      </w:r>
      <w:r>
        <w:t xml:space="preserve"> </w:t>
      </w:r>
      <w:r>
        <w:t xml:space="preserve">claimed that this approach preserves competitiveness and prevents market distortions (9</w:t>
      </w:r>
      <w:r>
        <w:t xml:space="preserve"> </w:t>
      </w:r>
      <w:r>
        <w:t xml:space="preserve">mentions), as a global approach through ICAO should be prioritised over unilateral EU action</w:t>
      </w:r>
      <w:r>
        <w:t xml:space="preserve"> </w:t>
      </w:r>
      <w:r>
        <w:t xml:space="preserve">(7 mentions).</w:t>
      </w:r>
      <w:r>
        <w:t xml:space="preserve"> </w:t>
      </w:r>
      <w:r>
        <w:t xml:space="preserve">3.3.1.3.</w:t>
      </w:r>
      <w:r>
        <w:t xml:space="preserve"> </w:t>
      </w:r>
      <w:r>
        <w:t xml:space="preserve">Stakeholder priorities on additional issues</w:t>
      </w:r>
      <w:r>
        <w:br/>
      </w:r>
      <w:r>
        <w:t xml:space="preserve">Beyond the central debate on climate action and ETS–CORSIA interaction, stakeholders</w:t>
      </w:r>
      <w:r>
        <w:t xml:space="preserve"> </w:t>
      </w:r>
      <w:r>
        <w:t xml:space="preserve">identified several priority areas requiring policy attention, in particular: the ETS support for</w:t>
      </w:r>
      <w:r>
        <w:t xml:space="preserve"> </w:t>
      </w:r>
      <w:r>
        <w:t xml:space="preserve">SAF uptake; connectivity, competitiveness, and carbon leakage risks; emissions from private</w:t>
      </w:r>
      <w:r>
        <w:t xml:space="preserve"> </w:t>
      </w:r>
      <w:r>
        <w:t xml:space="preserve">and business aviation, short-haul flights; and socio-economic impacts on outermost regions.</w:t>
      </w:r>
      <w:r>
        <w:t xml:space="preserve"> </w:t>
      </w:r>
      <w:r>
        <w:t xml:space="preserve">Prioritisation results reflect varying degrees of support across stakeholder groups.</w:t>
      </w:r>
      <w:r>
        <w:t xml:space="preserve"> </w:t>
      </w:r>
      <w:r>
        <w:t xml:space="preserve">Business associations, companies, and public authorities mostly highlighted the importance of</w:t>
      </w:r>
      <w:r>
        <w:t xml:space="preserve"> </w:t>
      </w:r>
      <w:r>
        <w:t xml:space="preserve">the ETS support for eligible fuels (92 ratings as top priority or high importance). Duration</w:t>
      </w:r>
      <w:r>
        <w:t xml:space="preserve"> </w:t>
      </w:r>
      <w:r>
        <w:t xml:space="preserve">extension (15 mentions) and increased number of SAF allowances (10 mentions) were the main</w:t>
      </w:r>
      <w:r>
        <w:t xml:space="preserve"> </w:t>
      </w:r>
      <w:r>
        <w:t xml:space="preserve">suggestions to enhance the support scheme. Many also called for redirecting ETS revenues to</w:t>
      </w:r>
      <w:r>
        <w:t xml:space="preserve"> </w:t>
      </w:r>
      <w:r>
        <w:t xml:space="preserve">scale up SAF production (9 mentions) and increasing allowances to better reflect price</w:t>
      </w:r>
      <w:r>
        <w:t xml:space="preserve"> </w:t>
      </w:r>
      <w:r>
        <w:t xml:space="preserve">differences between SAF and jet fuel (8 mentions). In relation to the latter, several proposals</w:t>
      </w:r>
      <w:r>
        <w:t xml:space="preserve"> </w:t>
      </w:r>
      <w:r>
        <w:t xml:space="preserve">were put forward to particularly incentivise eSAF production and uptake.</w:t>
      </w:r>
      <w:r>
        <w:t xml:space="preserve"> </w:t>
      </w:r>
      <w:r>
        <w:t xml:space="preserve">Private sector stakeholders strongly emphasised connectivity, competitiveness, and carbon</w:t>
      </w:r>
      <w:r>
        <w:t xml:space="preserve"> </w:t>
      </w:r>
      <w:r>
        <w:t xml:space="preserve">leakage concerns (68 ratings as top priority or high importance) stating that the ETS may divert</w:t>
      </w:r>
      <w:r>
        <w:t xml:space="preserve"> </w:t>
      </w:r>
      <w:r>
        <w:t xml:space="preserve">traffic to non-EU hubs to avoid compliance—specifically due to the low price of CORSIA</w:t>
      </w:r>
      <w:r>
        <w:t xml:space="preserve"> </w:t>
      </w:r>
      <w:r>
        <w:t xml:space="preserve">relative to the ETS—thus contributing to only shifting emissions outside the EU and</w:t>
      </w:r>
      <w:r>
        <w:t xml:space="preserve"> </w:t>
      </w:r>
      <w:r>
        <w:t xml:space="preserve">disadvantaging EU carriers. Stakeholders asked for targeted tools to address leakage risk on</w:t>
      </w:r>
      <w:r>
        <w:t xml:space="preserve"> </w:t>
      </w:r>
      <w:r>
        <w:t xml:space="preserve">specific routes, as a way to balance climate ambition with competitiveness and connectivity</w:t>
      </w:r>
      <w:r>
        <w:t xml:space="preserve"> </w:t>
      </w:r>
      <w:r>
        <w:t xml:space="preserve">needs.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Civil society, instead, mostly prioritised tackling emissions from private and business jets (55</w:t>
      </w:r>
      <w:r>
        <w:t xml:space="preserve"> </w:t>
      </w:r>
      <w:r>
        <w:t xml:space="preserve">ratings as top priority or high importance), in order to ensure social fairness against their</w:t>
      </w:r>
      <w:r>
        <w:t xml:space="preserve"> </w:t>
      </w:r>
      <w:r>
        <w:t xml:space="preserve">disproportionately high per-passenger emissions (8 mentions). In particular, stakeholders</w:t>
      </w:r>
      <w:r>
        <w:t xml:space="preserve"> </w:t>
      </w:r>
      <w:r>
        <w:t xml:space="preserve">proposed various solutions to regulate emissions from private and business jets within (9</w:t>
      </w:r>
      <w:r>
        <w:t xml:space="preserve"> </w:t>
      </w:r>
      <w:r>
        <w:t xml:space="preserve">mentions) and beyond (6 mentions) the EU ETS. Similarly, flights of less than 1000 km were</w:t>
      </w:r>
      <w:r>
        <w:t xml:space="preserve"> </w:t>
      </w:r>
      <w:r>
        <w:t xml:space="preserve">particularly challenged by NGOs and environmental organisations (55 ratings as top priority</w:t>
      </w:r>
      <w:r>
        <w:t xml:space="preserve"> </w:t>
      </w:r>
      <w:r>
        <w:t xml:space="preserve">or high importance), which demanded a modal shift to rail for such short flights (10 mentions).</w:t>
      </w:r>
      <w:r>
        <w:t xml:space="preserve"> </w:t>
      </w:r>
      <w:r>
        <w:t xml:space="preserve">While most respondents agreed on the stronger drive to decarbonise short-haul flights, one</w:t>
      </w:r>
      <w:r>
        <w:t xml:space="preserve"> </w:t>
      </w:r>
      <w:r>
        <w:t xml:space="preserve">public authority highlighted the need to consider the specific local context, as these may play</w:t>
      </w:r>
      <w:r>
        <w:t xml:space="preserve"> </w:t>
      </w:r>
      <w:r>
        <w:t xml:space="preserve">a key role in safeguarding regional cohesion.</w:t>
      </w:r>
      <w:r>
        <w:t xml:space="preserve"> </w:t>
      </w:r>
      <w:r>
        <w:t xml:space="preserve">3.3.2. Maritime</w:t>
      </w:r>
      <w:r>
        <w:t xml:space="preserve"> </w:t>
      </w:r>
      <w:r>
        <w:t xml:space="preserve">The consultation on the EU ETS as applied to maritime confirmed broad support for its success</w:t>
      </w:r>
      <w:r>
        <w:t xml:space="preserve"> </w:t>
      </w:r>
      <w:r>
        <w:t xml:space="preserve">in driving decarbonisation, while also identifying opportunities to improve interaction with</w:t>
      </w:r>
      <w:r>
        <w:t xml:space="preserve"> </w:t>
      </w:r>
      <w:r>
        <w:t xml:space="preserve">international measures, enhance competitiveness, include smaller vessels, and simplify the</w:t>
      </w:r>
      <w:r>
        <w:t xml:space="preserve"> </w:t>
      </w:r>
      <w:r>
        <w:t xml:space="preserve">rules.</w:t>
      </w:r>
      <w:r>
        <w:br/>
      </w:r>
      <w:r>
        <w:t xml:space="preserve">3.3.2.1.</w:t>
      </w:r>
      <w:r>
        <w:t xml:space="preserve"> </w:t>
      </w:r>
      <w:r>
        <w:t xml:space="preserve">Coherence of the EU ETS with IMO NZF and avoiding significant</w:t>
      </w:r>
      <w:r>
        <w:t xml:space="preserve"> </w:t>
      </w:r>
      <w:r>
        <w:t xml:space="preserve">double burden</w:t>
      </w:r>
      <w:r>
        <w:br/>
      </w:r>
      <w:r>
        <w:t xml:space="preserve">Many stakeholders emphasized the importance of ensuring smooth coordination between the</w:t>
      </w:r>
      <w:r>
        <w:t xml:space="preserve"> </w:t>
      </w:r>
      <w:r>
        <w:t xml:space="preserve">EU ETS and the upcoming IMO NZF, with some prioritising a global approach, and some</w:t>
      </w:r>
      <w:r>
        <w:t xml:space="preserve"> </w:t>
      </w:r>
      <w:r>
        <w:t xml:space="preserve">calling for reducing or adjusting the EU ETS scope once IMO rules are in force. The most cited</w:t>
      </w:r>
      <w:r>
        <w:t xml:space="preserve"> </w:t>
      </w:r>
      <w:r>
        <w:t xml:space="preserve">view was the need to avoid duplication, double burdens, or administrative costs from running</w:t>
      </w:r>
      <w:r>
        <w:t xml:space="preserve"> </w:t>
      </w:r>
      <w:r>
        <w:t xml:space="preserve">parallel systems (75 mentions out of 107 responses), followed closely by the potential</w:t>
      </w:r>
      <w:r>
        <w:t xml:space="preserve"> </w:t>
      </w:r>
      <w:r>
        <w:t xml:space="preserve">harmonisation between EU and IMO measures (70 mentions). Some stakeholders supported</w:t>
      </w:r>
      <w:r>
        <w:t xml:space="preserve"> </w:t>
      </w:r>
      <w:r>
        <w:t xml:space="preserve">the phase-out of the EU ETS in favour of IMO rules (45 mentions). Other views included the</w:t>
      </w:r>
      <w:r>
        <w:t xml:space="preserve"> </w:t>
      </w:r>
      <w:r>
        <w:t xml:space="preserve">importance of maintaining high environmental ambition and retaining EU ETS(15 mentions),</w:t>
      </w:r>
      <w:r>
        <w:t xml:space="preserve"> </w:t>
      </w:r>
      <w:r>
        <w:t xml:space="preserve">concerns about competitive risks such as flagging out, carbon leakage, or investment diversion</w:t>
      </w:r>
      <w:r>
        <w:t xml:space="preserve"> </w:t>
      </w:r>
      <w:r>
        <w:t xml:space="preserve">(8 mentions), imposing mutual recognition between EU ETS and potential IMO measures (6</w:t>
      </w:r>
      <w:r>
        <w:t xml:space="preserve"> </w:t>
      </w:r>
      <w:r>
        <w:t xml:space="preserve">mentions), importance of early engagement and support during phase-out (3 mentions), with</w:t>
      </w:r>
      <w:r>
        <w:t xml:space="preserve"> </w:t>
      </w:r>
      <w:r>
        <w:t xml:space="preserve">stakeholders calling for temporary exemptions, regulatory clarity, and administrative</w:t>
      </w:r>
      <w:r>
        <w:t xml:space="preserve"> </w:t>
      </w:r>
      <w:r>
        <w:t xml:space="preserve">alignment to ensure a smooth transition; and calls for differentiated, simplified, or sector-</w:t>
      </w:r>
      <w:r>
        <w:t xml:space="preserve"> </w:t>
      </w:r>
      <w:r>
        <w:t xml:space="preserve">specific rules (2 mentions) aimed at reducing administrative and financial burdens while</w:t>
      </w:r>
      <w:r>
        <w:t xml:space="preserve"> </w:t>
      </w:r>
      <w:r>
        <w:t xml:space="preserve">maintaining emissions coverage.</w:t>
      </w:r>
      <w:r>
        <w:t xml:space="preserve"> </w:t>
      </w:r>
      <w:r>
        <w:t xml:space="preserve">3.3.2.2.</w:t>
      </w:r>
      <w:r>
        <w:t xml:space="preserve"> </w:t>
      </w:r>
      <w:r>
        <w:t xml:space="preserve">Effectiveness of the current measures in reducing risk of evasion</w:t>
      </w:r>
      <w:r>
        <w:br/>
      </w:r>
      <w:r>
        <w:t xml:space="preserve">A total of 29 out of 184 respondents rather agreed (11%) or strongly agreed (4%) that the</w:t>
      </w:r>
      <w:r>
        <w:t xml:space="preserve"> </w:t>
      </w:r>
      <w:r>
        <w:t xml:space="preserve">current measures are effective in preventing shipping companies from evading the</w:t>
      </w:r>
      <w:r>
        <w:t xml:space="preserve"> </w:t>
      </w:r>
      <w:r>
        <w:t xml:space="preserve">requirements of the EU ETS Directive. A further 23 respondents expressed a neutral view</w:t>
      </w:r>
      <w:r>
        <w:t xml:space="preserve"> </w:t>
      </w:r>
      <w:r>
        <w:t xml:space="preserve">(13%). Smaller shares of respondents rather disagreed or strongly disagreed (24;13%)). The</w:t>
      </w:r>
      <w:r>
        <w:t xml:space="preserve"> </w:t>
      </w:r>
      <w:r>
        <w:t xml:space="preserve">largest group indicated do not know (108, 59%). Regarding specific suggestions, the most</w:t>
      </w:r>
      <w:r>
        <w:t xml:space="preserve"> </w:t>
      </w:r>
      <w:r>
        <w:t xml:space="preserve">frequently mentioned view was the need for stronger monitoring and enforcement to prevent</w:t>
      </w:r>
      <w:r>
        <w:t xml:space="preserve"> </w:t>
      </w:r>
      <w:r>
        <w:t xml:space="preserve">circumvention, including addressing rerouting, transshipment, and port call issues (11</w:t>
      </w:r>
      <w:r>
        <w:t xml:space="preserve"> </w:t>
      </w:r>
      <w:r>
        <w:t xml:space="preserve">mentions). Several stakeholders called for alignment with the IMO NZF and international</w:t>
      </w:r>
      <w:r>
        <w:t xml:space="preserve"> </w:t>
      </w:r>
      <w:r>
        <w:t xml:space="preserve">harmonisation to maintain a level playing field (5 mentions), and enhanced coordination among</w:t>
      </w:r>
      <w:r>
        <w:t xml:space="preserve"> </w:t>
      </w:r>
      <w:r>
        <w:t xml:space="preserve">authorities, including EU ports and third countries (5 mentions). Others highlighted the</w:t>
      </w:r>
      <w:r>
        <w:t xml:space="preserve"> </w:t>
      </w:r>
      <w:r>
        <w:t xml:space="preserve">importance of stricter and proportionate penalties for non-compliance (4 mentions), use of</w:t>
      </w:r>
      <w:r>
        <w:t xml:space="preserve"> </w:t>
      </w:r>
      <w:r>
        <w:t xml:space="preserve">digital tools and registries to improve tracking and transparency (3 mentions), and regular</w:t>
      </w:r>
      <w:r>
        <w:t xml:space="preserve"> </w:t>
      </w:r>
      <w:r>
        <w:t xml:space="preserve">reviews and updates of ETS scope and measures (3 mentions). Additional suggestions included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clearer definitions of ports, transshipment, offshore, and exemptions to reduce loopholes (2</w:t>
      </w:r>
      <w:r>
        <w:t xml:space="preserve"> </w:t>
      </w:r>
      <w:r>
        <w:t xml:space="preserve">mentions) and exemptions or compensations for regions with unique logistical challenges (1</w:t>
      </w:r>
      <w:r>
        <w:t xml:space="preserve"> </w:t>
      </w:r>
      <w:r>
        <w:t xml:space="preserve">mention).</w:t>
      </w:r>
      <w:r>
        <w:br/>
      </w:r>
      <w:r>
        <w:t xml:space="preserve">Extending the scope of the EU ETS maritime provisions to include smaller ships</w:t>
      </w:r>
      <w:r>
        <w:t xml:space="preserve"> </w:t>
      </w:r>
      <w:r>
        <w:t xml:space="preserve">When asked whether the scope of the EU ETS Maritime provisions should be extended to cover</w:t>
      </w:r>
      <w:r>
        <w:t xml:space="preserve"> </w:t>
      </w:r>
      <w:r>
        <w:t xml:space="preserve">emissions from smaller ships (below 5,000 GT but not below 400 GT, including offshore</w:t>
      </w:r>
      <w:r>
        <w:t xml:space="preserve"> </w:t>
      </w:r>
      <w:r>
        <w:t xml:space="preserve">ships), a total of 57 out of 189 respondents rather agreed (16%) or strongly agreed (14%). A</w:t>
      </w:r>
      <w:r>
        <w:t xml:space="preserve"> </w:t>
      </w:r>
      <w:r>
        <w:t xml:space="preserve">further 30 respondents expressed a neutral view (16%). Smaller shares of respondents rather</w:t>
      </w:r>
      <w:r>
        <w:t xml:space="preserve"> </w:t>
      </w:r>
      <w:r>
        <w:t xml:space="preserve">disagreed (23, 12%) or strongly disagreed (19, 10%). The largest group indicated do not know</w:t>
      </w:r>
      <w:r>
        <w:t xml:space="preserve"> </w:t>
      </w:r>
      <w:r>
        <w:t xml:space="preserve">(60, 32%). As far as the proposed scope for the extension is concerned, the most frequently</w:t>
      </w:r>
      <w:r>
        <w:t xml:space="preserve"> </w:t>
      </w:r>
      <w:r>
        <w:t xml:space="preserve">cited view was support for extending EU ETS Maritime to vessels between 400 and 5,000 GT</w:t>
      </w:r>
      <w:r>
        <w:t xml:space="preserve"> </w:t>
      </w:r>
      <w:r>
        <w:t xml:space="preserve">(30 mentions). several stakeholders proposed phased or targeted inclusion of smaller ships (6</w:t>
      </w:r>
      <w:r>
        <w:t xml:space="preserve"> </w:t>
      </w:r>
      <w:r>
        <w:t xml:space="preserve">mentions) and highlighted the importance of consistency in scope with FuelEU Maritime, IMO</w:t>
      </w:r>
      <w:r>
        <w:t xml:space="preserve"> </w:t>
      </w:r>
      <w:r>
        <w:t xml:space="preserve">NZF, and MARPOL Annex VI (2 mentions). Respondents emphasised both the need to ensure</w:t>
      </w:r>
      <w:r>
        <w:t xml:space="preserve"> </w:t>
      </w:r>
      <w:r>
        <w:t xml:space="preserve">that revenues from extending the EU ETS to smaller vessels are reinvested in maritime</w:t>
      </w:r>
      <w:r>
        <w:t xml:space="preserve"> </w:t>
      </w:r>
      <w:r>
        <w:t xml:space="preserve">decarbonisation (4 mentions) and the importance of simplified administration and reporting for</w:t>
      </w:r>
      <w:r>
        <w:t xml:space="preserve"> </w:t>
      </w:r>
      <w:r>
        <w:t xml:space="preserve">smaller ships (3 mentions). Others raised calls for fair competition with road transport (3</w:t>
      </w:r>
      <w:r>
        <w:t xml:space="preserve"> </w:t>
      </w:r>
      <w:r>
        <w:t xml:space="preserve">mentions), support for including specific ship categories such as cruise ships, yachts, or</w:t>
      </w:r>
      <w:r>
        <w:t xml:space="preserve"> </w:t>
      </w:r>
      <w:r>
        <w:t xml:space="preserve">offshore vessels (1 mention), and concerns about negative regional impacts, particularly in</w:t>
      </w:r>
      <w:r>
        <w:t xml:space="preserve"> </w:t>
      </w:r>
      <w:r>
        <w:t xml:space="preserve">outermost regions or outermost regions (1 mention).</w:t>
      </w:r>
      <w:r>
        <w:t xml:space="preserve"> </w:t>
      </w:r>
      <w:r>
        <w:t xml:space="preserve">3.3.2.3.</w:t>
      </w:r>
      <w:r>
        <w:t xml:space="preserve"> </w:t>
      </w:r>
      <w:r>
        <w:t xml:space="preserve">Effectiveness of EU ETS in addressing shipping challenges for islands</w:t>
      </w:r>
      <w:r>
        <w:t xml:space="preserve"> </w:t>
      </w:r>
      <w:r>
        <w:t xml:space="preserve">and outermost regions</w:t>
      </w:r>
      <w:r>
        <w:br/>
      </w:r>
      <w:r>
        <w:t xml:space="preserve">When asked whether the EU ETS are effectively reflecting the challenges faced by islands and</w:t>
      </w:r>
      <w:r>
        <w:t xml:space="preserve"> </w:t>
      </w:r>
      <w:r>
        <w:t xml:space="preserve">remote territories, including outermost regions, 15 out of 179 (8%) respondents strongly agreed</w:t>
      </w:r>
      <w:r>
        <w:t xml:space="preserve"> </w:t>
      </w:r>
      <w:r>
        <w:t xml:space="preserve">or rather agreed. A further 19 respondents expressed a neutral view (11%). Smaller shares of</w:t>
      </w:r>
      <w:r>
        <w:t xml:space="preserve"> </w:t>
      </w:r>
      <w:r>
        <w:t xml:space="preserve">respondents rather disagreed or strongly disagreed (35, 20%). The largest group indicated do</w:t>
      </w:r>
      <w:r>
        <w:t xml:space="preserve"> </w:t>
      </w:r>
      <w:r>
        <w:t xml:space="preserve">not know (110, 61%). On open ended question on connectivity, the most frequently cited</w:t>
      </w:r>
      <w:r>
        <w:t xml:space="preserve"> </w:t>
      </w:r>
      <w:r>
        <w:t xml:space="preserve">concern was that the EU ETS would increase costs for ports in outermost regions and reduce</w:t>
      </w:r>
      <w:r>
        <w:t xml:space="preserve"> </w:t>
      </w:r>
      <w:r>
        <w:t xml:space="preserve">competitiveness (17 mentions). Several stakeholders emphasised the need for tailored</w:t>
      </w:r>
      <w:r>
        <w:t xml:space="preserve"> </w:t>
      </w:r>
      <w:r>
        <w:t xml:space="preserve">mitigation and differentiated treatment for islands and remote territories (11 mentions) and</w:t>
      </w:r>
      <w:r>
        <w:t xml:space="preserve"> </w:t>
      </w:r>
      <w:r>
        <w:t xml:space="preserve">permanent compensation for special operating conditions, such as ice navigation (6 mentions).</w:t>
      </w:r>
      <w:r>
        <w:t xml:space="preserve"> </w:t>
      </w:r>
      <w:r>
        <w:t xml:space="preserve">Other views included exemptions being inadequate for major islands and longer-term needs (5</w:t>
      </w:r>
      <w:r>
        <w:t xml:space="preserve"> </w:t>
      </w:r>
      <w:r>
        <w:t xml:space="preserve">mentions), priority access to sustainable fuels and complementary measures (3 mentions),</w:t>
      </w:r>
      <w:r>
        <w:t xml:space="preserve"> </w:t>
      </w:r>
      <w:r>
        <w:t xml:space="preserve">administrative and compliance burdens for lifeline or ferry services (2 mentions), and</w:t>
      </w:r>
      <w:r>
        <w:t xml:space="preserve"> </w:t>
      </w:r>
      <w:r>
        <w:t xml:space="preserve">reinvestment of ETS revenues to offset island-specific impacts (1 mention).When asked</w:t>
      </w:r>
      <w:r>
        <w:t xml:space="preserve"> </w:t>
      </w:r>
      <w:r>
        <w:t xml:space="preserve">whether the administrative costs linked to the implementation of the ETS maritime provisions</w:t>
      </w:r>
      <w:r>
        <w:t xml:space="preserve"> </w:t>
      </w:r>
      <w:r>
        <w:t xml:space="preserve">are proportionate and reasonable, 30 out of 186 respondents strongly agreed (2%) or rather</w:t>
      </w:r>
      <w:r>
        <w:t xml:space="preserve"> </w:t>
      </w:r>
      <w:r>
        <w:t xml:space="preserve">agreed (14%). A further 19 respondents expressed a neutral view (10%). Smaller shares of</w:t>
      </w:r>
      <w:r>
        <w:t xml:space="preserve"> </w:t>
      </w:r>
      <w:r>
        <w:t xml:space="preserve">respondents rather disagreed (36, 19%) or strongly disagreed (11, 6%). The largest group</w:t>
      </w:r>
      <w:r>
        <w:t xml:space="preserve"> </w:t>
      </w:r>
      <w:r>
        <w:t xml:space="preserve">indicated do not know (90, 48%).</w:t>
      </w:r>
      <w:r>
        <w:br/>
      </w:r>
      <w:r>
        <w:t xml:space="preserve">3.3.2.4.</w:t>
      </w:r>
      <w:r>
        <w:t xml:space="preserve"> </w:t>
      </w:r>
      <w:r>
        <w:t xml:space="preserve">Stakeholder views on additional issues</w:t>
      </w:r>
      <w:r>
        <w:br/>
      </w:r>
      <w:r>
        <w:t xml:space="preserve">When asked whether the administrative costs linked to the implementation of the ETS</w:t>
      </w:r>
      <w:r>
        <w:t xml:space="preserve"> </w:t>
      </w:r>
      <w:r>
        <w:t xml:space="preserve">extension to maritime transport are proportionate and reasonable, 4 respondents strongly</w:t>
      </w:r>
      <w:r>
        <w:t xml:space="preserve"> </w:t>
      </w:r>
      <w:r>
        <w:t xml:space="preserve">agreed (2%) and 26 respondents rather agreed (14%). A further 19 respondents expressed a</w:t>
      </w:r>
      <w:r>
        <w:t xml:space="preserve"> </w:t>
      </w:r>
      <w:r>
        <w:t xml:space="preserve">neutral view (10%). Smaller shares of respondents rather disagreed (36, 19%) or strongly</w:t>
      </w:r>
      <w:r>
        <w:t xml:space="preserve"> </w:t>
      </w:r>
      <w:r>
        <w:t xml:space="preserve">disagreed (11, 6%). The largest group indicated do not know (90, 49%). On suggested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improvements, the most frequent view (20 mentions) called for alignment of EU ETS rules</w:t>
      </w:r>
      <w:r>
        <w:t xml:space="preserve"> </w:t>
      </w:r>
      <w:r>
        <w:t xml:space="preserve">with IMO NZF and FuelEU Maritime to avoid double regulation. Standardising data collection</w:t>
      </w:r>
      <w:r>
        <w:t xml:space="preserve"> </w:t>
      </w:r>
      <w:r>
        <w:t xml:space="preserve">and reporting across EU MRV and IMO DCS was emphasised by 17 stakeholders, while 15</w:t>
      </w:r>
      <w:r>
        <w:t xml:space="preserve"> </w:t>
      </w:r>
      <w:r>
        <w:t xml:space="preserve">supported a single EU-level digital system for easier compliance. 10 stressed the need for clear,</w:t>
      </w:r>
      <w:r>
        <w:t xml:space="preserve"> </w:t>
      </w:r>
      <w:r>
        <w:t xml:space="preserve">harmonised EU guidance to reduce interpretation risks. Some respondents requested simplified</w:t>
      </w:r>
      <w:r>
        <w:t xml:space="preserve"> </w:t>
      </w:r>
      <w:r>
        <w:t xml:space="preserve">compliance for SMEs and smaller emitters, simplification by reducing procedural burdens, and</w:t>
      </w:r>
      <w:r>
        <w:t xml:space="preserve"> </w:t>
      </w:r>
      <w:r>
        <w:t xml:space="preserve">administrative fees and verification costs to be reduced and standardised across Member States</w:t>
      </w:r>
      <w:r>
        <w:t xml:space="preserve"> </w:t>
      </w:r>
      <w:r>
        <w:t xml:space="preserve">(each with 4 mentions).</w:t>
      </w:r>
      <w:r>
        <w:br/>
      </w:r>
      <w:r>
        <w:t xml:space="preserve">When asked whether the ETS should further incentivise the uptake of renewable and low-</w:t>
      </w:r>
      <w:r>
        <w:t xml:space="preserve"> </w:t>
      </w:r>
      <w:r>
        <w:t xml:space="preserve">carbon maritime fuels based on Well-to-Wake emissions, 87 out of 191 respondents strongly</w:t>
      </w:r>
      <w:r>
        <w:t xml:space="preserve"> </w:t>
      </w:r>
      <w:r>
        <w:t xml:space="preserve">agreed (23%) or rather agreed (23%). A further 9 respondents expressed a neutral view (5%).</w:t>
      </w:r>
      <w:r>
        <w:t xml:space="preserve"> </w:t>
      </w:r>
      <w:r>
        <w:t xml:space="preserve">Smaller shares of respondents rather disagreed or strongly disagreed (24, 13%). Other</w:t>
      </w:r>
      <w:r>
        <w:t xml:space="preserve"> </w:t>
      </w:r>
      <w:r>
        <w:t xml:space="preserve">respondents indicated do not know (71, 37%). On suggested improvements, the most frequent</w:t>
      </w:r>
      <w:r>
        <w:t xml:space="preserve"> </w:t>
      </w:r>
      <w:r>
        <w:t xml:space="preserve">suggestion (17 mentions) called for incentives based on full well-to-wake lifecycle emissions,</w:t>
      </w:r>
      <w:r>
        <w:t xml:space="preserve"> </w:t>
      </w:r>
      <w:r>
        <w:t xml:space="preserve">excluding unsustainable biofuels. 12 stakeholders emphasised cost support for renewable fuels</w:t>
      </w:r>
      <w:r>
        <w:t xml:space="preserve"> </w:t>
      </w:r>
      <w:r>
        <w:t xml:space="preserve">to compete with conventional options, while 11 stressed technology-neutral fuel incentives and</w:t>
      </w:r>
      <w:r>
        <w:t xml:space="preserve"> </w:t>
      </w:r>
      <w:r>
        <w:t xml:space="preserve">alignment of EU ETS with FuelEU Maritime, RED III, and IMO frameworks. 7 respondents</w:t>
      </w:r>
      <w:r>
        <w:t xml:space="preserve"> </w:t>
      </w:r>
      <w:r>
        <w:t xml:space="preserve">recommended reinvesting ETS revenues to de-risk clean fuel deployment and infrastructure.</w:t>
      </w:r>
      <w:r>
        <w:t xml:space="preserve"> </w:t>
      </w:r>
      <w:r>
        <w:t xml:space="preserve">Other views included standardising sustainability certification (6 mentions), simplifying</w:t>
      </w:r>
      <w:r>
        <w:t xml:space="preserve"> </w:t>
      </w:r>
      <w:r>
        <w:t xml:space="preserve">reporting (4 mentions), phased regulatory timing (2 mentions), targeted support for remote</w:t>
      </w:r>
      <w:r>
        <w:t xml:space="preserve"> </w:t>
      </w:r>
      <w:r>
        <w:t xml:space="preserve">regions (1 mention), and boosting domestic renewable fuel production (1 mention).</w:t>
      </w:r>
      <w:r>
        <w:t xml:space="preserve"> </w:t>
      </w:r>
      <w:r>
        <w:t xml:space="preserve">3.3.3. Measures to address the risk of carbon leakage for emissions not covered by</w:t>
      </w:r>
      <w:r>
        <w:t xml:space="preserve"> </w:t>
      </w:r>
      <w:r>
        <w:t xml:space="preserve">CBAM sectors</w:t>
      </w:r>
      <w:r>
        <w:t xml:space="preserve"> </w:t>
      </w:r>
      <w:r>
        <w:t xml:space="preserve">3.3.3.1.</w:t>
      </w:r>
      <w:r>
        <w:t xml:space="preserve"> </w:t>
      </w:r>
      <w:r>
        <w:t xml:space="preserve">Free allocation</w:t>
      </w:r>
      <w:r>
        <w:t xml:space="preserve"> </w:t>
      </w:r>
      <w:r>
        <w:t xml:space="preserve">Asked on what basis free allocation should be provided beyond 2030 for sectors not covered</w:t>
      </w:r>
      <w:r>
        <w:t xml:space="preserve"> </w:t>
      </w:r>
      <w:r>
        <w:t xml:space="preserve">by CBAM18, an updated benchmark methodology (94 out of 437 responses; 22%) was the most</w:t>
      </w:r>
      <w:r>
        <w:t xml:space="preserve"> </w:t>
      </w:r>
      <w:r>
        <w:t xml:space="preserve">frequently selected option, predominantly by companies/businesses and business associations</w:t>
      </w:r>
      <w:r>
        <w:t xml:space="preserve"> </w:t>
      </w:r>
      <w:r>
        <w:t xml:space="preserve">from the energy, waste, cement and cleantech sectors. They argued for benchmarks better</w:t>
      </w:r>
      <w:r>
        <w:t xml:space="preserve"> </w:t>
      </w:r>
      <w:r>
        <w:t xml:space="preserve">reflecting current performance levels versus outliers or projections, considering technological</w:t>
      </w:r>
      <w:r>
        <w:t xml:space="preserve"> </w:t>
      </w:r>
      <w:r>
        <w:t xml:space="preserve">and economic constraints, EU-wide availability of enabling conditions, resources and</w:t>
      </w:r>
      <w:r>
        <w:t xml:space="preserve"> </w:t>
      </w:r>
      <w:r>
        <w:t xml:space="preserve">technologies. This was followed by 83 responses (19%) supporting maintaining the current</w:t>
      </w:r>
      <w:r>
        <w:t xml:space="preserve"> </w:t>
      </w:r>
      <w:r>
        <w:t xml:space="preserve">carbon leakage list as applied in Phase IV (2021–2030), mainly on the grounds that the carbon</w:t>
      </w:r>
      <w:r>
        <w:t xml:space="preserve"> </w:t>
      </w:r>
      <w:r>
        <w:t xml:space="preserve">leakage risk of the sectors concerned has not substantially changed and in opposition to the</w:t>
      </w:r>
      <w:r>
        <w:t xml:space="preserve"> </w:t>
      </w:r>
      <w:r>
        <w:t xml:space="preserve">possible introduction of conditionalities. This view was mainly supported by</w:t>
      </w:r>
      <w:r>
        <w:t xml:space="preserve"> </w:t>
      </w:r>
      <w:r>
        <w:t xml:space="preserve">companies/businesses and business associations from manufacturing industry sectors. A</w:t>
      </w:r>
      <w:r>
        <w:t xml:space="preserve"> </w:t>
      </w:r>
      <w:r>
        <w:t xml:space="preserve">further 72 responses (16%), mainly from companies/businesses and business associations from</w:t>
      </w:r>
      <w:r>
        <w:t xml:space="preserve"> </w:t>
      </w:r>
      <w:r>
        <w:t xml:space="preserve">the energy, waste and cleantech sectors, supported an updated carbon leakage list. Very few</w:t>
      </w:r>
      <w:r>
        <w:t xml:space="preserve"> </w:t>
      </w:r>
      <w:r>
        <w:t xml:space="preserve">provided details, with those who did mostly calling for trade intensity to be given more weight</w:t>
      </w:r>
      <w:r>
        <w:t xml:space="preserve"> </w:t>
      </w:r>
      <w:r>
        <w:t xml:space="preserve">over emission intensity when calculating the carbon leakage indicator value. Finally, 59</w:t>
      </w:r>
      <w:r>
        <w:t xml:space="preserve"> </w:t>
      </w:r>
      <w:r>
        <w:t xml:space="preserve">responses (13%), mainly from companies/businesses and business associations in the energy</w:t>
      </w:r>
      <w:r>
        <w:t xml:space="preserve"> </w:t>
      </w:r>
      <w:r>
        <w:t xml:space="preserve">sector as well as most NGOs, favoured making free allocation conditional on taking steps</w:t>
      </w:r>
      <w:r>
        <w:t xml:space="preserve"> </w:t>
      </w:r>
      <w:r>
        <w:t xml:space="preserve">towards carbon neutrality. A further 83 (19%) clicked “other”, providing very diverse input</w:t>
      </w:r>
      <w:r>
        <w:t xml:space="preserve"> </w:t>
      </w:r>
      <w:r>
        <w:t xml:space="preserve">from which no representative conclusions could be drawn. 46 responses (11%) were uncertain.</w:t>
      </w:r>
    </w:p>
    <w:p>
      <w:pPr>
        <w:pStyle w:val="BodyText"/>
      </w:pPr>
      <w:r>
        <w:t xml:space="preserve">18 Respondents could indicate multiple responses.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In addition, several campaigns coordinated their responses on this question, showing a similar</w:t>
      </w:r>
      <w:r>
        <w:t xml:space="preserve"> </w:t>
      </w:r>
      <w:r>
        <w:t xml:space="preserve">distribution of preferences which did not have a decisive impact on the overall results. Five</w:t>
      </w:r>
      <w:r>
        <w:t xml:space="preserve"> </w:t>
      </w:r>
      <w:r>
        <w:t xml:space="preserve">campaigns by companies/businesses and business associations in different manufacturing</w:t>
      </w:r>
      <w:r>
        <w:t xml:space="preserve"> </w:t>
      </w:r>
      <w:r>
        <w:t xml:space="preserve">industry sectors (29 respondents in total) advocated for keeping the current carbon leakage list,</w:t>
      </w:r>
      <w:r>
        <w:t xml:space="preserve"> </w:t>
      </w:r>
      <w:r>
        <w:t xml:space="preserve">with two of those (9 respondents in total) also indicating that they support an update of the</w:t>
      </w:r>
      <w:r>
        <w:t xml:space="preserve"> </w:t>
      </w:r>
      <w:r>
        <w:t xml:space="preserve">benchmark methodology, for similar reasons as indicated higher. Two campaigns, from the</w:t>
      </w:r>
      <w:r>
        <w:t xml:space="preserve"> </w:t>
      </w:r>
      <w:r>
        <w:t xml:space="preserve">waste and cement sectors, (28 respondents in total) preferred both an updated carbon leakage</w:t>
      </w:r>
      <w:r>
        <w:t xml:space="preserve"> </w:t>
      </w:r>
      <w:r>
        <w:t xml:space="preserve">list and an updated benchmark methodology. Three campaigns by NGOs and by</w:t>
      </w:r>
      <w:r>
        <w:t xml:space="preserve"> </w:t>
      </w:r>
      <w:r>
        <w:t xml:space="preserve">companies/businesses from the waste-to-energy sector (20 respondents in total) advocated for</w:t>
      </w:r>
      <w:r>
        <w:t xml:space="preserve"> </w:t>
      </w:r>
      <w:r>
        <w:t xml:space="preserve">conditionality in combination with an updated benchmark methodology, with the two NGO</w:t>
      </w:r>
      <w:r>
        <w:t xml:space="preserve"> </w:t>
      </w:r>
      <w:r>
        <w:t xml:space="preserve">campaigns specifying a preference for phasing out free allocation. In terms of specific views</w:t>
      </w:r>
      <w:r>
        <w:t xml:space="preserve"> </w:t>
      </w:r>
      <w:r>
        <w:t xml:space="preserve">provided, the waste sector campaigns all argued for a specific EU-wide waste-to-energy</w:t>
      </w:r>
      <w:r>
        <w:t xml:space="preserve"> </w:t>
      </w:r>
      <w:r>
        <w:t xml:space="preserve">benchmark, separate from energy-sector benchmarks, to reflect the functional unit (tonnes) and</w:t>
      </w:r>
      <w:r>
        <w:t xml:space="preserve"> </w:t>
      </w:r>
      <w:r>
        <w:t xml:space="preserve">prevent waste leakage.</w:t>
      </w:r>
      <w:r>
        <w:t xml:space="preserve"> </w:t>
      </w:r>
      <w:r>
        <w:t xml:space="preserve">3.3.3.2.</w:t>
      </w:r>
      <w:r>
        <w:t xml:space="preserve"> </w:t>
      </w:r>
      <w:r>
        <w:t xml:space="preserve">Indirect cost compensation</w:t>
      </w:r>
      <w:r>
        <w:t xml:space="preserve"> </w:t>
      </w:r>
      <w:r>
        <w:t xml:space="preserve">Almost three quarters of respondents (175 out of 238, 74%) considered that indirect cost</w:t>
      </w:r>
      <w:r>
        <w:t xml:space="preserve"> </w:t>
      </w:r>
      <w:r>
        <w:t xml:space="preserve">compensation will remain necessary after 2030 to address the risk of carbon leakage from</w:t>
      </w:r>
      <w:r>
        <w:t xml:space="preserve"> </w:t>
      </w:r>
      <w:r>
        <w:t xml:space="preserve">carbon costs passed on in electricity prices (in sectors not covered by CBAM). Of these, 93</w:t>
      </w:r>
      <w:r>
        <w:t xml:space="preserve"> </w:t>
      </w:r>
      <w:r>
        <w:t xml:space="preserve">respondents (39%) supported harmonising the system at EU level, the main justification being</w:t>
      </w:r>
      <w:r>
        <w:t xml:space="preserve"> </w:t>
      </w:r>
      <w:r>
        <w:t xml:space="preserve">to address competitive distortion among operators, and 26 respondents (11%) called for an</w:t>
      </w:r>
      <w:r>
        <w:t xml:space="preserve"> </w:t>
      </w:r>
      <w:r>
        <w:t xml:space="preserve">extension to cover more sectors and sub-sectors, with some degree of overlap between the</w:t>
      </w:r>
      <w:r>
        <w:t xml:space="preserve"> </w:t>
      </w:r>
      <w:r>
        <w:t xml:space="preserve">two19. These views were mainly shared by companies/businesses and business associations</w:t>
      </w:r>
      <w:r>
        <w:t xml:space="preserve"> </w:t>
      </w:r>
      <w:r>
        <w:t xml:space="preserve">from sectors and sub-sectors currently not eligible for indirect cost compensation20. While few</w:t>
      </w:r>
      <w:r>
        <w:t xml:space="preserve"> </w:t>
      </w:r>
      <w:r>
        <w:t xml:space="preserve">respondents justified their choice for harmonisation, the available answers seem to indicate</w:t>
      </w:r>
      <w:r>
        <w:t xml:space="preserve"> </w:t>
      </w:r>
      <w:r>
        <w:t xml:space="preserve">different interpretations of harmonisation, with some focusing on geographical harmonisation</w:t>
      </w:r>
      <w:r>
        <w:t xml:space="preserve"> </w:t>
      </w:r>
      <w:r>
        <w:t xml:space="preserve">(to all Member States) while others focused on regulatory harmonisation (same rules).</w:t>
      </w:r>
      <w:r>
        <w:t xml:space="preserve"> </w:t>
      </w:r>
      <w:r>
        <w:t xml:space="preserve">Conversely, 50 respondents (21%), mainly from manufacturing industry sectors, favoured</w:t>
      </w:r>
      <w:r>
        <w:t xml:space="preserve"> </w:t>
      </w:r>
      <w:r>
        <w:t xml:space="preserve">maintaining the current approach based on State aid. Only 12 respondents (5%), almost</w:t>
      </w:r>
      <w:r>
        <w:t xml:space="preserve"> </w:t>
      </w:r>
      <w:r>
        <w:t xml:space="preserve">exclusively NGOs and environmental organisations, opposed continuing indirect cost</w:t>
      </w:r>
      <w:r>
        <w:t xml:space="preserve"> </w:t>
      </w:r>
      <w:r>
        <w:t xml:space="preserve">compensation.</w:t>
      </w:r>
      <w:r>
        <w:br/>
      </w:r>
      <w:r>
        <w:t xml:space="preserve">Furthermore, three campaigns by companies/businesses and business associations from the</w:t>
      </w:r>
      <w:r>
        <w:t xml:space="preserve"> </w:t>
      </w:r>
      <w:r>
        <w:t xml:space="preserve">glass and ceramics, steel, and waste-to-energy sectors (32 respondents in total) were identified</w:t>
      </w:r>
      <w:r>
        <w:t xml:space="preserve"> </w:t>
      </w:r>
      <w:r>
        <w:t xml:space="preserve">calling for harmonisation, one of which also called for an extension to all sectors, in addition</w:t>
      </w:r>
      <w:r>
        <w:t xml:space="preserve"> </w:t>
      </w:r>
      <w:r>
        <w:t xml:space="preserve">to one further campaign (5 respondents in total) by companies/businesses in the agriculture</w:t>
      </w:r>
      <w:r>
        <w:t xml:space="preserve"> </w:t>
      </w:r>
      <w:r>
        <w:t xml:space="preserve">sector advocating an extension specifically to their sector. One campaign (5 respondents in</w:t>
      </w:r>
      <w:r>
        <w:t xml:space="preserve"> </w:t>
      </w:r>
      <w:r>
        <w:t xml:space="preserve">total) by companies/businesses from the manufacturing sector (chemicals and fertilisers)</w:t>
      </w:r>
      <w:r>
        <w:t xml:space="preserve"> </w:t>
      </w:r>
      <w:r>
        <w:t xml:space="preserve">supported maintaining the current approach. Conversely, two NGO campaigns (15 respondents</w:t>
      </w:r>
      <w:r>
        <w:t xml:space="preserve"> </w:t>
      </w:r>
      <w:r>
        <w:t xml:space="preserve">in total) preferred to phase out indirect cost compensation. These campaign responses did not</w:t>
      </w:r>
      <w:r>
        <w:t xml:space="preserve"> </w:t>
      </w:r>
      <w:r>
        <w:t xml:space="preserve">have a decisive impact on the overall conclusion that a majority of respondents support the</w:t>
      </w:r>
    </w:p>
    <w:p>
      <w:pPr>
        <w:pStyle w:val="BodyText"/>
      </w:pPr>
      <w:r>
        <w:t xml:space="preserve">19</w:t>
      </w:r>
      <w:r>
        <w:br/>
      </w:r>
      <w:r>
        <w:t xml:space="preserve">The overlap was due to respondents who selected ’other views’ and specified multiple preferences in the</w:t>
      </w:r>
      <w:r>
        <w:t xml:space="preserve"> </w:t>
      </w:r>
      <w:r>
        <w:t xml:space="preserve">related open-ended question. Out of the 57 respondents who selected ‘other views’, around 20 advocated for</w:t>
      </w:r>
      <w:r>
        <w:t xml:space="preserve"> </w:t>
      </w:r>
      <w:r>
        <w:t xml:space="preserve">both harmonisation and sectoral extension.</w:t>
      </w:r>
      <w:r>
        <w:t xml:space="preserve"> </w:t>
      </w:r>
      <w:r>
        <w:t xml:space="preserve">20</w:t>
      </w:r>
      <w:r>
        <w:br/>
      </w:r>
      <w:r>
        <w:t xml:space="preserve">Including but not limited to the energy sector, subsets of the chemicals and fertilizers sector and cement</w:t>
      </w:r>
      <w:r>
        <w:t xml:space="preserve"> </w:t>
      </w:r>
      <w:r>
        <w:t xml:space="preserve">sector, the glass and ceramics sector, the agriculture sector, and mining and building sectors.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continuation of indirect cost compensation, with most of those supporting harmonisation at</w:t>
      </w:r>
      <w:r>
        <w:t xml:space="preserve"> </w:t>
      </w:r>
      <w:r>
        <w:t xml:space="preserve">EU-level.</w:t>
      </w:r>
      <w:r>
        <w:br/>
      </w:r>
      <w:r>
        <w:t xml:space="preserve">3.3.4. Revenue use</w:t>
      </w:r>
      <w:r>
        <w:t xml:space="preserve"> </w:t>
      </w:r>
      <w:r>
        <w:t xml:space="preserve">Respondents clearly prioritised using future ETS1 auction revenues for industrial</w:t>
      </w:r>
      <w:r>
        <w:t xml:space="preserve"> </w:t>
      </w:r>
      <w:r>
        <w:t xml:space="preserve">decarbonisation (ranked top 3 by more than 60% of respondents), followed by the development</w:t>
      </w:r>
      <w:r>
        <w:t xml:space="preserve"> </w:t>
      </w:r>
      <w:r>
        <w:t xml:space="preserve">of renewable energy sources and clean energy systems, and the development and upscaling of</w:t>
      </w:r>
      <w:r>
        <w:t xml:space="preserve"> </w:t>
      </w:r>
      <w:r>
        <w:t xml:space="preserve">clean technologies (each ranked top 3 by around 40% of respondents)21. Priorities however</w:t>
      </w:r>
      <w:r>
        <w:t xml:space="preserve"> </w:t>
      </w:r>
      <w:r>
        <w:t xml:space="preserve">strongly diverged between stakeholder groups, with these responses mainly driven by</w:t>
      </w:r>
      <w:r>
        <w:t xml:space="preserve"> </w:t>
      </w:r>
      <w:r>
        <w:t xml:space="preserve">companies/businesses and business association respondents, while most NGOs and</w:t>
      </w:r>
      <w:r>
        <w:t xml:space="preserve"> </w:t>
      </w:r>
      <w:r>
        <w:t xml:space="preserve">environmental organisations prioritised energy efficiency, social support and just transition, as</w:t>
      </w:r>
      <w:r>
        <w:t xml:space="preserve"> </w:t>
      </w:r>
      <w:r>
        <w:t xml:space="preserve">well as public transport, climate adaptation and international climate finance.</w:t>
      </w:r>
      <w:r>
        <w:br/>
      </w:r>
      <w:r>
        <w:t xml:space="preserve">A broad majority of respondents from a wide range of stakeholder groups (except public</w:t>
      </w:r>
      <w:r>
        <w:t xml:space="preserve"> </w:t>
      </w:r>
      <w:r>
        <w:t xml:space="preserve">authorities) agreed that transparency on how Member States use the ETS revenues is currently</w:t>
      </w:r>
      <w:r>
        <w:t xml:space="preserve"> </w:t>
      </w:r>
      <w:r>
        <w:t xml:space="preserve">insufficient, with only 31 out of 288 (11%) respondents considering there is sufficient</w:t>
      </w:r>
      <w:r>
        <w:t xml:space="preserve"> </w:t>
      </w:r>
      <w:r>
        <w:t xml:space="preserve">transparency, compared to 160 (55%) disagreeing and 97 (34%) neutral or uncertain.</w:t>
      </w:r>
      <w:r>
        <w:t xml:space="preserve"> </w:t>
      </w:r>
      <w:r>
        <w:t xml:space="preserve">Respondents highlighted the need for better public access to data, including the use of digital</w:t>
      </w:r>
      <w:r>
        <w:t xml:space="preserve"> </w:t>
      </w:r>
      <w:r>
        <w:t xml:space="preserve">platforms (40%), clearer and more frequent reporting by Member States on revenue use (26%),</w:t>
      </w:r>
      <w:r>
        <w:t xml:space="preserve"> </w:t>
      </w:r>
      <w:r>
        <w:t xml:space="preserve">and improved accountability mechanisms to ensure revenues are used effectively (7%).</w:t>
      </w:r>
      <w:r>
        <w:t xml:space="preserve"> </w:t>
      </w:r>
      <w:r>
        <w:t xml:space="preserve">3.3.5. Industrial decarbonisation support</w:t>
      </w:r>
      <w:r>
        <w:t xml:space="preserve"> </w:t>
      </w:r>
      <w:r>
        <w:t xml:space="preserve">Respondents from across all stakeholder groups overwhelmingly supported the creation of an</w:t>
      </w:r>
      <w:r>
        <w:t xml:space="preserve"> </w:t>
      </w:r>
      <w:r>
        <w:t xml:space="preserve">Industrial Decarbonisation Bank to assist industrial decarbonisation efforts (240 out of 288</w:t>
      </w:r>
      <w:r>
        <w:t xml:space="preserve"> </w:t>
      </w:r>
      <w:r>
        <w:t xml:space="preserve">respondents; 83%). Only a small minority (10 respondents, 4%) opposed the idea, while 38</w:t>
      </w:r>
      <w:r>
        <w:t xml:space="preserve"> </w:t>
      </w:r>
      <w:r>
        <w:t xml:space="preserve">respondents (13%) were uncertain. Furthermore, seven campaigns by companies/businesses</w:t>
      </w:r>
      <w:r>
        <w:t xml:space="preserve"> </w:t>
      </w:r>
      <w:r>
        <w:t xml:space="preserve">and business associations from different sectors (61 responses in total) also supported the</w:t>
      </w:r>
      <w:r>
        <w:t xml:space="preserve"> </w:t>
      </w:r>
      <w:r>
        <w:t xml:space="preserve">creation of an Industrial Decarbonisation Bank, further amplifying the outcome. Among the</w:t>
      </w:r>
      <w:r>
        <w:t xml:space="preserve"> </w:t>
      </w:r>
      <w:r>
        <w:t xml:space="preserve">instruments considered most effective for supporting the business case for industrial</w:t>
      </w:r>
      <w:r>
        <w:t xml:space="preserve"> </w:t>
      </w:r>
      <w:r>
        <w:t xml:space="preserve">decarbonisation, carbon contracts for difference were highlighted in almost half of responses,</w:t>
      </w:r>
      <w:r>
        <w:t xml:space="preserve"> </w:t>
      </w:r>
      <w:r>
        <w:t xml:space="preserve">followed by grants (one out of five responses), tax credits (one out of ten responses) and fixed</w:t>
      </w:r>
      <w:r>
        <w:t xml:space="preserve"> </w:t>
      </w:r>
      <w:r>
        <w:t xml:space="preserve">premia for specific products (one out of ten responses), with most respondents supporting a</w:t>
      </w:r>
      <w:r>
        <w:t xml:space="preserve"> </w:t>
      </w:r>
      <w:r>
        <w:t xml:space="preserve">combination of such tools. Among campaign respondents, preferences were very similar, with</w:t>
      </w:r>
      <w:r>
        <w:t xml:space="preserve"> </w:t>
      </w:r>
      <w:r>
        <w:t xml:space="preserve">most supporting a mix of tools including carbon contracts for difference, tax credits and/or</w:t>
      </w:r>
      <w:r>
        <w:t xml:space="preserve"> </w:t>
      </w:r>
      <w:r>
        <w:t xml:space="preserve">grants.</w:t>
      </w:r>
      <w:r>
        <w:t xml:space="preserve"> </w:t>
      </w:r>
      <w:r>
        <w:t xml:space="preserve">The continuation of the Innovation Fund was also broadly supported, with almost three quarters</w:t>
      </w:r>
      <w:r>
        <w:t xml:space="preserve"> </w:t>
      </w:r>
      <w:r>
        <w:t xml:space="preserve">of respondents from across all stakeholder groups strongly agreeing (132 out of 288</w:t>
      </w:r>
      <w:r>
        <w:t xml:space="preserve"> </w:t>
      </w:r>
      <w:r>
        <w:t xml:space="preserve">respondents; 46%) or rather agreeing (79; 27%). In contrast, only 6 respondents (2%) rather</w:t>
      </w:r>
      <w:r>
        <w:t xml:space="preserve"> </w:t>
      </w:r>
      <w:r>
        <w:t xml:space="preserve">disagreed, and 2 respondents (1%) strongly disagreed, while 26 respondents (9%) were neutral,</w:t>
      </w:r>
      <w:r>
        <w:t xml:space="preserve"> </w:t>
      </w:r>
      <w:r>
        <w:t xml:space="preserve">and 43 respondents (15%) did not know. In addition, four campaigns by companies/businesses</w:t>
      </w:r>
      <w:r>
        <w:t xml:space="preserve"> </w:t>
      </w:r>
      <w:r>
        <w:t xml:space="preserve">and business associations from different sectors (39 respondents in total) also supported the</w:t>
      </w:r>
      <w:r>
        <w:t xml:space="preserve"> </w:t>
      </w:r>
      <w:r>
        <w:t xml:space="preserve">continued need for the Innovation Fund, confirming the result of this question. The main</w:t>
      </w:r>
      <w:r>
        <w:t xml:space="preserve"> </w:t>
      </w:r>
      <w:r>
        <w:t xml:space="preserve">arguments for the continued need for the Innovation Fund centred on its complementary role</w:t>
      </w:r>
    </w:p>
    <w:p>
      <w:pPr>
        <w:pStyle w:val="BodyText"/>
      </w:pPr>
      <w:r>
        <w:t xml:space="preserve">21</w:t>
      </w:r>
      <w:r>
        <w:br/>
      </w:r>
      <w:r>
        <w:t xml:space="preserve">Respondents were asked to rank a range of possible future uses for ETS1 auction revenues. The options were</w:t>
      </w:r>
      <w:r>
        <w:t xml:space="preserve"> </w:t>
      </w:r>
      <w:r>
        <w:t xml:space="preserve">ranked using a weighted average method, where higher ranks received higher weights (12 for Rank 1 down</w:t>
      </w:r>
      <w:r>
        <w:t xml:space="preserve"> </w:t>
      </w:r>
      <w:r>
        <w:t xml:space="preserve">to 1 for Rank 12). For each option, the rank frequencies were multiplied by their weights, summed, and</w:t>
      </w:r>
      <w:r>
        <w:t xml:space="preserve"> </w:t>
      </w:r>
      <w:r>
        <w:t xml:space="preserve">divided by the total number of responses. The resulting weighted average score reflects the overall</w:t>
      </w:r>
      <w:r>
        <w:t xml:space="preserve"> </w:t>
      </w:r>
      <w:r>
        <w:t xml:space="preserve">prioritisation, with higher scores indicating stronger preference.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to other instruments (such as a future Decarbonisation Bank) by supporting early-stage, high-</w:t>
      </w:r>
      <w:r>
        <w:t xml:space="preserve"> </w:t>
      </w:r>
      <w:r>
        <w:t xml:space="preserve">risk, breakthrough innovation, and its critical role in supporting decarbonisation in hard-to-</w:t>
      </w:r>
      <w:r>
        <w:t xml:space="preserve"> </w:t>
      </w:r>
      <w:r>
        <w:t xml:space="preserve">abate sectors such as aviation, maritime and heavy industry. Suggestions for improvements</w:t>
      </w:r>
      <w:r>
        <w:t xml:space="preserve"> </w:t>
      </w:r>
      <w:r>
        <w:t xml:space="preserve">included reducing administrative complexity, speeding up disbursement, more flexible</w:t>
      </w:r>
      <w:r>
        <w:t xml:space="preserve"> </w:t>
      </w:r>
      <w:r>
        <w:t xml:space="preserve">eligibility criteria, supporting a wider range of technologies (including mature and market-</w:t>
      </w:r>
      <w:r>
        <w:t xml:space="preserve"> </w:t>
      </w:r>
      <w:r>
        <w:t xml:space="preserve">ready solutions) and introducing dedicated windows for priority areas. The identified</w:t>
      </w:r>
      <w:r>
        <w:t xml:space="preserve"> </w:t>
      </w:r>
      <w:r>
        <w:t xml:space="preserve">campaigns shared similar views, in addition to arguing for the inclusion of the waste sector in</w:t>
      </w:r>
      <w:r>
        <w:t xml:space="preserve"> </w:t>
      </w:r>
      <w:r>
        <w:t xml:space="preserve">the scope of the Fund (waste-to-energy companies’ campaign) and supporting national</w:t>
      </w:r>
      <w:r>
        <w:t xml:space="preserve"> </w:t>
      </w:r>
      <w:r>
        <w:t xml:space="preserve">allocations under the Fund to ensure geographic balance (group of energy companies located</w:t>
      </w:r>
      <w:r>
        <w:t xml:space="preserve"> </w:t>
      </w:r>
      <w:r>
        <w:t xml:space="preserve">in one Member State).</w:t>
      </w:r>
      <w:r>
        <w:t xml:space="preserve"> </w:t>
      </w:r>
      <w:r>
        <w:t xml:space="preserve">The continuation of the Modernisation Fund was also supported by a clear majority of</w:t>
      </w:r>
      <w:r>
        <w:t xml:space="preserve"> </w:t>
      </w:r>
      <w:r>
        <w:t xml:space="preserve">respondents from across all stakeholder groups, with 73 out of 272 respondents (27%) strongly</w:t>
      </w:r>
      <w:r>
        <w:t xml:space="preserve"> </w:t>
      </w:r>
      <w:r>
        <w:t xml:space="preserve">agreeing and 65 respondents (24%) rather agreeing, while only a minority rather disagreed (16</w:t>
      </w:r>
      <w:r>
        <w:t xml:space="preserve"> </w:t>
      </w:r>
      <w:r>
        <w:t xml:space="preserve">respondents, 6%) or strongly disagreed (4 respondents, 1%). Support was particularly strong</w:t>
      </w:r>
      <w:r>
        <w:t xml:space="preserve"> </w:t>
      </w:r>
      <w:r>
        <w:t xml:space="preserve">among respondents located in eligible Member States and from the energy sector. The</w:t>
      </w:r>
      <w:r>
        <w:t xml:space="preserve"> </w:t>
      </w:r>
      <w:r>
        <w:t xml:space="preserve">remaining respondents were neutral (35 respondents, 13%) or uncertain (79 respondents, 29%),</w:t>
      </w:r>
      <w:r>
        <w:t xml:space="preserve"> </w:t>
      </w:r>
      <w:r>
        <w:t xml:space="preserve">with those respondents mainly located in non-eligible Member States. In addition, one</w:t>
      </w:r>
      <w:r>
        <w:t xml:space="preserve"> </w:t>
      </w:r>
      <w:r>
        <w:t xml:space="preserve">campaign by energy sector companies located in a Member State covered by the Fund (5</w:t>
      </w:r>
      <w:r>
        <w:t xml:space="preserve"> </w:t>
      </w:r>
      <w:r>
        <w:t xml:space="preserve">respondents in total) also strongly supported the continuation of the Modernisation Fund, which</w:t>
      </w:r>
      <w:r>
        <w:t xml:space="preserve"> </w:t>
      </w:r>
      <w:r>
        <w:t xml:space="preserve">did not affect the result of this question. When asked about the scope of the Fund, most</w:t>
      </w:r>
      <w:r>
        <w:t xml:space="preserve"> </w:t>
      </w:r>
      <w:r>
        <w:t xml:space="preserve">respondents did not share specific views. Of those who did, nearly two thirds called for an</w:t>
      </w:r>
      <w:r>
        <w:t xml:space="preserve"> </w:t>
      </w:r>
      <w:r>
        <w:t xml:space="preserve">extension of the scope, mainly to also cover industrial decarbonisation beyond energy</w:t>
      </w:r>
      <w:r>
        <w:t xml:space="preserve"> </w:t>
      </w:r>
      <w:r>
        <w:t xml:space="preserve">efficiency and renewables, while the remaining third considered the current scope sufficient to</w:t>
      </w:r>
      <w:r>
        <w:t xml:space="preserve"> </w:t>
      </w:r>
      <w:r>
        <w:t xml:space="preserve">address the decarbonisation challenges in lower-income Member States. Some of those</w:t>
      </w:r>
      <w:r>
        <w:t xml:space="preserve"> </w:t>
      </w:r>
      <w:r>
        <w:t xml:space="preserve">respondents, all NGOs and environmental organisations, on the contrary specified that they</w:t>
      </w:r>
      <w:r>
        <w:t xml:space="preserve"> </w:t>
      </w:r>
      <w:r>
        <w:t xml:space="preserve">would like some investments to be excluded from the scope of Fund, mostly gas, but also waste</w:t>
      </w:r>
      <w:r>
        <w:t xml:space="preserve"> </w:t>
      </w:r>
      <w:r>
        <w:t xml:space="preserve">incineration, nuclear and/or forest biomass.</w:t>
      </w:r>
      <w:r>
        <w:t xml:space="preserve"> </w:t>
      </w:r>
      <w:r>
        <w:t xml:space="preserve">3.3.6. Market Stability Reserve (MSR)</w:t>
      </w:r>
      <w:r>
        <w:t xml:space="preserve"> </w:t>
      </w:r>
      <w:r>
        <w:t xml:space="preserve">Looking ahead to what the MSR should achieve to ensure the proper functioning of the EU</w:t>
      </w:r>
      <w:r>
        <w:t xml:space="preserve"> </w:t>
      </w:r>
      <w:r>
        <w:t xml:space="preserve">ETS in the future, strengthening the MSR to prevent excessive EU ETS price volatility (96 out</w:t>
      </w:r>
      <w:r>
        <w:t xml:space="preserve"> </w:t>
      </w:r>
      <w:r>
        <w:t xml:space="preserve">of 256 responses; 38%) and increasing market liquidity (66; 26%) were clearly indicated as the</w:t>
      </w:r>
      <w:r>
        <w:t xml:space="preserve"> </w:t>
      </w:r>
      <w:r>
        <w:t xml:space="preserve">top 2 priorities by most respondents, mainly by companies/businesses and business</w:t>
      </w:r>
      <w:r>
        <w:t xml:space="preserve"> </w:t>
      </w:r>
      <w:r>
        <w:t xml:space="preserve">associations. Conversely, 46 responses (18%), mostly NGOs and environmental organisations,</w:t>
      </w:r>
      <w:r>
        <w:t xml:space="preserve"> </w:t>
      </w:r>
      <w:r>
        <w:t xml:space="preserve">prioritised to continue tackling the surplus in the market. Roughly one fifth were uncertain (47;</w:t>
      </w:r>
      <w:r>
        <w:t xml:space="preserve"> </w:t>
      </w:r>
      <w:r>
        <w:t xml:space="preserve">18%). In addition, several campaigns were identified, submitting responses along largely</w:t>
      </w:r>
      <w:r>
        <w:t xml:space="preserve"> </w:t>
      </w:r>
      <w:r>
        <w:t xml:space="preserve">similar lines which did not affect the overall balance of preferences. One NGO campaign (10</w:t>
      </w:r>
      <w:r>
        <w:t xml:space="preserve"> </w:t>
      </w:r>
      <w:r>
        <w:t xml:space="preserve">respondents in total) preferred continued tackling of the market surplus, while four</w:t>
      </w:r>
      <w:r>
        <w:t xml:space="preserve"> </w:t>
      </w:r>
      <w:r>
        <w:t xml:space="preserve">business/company campaigns (20 respondents in total) prioritised increasing market liquidity,</w:t>
      </w:r>
      <w:r>
        <w:t xml:space="preserve"> </w:t>
      </w:r>
      <w:r>
        <w:t xml:space="preserve">of which one also called for preventing excessive price volatility, possibly through a price</w:t>
      </w:r>
      <w:r>
        <w:t xml:space="preserve"> </w:t>
      </w:r>
      <w:r>
        <w:t xml:space="preserve">corridor or cap. Finally, one campaign by companies/businesses in the agriculture sector (5</w:t>
      </w:r>
      <w:r>
        <w:t xml:space="preserve"> </w:t>
      </w:r>
      <w:r>
        <w:t xml:space="preserve">respondents in total) called for a phase-out of the MSR.</w:t>
      </w:r>
      <w:r>
        <w:t xml:space="preserve"> </w:t>
      </w:r>
      <w:r>
        <w:t xml:space="preserve">Given their expectation that the ETS cap will fall to zero towards the end of Phase V of the EU</w:t>
      </w:r>
      <w:r>
        <w:t xml:space="preserve"> </w:t>
      </w:r>
      <w:r>
        <w:t xml:space="preserve">ETS, respondents from companies/businesses and business associations predominantly</w:t>
      </w:r>
      <w:r>
        <w:t xml:space="preserve"> </w:t>
      </w:r>
      <w:r>
        <w:t xml:space="preserve">expressed concerns about the predictability and volatility of future allowance prices. The</w:t>
      </w:r>
      <w:r>
        <w:t xml:space="preserve"> </w:t>
      </w:r>
      <w:r>
        <w:t xml:space="preserve">potential changes to the MSR most frequently raised, mainly by companies/businesses and</w:t>
      </w:r>
      <w:r>
        <w:t xml:space="preserve"> </w:t>
      </w:r>
      <w:r>
        <w:t xml:space="preserve">business associations, were to make the intake and/or release thresholds dynamic to reflect</w:t>
      </w:r>
      <w:r>
        <w:t xml:space="preserve"> </w:t>
      </w:r>
      <w:r>
        <w:t xml:space="preserve">prevailing market conditions (67 out of 451 responses; 15%), to adjust the invalidation rule for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holdings in the reserve above 400 million allowances (57; 13%), and to shorten the response</w:t>
      </w:r>
      <w:r>
        <w:t xml:space="preserve"> </w:t>
      </w:r>
      <w:r>
        <w:t xml:space="preserve">time through more frequent adjustments (45; 10%). In addition, out of the “other” responses</w:t>
      </w:r>
      <w:r>
        <w:t xml:space="preserve"> </w:t>
      </w:r>
      <w:r>
        <w:t xml:space="preserve">(87; 19%), almost half also called for the cancellation of the invalidation rule, making this the</w:t>
      </w:r>
      <w:r>
        <w:t xml:space="preserve"> </w:t>
      </w:r>
      <w:r>
        <w:t xml:space="preserve">top priority among respondents. Conversely, NGOs predominantly supported keeping the</w:t>
      </w:r>
      <w:r>
        <w:t xml:space="preserve"> </w:t>
      </w:r>
      <w:r>
        <w:t xml:space="preserve">intake rate at 24% beyond 2030 (34; 8%) to continue tackling the surplus. Finally, 34 responses</w:t>
      </w:r>
      <w:r>
        <w:t xml:space="preserve"> </w:t>
      </w:r>
      <w:r>
        <w:t xml:space="preserve">(7%) from across various stakeholder types called for a downward adjustment of fixed</w:t>
      </w:r>
      <w:r>
        <w:t xml:space="preserve"> </w:t>
      </w:r>
      <w:r>
        <w:t xml:space="preserve">thresholds for MSR intake and/or release, while 14 (3%), all companies/businesses, supported</w:t>
      </w:r>
      <w:r>
        <w:t xml:space="preserve"> </w:t>
      </w:r>
      <w:r>
        <w:t xml:space="preserve">an upward adjustment. Additionally, 22 (5%) of responses called for a buffer to the lower</w:t>
      </w:r>
      <w:r>
        <w:t xml:space="preserve"> </w:t>
      </w:r>
      <w:r>
        <w:t xml:space="preserve">threshold to address potential threshold effects. The aforementioned campaigns did not have a</w:t>
      </w:r>
      <w:r>
        <w:t xml:space="preserve"> </w:t>
      </w:r>
      <w:r>
        <w:t xml:space="preserve">substantial impact on the outcome of this question.</w:t>
      </w:r>
      <w:r>
        <w:t xml:space="preserve"> </w:t>
      </w:r>
      <w:r>
        <w:t xml:space="preserve">3.3.7. Carbon removals</w:t>
      </w:r>
      <w:r>
        <w:t xml:space="preserve"> </w:t>
      </w:r>
      <w:r>
        <w:t xml:space="preserve">A very broad majority of respondents (259 out of 313 respondents; 83%), including the</w:t>
      </w:r>
      <w:r>
        <w:t xml:space="preserve"> </w:t>
      </w:r>
      <w:r>
        <w:t xml:space="preserve">majority of companies/businesses and business associations, supported the integration of</w:t>
      </w:r>
      <w:r>
        <w:t xml:space="preserve"> </w:t>
      </w:r>
      <w:r>
        <w:t xml:space="preserve">permanent CRCF removal units in the EU ETS, arguing that this is essential to expand</w:t>
      </w:r>
      <w:r>
        <w:t xml:space="preserve"> </w:t>
      </w:r>
      <w:r>
        <w:t xml:space="preserve">operators’ options to achieve the long-term climate objective, to support the uptake of such</w:t>
      </w:r>
      <w:r>
        <w:t xml:space="preserve"> </w:t>
      </w:r>
      <w:r>
        <w:t xml:space="preserve">technologies and to enhance liquidity in the market. Only a small minority of 38 respondents</w:t>
      </w:r>
      <w:r>
        <w:t xml:space="preserve"> </w:t>
      </w:r>
      <w:r>
        <w:t xml:space="preserve">(12%), mainly NGOs and environmental organisations, opposed their integration, mainly on</w:t>
      </w:r>
      <w:r>
        <w:t xml:space="preserve"> </w:t>
      </w:r>
      <w:r>
        <w:t xml:space="preserve">the grounds of the need to prioritise mitigation and due to associated environmental risks. In</w:t>
      </w:r>
      <w:r>
        <w:t xml:space="preserve"> </w:t>
      </w:r>
      <w:r>
        <w:t xml:space="preserve">addition, seven campaigns by companies/businesses and business associations from various</w:t>
      </w:r>
      <w:r>
        <w:t xml:space="preserve"> </w:t>
      </w:r>
      <w:r>
        <w:t xml:space="preserve">sectors (59 respondents in total) also strongly supported the integration of permanent removals,</w:t>
      </w:r>
      <w:r>
        <w:t xml:space="preserve"> </w:t>
      </w:r>
      <w:r>
        <w:t xml:space="preserve">while two NGO campaigns (15 respondents in total) opposed their integration, reflecting the</w:t>
      </w:r>
      <w:r>
        <w:t xml:space="preserve"> </w:t>
      </w:r>
      <w:r>
        <w:t xml:space="preserve">overall outcome on this question. A majority of respondents further indicated that</w:t>
      </w:r>
      <w:r>
        <w:t xml:space="preserve"> </w:t>
      </w:r>
      <w:r>
        <w:t xml:space="preserve">complementary policies are needed (190 out of 285 respondents; 67%), while a smaller share,</w:t>
      </w:r>
      <w:r>
        <w:t xml:space="preserve"> </w:t>
      </w:r>
      <w:r>
        <w:t xml:space="preserve">largely corresponding to the respondents not in favour of integrating CRCF removal units into</w:t>
      </w:r>
      <w:r>
        <w:t xml:space="preserve"> </w:t>
      </w:r>
      <w:r>
        <w:t xml:space="preserve">the EU ETS, favoured alternative policies instead (44; 15%).</w:t>
      </w:r>
      <w:r>
        <w:br/>
      </w:r>
      <w:r>
        <w:t xml:space="preserve">Conversely, integrating temporary CRCF removal units into the EU ETS proved very divisive,</w:t>
      </w:r>
      <w:r>
        <w:t xml:space="preserve"> </w:t>
      </w:r>
      <w:r>
        <w:t xml:space="preserve">with a relative majority strongly or rather disagreeing (125 out of 308 respondents; 41%),</w:t>
      </w:r>
      <w:r>
        <w:t xml:space="preserve"> </w:t>
      </w:r>
      <w:r>
        <w:t xml:space="preserve">including the strongest level of strong opposition (98; 32%) across all questions related to</w:t>
      </w:r>
      <w:r>
        <w:t xml:space="preserve"> </w:t>
      </w:r>
      <w:r>
        <w:t xml:space="preserve">carbon removals, mainly citing unreliable quantification and risks to market stability, compared</w:t>
      </w:r>
      <w:r>
        <w:t xml:space="preserve"> </w:t>
      </w:r>
      <w:r>
        <w:t xml:space="preserve">to those strongly or rather agreeing (117 out of 308 respondents, 38%), mainly citing lower</w:t>
      </w:r>
      <w:r>
        <w:t xml:space="preserve"> </w:t>
      </w:r>
      <w:r>
        <w:t xml:space="preserve">costs and their ability to scale up more quickly, while many also acknowledged the need for</w:t>
      </w:r>
      <w:r>
        <w:t xml:space="preserve"> </w:t>
      </w:r>
      <w:r>
        <w:t xml:space="preserve">strict criteria and a differentiated approach to quantification and use. Respondents on either</w:t>
      </w:r>
      <w:r>
        <w:t xml:space="preserve"> </w:t>
      </w:r>
      <w:r>
        <w:t xml:space="preserve">side came from a very diverse range of sectors.</w:t>
      </w:r>
      <w:r>
        <w:br/>
      </w:r>
      <w:r>
        <w:t xml:space="preserve">Looking more specifically into the modalities for integration of carbon removals into the EU</w:t>
      </w:r>
      <w:r>
        <w:t xml:space="preserve"> </w:t>
      </w:r>
      <w:r>
        <w:t xml:space="preserve">ETS, support was strongest for allowing installations to deduct removals generated in their own</w:t>
      </w:r>
      <w:r>
        <w:t xml:space="preserve"> </w:t>
      </w:r>
      <w:r>
        <w:t xml:space="preserve">activities from their compliance obligations (184 out of 300 respondents (61%) strongly or</w:t>
      </w:r>
      <w:r>
        <w:t xml:space="preserve"> </w:t>
      </w:r>
      <w:r>
        <w:t xml:space="preserve">somewhat agreed, mainly companies/businesses and business associations from manufacturing</w:t>
      </w:r>
      <w:r>
        <w:t xml:space="preserve"> </w:t>
      </w:r>
      <w:r>
        <w:t xml:space="preserve">industry sectors and the energy sector), closely followed by allowing operators to purchase</w:t>
      </w:r>
      <w:r>
        <w:t xml:space="preserve"> </w:t>
      </w:r>
      <w:r>
        <w:t xml:space="preserve">CRCF removal units directly from removal suppliers to fulfil surrender obligations (172 out of</w:t>
      </w:r>
      <w:r>
        <w:t xml:space="preserve"> </w:t>
      </w:r>
      <w:r>
        <w:t xml:space="preserve">305 respondents (56%) strongly or somewhat agreed, mainly from the energy and waste</w:t>
      </w:r>
      <w:r>
        <w:t xml:space="preserve"> </w:t>
      </w:r>
      <w:r>
        <w:t xml:space="preserve">management sectors, less frequently from the manufacturing industry). Support for acquiring</w:t>
      </w:r>
      <w:r>
        <w:t xml:space="preserve"> </w:t>
      </w:r>
      <w:r>
        <w:t xml:space="preserve">and inserting CRCF removal units through a central agency was more limited, with a quarter</w:t>
      </w:r>
      <w:r>
        <w:t xml:space="preserve"> </w:t>
      </w:r>
      <w:r>
        <w:t xml:space="preserve">of respondents, almost exclusively from companies/businesses and business associations</w:t>
      </w:r>
      <w:r>
        <w:t xml:space="preserve"> </w:t>
      </w:r>
      <w:r>
        <w:t xml:space="preserve">engaged in carbon removal activities, strongly (19 out of 296; 6%) or somewhat (56; 19%)</w:t>
      </w:r>
      <w:r>
        <w:t xml:space="preserve"> </w:t>
      </w:r>
      <w:r>
        <w:t xml:space="preserve">agreeing, while a larger share strongly (52; 18%) or somewhat (54; 18%) opposed, and the</w:t>
      </w:r>
      <w:r>
        <w:t xml:space="preserve"> </w:t>
      </w:r>
      <w:r>
        <w:t xml:space="preserve">largest share was either neutral (62; 21%) or uncertain (53; 18%). This may indicate a</w:t>
      </w:r>
      <w:r>
        <w:t xml:space="preserve"> </w:t>
      </w:r>
      <w:r>
        <w:t xml:space="preserve">substantial degree of uncertainty on this (rather technical) topic among stakeholders in general.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With regards to potential restrictions in relation to the integration of carbon removals into the</w:t>
      </w:r>
      <w:r>
        <w:t xml:space="preserve"> </w:t>
      </w:r>
      <w:r>
        <w:t xml:space="preserve">EU ETS, a relative majority of respondents, from a diverse range of stakeholders, supported</w:t>
      </w:r>
      <w:r>
        <w:t xml:space="preserve"> </w:t>
      </w:r>
      <w:r>
        <w:t xml:space="preserve">restrictions to the use of CRCF removal units (125 out of 299 respondents (42%) strongly or</w:t>
      </w:r>
      <w:r>
        <w:t xml:space="preserve"> </w:t>
      </w:r>
      <w:r>
        <w:t xml:space="preserve">somewhat agreed, compared to 84 (28%) who strongly or somewhat disagreed). Asked about</w:t>
      </w:r>
      <w:r>
        <w:t xml:space="preserve"> </w:t>
      </w:r>
      <w:r>
        <w:t xml:space="preserve">a slow phase in, the balance tipped in the other direction with a relative majority, from a diverse</w:t>
      </w:r>
      <w:r>
        <w:t xml:space="preserve"> </w:t>
      </w:r>
      <w:r>
        <w:t xml:space="preserve">range of stakeholders, disagreeing (112 out of 300 respondents (37%) disagreed strongly or</w:t>
      </w:r>
      <w:r>
        <w:t xml:space="preserve"> </w:t>
      </w:r>
      <w:r>
        <w:t xml:space="preserve">somewhat, mainly citing cost-effectiveness, compared to 88 (29%) who strongly or somewhat</w:t>
      </w:r>
      <w:r>
        <w:t xml:space="preserve"> </w:t>
      </w:r>
      <w:r>
        <w:t xml:space="preserve">agreed, mainly citing the need to ensure market stability, environmental integrity, and a certain</w:t>
      </w:r>
      <w:r>
        <w:t xml:space="preserve"> </w:t>
      </w:r>
      <w:r>
        <w:t xml:space="preserve">share of emission reductions before allowing offsets). The outcome was similar when asked</w:t>
      </w:r>
      <w:r>
        <w:t xml:space="preserve"> </w:t>
      </w:r>
      <w:r>
        <w:t xml:space="preserve">whether there should be a limit on gross emissions by EU ETS installations, with 109 out of</w:t>
      </w:r>
      <w:r>
        <w:t xml:space="preserve"> </w:t>
      </w:r>
      <w:r>
        <w:t xml:space="preserve">297 respondents (37%) strongly or somewhat disagreeing compared to 86 (29%) strongly or</w:t>
      </w:r>
      <w:r>
        <w:t xml:space="preserve"> </w:t>
      </w:r>
      <w:r>
        <w:t xml:space="preserve">somewhat agreeing. It is to be noted that for all three of these questions, around one third of</w:t>
      </w:r>
      <w:r>
        <w:t xml:space="preserve"> </w:t>
      </w:r>
      <w:r>
        <w:t xml:space="preserve">respondents did not express strong views, selecting ‘neutral’ or ‘do not know’.</w:t>
      </w:r>
      <w:r>
        <w:t xml:space="preserve"> </w:t>
      </w:r>
      <w:r>
        <w:t xml:space="preserve">3.3.8. CO2 transport</w:t>
      </w:r>
      <w:r>
        <w:t xml:space="preserve"> </w:t>
      </w:r>
      <w:r>
        <w:t xml:space="preserve">There was broad support for the extension of CO2 transport coverage under the ETS Directive</w:t>
      </w:r>
      <w:r>
        <w:t xml:space="preserve"> </w:t>
      </w:r>
      <w:r>
        <w:t xml:space="preserve">from transport with the objective of storage to transport for any purpose, although there was a</w:t>
      </w:r>
      <w:r>
        <w:t xml:space="preserve"> </w:t>
      </w:r>
      <w:r>
        <w:t xml:space="preserve">clear division between different types of stakeholders. A clear majority of respondents (192</w:t>
      </w:r>
      <w:r>
        <w:t xml:space="preserve"> </w:t>
      </w:r>
      <w:r>
        <w:t xml:space="preserve">out of 227 respondents; 85%) considered it important to extend coverage to ensure a level</w:t>
      </w:r>
      <w:r>
        <w:t xml:space="preserve"> </w:t>
      </w:r>
      <w:r>
        <w:t xml:space="preserve">playing field for CCS and CCU, incentivise CCU market development and reduce</w:t>
      </w:r>
      <w:r>
        <w:t xml:space="preserve"> </w:t>
      </w:r>
      <w:r>
        <w:t xml:space="preserve">infrastructure and monitoring costs where infrastructure is shared for both CCS and CCU</w:t>
      </w:r>
      <w:r>
        <w:t xml:space="preserve"> </w:t>
      </w:r>
      <w:r>
        <w:t xml:space="preserve">purposes. This view was supported by almost all companies/business and business</w:t>
      </w:r>
      <w:r>
        <w:t xml:space="preserve"> </w:t>
      </w:r>
      <w:r>
        <w:t xml:space="preserve">associations. By contrast, only 35 respondents (15%) opposed such a change, mainly out of</w:t>
      </w:r>
      <w:r>
        <w:t xml:space="preserve"> </w:t>
      </w:r>
      <w:r>
        <w:t xml:space="preserve">safety concerns or considering this out of scope of the ETS. This view was almost exclusively</w:t>
      </w:r>
      <w:r>
        <w:t xml:space="preserve"> </w:t>
      </w:r>
      <w:r>
        <w:t xml:space="preserve">supported by NGOs and environmental organisations. The campaign responses identified on</w:t>
      </w:r>
      <w:r>
        <w:t xml:space="preserve"> </w:t>
      </w:r>
      <w:r>
        <w:t xml:space="preserve">this question did not affect the outcome, showing a similar distribution with eight campaigns</w:t>
      </w:r>
      <w:r>
        <w:t xml:space="preserve"> </w:t>
      </w:r>
      <w:r>
        <w:t xml:space="preserve">(69 respondents in total) from companies/businesses and business associations from various</w:t>
      </w:r>
      <w:r>
        <w:t xml:space="preserve"> </w:t>
      </w:r>
      <w:r>
        <w:t xml:space="preserve">sectors supporting the extension, versus one NGO campaign (10 respondents in total) opposing</w:t>
      </w:r>
      <w:r>
        <w:t xml:space="preserve"> </w:t>
      </w:r>
      <w:r>
        <w:t xml:space="preserve">the extension.</w:t>
      </w:r>
      <w:r>
        <w:t xml:space="preserve"> </w:t>
      </w:r>
      <w:r>
        <w:t xml:space="preserve">3.3.9. CCU</w:t>
      </w:r>
      <w:r>
        <w:t xml:space="preserve"> </w:t>
      </w:r>
      <w:r>
        <w:t xml:space="preserve">There was clear support for an adjustment of surrender obligations, with restrictions or</w:t>
      </w:r>
      <w:r>
        <w:t xml:space="preserve"> </w:t>
      </w:r>
      <w:r>
        <w:t xml:space="preserve">conditions, where emissions are captured and used in products without permanent storage</w:t>
      </w:r>
      <w:r>
        <w:t xml:space="preserve"> </w:t>
      </w:r>
      <w:r>
        <w:t xml:space="preserve">(CCU). Most respondents (57%), including a majority of companies/businesses and business</w:t>
      </w:r>
      <w:r>
        <w:t xml:space="preserve"> </w:t>
      </w:r>
      <w:r>
        <w:t xml:space="preserve">associations (mainly from the energy sector and manufacturing industry), strongly (84 out of</w:t>
      </w:r>
      <w:r>
        <w:t xml:space="preserve"> </w:t>
      </w:r>
      <w:r>
        <w:t xml:space="preserve">244; 34%) or somewhat (55; 23%) support an adjustment of surrender obligations where</w:t>
      </w:r>
      <w:r>
        <w:t xml:space="preserve"> </w:t>
      </w:r>
      <w:r>
        <w:t xml:space="preserve">emissions are captured and used in products without permanent storage. The main reasons</w:t>
      </w:r>
      <w:r>
        <w:t xml:space="preserve"> </w:t>
      </w:r>
      <w:r>
        <w:t xml:space="preserve">provided were to incentivise the use of CCU and recognise the potential climate benefits of</w:t>
      </w:r>
      <w:r>
        <w:t xml:space="preserve"> </w:t>
      </w:r>
      <w:r>
        <w:t xml:space="preserve">CCU products compared to products using virgin carbon. Conversely, most NGOs and</w:t>
      </w:r>
      <w:r>
        <w:t xml:space="preserve"> </w:t>
      </w:r>
      <w:r>
        <w:t xml:space="preserve">environmental organisations (strongly) disagreed (48; 20%) with this option, with potential</w:t>
      </w:r>
      <w:r>
        <w:t xml:space="preserve"> </w:t>
      </w:r>
      <w:r>
        <w:t xml:space="preserve">risks of double pricing raised by those opposing – as well as by some respondents in favour –</w:t>
      </w:r>
      <w:r>
        <w:t xml:space="preserve"> </w:t>
      </w:r>
      <w:r>
        <w:t xml:space="preserve">in addition to the complexity of monitoring, reporting and verifying virgin versus captured</w:t>
      </w:r>
      <w:r>
        <w:t xml:space="preserve"> </w:t>
      </w:r>
      <w:r>
        <w:t xml:space="preserve">carbon streams and the ensuing risks for environmental integrity. A further 25 respondents</w:t>
      </w:r>
      <w:r>
        <w:t xml:space="preserve"> </w:t>
      </w:r>
      <w:r>
        <w:t xml:space="preserve">(10%) were neutral and 32 (13%) were uncertain. However, there was broad agreement across</w:t>
      </w:r>
      <w:r>
        <w:t xml:space="preserve"> </w:t>
      </w:r>
      <w:r>
        <w:t xml:space="preserve">all stakeholder groups in favour of introducing restrictions or conditions when adjusting</w:t>
      </w:r>
      <w:r>
        <w:t xml:space="preserve"> </w:t>
      </w:r>
      <w:r>
        <w:t xml:space="preserve">surrender obligations for the capture and use of non-permanent carbon (e.g.: minimum</w:t>
      </w:r>
      <w:r>
        <w:t xml:space="preserve"> </w:t>
      </w:r>
      <w:r>
        <w:t xml:space="preserve">emission savings, displacement of fossil carbon, avoiding double counting/pricing of the same</w:t>
      </w:r>
      <w:r>
        <w:t xml:space="preserve"> </w:t>
      </w:r>
      <w:r>
        <w:t xml:space="preserve">emissions), with more than half in favour (130 out of 245 respondents; 53%) versus only a</w:t>
      </w:r>
      <w:r>
        <w:t xml:space="preserve"> </w:t>
      </w:r>
      <w:r>
        <w:t xml:space="preserve">minority against (31; 13%). The campaign responses identified in addition showed similar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distributions, not affecting the outcome. While five campaigns by companies/businesses and</w:t>
      </w:r>
      <w:r>
        <w:t xml:space="preserve"> </w:t>
      </w:r>
      <w:r>
        <w:t xml:space="preserve">business associations from across various sectors (47 respondents in total) (strongly) supported</w:t>
      </w:r>
      <w:r>
        <w:t xml:space="preserve"> </w:t>
      </w:r>
      <w:r>
        <w:t xml:space="preserve">an adjustment to surrendering obligations for CCU, three campaigns by NGOs and</w:t>
      </w:r>
      <w:r>
        <w:t xml:space="preserve"> </w:t>
      </w:r>
      <w:r>
        <w:t xml:space="preserve">companies/businesses from the agricultural sector (20 respondents in total) strongly disagreed.</w:t>
      </w:r>
      <w:r>
        <w:t xml:space="preserve"> </w:t>
      </w:r>
      <w:r>
        <w:t xml:space="preserve">By contrast, there was overall no clear agreement and more division between different</w:t>
      </w:r>
      <w:r>
        <w:t xml:space="preserve"> </w:t>
      </w:r>
      <w:r>
        <w:t xml:space="preserve">stakeholder groups on moving the surrender obligation downstream for non-permanent</w:t>
      </w:r>
      <w:r>
        <w:t xml:space="preserve"> </w:t>
      </w:r>
      <w:r>
        <w:t xml:space="preserve">products produced with captured CO₂. Two fifths of respondents, predominantly from</w:t>
      </w:r>
      <w:r>
        <w:t xml:space="preserve"> </w:t>
      </w:r>
      <w:r>
        <w:t xml:space="preserve">companies/businesses and business associations from the manufacturing industry, strongly (55</w:t>
      </w:r>
      <w:r>
        <w:t xml:space="preserve"> </w:t>
      </w:r>
      <w:r>
        <w:t xml:space="preserve">out of 246 respondents; 22%) or somewhat (41; 17%) agreed, due to the incentivising effect</w:t>
      </w:r>
      <w:r>
        <w:t xml:space="preserve"> </w:t>
      </w:r>
      <w:r>
        <w:t xml:space="preserve">for both CCU in upstream installations and for the use of CCU-based carbon in downstream</w:t>
      </w:r>
      <w:r>
        <w:t xml:space="preserve"> </w:t>
      </w:r>
      <w:r>
        <w:t xml:space="preserve">products, as well as the avoidance of double counting risks. However, this option attracted</w:t>
      </w:r>
      <w:r>
        <w:t xml:space="preserve"> </w:t>
      </w:r>
      <w:r>
        <w:t xml:space="preserve">higher levels of disagreement compared to the ‘adjustment’ option and these views came from</w:t>
      </w:r>
      <w:r>
        <w:t xml:space="preserve"> </w:t>
      </w:r>
      <w:r>
        <w:t xml:space="preserve">a broader range of stakeholders (including many companies/businesses from the energy and</w:t>
      </w:r>
      <w:r>
        <w:t xml:space="preserve"> </w:t>
      </w:r>
      <w:r>
        <w:t xml:space="preserve">waste sectors and most NGOs), with nearly one third opposing strongly (49; 20%) or somewhat</w:t>
      </w:r>
      <w:r>
        <w:t xml:space="preserve"> </w:t>
      </w:r>
      <w:r>
        <w:t xml:space="preserve">(26; 10%), and similar levels of uncertainty (50; 20%) and neutral (25; 10%) views. Concerns</w:t>
      </w:r>
      <w:r>
        <w:t xml:space="preserve"> </w:t>
      </w:r>
      <w:r>
        <w:t xml:space="preserve">mainly centred on the risk of undercounting emissions and undermining environmental</w:t>
      </w:r>
      <w:r>
        <w:t xml:space="preserve"> </w:t>
      </w:r>
      <w:r>
        <w:t xml:space="preserve">integrity, due to the complex traceability of carbon throughout the value chain, and a perceived</w:t>
      </w:r>
      <w:r>
        <w:t xml:space="preserve"> </w:t>
      </w:r>
      <w:r>
        <w:t xml:space="preserve">unfairness for downstream operators (notably in the waste sector) and, especially for CCU-</w:t>
      </w:r>
      <w:r>
        <w:t xml:space="preserve"> </w:t>
      </w:r>
      <w:r>
        <w:t xml:space="preserve">based fuels, ensuring regulatory stability. Furthermore, four campaigns (21 respondents in</w:t>
      </w:r>
      <w:r>
        <w:t xml:space="preserve"> </w:t>
      </w:r>
      <w:r>
        <w:t xml:space="preserve">total) by companies/businesses and business associations from the manufacturing industry</w:t>
      </w:r>
      <w:r>
        <w:t xml:space="preserve"> </w:t>
      </w:r>
      <w:r>
        <w:t xml:space="preserve">strongly supported downstream accounting, while three campaigns (32 respondents in total)</w:t>
      </w:r>
      <w:r>
        <w:t xml:space="preserve"> </w:t>
      </w:r>
      <w:r>
        <w:t xml:space="preserve">from a broader range of stakeholders, including NGOs, energy sector companies/businesses</w:t>
      </w:r>
      <w:r>
        <w:t xml:space="preserve"> </w:t>
      </w:r>
      <w:r>
        <w:t xml:space="preserve">and agriculture sector companies/businesses, disagreed. Overall, this confirms the conclusion</w:t>
      </w:r>
      <w:r>
        <w:t xml:space="preserve"> </w:t>
      </w:r>
      <w:r>
        <w:t xml:space="preserve">that there is no clear agreement and that there are strong divisions between stakeholders on this</w:t>
      </w:r>
      <w:r>
        <w:t xml:space="preserve"> </w:t>
      </w:r>
      <w:r>
        <w:t xml:space="preserve">topic.</w:t>
      </w:r>
      <w:r>
        <w:t xml:space="preserve"> </w:t>
      </w:r>
      <w:r>
        <w:t xml:space="preserve">3.3.10. Municipal waste incineration (MWI) and other waste management processes</w:t>
      </w:r>
      <w:r>
        <w:t xml:space="preserve"> </w:t>
      </w:r>
      <w:r>
        <w:t xml:space="preserve">3.3.10.1. Municipal waste incineration (MWI)</w:t>
      </w:r>
      <w:r>
        <w:t xml:space="preserve"> </w:t>
      </w:r>
      <w:r>
        <w:t xml:space="preserve">More than half of respondents to this question, including a relative majority of</w:t>
      </w:r>
      <w:r>
        <w:t xml:space="preserve"> </w:t>
      </w:r>
      <w:r>
        <w:t xml:space="preserve">companies/businesses and business associations (mainly from the manufacturing industry) and</w:t>
      </w:r>
      <w:r>
        <w:t xml:space="preserve"> </w:t>
      </w:r>
      <w:r>
        <w:t xml:space="preserve">most NGOs and environmental organisations, supported the inclusion of municipal waste</w:t>
      </w:r>
      <w:r>
        <w:t xml:space="preserve"> </w:t>
      </w:r>
      <w:r>
        <w:t xml:space="preserve">incineration (MWI) installations in the EU ETS, with 87 out of 266 respondents (33%) strongly</w:t>
      </w:r>
      <w:r>
        <w:t xml:space="preserve"> </w:t>
      </w:r>
      <w:r>
        <w:t xml:space="preserve">agreeing and 49 respondents (18%) rather agreeing. Conversely, nearly one third of</w:t>
      </w:r>
      <w:r>
        <w:t xml:space="preserve"> </w:t>
      </w:r>
      <w:r>
        <w:t xml:space="preserve">respondents, mainly from companies/businesses and business associations, strongly disagreed</w:t>
      </w:r>
      <w:r>
        <w:t xml:space="preserve"> </w:t>
      </w:r>
      <w:r>
        <w:t xml:space="preserve">(69; 26%) or rather disagreed (10; 4%). Smaller shares of respondents were neutral (25</w:t>
      </w:r>
      <w:r>
        <w:t xml:space="preserve"> </w:t>
      </w:r>
      <w:r>
        <w:t xml:space="preserve">respondents, 9%) or uncertain (26 respondents, 10%).</w:t>
      </w:r>
      <w:r>
        <w:br/>
      </w:r>
      <w:r>
        <w:t xml:space="preserve">The main arguments in support of MWI inclusion in the EU ETS were to incentivise recycling</w:t>
      </w:r>
      <w:r>
        <w:t xml:space="preserve"> </w:t>
      </w:r>
      <w:r>
        <w:t xml:space="preserve">in line with the waste hierarchy (over one third of responses), to ensure a level playing field</w:t>
      </w:r>
      <w:r>
        <w:t xml:space="preserve"> </w:t>
      </w:r>
      <w:r>
        <w:t xml:space="preserve">between sectors and maximise cost-effectiveness of emission reductions (nearly one third of</w:t>
      </w:r>
      <w:r>
        <w:t xml:space="preserve"> </w:t>
      </w:r>
      <w:r>
        <w:t xml:space="preserve">responses), to incentivise CCU uptake and prevent emission leakage from CCU products</w:t>
      </w:r>
      <w:r>
        <w:t xml:space="preserve"> </w:t>
      </w:r>
      <w:r>
        <w:t xml:space="preserve">(nearly one fifth of responses) and to exploit potential to generate removal credits from</w:t>
      </w:r>
      <w:r>
        <w:t xml:space="preserve"> </w:t>
      </w:r>
      <w:r>
        <w:t xml:space="preserve">biogenic CO2 (nearly one tenth of responses).</w:t>
      </w:r>
      <w:r>
        <w:br/>
      </w:r>
      <w:r>
        <w:t xml:space="preserve">At the same time, several respondents made their support conditional on addressing potential</w:t>
      </w:r>
      <w:r>
        <w:t xml:space="preserve"> </w:t>
      </w:r>
      <w:r>
        <w:t xml:space="preserve">waste diversion to landfill. This was also one of the main arguments of respondents opposing</w:t>
      </w:r>
      <w:r>
        <w:t xml:space="preserve"> </w:t>
      </w:r>
      <w:r>
        <w:t xml:space="preserve">the inclusion of MWI in the EU ETS, with two fifths in this group expressing concerns about</w:t>
      </w:r>
      <w:r>
        <w:t xml:space="preserve"> </w:t>
      </w:r>
      <w:r>
        <w:t xml:space="preserve">the risk of landfill diversion. Further arguments opposing MWI inclusion were the expected</w:t>
      </w:r>
      <w:r>
        <w:t xml:space="preserve"> </w:t>
      </w:r>
      <w:r>
        <w:t xml:space="preserve">impact and perceived lack of alternatives for customers, notably local authorities (one fifth of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responses), and operators’ lack of control over waste generation (and composition), fixed price</w:t>
      </w:r>
      <w:r>
        <w:t xml:space="preserve"> </w:t>
      </w:r>
      <w:r>
        <w:t xml:space="preserve">contracts and potential hindrance to investments in upgrading facilities (nearly one fifth of</w:t>
      </w:r>
      <w:r>
        <w:t xml:space="preserve"> </w:t>
      </w:r>
      <w:r>
        <w:t xml:space="preserve">responses, combined).</w:t>
      </w:r>
      <w:r>
        <w:t xml:space="preserve"> </w:t>
      </w:r>
      <w:r>
        <w:t xml:space="preserve">While multiple campaigns were identified targeting the waste topic, those answers did not have</w:t>
      </w:r>
      <w:r>
        <w:t xml:space="preserve"> </w:t>
      </w:r>
      <w:r>
        <w:t xml:space="preserve">a decisive impact on the outcome of this question that the majority of respondents supported</w:t>
      </w:r>
      <w:r>
        <w:t xml:space="preserve"> </w:t>
      </w:r>
      <w:r>
        <w:t xml:space="preserve">including MWI installations in the EU ETS. Five campaigns by NGOs and</w:t>
      </w:r>
      <w:r>
        <w:t xml:space="preserve"> </w:t>
      </w:r>
      <w:r>
        <w:t xml:space="preserve">companies/businesses and business associations from the manufacturing industry (30</w:t>
      </w:r>
      <w:r>
        <w:t xml:space="preserve"> </w:t>
      </w:r>
      <w:r>
        <w:t xml:space="preserve">respondents in total) (strongly) agreed with the inclusion of MWI in the EU ETS, while four</w:t>
      </w:r>
      <w:r>
        <w:t xml:space="preserve"> </w:t>
      </w:r>
      <w:r>
        <w:t xml:space="preserve">campaigns by businesses/companies and business associations in the waste, energy and</w:t>
      </w:r>
      <w:r>
        <w:t xml:space="preserve"> </w:t>
      </w:r>
      <w:r>
        <w:t xml:space="preserve">agriculture sectors, as well as by local public waste management authorities located in one</w:t>
      </w:r>
      <w:r>
        <w:t xml:space="preserve"> </w:t>
      </w:r>
      <w:r>
        <w:t xml:space="preserve">Member State (57 respondents in total) (strongly) disagreed.</w:t>
      </w:r>
      <w:r>
        <w:t xml:space="preserve"> </w:t>
      </w:r>
      <w:r>
        <w:t xml:space="preserve">3.3.10.2. Installations for the incineration of hazardous waste</w:t>
      </w:r>
      <w:r>
        <w:br/>
      </w:r>
      <w:r>
        <w:t xml:space="preserve">There was no clear agreement on the inclusion of installations for the incineration of hazardous</w:t>
      </w:r>
      <w:r>
        <w:t xml:space="preserve"> </w:t>
      </w:r>
      <w:r>
        <w:t xml:space="preserve">waste in the EU ETS, with well over a third of respondents strongly (77 out of 249, 31%) or</w:t>
      </w:r>
      <w:r>
        <w:t xml:space="preserve"> </w:t>
      </w:r>
      <w:r>
        <w:t xml:space="preserve">rather (16; 6%) disagreeing, compared to just over one third strongly (41 respondents, 17%) or</w:t>
      </w:r>
      <w:r>
        <w:t xml:space="preserve"> </w:t>
      </w:r>
      <w:r>
        <w:t xml:space="preserve">rather (41; 17%) agreeing. The distribution of stakeholder groups also shifted compared to the</w:t>
      </w:r>
      <w:r>
        <w:t xml:space="preserve"> </w:t>
      </w:r>
      <w:r>
        <w:t xml:space="preserve">question on the inclusion of MWI. While most NGOs and environmental organisations were</w:t>
      </w:r>
      <w:r>
        <w:t xml:space="preserve"> </w:t>
      </w:r>
      <w:r>
        <w:t xml:space="preserve">also supportive of the inclusion of hazardous waste incineration, companies/businesses and</w:t>
      </w:r>
      <w:r>
        <w:t xml:space="preserve"> </w:t>
      </w:r>
      <w:r>
        <w:t xml:space="preserve">business associations from the manufacturing industry tended more towards opposing the</w:t>
      </w:r>
      <w:r>
        <w:t xml:space="preserve"> </w:t>
      </w:r>
      <w:r>
        <w:t xml:space="preserve">inclusion. Smaller shares were neutral (36 respondents, 14%) or uncertain (38 respondents,</w:t>
      </w:r>
      <w:r>
        <w:t xml:space="preserve"> </w:t>
      </w:r>
      <w:r>
        <w:t xml:space="preserve">15%).</w:t>
      </w:r>
      <w:r>
        <w:br/>
      </w:r>
      <w:r>
        <w:t xml:space="preserve">The main arguments against the inclusion of hazardous waste incineration in the EU ETS were</w:t>
      </w:r>
      <w:r>
        <w:t xml:space="preserve"> </w:t>
      </w:r>
      <w:r>
        <w:t xml:space="preserve">the public-service role in safely handling hazardous waste and potential risks to public health</w:t>
      </w:r>
      <w:r>
        <w:t xml:space="preserve"> </w:t>
      </w:r>
      <w:r>
        <w:t xml:space="preserve">and safety, the lack of control over upstream waste generation and limited fuel-switch options</w:t>
      </w:r>
      <w:r>
        <w:t xml:space="preserve"> </w:t>
      </w:r>
      <w:r>
        <w:t xml:space="preserve">due to the need for destruction at high temperatures. Arguments for the inclusion mainly</w:t>
      </w:r>
      <w:r>
        <w:t xml:space="preserve"> </w:t>
      </w:r>
      <w:r>
        <w:t xml:space="preserve">focused on incentivising cleaner technologies and cleaner consumer choices, upholding the</w:t>
      </w:r>
      <w:r>
        <w:t xml:space="preserve"> </w:t>
      </w:r>
      <w:r>
        <w:t xml:space="preserve">polluter pays principle by enhancing coherence and ensuring a level playing field between</w:t>
      </w:r>
      <w:r>
        <w:t xml:space="preserve"> </w:t>
      </w:r>
      <w:r>
        <w:t xml:space="preserve">comparable incineration activities, as well as pointed out that many installations hold permits</w:t>
      </w:r>
      <w:r>
        <w:t xml:space="preserve"> </w:t>
      </w:r>
      <w:r>
        <w:t xml:space="preserve">for both hazardous and municipal waste incineration.</w:t>
      </w:r>
      <w:r>
        <w:t xml:space="preserve"> </w:t>
      </w:r>
      <w:r>
        <w:t xml:space="preserve">Multiple campaigns coordinated responses to this question. Integrating these responses leads</w:t>
      </w:r>
      <w:r>
        <w:t xml:space="preserve"> </w:t>
      </w:r>
      <w:r>
        <w:t xml:space="preserve">to a clearer outcome, with a majority opposing the inclusion of hazardous waste in the EU ETS</w:t>
      </w:r>
      <w:r>
        <w:t xml:space="preserve"> </w:t>
      </w:r>
      <w:r>
        <w:t xml:space="preserve">(43% against versus 35% in favour, overall). Seven campaigns by companies/businesses and</w:t>
      </w:r>
      <w:r>
        <w:t xml:space="preserve"> </w:t>
      </w:r>
      <w:r>
        <w:t xml:space="preserve">business associations mainly from the waste and waste-to-energy sectors, as well as local</w:t>
      </w:r>
      <w:r>
        <w:t xml:space="preserve"> </w:t>
      </w:r>
      <w:r>
        <w:t xml:space="preserve">public waste management authorities (60 respondents in total) strongly opposed the inclusion,</w:t>
      </w:r>
      <w:r>
        <w:t xml:space="preserve"> </w:t>
      </w:r>
      <w:r>
        <w:t xml:space="preserve">while three campaigns by NGOs and from the cement sector (21 respondents in total) strongly</w:t>
      </w:r>
      <w:r>
        <w:t xml:space="preserve"> </w:t>
      </w:r>
      <w:r>
        <w:t xml:space="preserve">supported it. One campaign (22 respondents in total) by local waste-to-energy</w:t>
      </w:r>
      <w:r>
        <w:t xml:space="preserve"> </w:t>
      </w:r>
      <w:r>
        <w:t xml:space="preserve">companies/businesses located in one Member State expressed conditional support for including</w:t>
      </w:r>
      <w:r>
        <w:t xml:space="preserve"> </w:t>
      </w:r>
      <w:r>
        <w:t xml:space="preserve">installations with double hazardous and MWI activities, but not for installations exclusively</w:t>
      </w:r>
      <w:r>
        <w:t xml:space="preserve"> </w:t>
      </w:r>
      <w:r>
        <w:t xml:space="preserve">incinerating hazardous waste.</w:t>
      </w:r>
      <w:r>
        <w:t xml:space="preserve"> </w:t>
      </w:r>
      <w:r>
        <w:t xml:space="preserve">3.3.10.3. Other waste management activities</w:t>
      </w:r>
      <w:r>
        <w:t xml:space="preserve"> </w:t>
      </w:r>
      <w:r>
        <w:t xml:space="preserve">Overall, relatively few stakeholders provided views on whether additional waste management</w:t>
      </w:r>
      <w:r>
        <w:t xml:space="preserve"> </w:t>
      </w:r>
      <w:r>
        <w:t xml:space="preserve">activities should be included in the EU ETS if waste incineration was to be covered.</w:t>
      </w:r>
      <w:r>
        <w:br/>
      </w:r>
      <w:r>
        <w:t xml:space="preserve">Stakeholders most frequently addressed the need for appropriate measures to avoid the</w:t>
      </w:r>
      <w:r>
        <w:t xml:space="preserve"> </w:t>
      </w:r>
      <w:r>
        <w:t xml:space="preserve">diversion of waste to landfilling should municipal waste incineration be included in the EU</w:t>
      </w:r>
      <w:r>
        <w:t xml:space="preserve"> </w:t>
      </w:r>
      <w:r>
        <w:t xml:space="preserve">ETS. Views were divided, however, on the preferred measures. Out of 161 respondents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addressing this concern, slightly more than half (83 responses; 51.5%) favoured stronger</w:t>
      </w:r>
      <w:r>
        <w:t xml:space="preserve"> </w:t>
      </w:r>
      <w:r>
        <w:t xml:space="preserve">regulatory and fiscal policies, including strengthening the Landfill Directive, advancing landfill</w:t>
      </w:r>
      <w:r>
        <w:t xml:space="preserve"> </w:t>
      </w:r>
      <w:r>
        <w:t xml:space="preserve">bans, or taxation, or generally called for an appropriate tool to be assessed in view of the</w:t>
      </w:r>
      <w:r>
        <w:t xml:space="preserve"> </w:t>
      </w:r>
      <w:r>
        <w:t xml:space="preserve">complexities in terms of measurement and verification of methane emissions, while just below</w:t>
      </w:r>
      <w:r>
        <w:t xml:space="preserve"> </w:t>
      </w:r>
      <w:r>
        <w:t xml:space="preserve">half (78 respondents; 48.5%) supported an inclusion of landfilling in the EU ETS. These</w:t>
      </w:r>
      <w:r>
        <w:t xml:space="preserve"> </w:t>
      </w:r>
      <w:r>
        <w:t xml:space="preserve">responses include seven campaigns primarily by companies/businesses and business</w:t>
      </w:r>
      <w:r>
        <w:t xml:space="preserve"> </w:t>
      </w:r>
      <w:r>
        <w:t xml:space="preserve">associations from the waste and waste-to-energy sectors (73 responses in total) advocating a</w:t>
      </w:r>
      <w:r>
        <w:t xml:space="preserve"> </w:t>
      </w:r>
      <w:r>
        <w:t xml:space="preserve">holistic, sector-wide approach to EU ETS inclusion to ensure a level playing field, primarily</w:t>
      </w:r>
      <w:r>
        <w:t xml:space="preserve"> </w:t>
      </w:r>
      <w:r>
        <w:t xml:space="preserve">for landfilling. Conversely, one campaign by local public waste management authorities</w:t>
      </w:r>
      <w:r>
        <w:t xml:space="preserve"> </w:t>
      </w:r>
      <w:r>
        <w:t xml:space="preserve">located in one Member State (25 responses in total) strongly opposed the inclusion of landfills</w:t>
      </w:r>
      <w:r>
        <w:t xml:space="preserve"> </w:t>
      </w:r>
      <w:r>
        <w:t xml:space="preserve">in the EU ETS on the grounds of already existing taxation.</w:t>
      </w:r>
      <w:r>
        <w:br/>
      </w:r>
      <w:r>
        <w:t xml:space="preserve">Other waste management activities were mentioned much less frequently, with the majority of</w:t>
      </w:r>
      <w:r>
        <w:t xml:space="preserve"> </w:t>
      </w:r>
      <w:r>
        <w:t xml:space="preserve">those responses opposing the inclusion of mechanical recycling, anaerobic digestion or</w:t>
      </w:r>
      <w:r>
        <w:t xml:space="preserve"> </w:t>
      </w:r>
      <w:r>
        <w:t xml:space="preserve">composting on the grounds that these waste management processes should be incentivised in</w:t>
      </w:r>
      <w:r>
        <w:t xml:space="preserve"> </w:t>
      </w:r>
      <w:r>
        <w:t xml:space="preserve">the waste hierarchy compared to either incineration or landfilling. Views on chemical recycling</w:t>
      </w:r>
      <w:r>
        <w:t xml:space="preserve"> </w:t>
      </w:r>
      <w:r>
        <w:t xml:space="preserve">were more divided. Out of around 30 respondents, one third advocated for the inclusion of all</w:t>
      </w:r>
      <w:r>
        <w:t xml:space="preserve"> </w:t>
      </w:r>
      <w:r>
        <w:t xml:space="preserve">chemical recycling processes in the EU ETS, one third only for the inclusion of recovery or</w:t>
      </w:r>
      <w:r>
        <w:t xml:space="preserve"> </w:t>
      </w:r>
      <w:r>
        <w:t xml:space="preserve">conversion technologies such as pyrolysis and gasification on the grounds that those involve a</w:t>
      </w:r>
      <w:r>
        <w:t xml:space="preserve"> </w:t>
      </w:r>
      <w:r>
        <w:t xml:space="preserve">substantial degree of fossil fuel use and emissions, and one third opposed any inclusion of</w:t>
      </w:r>
      <w:r>
        <w:t xml:space="preserve"> </w:t>
      </w:r>
      <w:r>
        <w:t xml:space="preserve">chemical recycling processes on the grounds of supporting innovative recycling approaches in</w:t>
      </w:r>
      <w:r>
        <w:t xml:space="preserve"> </w:t>
      </w:r>
      <w:r>
        <w:t xml:space="preserve">line with the waste hierarchy.</w:t>
      </w:r>
      <w:r>
        <w:t xml:space="preserve"> </w:t>
      </w:r>
      <w:r>
        <w:t xml:space="preserve">3.3.11. 20MW Threshold</w:t>
      </w:r>
      <w:r>
        <w:t xml:space="preserve"> </w:t>
      </w:r>
      <w:r>
        <w:t xml:space="preserve">A majority of respondents opposed lowering the installation capacity threshold to expand the</w:t>
      </w:r>
      <w:r>
        <w:t xml:space="preserve"> </w:t>
      </w:r>
      <w:r>
        <w:t xml:space="preserve">pool of installations covered by the EU ETS. In total, 44% strongly (75 out of 245; 31%) or</w:t>
      </w:r>
      <w:r>
        <w:t xml:space="preserve"> </w:t>
      </w:r>
      <w:r>
        <w:t xml:space="preserve">rather (33; 13%) disagreed, mainly companies/businesses and business associations.</w:t>
      </w:r>
      <w:r>
        <w:t xml:space="preserve"> </w:t>
      </w:r>
      <w:r>
        <w:t xml:space="preserve">Conversely, 27% rather (37; 15%) or strongly (29; 12%) agreed, including most NGOs and</w:t>
      </w:r>
      <w:r>
        <w:t xml:space="preserve"> </w:t>
      </w:r>
      <w:r>
        <w:t xml:space="preserve">environmental organisations. 15% (37 respondents) were neutral and 14% (34 respondents)</w:t>
      </w:r>
      <w:r>
        <w:t xml:space="preserve"> </w:t>
      </w:r>
      <w:r>
        <w:t xml:space="preserve">were uncertain. In addition, four campaigns by companies/businesses and business associations</w:t>
      </w:r>
      <w:r>
        <w:t xml:space="preserve"> </w:t>
      </w:r>
      <w:r>
        <w:t xml:space="preserve">in the manufacturing industry sector and one by local public waste management authorities (46</w:t>
      </w:r>
      <w:r>
        <w:t xml:space="preserve"> </w:t>
      </w:r>
      <w:r>
        <w:t xml:space="preserve">respondents in total) also opposed lowering the threshold, while two campaigns by NGOs in</w:t>
      </w:r>
      <w:r>
        <w:t xml:space="preserve"> </w:t>
      </w:r>
      <w:r>
        <w:t xml:space="preserve">the waste sector and local waste-to-energy companies located in one Member State (27</w:t>
      </w:r>
      <w:r>
        <w:t xml:space="preserve"> </w:t>
      </w:r>
      <w:r>
        <w:t xml:space="preserve">respondents in total) supported it. These responses further amplify the results, leading to almost</w:t>
      </w:r>
      <w:r>
        <w:t xml:space="preserve"> </w:t>
      </w:r>
      <w:r>
        <w:t xml:space="preserve">half of respondents (48%) opposing lowering the threshold.</w:t>
      </w:r>
      <w:r>
        <w:br/>
      </w:r>
      <w:r>
        <w:t xml:space="preserve">3.3.12. Linking</w:t>
      </w:r>
      <w:r>
        <w:t xml:space="preserve"> </w:t>
      </w:r>
      <w:r>
        <w:t xml:space="preserve">A clear majority of respondents (221 out of 265; 83%), across all stakeholder groups, indicated</w:t>
      </w:r>
      <w:r>
        <w:t xml:space="preserve"> </w:t>
      </w:r>
      <w:r>
        <w:t xml:space="preserve">that the EU should pursue further linking opportunities between the EU ETS and other</w:t>
      </w:r>
      <w:r>
        <w:t xml:space="preserve"> </w:t>
      </w:r>
      <w:r>
        <w:t xml:space="preserve">emissions trading systems. Only a small share indicated that no further linking should be</w:t>
      </w:r>
      <w:r>
        <w:t xml:space="preserve"> </w:t>
      </w:r>
      <w:r>
        <w:t xml:space="preserve">pursued (11 responses; 4%) or was uncertain (34 responses; 13%). The most frequently</w:t>
      </w:r>
      <w:r>
        <w:t xml:space="preserve"> </w:t>
      </w:r>
      <w:r>
        <w:t xml:space="preserve">provided motivations22 were to reduce the risk of carbon leakage (24% of responses), followed</w:t>
      </w:r>
      <w:r>
        <w:t xml:space="preserve"> </w:t>
      </w:r>
      <w:r>
        <w:t xml:space="preserve">by improving the cost-effectiveness of emissions reductions through price convergence (20%</w:t>
      </w:r>
      <w:r>
        <w:t xml:space="preserve"> </w:t>
      </w:r>
      <w:r>
        <w:t xml:space="preserve">of responses) and supporting liquidity in the market (19% of responses), and reinforcing EU</w:t>
      </w:r>
      <w:r>
        <w:t xml:space="preserve"> </w:t>
      </w:r>
      <w:r>
        <w:t xml:space="preserve">leadership on global carbon pricing and climate change mitigation (13% of responses, mainly</w:t>
      </w:r>
      <w:r>
        <w:t xml:space="preserve"> </w:t>
      </w:r>
      <w:r>
        <w:t xml:space="preserve">from NGOs).</w:t>
      </w:r>
    </w:p>
    <w:p>
      <w:pPr>
        <w:pStyle w:val="BodyText"/>
      </w:pPr>
      <w:r>
        <w:t xml:space="preserve">22 Multiple options could be selected.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3.4. Position papers</w:t>
      </w:r>
      <w:r>
        <w:t xml:space="preserve"> </w:t>
      </w:r>
      <w:r>
        <w:t xml:space="preserve">A total of 404 contributions were submitted in the form of position papers and/or feedback on</w:t>
      </w:r>
      <w:r>
        <w:t xml:space="preserve"> </w:t>
      </w:r>
      <w:r>
        <w:t xml:space="preserve">the Call for evidence. More than two thirds came from business associations (156; 39%) or</w:t>
      </w:r>
      <w:r>
        <w:t xml:space="preserve"> </w:t>
      </w:r>
      <w:r>
        <w:t xml:space="preserve">companies/businesses (127; 31%), while NGOs accounted for one tenth (42; 10%). Remaining</w:t>
      </w:r>
      <w:r>
        <w:t xml:space="preserve"> </w:t>
      </w:r>
      <w:r>
        <w:t xml:space="preserve">papers included positions from public authorities, academia, environmental organisation, trade</w:t>
      </w:r>
      <w:r>
        <w:t xml:space="preserve"> </w:t>
      </w:r>
      <w:r>
        <w:t xml:space="preserve">unions and others. Most contributions (258; 64%) addressed one or more topics related to</w:t>
      </w:r>
      <w:r>
        <w:t xml:space="preserve"> </w:t>
      </w:r>
      <w:r>
        <w:t xml:space="preserve">stationary installations. 28 contributions (7%) focused exclusively on aviation emissions, 64</w:t>
      </w:r>
      <w:r>
        <w:t xml:space="preserve"> </w:t>
      </w:r>
      <w:r>
        <w:t xml:space="preserve">(16%) focused solely on maritime emissions, while another 8 contributions (2%) covered both</w:t>
      </w:r>
      <w:r>
        <w:t xml:space="preserve"> </w:t>
      </w:r>
      <w:r>
        <w:t xml:space="preserve">maritime and aviation emissions. Finally, 42 contributions (10%) focused on topics across all</w:t>
      </w:r>
      <w:r>
        <w:t xml:space="preserve"> </w:t>
      </w:r>
      <w:r>
        <w:t xml:space="preserve">sectors. 6 contributions (1%) did not address any of these topics. The majority opinions put</w:t>
      </w:r>
      <w:r>
        <w:t xml:space="preserve"> </w:t>
      </w:r>
      <w:r>
        <w:t xml:space="preserve">forward in the group of stakeholders that submitted position papers were overall aligned with</w:t>
      </w:r>
      <w:r>
        <w:t xml:space="preserve"> </w:t>
      </w:r>
      <w:r>
        <w:t xml:space="preserve">the majority opinions put forward by all stakeholders in the OPC questionnaire.</w:t>
      </w:r>
      <w:r>
        <w:t xml:space="preserve"> </w:t>
      </w:r>
      <w:r>
        <w:t xml:space="preserve">3.4.1. Aviation</w:t>
      </w:r>
      <w:r>
        <w:t xml:space="preserve"> </w:t>
      </w:r>
      <w:r>
        <w:t xml:space="preserve">A total of 56 position papers were identified as being relevant to aviation, with 26 papers solely</w:t>
      </w:r>
      <w:r>
        <w:t xml:space="preserve"> </w:t>
      </w:r>
      <w:r>
        <w:t xml:space="preserve">targeting the sector. Submissions came from a broad spectrum of organisations including,</w:t>
      </w:r>
      <w:r>
        <w:t xml:space="preserve"> </w:t>
      </w:r>
      <w:r>
        <w:t xml:space="preserve">among others: business associations (36%), private companies (29%), NGOs (18%), public</w:t>
      </w:r>
      <w:r>
        <w:t xml:space="preserve"> </w:t>
      </w:r>
      <w:r>
        <w:t xml:space="preserve">authorities (7%), and environmental organisations (5%). “Overall scope and adequacy” of</w:t>
      </w:r>
      <w:r>
        <w:t xml:space="preserve"> </w:t>
      </w:r>
      <w:r>
        <w:t xml:space="preserve">CORSIA and ETS (43 papers), “Sustainable aviation fuels” (33 papers) and “Competitiveness,</w:t>
      </w:r>
      <w:r>
        <w:t xml:space="preserve"> </w:t>
      </w:r>
      <w:r>
        <w:t xml:space="preserve">market distortion, and carbon leakage” (31 papers) were the most frequently addressed themes.</w:t>
      </w:r>
      <w:r>
        <w:t xml:space="preserve"> </w:t>
      </w:r>
      <w:r>
        <w:t xml:space="preserve">Business associations, environmental organisations, and public authorities all agreed that ETS</w:t>
      </w:r>
      <w:r>
        <w:t xml:space="preserve"> </w:t>
      </w:r>
      <w:r>
        <w:t xml:space="preserve">revenues should be better utilised to support aviation decarbonisation, despite expressing</w:t>
      </w:r>
      <w:r>
        <w:t xml:space="preserve"> </w:t>
      </w:r>
      <w:r>
        <w:t xml:space="preserve">different objectives and framing on the topic. Different contributions across highlighted</w:t>
      </w:r>
      <w:r>
        <w:t xml:space="preserve"> </w:t>
      </w:r>
      <w:r>
        <w:t xml:space="preserve">themes reflected the stakeholders’ contrasting priorities. In particular, stakeholders were</w:t>
      </w:r>
      <w:r>
        <w:t xml:space="preserve"> </w:t>
      </w:r>
      <w:r>
        <w:t xml:space="preserve">strongly divided on the suitability of ETS and CORSIA to contribute to the sector’s</w:t>
      </w:r>
      <w:r>
        <w:t xml:space="preserve"> </w:t>
      </w:r>
      <w:r>
        <w:t xml:space="preserve">decarbonisation. Business association and companies expressed strong reservations to expand</w:t>
      </w:r>
      <w:r>
        <w:t xml:space="preserve"> </w:t>
      </w:r>
      <w:r>
        <w:t xml:space="preserve">the ETS scope covering extra-EEA flights, while environmental organisations and NGOs</w:t>
      </w:r>
      <w:r>
        <w:t xml:space="preserve"> </w:t>
      </w:r>
      <w:r>
        <w:t xml:space="preserve">criticised the ETS for its limited geographical coverage. Similarly, business association and</w:t>
      </w:r>
      <w:r>
        <w:t xml:space="preserve"> </w:t>
      </w:r>
      <w:r>
        <w:t xml:space="preserve">companies supported CORSIA as the primary global mechanism to address the sector’s climate</w:t>
      </w:r>
      <w:r>
        <w:t xml:space="preserve"> </w:t>
      </w:r>
      <w:r>
        <w:t xml:space="preserve">impact, while the latter questioned CORSIA’s environmental credibility, especially citing</w:t>
      </w:r>
      <w:r>
        <w:t xml:space="preserve"> </w:t>
      </w:r>
      <w:r>
        <w:t xml:space="preserve">concerns with its reliance on offsetting. Public authorities maintained a more balanced stance,</w:t>
      </w:r>
      <w:r>
        <w:t xml:space="preserve"> </w:t>
      </w:r>
      <w:r>
        <w:t xml:space="preserve">while urging to retain ETS policy ambition to ensure environmental integrity.</w:t>
      </w:r>
      <w:r>
        <w:br/>
      </w:r>
      <w:r>
        <w:t xml:space="preserve">3.4.2. Maritime</w:t>
      </w:r>
      <w:r>
        <w:t xml:space="preserve"> </w:t>
      </w:r>
      <w:r>
        <w:t xml:space="preserve">A total of 88 position papers were identified as being relevant to maritime and were reviewed,</w:t>
      </w:r>
      <w:r>
        <w:t xml:space="preserve"> </w:t>
      </w:r>
      <w:r>
        <w:t xml:space="preserve">checking for issues and proposed measures related to the maritime sector. Stakeholders</w:t>
      </w:r>
      <w:r>
        <w:t xml:space="preserve"> </w:t>
      </w:r>
      <w:r>
        <w:t xml:space="preserve">emphasised the need for alignment of EU maritime measures with international frameworks,</w:t>
      </w:r>
      <w:r>
        <w:t xml:space="preserve"> </w:t>
      </w:r>
      <w:r>
        <w:t xml:space="preserve">particularly harmonising the EU ETS, FuelEU Maritime, and IMO NZF. Several proposed</w:t>
      </w:r>
      <w:r>
        <w:t xml:space="preserve"> </w:t>
      </w:r>
      <w:r>
        <w:t xml:space="preserve">legislative updates, international coordination, and potential phase-out of the EU ETS upon</w:t>
      </w:r>
      <w:r>
        <w:t xml:space="preserve"> </w:t>
      </w:r>
      <w:r>
        <w:t xml:space="preserve">IMO NZF adoption. Others called for mechanisms to prevent overlapping regulation, while</w:t>
      </w:r>
      <w:r>
        <w:t xml:space="preserve"> </w:t>
      </w:r>
      <w:r>
        <w:t xml:space="preserve">some supported maintaining a strengthened EU ETS to drive global decarbonisation. To</w:t>
      </w:r>
      <w:r>
        <w:t xml:space="preserve"> </w:t>
      </w:r>
      <w:r>
        <w:t xml:space="preserve">address evasion risks, some stakeholders recommended monitoring measures and adjustments</w:t>
      </w:r>
      <w:r>
        <w:t xml:space="preserve"> </w:t>
      </w:r>
      <w:r>
        <w:t xml:space="preserve">to scope and thresholds. On vessel coverage, many supported lowering the EU ETS threshold</w:t>
      </w:r>
      <w:r>
        <w:t xml:space="preserve"> </w:t>
      </w:r>
      <w:r>
        <w:t xml:space="preserve">to 400 GT, with calls for proportional MRV and clearer ship type definitions. Regarding fuels,</w:t>
      </w:r>
      <w:r>
        <w:t xml:space="preserve"> </w:t>
      </w:r>
      <w:r>
        <w:t xml:space="preserve">stakeholders advocated using EU ETS revenues to bridge clean fuel cost gaps, harmonise</w:t>
      </w:r>
      <w:r>
        <w:t xml:space="preserve"> </w:t>
      </w:r>
      <w:r>
        <w:t xml:space="preserve">reporting, and recognise life-cycle emissions. There was broad support for extending</w:t>
      </w:r>
      <w:r>
        <w:t xml:space="preserve"> </w:t>
      </w:r>
      <w:r>
        <w:t xml:space="preserve">derogations for outermost and peripheral routes and targeted exemptions for specific vessel</w:t>
      </w:r>
      <w:r>
        <w:t xml:space="preserve"> </w:t>
      </w:r>
      <w:r>
        <w:t xml:space="preserve">types. Simplification was commonly highlighted, with strong support for harmonised MRV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systems and reduced administrative burden. Clarification of the</w:t>
      </w:r>
      <w:r>
        <w:t xml:space="preserve"> </w:t>
      </w:r>
      <w:r>
        <w:t xml:space="preserve">“shipping company”</w:t>
      </w:r>
      <w:r>
        <w:t xml:space="preserve"> </w:t>
      </w:r>
      <w:r>
        <w:t xml:space="preserve">definition</w:t>
      </w:r>
      <w:r>
        <w:t xml:space="preserve"> </w:t>
      </w:r>
      <w:r>
        <w:t xml:space="preserve">was also sought to streamline compliance. On biofuels, some stakeholders recommended</w:t>
      </w:r>
      <w:r>
        <w:t xml:space="preserve"> </w:t>
      </w:r>
      <w:r>
        <w:t xml:space="preserve">limiting zero-rating to advanced and sustainable fuels. Finally, many called for allocating EU</w:t>
      </w:r>
      <w:r>
        <w:t xml:space="preserve"> </w:t>
      </w:r>
      <w:r>
        <w:t xml:space="preserve">ETS revenues to accelerate GHG mitigation through investments in clean fuels, technologies,</w:t>
      </w:r>
      <w:r>
        <w:t xml:space="preserve"> </w:t>
      </w:r>
      <w:r>
        <w:t xml:space="preserve">and fleet upgrades.</w:t>
      </w:r>
      <w:r>
        <w:t xml:space="preserve"> </w:t>
      </w:r>
      <w:r>
        <w:t xml:space="preserve">3.4.3. Measures to address carbon leakage</w:t>
      </w:r>
      <w:r>
        <w:t xml:space="preserve"> </w:t>
      </w:r>
      <w:r>
        <w:t xml:space="preserve">Carbon leakage was a widespread concern among stakeholders. Out of the 47 respondents</w:t>
      </w:r>
      <w:r>
        <w:t xml:space="preserve"> </w:t>
      </w:r>
      <w:r>
        <w:t xml:space="preserve">commenting specifically on this topic, roughly four out of five, mainly companies and business</w:t>
      </w:r>
      <w:r>
        <w:t xml:space="preserve"> </w:t>
      </w:r>
      <w:r>
        <w:t xml:space="preserve">associations, advocated maintaining and improving free allocation, particularly for sectors not</w:t>
      </w:r>
      <w:r>
        <w:t xml:space="preserve"> </w:t>
      </w:r>
      <w:r>
        <w:t xml:space="preserve">covered by the CBAM. A minority (one fifth), mainly NGOs, called for a complete phase-out</w:t>
      </w:r>
      <w:r>
        <w:t xml:space="preserve"> </w:t>
      </w:r>
      <w:r>
        <w:t xml:space="preserve">of free allocation to fully implement the “polluter pays” principle and accelerate</w:t>
      </w:r>
      <w:r>
        <w:t xml:space="preserve"> </w:t>
      </w:r>
      <w:r>
        <w:t xml:space="preserve">decarbonisation. Harmonising ICCC across Member States received support, by 25.5%. The</w:t>
      </w:r>
      <w:r>
        <w:t xml:space="preserve"> </w:t>
      </w:r>
      <w:r>
        <w:t xml:space="preserve">CBAM is widely regarded as a crucial instrument, though a minority, mainly companies,</w:t>
      </w:r>
      <w:r>
        <w:t xml:space="preserve"> </w:t>
      </w:r>
      <w:r>
        <w:t xml:space="preserve">suggest amendments such as simplification and scope extension.</w:t>
      </w:r>
      <w:r>
        <w:br/>
      </w:r>
      <w:r>
        <w:t xml:space="preserve">3.4.4. Revenue use</w:t>
      </w:r>
      <w:r>
        <w:t xml:space="preserve"> </w:t>
      </w:r>
      <w:r>
        <w:t xml:space="preserve">Respondents commenting on revenue use (103) mostly urged to ensure that ETS revenues are</w:t>
      </w:r>
      <w:r>
        <w:t xml:space="preserve"> </w:t>
      </w:r>
      <w:r>
        <w:t xml:space="preserve">reinvested in decarbonisation efforts and industry support (65%). A common suggestion was</w:t>
      </w:r>
      <w:r>
        <w:t xml:space="preserve"> </w:t>
      </w:r>
      <w:r>
        <w:t xml:space="preserve">to increase funding and improve access to instruments such as the Innovation Fund and the</w:t>
      </w:r>
      <w:r>
        <w:t xml:space="preserve"> </w:t>
      </w:r>
      <w:r>
        <w:t xml:space="preserve">Modernisation Fund. Some, from across various stakeholder types, called for strengthening the</w:t>
      </w:r>
      <w:r>
        <w:t xml:space="preserve"> </w:t>
      </w:r>
      <w:r>
        <w:t xml:space="preserve">transparency and accountability of Member States in how ETS revenues are spent (10%).</w:t>
      </w:r>
      <w:r>
        <w:br/>
      </w:r>
      <w:r>
        <w:t xml:space="preserve">3.4.5. Market Stability Reserve (MSR)</w:t>
      </w:r>
      <w:r>
        <w:t xml:space="preserve"> </w:t>
      </w:r>
      <w:r>
        <w:t xml:space="preserve">Overall, stakeholders consider the MSR to be effective in stabilising the carbon price.</w:t>
      </w:r>
      <w:r>
        <w:t xml:space="preserve"> </w:t>
      </w:r>
      <w:r>
        <w:t xml:space="preserve">However, three quarters of respondents (81) who commented on the MSR, mainly companies</w:t>
      </w:r>
      <w:r>
        <w:t xml:space="preserve"> </w:t>
      </w:r>
      <w:r>
        <w:t xml:space="preserve">and business associations, called for measures to improve predictability, enhance market</w:t>
      </w:r>
      <w:r>
        <w:t xml:space="preserve"> </w:t>
      </w:r>
      <w:r>
        <w:t xml:space="preserve">liquidity, reduce price volatility, and adapt to the declining allowance supply after 2030. Two</w:t>
      </w:r>
      <w:r>
        <w:t xml:space="preserve"> </w:t>
      </w:r>
      <w:r>
        <w:t xml:space="preserve">main proposals emerged to address these challenges: stopping the invalidation of allowances</w:t>
      </w:r>
      <w:r>
        <w:t xml:space="preserve"> </w:t>
      </w:r>
      <w:r>
        <w:t xml:space="preserve">and using allowances held in the MSR to finance industrial decarbonisation efforts.</w:t>
      </w:r>
      <w:r>
        <w:br/>
      </w:r>
      <w:r>
        <w:t xml:space="preserve">3.4.6. New technologies</w:t>
      </w:r>
      <w:r>
        <w:t xml:space="preserve"> </w:t>
      </w:r>
      <w:r>
        <w:t xml:space="preserve">Almost all of the stakeholders who commented on the integration of carbon removals into the</w:t>
      </w:r>
      <w:r>
        <w:t xml:space="preserve"> </w:t>
      </w:r>
      <w:r>
        <w:t xml:space="preserve">EU ETS (94), mainly companies and business associations, support the integration of</w:t>
      </w:r>
      <w:r>
        <w:t xml:space="preserve"> </w:t>
      </w:r>
      <w:r>
        <w:t xml:space="preserve">permanent CDR, particularly CRCF-certified methods such as BECCS and DACCS. They</w:t>
      </w:r>
      <w:r>
        <w:t xml:space="preserve"> </w:t>
      </w:r>
      <w:r>
        <w:t xml:space="preserve">often recommended applying a “like-for-like” principle to ensure that permanent emissions are</w:t>
      </w:r>
      <w:r>
        <w:t xml:space="preserve"> </w:t>
      </w:r>
      <w:r>
        <w:t xml:space="preserve">offset by permanent removals. A phased or cautious approach to integration is also frequently</w:t>
      </w:r>
      <w:r>
        <w:t xml:space="preserve"> </w:t>
      </w:r>
      <w:r>
        <w:t xml:space="preserve">suggested, combined with measures such as the involvement of an intermediary agency or the</w:t>
      </w:r>
      <w:r>
        <w:t xml:space="preserve"> </w:t>
      </w:r>
      <w:r>
        <w:t xml:space="preserve">introduction of volume limits to avoid undermining emission reduction incentives.</w:t>
      </w:r>
      <w:r>
        <w:t xml:space="preserve"> </w:t>
      </w:r>
      <w:r>
        <w:t xml:space="preserve">Only a small fraction of position papers (34) commented on integration of CCU applications</w:t>
      </w:r>
      <w:r>
        <w:t xml:space="preserve"> </w:t>
      </w:r>
      <w:r>
        <w:t xml:space="preserve">into the ETS. A large share of those (82.4%, 28 stakeholders) supported the integration. Where</w:t>
      </w:r>
      <w:r>
        <w:t xml:space="preserve"> </w:t>
      </w:r>
      <w:r>
        <w:t xml:space="preserve">stakeholders supported adjustments for CCU (roughly one fifth of the 28 stakeholders), they</w:t>
      </w:r>
      <w:r>
        <w:t xml:space="preserve"> </w:t>
      </w:r>
      <w:r>
        <w:t xml:space="preserve">call for clear accounting rules and preferential incentives over fossil feedstocks.</w:t>
      </w:r>
      <w:r>
        <w:t xml:space="preserve"> </w:t>
      </w:r>
      <w:r>
        <w:t xml:space="preserve">3.4.7. Potential expansion of the scope of the Directive</w:t>
      </w:r>
      <w:r>
        <w:t xml:space="preserve"> </w:t>
      </w:r>
      <w:r>
        <w:t xml:space="preserve">Many respondents (118) commented on the potential inclusion of MWI in the EU ETS, with</w:t>
      </w:r>
      <w:r>
        <w:t xml:space="preserve"> </w:t>
      </w:r>
      <w:r>
        <w:t xml:space="preserve">most (63 respondents, 53%), mainly companies, business associations and NGOs, supporting</w:t>
      </w:r>
      <w:r>
        <w:t xml:space="preserve"> </w:t>
      </w:r>
      <w:r>
        <w:t xml:space="preserve">the inclusion to incentivise recycling and emission reductions. On the other hand, a smaller</w:t>
      </w:r>
      <w:r>
        <w:t xml:space="preserve"> </w:t>
      </w:r>
      <w:r>
        <w:t xml:space="preserve">minority (55 respondents, 47%), composed of business associations, companies and public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authorities, opposed MWI inclusion on the grounds of potential cost increases for citizens and</w:t>
      </w:r>
      <w:r>
        <w:t xml:space="preserve"> </w:t>
      </w:r>
      <w:r>
        <w:t xml:space="preserve">municipalities, as well as the risk of distorting the waste hierarchy through increased landfilling</w:t>
      </w:r>
      <w:r>
        <w:t xml:space="preserve"> </w:t>
      </w:r>
      <w:r>
        <w:t xml:space="preserve">or waste exports. Both sides recommended including landfilling to prevent waste diversion. 7</w:t>
      </w:r>
      <w:r>
        <w:t xml:space="preserve"> </w:t>
      </w:r>
      <w:r>
        <w:t xml:space="preserve">stakeholders (business associations, companies and public authorities) also suggested</w:t>
      </w:r>
      <w:r>
        <w:t xml:space="preserve"> </w:t>
      </w:r>
      <w:r>
        <w:t xml:space="preserve">exempting hazardous waste incineration from the ETS.</w:t>
      </w:r>
      <w:r>
        <w:br/>
      </w:r>
      <w:r>
        <w:t xml:space="preserve">3.4.8. 20MW threshold</w:t>
      </w:r>
      <w:r>
        <w:t xml:space="preserve"> </w:t>
      </w:r>
      <w:r>
        <w:t xml:space="preserve">The issue of lowering the 20 MW thermal input threshold for stationary installations attracted</w:t>
      </w:r>
      <w:r>
        <w:t xml:space="preserve"> </w:t>
      </w:r>
      <w:r>
        <w:t xml:space="preserve">few comments (29), of whom two thirds (19), mainly business associations and companies,</w:t>
      </w:r>
      <w:r>
        <w:t xml:space="preserve"> </w:t>
      </w:r>
      <w:r>
        <w:t xml:space="preserve">opposed on the grounds of the disproportionate administrative burden on smaller emitters,</w:t>
      </w:r>
      <w:r>
        <w:t xml:space="preserve"> </w:t>
      </w:r>
      <w:r>
        <w:t xml:space="preserve">whereas one third (10), mostly NGOs, argued that lowering the threshold could encourage</w:t>
      </w:r>
      <w:r>
        <w:t xml:space="preserve"> </w:t>
      </w:r>
      <w:r>
        <w:t xml:space="preserve">wider adoption of clean technologies and ensure consistency between ETS1 and ETS2.</w:t>
      </w:r>
      <w:r>
        <w:t xml:space="preserve"> </w:t>
      </w:r>
      <w:r>
        <w:t xml:space="preserve">3.5. Interviews</w:t>
      </w:r>
      <w:r>
        <w:t xml:space="preserve"> </w:t>
      </w:r>
      <w:r>
        <w:t xml:space="preserve">In addition to the open public consultation, stakeholder interviews were conducted to collect</w:t>
      </w:r>
      <w:r>
        <w:t xml:space="preserve"> </w:t>
      </w:r>
      <w:r>
        <w:t xml:space="preserve">further evidence for use in both the evaluation and the impact assessment. The interview</w:t>
      </w:r>
      <w:r>
        <w:t xml:space="preserve"> </w:t>
      </w:r>
      <w:r>
        <w:t xml:space="preserve">process enabled a range of stakeholders to provide more detailed input complementing and</w:t>
      </w:r>
      <w:r>
        <w:t xml:space="preserve"> </w:t>
      </w:r>
      <w:r>
        <w:t xml:space="preserve">expanding on the questions in the OPC. All input and conclusions from the interviews were</w:t>
      </w:r>
      <w:r>
        <w:t xml:space="preserve"> </w:t>
      </w:r>
      <w:r>
        <w:t xml:space="preserve">taken into consideration to inform and complement the quantitative and qualitative research</w:t>
      </w:r>
      <w:r>
        <w:t xml:space="preserve"> </w:t>
      </w:r>
      <w:r>
        <w:t xml:space="preserve">throughout the evaluation and impact assessment.</w:t>
      </w:r>
      <w:r>
        <w:br/>
      </w:r>
      <w:r>
        <w:t xml:space="preserve">In preparation for each interview, semi-structured questions were sent in advance to each</w:t>
      </w:r>
      <w:r>
        <w:t xml:space="preserve"> </w:t>
      </w:r>
      <w:r>
        <w:t xml:space="preserve">stakeholder to allow for written input to be submitted. Stakeholders engaged constructively in</w:t>
      </w:r>
      <w:r>
        <w:t xml:space="preserve"> </w:t>
      </w:r>
      <w:r>
        <w:t xml:space="preserve">the process providing detailed information that allowed for the interview to focus on the key</w:t>
      </w:r>
      <w:r>
        <w:t xml:space="preserve"> </w:t>
      </w:r>
      <w:r>
        <w:t xml:space="preserve">issues that were identified. Over 50 interviews were conducted by the research team, with</w:t>
      </w:r>
      <w:r>
        <w:t xml:space="preserve"> </w:t>
      </w:r>
      <w:r>
        <w:t xml:space="preserve">considerable efforts made to ensure that there was a balanced representation across sectors</w:t>
      </w:r>
      <w:r>
        <w:t xml:space="preserve"> </w:t>
      </w:r>
      <w:r>
        <w:t xml:space="preserve">when discussing issues related to carbon leakage, the Market Stability Reserve and the options</w:t>
      </w:r>
      <w:r>
        <w:t xml:space="preserve"> </w:t>
      </w:r>
      <w:r>
        <w:t xml:space="preserve">for best accounting for CCU use. In addition, technical experts were also consulted to discuss</w:t>
      </w:r>
      <w:r>
        <w:t xml:space="preserve"> </w:t>
      </w:r>
      <w:r>
        <w:t xml:space="preserve">the more detailed design questions related to the topic of integrating carbon removals into the</w:t>
      </w:r>
      <w:r>
        <w:t xml:space="preserve"> </w:t>
      </w:r>
      <w:r>
        <w:t xml:space="preserve">EU ETS and, given the potential expansion of the ETS scope to include waste activities, a</w:t>
      </w:r>
      <w:r>
        <w:t xml:space="preserve"> </w:t>
      </w:r>
      <w:r>
        <w:t xml:space="preserve">considerable effort was made to interview a range of stakeholders from the waste sector to</w:t>
      </w:r>
      <w:r>
        <w:t xml:space="preserve"> </w:t>
      </w:r>
      <w:r>
        <w:t xml:space="preserve">discuss the potential impact.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ANNEX 3: WHO IS AFFECTED BY THE INITIATIVE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EU ETS is the European Union’s main instrument for cost-effective emissions reductions.</w:t>
      </w:r>
      <w:r>
        <w:t xml:space="preserve"> </w:t>
      </w:r>
      <w:r>
        <w:t xml:space="preserve">The preferred policy option identified in Section 8 of the main Impact Assessment report for</w:t>
      </w:r>
      <w:r>
        <w:t xml:space="preserve"> </w:t>
      </w:r>
      <w:r>
        <w:t xml:space="preserve">the period 2031-2040 builds on the existing ETS framework, while introducing targeted</w:t>
      </w:r>
      <w:r>
        <w:t xml:space="preserve"> </w:t>
      </w:r>
      <w:r>
        <w:t xml:space="preserve">adjustments to ensure that the system remains aligned with the EU’s 2040 climate target and</w:t>
      </w:r>
      <w:r>
        <w:t xml:space="preserve"> </w:t>
      </w:r>
      <w:r>
        <w:t xml:space="preserve">the pathway towards climate neutrality by 2050. The preferred option combines a series of</w:t>
      </w:r>
      <w:r>
        <w:t xml:space="preserve"> </w:t>
      </w:r>
      <w:r>
        <w:t xml:space="preserve">policy measures identified for each thematic area, aimed at strengthening the environmental</w:t>
      </w:r>
      <w:r>
        <w:t xml:space="preserve"> </w:t>
      </w:r>
      <w:r>
        <w:t xml:space="preserve">effectiveness of the system while maintaining proportionality, regulatory stability, and fairness</w:t>
      </w:r>
      <w:r>
        <w:t xml:space="preserve"> </w:t>
      </w:r>
      <w:r>
        <w:t xml:space="preserve">across sectors.</w:t>
      </w:r>
      <w:r>
        <w:t xml:space="preserve"> </w:t>
      </w:r>
      <w:r>
        <w:t xml:space="preserve">The proposed reforms maintain the existing compliance framework of the EU ETS, while</w:t>
      </w:r>
      <w:r>
        <w:t xml:space="preserve"> </w:t>
      </w:r>
      <w:r>
        <w:t xml:space="preserve">introducing new obligations and compliance actions on specific groups of operators and</w:t>
      </w:r>
      <w:r>
        <w:t xml:space="preserve"> </w:t>
      </w:r>
      <w:r>
        <w:t xml:space="preserve">administrations during the 2031-2040 period.</w:t>
      </w:r>
      <w:r>
        <w:t xml:space="preserve"> </w:t>
      </w:r>
      <w:r>
        <w:t xml:space="preserve">Therefore, the preferred option introduces measures that are expected to affect transversely</w:t>
      </w:r>
      <w:r>
        <w:t xml:space="preserve"> </w:t>
      </w:r>
      <w:r>
        <w:t xml:space="preserve">different stakeholders, including industry, SMEs and micro-enterprises, public authorities, and</w:t>
      </w:r>
      <w:r>
        <w:t xml:space="preserve"> </w:t>
      </w:r>
      <w:r>
        <w:t xml:space="preserve">citizens.</w:t>
      </w:r>
      <w:r>
        <w:t xml:space="preserve"> </w:t>
      </w:r>
      <w:r>
        <w:t xml:space="preserve">1.1. Effects on regulated entities</w:t>
      </w:r>
      <w:r>
        <w:t xml:space="preserve"> </w:t>
      </w:r>
      <w:r>
        <w:t xml:space="preserve">1.1.1. Stationary installations</w:t>
      </w:r>
      <w:r>
        <w:t xml:space="preserve"> </w:t>
      </w:r>
      <w:r>
        <w:t xml:space="preserve">Installations already covered by the EU ETS (in sectors such as electricity and heat generation,</w:t>
      </w:r>
      <w:r>
        <w:t xml:space="preserve"> </w:t>
      </w:r>
      <w:r>
        <w:t xml:space="preserve">steel, cement, chemicals, refining, pulp and paper, and other energy-intensive industries)</w:t>
      </w:r>
      <w:r>
        <w:t xml:space="preserve"> </w:t>
      </w:r>
      <w:r>
        <w:t xml:space="preserve">remain the main regulated entities. The measures contained in the preferred option affect them</w:t>
      </w:r>
      <w:r>
        <w:t xml:space="preserve"> </w:t>
      </w:r>
      <w:r>
        <w:t xml:space="preserve">in a number of ways:</w:t>
      </w:r>
      <w:r>
        <w:t xml:space="preserve"> </w:t>
      </w:r>
      <w:r>
        <w:t xml:space="preserve">• Due to the more gradual reductions in the cap on emissions, in line with a fair</w:t>
      </w:r>
      <w:r>
        <w:t xml:space="preserve"> </w:t>
      </w:r>
      <w:r>
        <w:t xml:space="preserve">contribution of the EU ETS to the economy-wide target for 2040, the preferred option</w:t>
      </w:r>
      <w:r>
        <w:t xml:space="preserve"> </w:t>
      </w:r>
      <w:r>
        <w:t xml:space="preserve">exhibits carbon prices that are lower compared to the baseline. Exposure to carbon costs</w:t>
      </w:r>
      <w:r>
        <w:t xml:space="preserve"> </w:t>
      </w:r>
      <w:r>
        <w:t xml:space="preserve">therefore increases more slowly. However, the preferred option is still expected to result</w:t>
      </w:r>
      <w:r>
        <w:t xml:space="preserve"> </w:t>
      </w:r>
      <w:r>
        <w:t xml:space="preserve">in an increasing carbon price signal over time. See Annex 8 – Part I on the emissions</w:t>
      </w:r>
      <w:r>
        <w:t xml:space="preserve"> </w:t>
      </w:r>
      <w:r>
        <w:t xml:space="preserve">cap.</w:t>
      </w:r>
      <w:r>
        <w:t xml:space="preserve"> </w:t>
      </w:r>
      <w:r>
        <w:t xml:space="preserve">• The preferred option on carbon removals (a public purchasing programme) is expected</w:t>
      </w:r>
      <w:r>
        <w:t xml:space="preserve"> </w:t>
      </w:r>
      <w:r>
        <w:t xml:space="preserve">to help contain carbon costs by releasing a predictable amount of additional allowances</w:t>
      </w:r>
      <w:r>
        <w:t xml:space="preserve"> </w:t>
      </w:r>
      <w:r>
        <w:t xml:space="preserve">onto the market (170-330Mt subject to funding and availability of removal units),</w:t>
      </w:r>
      <w:r>
        <w:t xml:space="preserve"> </w:t>
      </w:r>
      <w:r>
        <w:t xml:space="preserve">thereby stimulating carbon removal technology while retaining certainty over the</w:t>
      </w:r>
      <w:r>
        <w:t xml:space="preserve"> </w:t>
      </w:r>
      <w:r>
        <w:t xml:space="preserve">impact on gross and net emissions. See Annex 8 – Part II on carbon removal.</w:t>
      </w:r>
      <w:r>
        <w:t xml:space="preserve"> </w:t>
      </w:r>
      <w:r>
        <w:t xml:space="preserve">• The revised Market Stability Reserve (MSR) parameters should ensure that</w:t>
      </w:r>
      <w:r>
        <w:t xml:space="preserve"> </w:t>
      </w:r>
      <w:r>
        <w:t xml:space="preserve">installations face a stable, progressively increasing, carbon price signal driven primarily</w:t>
      </w:r>
      <w:r>
        <w:t xml:space="preserve"> </w:t>
      </w:r>
      <w:r>
        <w:t xml:space="preserve">by supply and demand fundamentals. See Annex 8 – Part III on the MSR.</w:t>
      </w:r>
      <w:r>
        <w:br/>
      </w:r>
      <w:r>
        <w:t xml:space="preserve">• The creation of the Industrial Decarbonisation Bank (IDB) is expected to improve</w:t>
      </w:r>
      <w:r>
        <w:t xml:space="preserve"> </w:t>
      </w:r>
      <w:r>
        <w:t xml:space="preserve">the business case for investment in the decarbonisation technologies for the stationary</w:t>
      </w:r>
      <w:r>
        <w:t xml:space="preserve"> </w:t>
      </w:r>
      <w:r>
        <w:t xml:space="preserve">industrial installations in the ETS. In practice, the IDB will provide a tangible support</w:t>
      </w:r>
      <w:r>
        <w:t xml:space="preserve"> </w:t>
      </w:r>
      <w:r>
        <w:t xml:space="preserve">(notably in the form of Carbon Fixed Premium and Carbon Contracts for Difference)</w:t>
      </w:r>
      <w:r>
        <w:t xml:space="preserve"> </w:t>
      </w:r>
      <w:r>
        <w:t xml:space="preserve">for projects focused on more mature technologies than those covered by the Innovation</w:t>
      </w:r>
      <w:r>
        <w:t xml:space="preserve"> </w:t>
      </w:r>
      <w:r>
        <w:t xml:space="preserve">Fund. By ensuring the energy intensive industries (EIIs) remain on the net-zero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pathway, IDB will also help to limit rising carbon prices. See Annex 9 – Industrial</w:t>
      </w:r>
      <w:r>
        <w:t xml:space="preserve"> </w:t>
      </w:r>
      <w:r>
        <w:t xml:space="preserve">Decarbonisation Bank.</w:t>
      </w:r>
      <w:r>
        <w:t xml:space="preserve"> </w:t>
      </w:r>
      <w:r>
        <w:t xml:space="preserve">• In carbon leakage prevention, the increased availability of free allocation compared</w:t>
      </w:r>
      <w:r>
        <w:t xml:space="preserve"> </w:t>
      </w:r>
      <w:r>
        <w:t xml:space="preserve">to the baseline is expected to have a positive impact on installations. This improves</w:t>
      </w:r>
      <w:r>
        <w:t xml:space="preserve"> </w:t>
      </w:r>
      <w:r>
        <w:t xml:space="preserve">their competitiveness and ability to transition to adapt to a low carbon economy. At the</w:t>
      </w:r>
      <w:r>
        <w:t xml:space="preserve"> </w:t>
      </w:r>
      <w:r>
        <w:t xml:space="preserve">same time, the increased use of conditionality in the preferred option, in both free</w:t>
      </w:r>
      <w:r>
        <w:t xml:space="preserve"> </w:t>
      </w:r>
      <w:r>
        <w:t xml:space="preserve">allocation and indirect cost compensation, implies a moderate increase in the</w:t>
      </w:r>
      <w:r>
        <w:t xml:space="preserve"> </w:t>
      </w:r>
      <w:r>
        <w:t xml:space="preserve">administrative effort needed from the beneficiaries (as they would need to demonstrate</w:t>
      </w:r>
      <w:r>
        <w:t xml:space="preserve"> </w:t>
      </w:r>
      <w:r>
        <w:t xml:space="preserve">decarbonisation investment). See Annex 12 – stationary installations.</w:t>
      </w:r>
      <w:r>
        <w:t xml:space="preserve"> </w:t>
      </w:r>
      <w:r>
        <w:t xml:space="preserve">• In the waste sector, the preferred option implies increased compliance costs related to</w:t>
      </w:r>
      <w:r>
        <w:t xml:space="preserve"> </w:t>
      </w:r>
      <w:r>
        <w:t xml:space="preserve">the allowance surrender obligation for municipal waste incinerators brought into the</w:t>
      </w:r>
      <w:r>
        <w:t xml:space="preserve"> </w:t>
      </w:r>
      <w:r>
        <w:t xml:space="preserve">scope of EU ETS, while compliance costs related to the MRV-system are already in</w:t>
      </w:r>
      <w:r>
        <w:t xml:space="preserve"> </w:t>
      </w:r>
      <w:r>
        <w:t xml:space="preserve">place. On the other hand, the preferred option for Carbon Capture and Utilisation</w:t>
      </w:r>
      <w:r>
        <w:t xml:space="preserve"> </w:t>
      </w:r>
      <w:r>
        <w:t xml:space="preserve">(CCU) will strengthen the business case for this technology by enabling emitters and</w:t>
      </w:r>
      <w:r>
        <w:t xml:space="preserve"> </w:t>
      </w:r>
      <w:r>
        <w:t xml:space="preserve">users of captured carbon to avoid double counting when making use of CO2 that is</w:t>
      </w:r>
      <w:r>
        <w:t xml:space="preserve"> </w:t>
      </w:r>
      <w:r>
        <w:t xml:space="preserve">captured and stored non-permanently. See Annex 13 – new sectors and technologies,</w:t>
      </w:r>
      <w:r>
        <w:t xml:space="preserve"> </w:t>
      </w:r>
      <w:r>
        <w:t xml:space="preserve">waste and CCU.</w:t>
      </w:r>
      <w:r>
        <w:t xml:space="preserve"> </w:t>
      </w:r>
      <w:r>
        <w:t xml:space="preserve">Overall, industries face an increase in certain compliance costs but gain from a more gradual</w:t>
      </w:r>
      <w:r>
        <w:t xml:space="preserve"> </w:t>
      </w:r>
      <w:r>
        <w:t xml:space="preserve">decarbonisation trajectory and free allocation phase-out relative to the baseline, greater policy</w:t>
      </w:r>
      <w:r>
        <w:t xml:space="preserve"> </w:t>
      </w:r>
      <w:r>
        <w:t xml:space="preserve">certainty, targeted innovation support, and a more level playing field for low-carbon</w:t>
      </w:r>
      <w:r>
        <w:t xml:space="preserve"> </w:t>
      </w:r>
      <w:r>
        <w:t xml:space="preserve">investment.</w:t>
      </w:r>
      <w:r>
        <w:t xml:space="preserve"> </w:t>
      </w:r>
      <w:r>
        <w:t xml:space="preserve">1.1.2. Aviation and maritime transport</w:t>
      </w:r>
      <w:r>
        <w:t xml:space="preserve"> </w:t>
      </w:r>
      <w:r>
        <w:t xml:space="preserve">In aviation, the aircraft operators affected by the preferred option are already included in the</w:t>
      </w:r>
      <w:r>
        <w:t xml:space="preserve"> </w:t>
      </w:r>
      <w:r>
        <w:t xml:space="preserve">EU ETS and remain the main regulated entities. The preferred option proposes the appropriate</w:t>
      </w:r>
      <w:r>
        <w:t xml:space="preserve"> </w:t>
      </w:r>
      <w:r>
        <w:t xml:space="preserve">inclusion of a larger share of emissions (from all outgoing flights). Therefore, administrative</w:t>
      </w:r>
      <w:r>
        <w:t xml:space="preserve"> </w:t>
      </w:r>
      <w:r>
        <w:t xml:space="preserve">costs will not increase for operators, as the amount of action varies, but the tools remain</w:t>
      </w:r>
      <w:r>
        <w:t xml:space="preserve"> </w:t>
      </w:r>
      <w:r>
        <w:t xml:space="preserve">unchanged. Furthermore, the same pool of aircraft operators must comply with EU ETS and</w:t>
      </w:r>
      <w:r>
        <w:t xml:space="preserve"> </w:t>
      </w:r>
      <w:r>
        <w:t xml:space="preserve">CORSIA resulting in low differences of administrative efforts. At the same time, the EU ETS</w:t>
      </w:r>
      <w:r>
        <w:t xml:space="preserve"> </w:t>
      </w:r>
      <w:r>
        <w:t xml:space="preserve">would be extended to include private and business jets. Newly covered aircraft operators will</w:t>
      </w:r>
      <w:r>
        <w:t xml:space="preserve"> </w:t>
      </w:r>
      <w:r>
        <w:t xml:space="preserve">benefit from considerable administrative simplification, and low activity operators already</w:t>
      </w:r>
      <w:r>
        <w:t xml:space="preserve"> </w:t>
      </w:r>
      <w:r>
        <w:t xml:space="preserve">covered from further simplification, which would result in mitigated increased administrative</w:t>
      </w:r>
      <w:r>
        <w:t xml:space="preserve"> </w:t>
      </w:r>
      <w:r>
        <w:t xml:space="preserve">costs. Furthermore, compliance costs are lower in the preferred option compared to the baseline</w:t>
      </w:r>
      <w:r>
        <w:t xml:space="preserve"> </w:t>
      </w:r>
      <w:r>
        <w:t xml:space="preserve">and are mostly channelled back towards climate action.</w:t>
      </w:r>
      <w:r>
        <w:br/>
      </w:r>
      <w:r>
        <w:t xml:space="preserve">Maritime transport operators already covered by the EU ETS, in particular shipping companies</w:t>
      </w:r>
      <w:r>
        <w:t xml:space="preserve"> </w:t>
      </w:r>
      <w:r>
        <w:t xml:space="preserve">operating large vessels, remain the main regulated entities. All shipping companies will receive</w:t>
      </w:r>
      <w:r>
        <w:t xml:space="preserve"> </w:t>
      </w:r>
      <w:r>
        <w:t xml:space="preserve">the opportunity of support for their decarbonisation efforts (in terms of fuels and technologies)</w:t>
      </w:r>
      <w:r>
        <w:t xml:space="preserve"> </w:t>
      </w:r>
      <w:r>
        <w:t xml:space="preserve">by recycling part of the allowances back to them. From a competitiveness perspective, the</w:t>
      </w:r>
      <w:r>
        <w:t xml:space="preserve"> </w:t>
      </w:r>
      <w:r>
        <w:t xml:space="preserve">preferred options strengthen anti-evasion provisions related to container transhipment,</w:t>
      </w:r>
      <w:r>
        <w:t xml:space="preserve"> </w:t>
      </w:r>
      <w:r>
        <w:t xml:space="preserve">reducing incentives to relocate activities outside the EU and supporting the competitiveness</w:t>
      </w:r>
      <w:r>
        <w:t xml:space="preserve"> </w:t>
      </w:r>
      <w:r>
        <w:t xml:space="preserve">and connectivity of EU ports, support a level playing field for operators of vessels involved in</w:t>
      </w:r>
      <w:r>
        <w:t xml:space="preserve"> </w:t>
      </w:r>
      <w:r>
        <w:t xml:space="preserve">offshore activities. The administrative cost for shipping companies will be reduced by the</w:t>
      </w:r>
      <w:r>
        <w:t xml:space="preserve"> </w:t>
      </w:r>
      <w:r>
        <w:t xml:space="preserve">simplification measures included under the preferred options aiming at aligning requirements</w:t>
      </w:r>
      <w:r>
        <w:t xml:space="preserve"> </w:t>
      </w:r>
      <w:r>
        <w:t xml:space="preserve">across regulatory frameworks, reducing duplications and streamlining compliance processes.</w:t>
      </w:r>
      <w:r>
        <w:t xml:space="preserve"> </w:t>
      </w:r>
      <w:r>
        <w:t xml:space="preserve">Furthermore, the obligations of shipping companies under EU ETS will be reduced by</w:t>
      </w:r>
      <w:r>
        <w:t xml:space="preserve"> </w:t>
      </w:r>
      <w:r>
        <w:t xml:space="preserve">deducting emissions effectively priced by a global measure under IMO, once in place. At the</w:t>
      </w:r>
      <w:r>
        <w:t xml:space="preserve"> </w:t>
      </w:r>
      <w:r>
        <w:t xml:space="preserve">same time the EU ETS would be extended to a limited share of smaller vessels, broadening the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regulatory coverage of the maritime sector to smaller ships. This will lead to exposure of more</w:t>
      </w:r>
      <w:r>
        <w:t xml:space="preserve"> </w:t>
      </w:r>
      <w:r>
        <w:t xml:space="preserve">shipping companies to a carbon price signal under EU ETS, providing predictability for</w:t>
      </w:r>
      <w:r>
        <w:t xml:space="preserve"> </w:t>
      </w:r>
      <w:r>
        <w:t xml:space="preserve">investment and operational planning. The extension of the EU ETS to some categories of</w:t>
      </w:r>
      <w:r>
        <w:t xml:space="preserve"> </w:t>
      </w:r>
      <w:r>
        <w:t xml:space="preserve">smaller vessels leads to higher administrative costs for companies operating those vessels,</w:t>
      </w:r>
      <w:r>
        <w:t xml:space="preserve"> </w:t>
      </w:r>
      <w:r>
        <w:t xml:space="preserve">linked to compliance with the MRV and ETS requirements. However, some of the additional</w:t>
      </w:r>
      <w:r>
        <w:t xml:space="preserve"> </w:t>
      </w:r>
      <w:r>
        <w:t xml:space="preserve">costs are expected to be passed on to users of maritime transport, with limited indirect effects</w:t>
      </w:r>
      <w:r>
        <w:t xml:space="preserve"> </w:t>
      </w:r>
      <w:r>
        <w:t xml:space="preserve">on trade and transport demand. Overall, the preferred option entails proportionate compliance</w:t>
      </w:r>
      <w:r>
        <w:t xml:space="preserve"> </w:t>
      </w:r>
      <w:r>
        <w:t xml:space="preserve">costs while providing greater regulatory coherence, a gradual decarbonisation pathway and</w:t>
      </w:r>
      <w:r>
        <w:t xml:space="preserve"> </w:t>
      </w:r>
      <w:r>
        <w:t xml:space="preserve">safeguards against competitive distortion</w:t>
      </w:r>
      <w:r>
        <w:t xml:space="preserve"> </w:t>
      </w:r>
      <w:r>
        <w:t xml:space="preserve">1.2. Effects on other stakeholders</w:t>
      </w:r>
      <w:r>
        <w:t xml:space="preserve"> </w:t>
      </w:r>
      <w:r>
        <w:t xml:space="preserve">1.2.1. SMEs</w:t>
      </w:r>
      <w:r>
        <w:t xml:space="preserve"> </w:t>
      </w:r>
      <w:r>
        <w:t xml:space="preserve">SMEs within the EU ETS scope will be subject to the same requirements as large organisations,</w:t>
      </w:r>
      <w:r>
        <w:t xml:space="preserve"> </w:t>
      </w:r>
      <w:r>
        <w:t xml:space="preserve">although the ETS covers predominantly larger installations (due to thermal capacity thresholds)</w:t>
      </w:r>
      <w:r>
        <w:t xml:space="preserve"> </w:t>
      </w:r>
      <w:r>
        <w:t xml:space="preserve">and larger firms, as measured by the traditional SME metrics of turnover and number of</w:t>
      </w:r>
      <w:r>
        <w:t xml:space="preserve"> </w:t>
      </w:r>
      <w:r>
        <w:t xml:space="preserve">employees (see Annex 6: SME Check). SMEs regulated by the EU ETS can benefit from</w:t>
      </w:r>
      <w:r>
        <w:t xml:space="preserve"> </w:t>
      </w:r>
      <w:r>
        <w:t xml:space="preserve">simplified rules for small emitters, such as standardised and simplified monitoring rules.</w:t>
      </w:r>
      <w:r>
        <w:t xml:space="preserve"> </w:t>
      </w:r>
      <w:r>
        <w:t xml:space="preserve">Moreover, provisions on carbon leakage will be conceived to offer proportional treatment to</w:t>
      </w:r>
      <w:r>
        <w:t xml:space="preserve"> </w:t>
      </w:r>
      <w:r>
        <w:t xml:space="preserve">SMEs: simplified forms of conditionality for free allocation or potential derogations for eligible</w:t>
      </w:r>
      <w:r>
        <w:t xml:space="preserve"> </w:t>
      </w:r>
      <w:r>
        <w:t xml:space="preserve">SMEs. In addition, low emitters continue to benefit from technical guidance and simplified</w:t>
      </w:r>
      <w:r>
        <w:t xml:space="preserve"> </w:t>
      </w:r>
      <w:r>
        <w:t xml:space="preserve">monitoring, reporting and verification rules. Micro-enterprises remain largely outside the ETS</w:t>
      </w:r>
      <w:r>
        <w:t xml:space="preserve"> </w:t>
      </w:r>
      <w:r>
        <w:t xml:space="preserve">coverage.</w:t>
      </w:r>
      <w:r>
        <w:br/>
      </w:r>
      <w:r>
        <w:t xml:space="preserve">SMEs that are not directly covered by EU ETS might be affected indirectly by carbon cost pass</w:t>
      </w:r>
      <w:r>
        <w:t xml:space="preserve"> </w:t>
      </w:r>
      <w:r>
        <w:t xml:space="preserve">through, though this effect is moderated by the measures such as the more gradual reduction</w:t>
      </w:r>
      <w:r>
        <w:t xml:space="preserve"> </w:t>
      </w:r>
      <w:r>
        <w:t xml:space="preserve">of the emissions cap and reform of the Market Stability Reserve. Furthermore, predictable</w:t>
      </w:r>
      <w:r>
        <w:t xml:space="preserve"> </w:t>
      </w:r>
      <w:r>
        <w:t xml:space="preserve">carbon pricing and available innovation funding limit the negative impact on competitiveness.</w:t>
      </w:r>
      <w:r>
        <w:t xml:space="preserve"> </w:t>
      </w:r>
      <w:r>
        <w:t xml:space="preserve">Indirect cost effects of scope expansion, such as changes in waste management or energy</w:t>
      </w:r>
      <w:r>
        <w:t xml:space="preserve"> </w:t>
      </w:r>
      <w:r>
        <w:t xml:space="preserve">prices, are expected to be minimal. In the aviation sector, in most EU member states, large</w:t>
      </w:r>
      <w:r>
        <w:t xml:space="preserve"> </w:t>
      </w:r>
      <w:r>
        <w:t xml:space="preserve">enterprises own the majority of aircraft operators, resulting in a small number of SMEs affected</w:t>
      </w:r>
      <w:r>
        <w:t xml:space="preserve"> </w:t>
      </w:r>
      <w:r>
        <w:t xml:space="preserve">by the preferred option.</w:t>
      </w:r>
      <w:r>
        <w:t xml:space="preserve"> </w:t>
      </w:r>
      <w:r>
        <w:t xml:space="preserve">Maritime SMEs, with small market power, may experience limited cost pass-through</w:t>
      </w:r>
      <w:r>
        <w:t xml:space="preserve"> </w:t>
      </w:r>
      <w:r>
        <w:t xml:space="preserve">possibility, but the gradual carbon price trajectory and access to maritime-relevant innovation</w:t>
      </w:r>
      <w:r>
        <w:t xml:space="preserve"> </w:t>
      </w:r>
      <w:r>
        <w:t xml:space="preserve">support are expected to limit the impacts on competitiveness. Very small maritime operators</w:t>
      </w:r>
      <w:r>
        <w:t xml:space="preserve"> </w:t>
      </w:r>
      <w:r>
        <w:t xml:space="preserve">are expected to remain largely outside the ETS scope, as the preferred option does not foresee</w:t>
      </w:r>
      <w:r>
        <w:t xml:space="preserve"> </w:t>
      </w:r>
      <w:r>
        <w:t xml:space="preserve">the inclusion of any type of vessel below 400 gross tonnage. Any indirect effects, such as price</w:t>
      </w:r>
      <w:r>
        <w:t xml:space="preserve"> </w:t>
      </w:r>
      <w:r>
        <w:t xml:space="preserve">changes along the supply chain, are expected to be minimal. While the IDB will mostly target</w:t>
      </w:r>
      <w:r>
        <w:t xml:space="preserve"> </w:t>
      </w:r>
      <w:r>
        <w:t xml:space="preserve">large-scale industrial decarbonisation projects, it could also provide support to smaller projects,</w:t>
      </w:r>
      <w:r>
        <w:t xml:space="preserve"> </w:t>
      </w:r>
      <w:r>
        <w:t xml:space="preserve">especially via the operation of administrative schemes that would offer simplified funding for</w:t>
      </w:r>
      <w:r>
        <w:t xml:space="preserve"> </w:t>
      </w:r>
      <w:r>
        <w:t xml:space="preserve">smaller projects. Building on the experience of the Innovation Fund and national support</w:t>
      </w:r>
      <w:r>
        <w:t xml:space="preserve"> </w:t>
      </w:r>
      <w:r>
        <w:t xml:space="preserve">schemes, a dedicated support for the SMEs could be operationalised under the IDB.</w:t>
      </w:r>
      <w:r>
        <w:t xml:space="preserve"> </w:t>
      </w:r>
      <w:r>
        <w:t xml:space="preserve">1.2.2. Public authorities</w:t>
      </w:r>
      <w:r>
        <w:t xml:space="preserve"> </w:t>
      </w:r>
      <w:r>
        <w:t xml:space="preserve">Public authorities at the EU, national, and local levels play a key role in implementation and</w:t>
      </w:r>
      <w:r>
        <w:t xml:space="preserve"> </w:t>
      </w:r>
      <w:r>
        <w:t xml:space="preserve">oversight.</w:t>
      </w:r>
      <w:r>
        <w:t xml:space="preserve"> </w:t>
      </w:r>
      <w:r>
        <w:t xml:space="preserve">• National competent authorities will expand ETS administrative systems to include new</w:t>
      </w:r>
      <w:r>
        <w:t xml:space="preserve"> </w:t>
      </w:r>
      <w:r>
        <w:t xml:space="preserve">operators (waste, CCU), to administer additional shipping companies and aircraft</w:t>
      </w:r>
      <w:r>
        <w:t xml:space="preserve"> </w:t>
      </w:r>
      <w:r>
        <w:t xml:space="preserve">operators following extension to cover smaller vessels and business and private jets,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update permitting and MRV procedures, and oversee verification of climate-neutral</w:t>
      </w:r>
      <w:r>
        <w:t xml:space="preserve"> </w:t>
      </w:r>
      <w:r>
        <w:t xml:space="preserve">investment plans for conditional free allocation</w:t>
      </w:r>
      <w:r>
        <w:t xml:space="preserve"> </w:t>
      </w:r>
      <w:r>
        <w:t xml:space="preserve">• EU institutions will update or develop harmonised MRV methodologies for the waste</w:t>
      </w:r>
      <w:r>
        <w:t xml:space="preserve"> </w:t>
      </w:r>
      <w:r>
        <w:t xml:space="preserve">sector and CCU and, where necessary, for carbon removal, update registry</w:t>
      </w:r>
      <w:r>
        <w:t xml:space="preserve"> </w:t>
      </w:r>
      <w:r>
        <w:t xml:space="preserve">infrastructure, and adapt MSR parameters.</w:t>
      </w:r>
      <w:r>
        <w:t xml:space="preserve"> </w:t>
      </w:r>
      <w:r>
        <w:t xml:space="preserve">• EU institutions will establish a purchasing programme for carbon removal.</w:t>
      </w:r>
      <w:r>
        <w:t xml:space="preserve"> </w:t>
      </w:r>
      <w:r>
        <w:t xml:space="preserve">• EU institutions will modify the rules for prevention of carbon leakage (allocation of</w:t>
      </w:r>
      <w:r>
        <w:t xml:space="preserve"> </w:t>
      </w:r>
      <w:r>
        <w:t xml:space="preserve">free allowances and indirect cost compensation). National competent authorities will</w:t>
      </w:r>
      <w:r>
        <w:t xml:space="preserve"> </w:t>
      </w:r>
      <w:r>
        <w:t xml:space="preserve">implement these rules. Reduction in administrative burden is expected since the carbon</w:t>
      </w:r>
      <w:r>
        <w:t xml:space="preserve"> </w:t>
      </w:r>
      <w:r>
        <w:t xml:space="preserve">leakage list will not be updated for Phase V and the formula for determining free</w:t>
      </w:r>
      <w:r>
        <w:t xml:space="preserve"> </w:t>
      </w:r>
      <w:r>
        <w:t xml:space="preserve">allocation will no longer include the carbon leakage exposure factor. However, the</w:t>
      </w:r>
      <w:r>
        <w:t xml:space="preserve"> </w:t>
      </w:r>
      <w:r>
        <w:t xml:space="preserve">extension of conditionalities for free allocation under PO2 would introduce new</w:t>
      </w:r>
      <w:r>
        <w:t xml:space="preserve"> </w:t>
      </w:r>
      <w:r>
        <w:t xml:space="preserve">administrative requirements.</w:t>
      </w:r>
      <w:r>
        <w:br/>
      </w:r>
      <w:r>
        <w:t xml:space="preserve">• For the main policy options analysed, the funding mechanisms of the IDB will be</w:t>
      </w:r>
      <w:r>
        <w:t xml:space="preserve"> </w:t>
      </w:r>
      <w:r>
        <w:t xml:space="preserve">developed on the EU level, so there should not be an additional effort for national</w:t>
      </w:r>
      <w:r>
        <w:t xml:space="preserve"> </w:t>
      </w:r>
      <w:r>
        <w:t xml:space="preserve">authorities. In addition, IDB could have ‘as-a-service’ feature that enables Member</w:t>
      </w:r>
      <w:r>
        <w:t xml:space="preserve"> </w:t>
      </w:r>
      <w:r>
        <w:t xml:space="preserve">States to channel State aid through IDB and thus reduces administrative burden of</w:t>
      </w:r>
      <w:r>
        <w:t xml:space="preserve"> </w:t>
      </w:r>
      <w:r>
        <w:t xml:space="preserve">developing national support schemes.</w:t>
      </w:r>
      <w:r>
        <w:br/>
      </w:r>
      <w:r>
        <w:t xml:space="preserve">• The beneficiary Member States are responsible for the implementation of the</w:t>
      </w:r>
      <w:r>
        <w:t xml:space="preserve"> </w:t>
      </w:r>
      <w:r>
        <w:t xml:space="preserve">Modernisation Fund, and the appropriate legal and procedural structure is already in</w:t>
      </w:r>
      <w:r>
        <w:t xml:space="preserve"> </w:t>
      </w:r>
      <w:r>
        <w:t xml:space="preserve">place.</w:t>
      </w:r>
      <w:r>
        <w:br/>
      </w:r>
      <w:r>
        <w:t xml:space="preserve">• Waste disposal authorities, including local and regional authorities, may need to adjust</w:t>
      </w:r>
      <w:r>
        <w:t xml:space="preserve"> </w:t>
      </w:r>
      <w:r>
        <w:t xml:space="preserve">waste management contracts as ETS compliance costs are incurred by waste</w:t>
      </w:r>
      <w:r>
        <w:t xml:space="preserve"> </w:t>
      </w:r>
      <w:r>
        <w:t xml:space="preserve">incineration operators and passed on to waste disposal authorities.</w:t>
      </w:r>
      <w:r>
        <w:t xml:space="preserve"> </w:t>
      </w:r>
      <w:r>
        <w:t xml:space="preserve">1.2.3. Citizens</w:t>
      </w:r>
      <w:r>
        <w:t xml:space="preserve"> </w:t>
      </w:r>
      <w:r>
        <w:t xml:space="preserve">Citizens are indirectly affected because environmental, health, and economic aspects are at</w:t>
      </w:r>
      <w:r>
        <w:t xml:space="preserve"> </w:t>
      </w:r>
      <w:r>
        <w:t xml:space="preserve">stake. The inclusion of municipal waste incineration (MWI) contributes to the reduction of air-</w:t>
      </w:r>
      <w:r>
        <w:t xml:space="preserve"> </w:t>
      </w:r>
      <w:r>
        <w:t xml:space="preserve">pollutant emissions, especially in urban areas. This improvement is accelerated, compared to</w:t>
      </w:r>
      <w:r>
        <w:t xml:space="preserve"> </w:t>
      </w:r>
      <w:r>
        <w:t xml:space="preserve">the baseline, due to carbon price signal incentivising waste reduction and diversion to recycling</w:t>
      </w:r>
      <w:r>
        <w:t xml:space="preserve"> </w:t>
      </w:r>
      <w:r>
        <w:t xml:space="preserve">at source. From an economic point of view, citizens should be positively affected due to more</w:t>
      </w:r>
      <w:r>
        <w:t xml:space="preserve"> </w:t>
      </w:r>
      <w:r>
        <w:t xml:space="preserve">limited cost pass through in electricity and industrial prices associated with the more gradual</w:t>
      </w:r>
      <w:r>
        <w:t xml:space="preserve"> </w:t>
      </w:r>
      <w:r>
        <w:t xml:space="preserve">trajectory and decarbonisation investments facilitated by the Industrial Decarbonisation Bank.</w:t>
      </w:r>
      <w:r>
        <w:t xml:space="preserve"> </w:t>
      </w:r>
      <w:r>
        <w:t xml:space="preserve">They may be negatively affected by the pass-through of costs associated with waste</w:t>
      </w:r>
      <w:r>
        <w:t xml:space="preserve"> </w:t>
      </w:r>
      <w:r>
        <w:t xml:space="preserve">incineration, however this impact is expected to remain manageable. Citizens may benefit from</w:t>
      </w:r>
      <w:r>
        <w:t xml:space="preserve"> </w:t>
      </w:r>
      <w:r>
        <w:t xml:space="preserve">increased employment compared to the baseline as new workplaces in decarbonised industrial</w:t>
      </w:r>
      <w:r>
        <w:t xml:space="preserve"> </w:t>
      </w:r>
      <w:r>
        <w:t xml:space="preserve">installations can offset the workplaces lost in fossil-fuels based industries. In the long-term, the</w:t>
      </w:r>
      <w:r>
        <w:t xml:space="preserve"> </w:t>
      </w:r>
      <w:r>
        <w:t xml:space="preserve">issue of employment is directly linked to the viability of industrial production in Europe. With</w:t>
      </w:r>
      <w:r>
        <w:t xml:space="preserve"> </w:t>
      </w:r>
      <w:r>
        <w:t xml:space="preserve">this in mind, the preferred option aims to contribute to achieving the EU’s climate neutrality</w:t>
      </w:r>
      <w:r>
        <w:t xml:space="preserve"> </w:t>
      </w:r>
      <w:r>
        <w:t xml:space="preserve">objective, while striking the balance between maintaining carbon price exposure that increases</w:t>
      </w:r>
      <w:r>
        <w:t xml:space="preserve"> </w:t>
      </w:r>
      <w:r>
        <w:t xml:space="preserve">gradually over time, and providing sufficient auction revenues for supporting industrial</w:t>
      </w:r>
      <w:r>
        <w:t xml:space="preserve"> </w:t>
      </w:r>
      <w:r>
        <w:t xml:space="preserve">decarbonisation investments and mitigating distributional impacts.</w:t>
      </w:r>
      <w:r>
        <w:t xml:space="preserve"> </w:t>
      </w:r>
      <w:r>
        <w:t xml:space="preserve">In aviation, the effect of the preferred policy option on air travel and employment is expected</w:t>
      </w:r>
      <w:r>
        <w:t xml:space="preserve"> </w:t>
      </w:r>
      <w:r>
        <w:t xml:space="preserve">to be limited but positive compared to the baseline. Without use of sustainable aviation fuels,</w:t>
      </w:r>
      <w:r>
        <w:t xml:space="preserve"> </w:t>
      </w:r>
      <w:r>
        <w:t xml:space="preserve">aviation emissions in EEA countries are expected to increase. With support for the uptake of</w:t>
      </w:r>
      <w:r>
        <w:t xml:space="preserve"> </w:t>
      </w:r>
      <w:r>
        <w:t xml:space="preserve">aviation fuels, citizens may benefit from improved air quality and creation of jobs.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In the maritime sector, the preferred policy option is expected to deliver a positive</w:t>
      </w:r>
      <w:r>
        <w:t xml:space="preserve"> </w:t>
      </w:r>
      <w:r>
        <w:t xml:space="preserve">environmental and climate impact, primarily through the reduction of GHG and air pollutant</w:t>
      </w:r>
      <w:r>
        <w:t xml:space="preserve"> </w:t>
      </w:r>
      <w:r>
        <w:t xml:space="preserve">emissions. These measures will contribute not only to climate mitigation objectives but also to</w:t>
      </w:r>
      <w:r>
        <w:t xml:space="preserve"> </w:t>
      </w:r>
      <w:r>
        <w:t xml:space="preserve">improved air quality and thereby creating public health benefits for citizens particularly in</w:t>
      </w:r>
      <w:r>
        <w:t xml:space="preserve"> </w:t>
      </w:r>
      <w:r>
        <w:t xml:space="preserve">coastal and port areas. Regarding economic impacts, further mitigating the transhipment</w:t>
      </w:r>
      <w:r>
        <w:t xml:space="preserve"> </w:t>
      </w:r>
      <w:r>
        <w:t xml:space="preserve">relocation risks, the wider social impacts of possible transhipment relocation for EU ports and</w:t>
      </w:r>
      <w:r>
        <w:t xml:space="preserve"> </w:t>
      </w:r>
      <w:r>
        <w:t xml:space="preserve">their hinterlands are likely to be reduced. The inclusion of some types of smaller vessels within</w:t>
      </w:r>
      <w:r>
        <w:t xml:space="preserve"> </w:t>
      </w:r>
      <w:r>
        <w:t xml:space="preserve">the scope of the EU ETS may lead to limited indirect impacts on shipping costs and</w:t>
      </w:r>
      <w:r>
        <w:t xml:space="preserve"> </w:t>
      </w:r>
      <w:r>
        <w:t xml:space="preserve">employment. However, these impacts are expected to remain negligible and are likely to be</w:t>
      </w:r>
      <w:r>
        <w:t xml:space="preserve"> </w:t>
      </w:r>
      <w:r>
        <w:t xml:space="preserve">offset by efficiency gains and cost reductions stemming from the promotion of innovation and</w:t>
      </w:r>
      <w:r>
        <w:t xml:space="preserve"> </w:t>
      </w:r>
      <w:r>
        <w:t xml:space="preserve">uptake of cleaned technologies including electrification.</w:t>
      </w:r>
      <w:r>
        <w:br/>
      </w:r>
      <w:r>
        <w:t xml:space="preserve">2. SUMMARY OF COSTS AND BENEFITS</w:t>
      </w:r>
      <w:r>
        <w:t xml:space="preserve"> </w:t>
      </w:r>
      <w:r>
        <w:t xml:space="preserve">The preferred policy option consists of a combination of policy measures, identified in Section</w:t>
      </w:r>
      <w:r>
        <w:t xml:space="preserve"> </w:t>
      </w:r>
      <w:r>
        <w:t xml:space="preserve">8.1 of the main impact assessment report, which are considered to be the optimal choice,</w:t>
      </w:r>
      <w:r>
        <w:t xml:space="preserve"> </w:t>
      </w:r>
      <w:r>
        <w:t xml:space="preserve">individually and collectively, for revising EU ETS.</w:t>
      </w:r>
      <w:r>
        <w:br/>
      </w:r>
      <w:r>
        <w:t xml:space="preserve">Taken as a whole, the preferred option is designed to strengthen the environmental</w:t>
      </w:r>
      <w:r>
        <w:t xml:space="preserve"> </w:t>
      </w:r>
      <w:r>
        <w:t xml:space="preserve">effectiveness of the system while maintaining proportionality, regulatory stability, and fairness</w:t>
      </w:r>
      <w:r>
        <w:t xml:space="preserve"> </w:t>
      </w:r>
      <w:r>
        <w:t xml:space="preserve">across sectors, and safeguarding competitiveness.</w:t>
      </w:r>
      <w:r>
        <w:br/>
      </w:r>
      <w:r>
        <w:t xml:space="preserve">A quantitative comparison of the costs and benefits of the policy options, per theme, is provided</w:t>
      </w:r>
      <w:r>
        <w:t xml:space="preserve"> </w:t>
      </w:r>
      <w:r>
        <w:t xml:space="preserve">in Section 7.2 of the main report (on efficiency).</w:t>
      </w:r>
      <w:r>
        <w:t xml:space="preserve"> </w:t>
      </w:r>
      <w:r>
        <w:t xml:space="preserve">The tables below identify the key benefits and costs of the measures under the preferred option,</w:t>
      </w:r>
      <w:r>
        <w:t xml:space="preserve"> </w:t>
      </w:r>
      <w:r>
        <w:t xml:space="preserve">and the affected stakeholders. They are presented at the level of individual measures in order</w:t>
      </w:r>
      <w:r>
        <w:t xml:space="preserve"> </w:t>
      </w:r>
      <w:r>
        <w:t xml:space="preserve">to display the relationship between each measure and its cost/ benefit impacts transparently.</w:t>
      </w:r>
      <w:r>
        <w:t xml:space="preserve"> </w:t>
      </w:r>
      <w:r>
        <w:t xml:space="preserve">In line with the principle of proportionality and burden minimisation, the One in One out table</w:t>
      </w:r>
      <w:r>
        <w:t xml:space="preserve"> </w:t>
      </w:r>
      <w:r>
        <w:t xml:space="preserve">is compiled, outlining the new administrative burden and the ones that have been removed.</w:t>
      </w:r>
      <w:r>
        <w:t xml:space="preserve"> </w:t>
      </w:r>
      <w:r>
        <w:t xml:space="preserve">Finally, this section provides an overview of the key Sustainable Development Goals (SDGs)</w:t>
      </w:r>
      <w:r>
        <w:t xml:space="preserve"> </w:t>
      </w:r>
      <w:r>
        <w:t xml:space="preserve">addressed by the proposed intervention.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2.1. Overview of benefits – preferred option</w:t>
      </w:r>
      <w:r>
        <w:t xml:space="preserve"> </w:t>
      </w:r>
      <w:r>
        <w:t xml:space="preserve">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Environmental benefits (See Section 6.1 of impact assessment)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</w:t>
      </w:r>
      <w:r>
        <w:t xml:space="preserve"> </w:t>
      </w:r>
      <w:r>
        <w:t xml:space="preserve">Achieves 85% emission reduction by 2040 (~-62% by</w:t>
      </w:r>
      <w:r>
        <w:t xml:space="preserve"> </w:t>
      </w:r>
      <w:r>
        <w:t xml:space="preserve">2030 compared to 2005 levels) (6.1.1.1).</w:t>
      </w:r>
      <w:r>
        <w:t xml:space="preserve"> </w:t>
      </w:r>
      <w:r>
        <w:t xml:space="preserve">The preferred option for MSR is expected to deliver a</w:t>
      </w:r>
      <w:r>
        <w:t xml:space="preserve"> </w:t>
      </w:r>
      <w:r>
        <w:t xml:space="preserve">slightly lower cumulative emissions comparatively with</w:t>
      </w:r>
      <w:r>
        <w:t xml:space="preserve"> </w:t>
      </w:r>
      <w:r>
        <w:t xml:space="preserve">other options whilst maintaining better economic</w:t>
      </w:r>
      <w:r>
        <w:t xml:space="preserve"> </w:t>
      </w:r>
      <w:r>
        <w:t xml:space="preserve">performance (6.1.1.3)</w:t>
      </w:r>
      <w:r>
        <w:t xml:space="preserve"> </w:t>
      </w:r>
      <w:r>
        <w:t xml:space="preserve">Regarding carbon removal, the preferred option is</w:t>
      </w:r>
      <w:r>
        <w:t xml:space="preserve"> </w:t>
      </w:r>
      <w:r>
        <w:t xml:space="preserve">expected to lead to 175-330 MtCO2 removal through a</w:t>
      </w:r>
      <w:r>
        <w:t xml:space="preserve"> </w:t>
      </w:r>
      <w:r>
        <w:t xml:space="preserve">public purchasing programme (6.1.1.2).</w:t>
      </w:r>
      <w:r>
        <w:t xml:space="preserve"> </w:t>
      </w:r>
      <w:r>
        <w:t xml:space="preserve">Including emissions from municipal waste incineration</w:t>
      </w:r>
      <w:r>
        <w:t xml:space="preserve"> </w:t>
      </w:r>
      <w:r>
        <w:t xml:space="preserve">in the ETS is expected to reduce cumulative emissions</w:t>
      </w:r>
      <w:r>
        <w:t xml:space="preserve"> </w:t>
      </w:r>
      <w:r>
        <w:t xml:space="preserve">from municipal waste incineration by –53 MtCO2 or -</w:t>
      </w:r>
      <w:r>
        <w:t xml:space="preserve"> </w:t>
      </w:r>
      <w:r>
        <w:t xml:space="preserve">22% over 2031-40 compared to the baseline (6.1.1.8).</w:t>
      </w:r>
      <w:r>
        <w:br/>
      </w:r>
      <w:r>
        <w:t xml:space="preserve">The Modernisation Fund is expected to continue</w:t>
      </w:r>
      <w:r>
        <w:t xml:space="preserve"> </w:t>
      </w:r>
      <w:r>
        <w:t xml:space="preserve">delivering annual emission reductions of around 85</w:t>
      </w:r>
      <w:r>
        <w:t xml:space="preserve"> </w:t>
      </w:r>
      <w:r>
        <w:t xml:space="preserve">MtCO2e (6.1.1.4). Actual GHG emissions reductions</w:t>
      </w:r>
      <w:r>
        <w:t xml:space="preserve"> </w:t>
      </w:r>
      <w:r>
        <w:t xml:space="preserve">will depend on what sectors Member States decide to</w:t>
      </w:r>
      <w:r>
        <w:t xml:space="preserve"> </w:t>
      </w:r>
      <w:r>
        <w:t xml:space="preserve">spend their envelope.</w:t>
      </w:r>
      <w:r>
        <w:br/>
      </w:r>
      <w:r>
        <w:t xml:space="preserve">The IDB can deliver over 1,630 Mt of CO2 abatement</w:t>
      </w:r>
      <w:r>
        <w:t xml:space="preserve"> </w:t>
      </w:r>
      <w:r>
        <w:t xml:space="preserve">(over 10 years of operation of the awarded projects) and</w:t>
      </w:r>
      <w:r>
        <w:t xml:space="preserve"> </w:t>
      </w:r>
      <w:r>
        <w:t xml:space="preserve">thus address large share of the emissions in the EII</w:t>
      </w:r>
      <w:r>
        <w:t xml:space="preserve"> </w:t>
      </w:r>
      <w:r>
        <w:t xml:space="preserve">sectors.</w:t>
      </w:r>
      <w:r>
        <w:t xml:space="preserve"> </w:t>
      </w:r>
      <w:r>
        <w:t xml:space="preserve">Main beneficiary: society at large.</w:t>
      </w:r>
    </w:p>
    <w:p>
      <w:pPr>
        <w:pStyle w:val="BodyText"/>
      </w:pPr>
      <w:r>
        <w:t xml:space="preserve">Driven by declining emissions in line with ETS contribution to</w:t>
      </w:r>
      <w:r>
        <w:t xml:space="preserve"> </w:t>
      </w:r>
      <w:r>
        <w:t xml:space="preserve">economy-wide climate target.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In aviation, greater uptake of sustainable aviation fuel is</w:t>
      </w:r>
      <w:r>
        <w:t xml:space="preserve"> </w:t>
      </w:r>
      <w:r>
        <w:t xml:space="preserve">expected to reduce emissions covered by ETS allowances</w:t>
      </w:r>
      <w:r>
        <w:t xml:space="preserve"> </w:t>
      </w:r>
      <w:r>
        <w:t xml:space="preserve">by 131 MtCO2 (6.1.1.5).</w:t>
      </w:r>
      <w:r>
        <w:t xml:space="preserve"> </w:t>
      </w:r>
      <w:r>
        <w:t xml:space="preserve">In maritime, extending the ETS scope to smaller vessels</w:t>
      </w:r>
      <w:r>
        <w:t xml:space="preserve"> </w:t>
      </w:r>
      <w:r>
        <w:t xml:space="preserve">reduces cumulative emissions by around 5% over 2030-</w:t>
      </w:r>
      <w:r>
        <w:t xml:space="preserve"> </w:t>
      </w:r>
      <w:r>
        <w:t xml:space="preserve">2050, compared to the baseline (6.1.1.6). Uptake of</w:t>
      </w:r>
      <w:r>
        <w:t xml:space="preserve"> </w:t>
      </w:r>
      <w:r>
        <w:t xml:space="preserve">renewable fuels increases by 2-3% in 2040 and 5-6% in</w:t>
      </w:r>
      <w:r>
        <w:t xml:space="preserve"> </w:t>
      </w:r>
      <w:r>
        <w:t xml:space="preserve">2050 (6.2.3.5).</w:t>
      </w:r>
      <w:r>
        <w:t xml:space="preserve"> </w:t>
      </w:r>
      <w:r>
        <w:t xml:space="preserve">Incentivising innovative</w:t>
      </w:r>
      <w:r>
        <w:t xml:space="preserve"> </w:t>
      </w:r>
      <w:r>
        <w:t xml:space="preserve">forms</w:t>
      </w:r>
      <w:r>
        <w:t xml:space="preserve"> </w:t>
      </w:r>
      <w:r>
        <w:t xml:space="preserve">of</w:t>
      </w:r>
      <w:r>
        <w:t xml:space="preserve"> </w:t>
      </w:r>
      <w:r>
        <w:t xml:space="preserve">decarbonisation</w:t>
      </w:r>
      <w:r>
        <w:t xml:space="preserve"> </w:t>
      </w:r>
      <w:r>
        <w:t xml:space="preserve">The technologies of Carbon Removal (6.1.1.1) and</w:t>
      </w:r>
      <w:r>
        <w:t xml:space="preserve"> </w:t>
      </w:r>
      <w:r>
        <w:t xml:space="preserve">Carbon Capture and Utilisation (6.1.1.9) are</w:t>
      </w:r>
      <w:r>
        <w:t xml:space="preserve"> </w:t>
      </w:r>
      <w:r>
        <w:t xml:space="preserve">incentivised, thereby boosting the market for captured</w:t>
      </w:r>
      <w:r>
        <w:t xml:space="preserve"> </w:t>
      </w:r>
      <w:r>
        <w:t xml:space="preserve">and/or stored CO2, reducing both GHG emissions</w:t>
      </w:r>
      <w:r>
        <w:t xml:space="preserve"> </w:t>
      </w:r>
      <w:r>
        <w:t xml:space="preserve">reliance on virgin fossil-based fuel and feedstock.</w:t>
      </w:r>
      <w:r>
        <w:br/>
      </w:r>
      <w:r>
        <w:t xml:space="preserve">Industrial decarbonisation supported through the IDB</w:t>
      </w:r>
      <w:r>
        <w:t xml:space="preserve"> </w:t>
      </w:r>
      <w:r>
        <w:t xml:space="preserve">deploying EUR 100 bn over 10 years to decarbonise</w:t>
      </w:r>
      <w:r>
        <w:t xml:space="preserve"> </w:t>
      </w:r>
      <w:r>
        <w:t xml:space="preserve">industry at scale and facilitate modernising the EU</w:t>
      </w:r>
      <w:r>
        <w:t xml:space="preserve"> </w:t>
      </w:r>
      <w:r>
        <w:t xml:space="preserve">economy — in addition to continuation of the existing</w:t>
      </w:r>
      <w:r>
        <w:t xml:space="preserve"> </w:t>
      </w:r>
      <w:r>
        <w:t xml:space="preserve">Innovation Fund and targeted improvements to the</w:t>
      </w:r>
      <w:r>
        <w:t xml:space="preserve"> </w:t>
      </w:r>
      <w:r>
        <w:t xml:space="preserve">Modernisation Fund (6.1.1.4).</w:t>
      </w:r>
      <w:r>
        <w:t xml:space="preserve"> </w:t>
      </w:r>
      <w:r>
        <w:t xml:space="preserve">Greater uptake of sustainable propulsion technologies in</w:t>
      </w:r>
      <w:r>
        <w:t xml:space="preserve"> </w:t>
      </w:r>
      <w:r>
        <w:t xml:space="preserve">aviation (6.1.1.5) and maritime (6.2.3.5).</w:t>
      </w:r>
      <w:r>
        <w:t xml:space="preserve"> </w:t>
      </w:r>
      <w:r>
        <w:t xml:space="preserve">Main beneficiary: society at large. Expands options for meeting</w:t>
      </w:r>
      <w:r>
        <w:t xml:space="preserve"> </w:t>
      </w:r>
      <w:r>
        <w:t xml:space="preserve">emission reduction target, improves cost efficiency of abatement</w:t>
      </w:r>
      <w:r>
        <w:t xml:space="preserve"> </w:t>
      </w:r>
      <w:r>
        <w:t xml:space="preserve">options and reducing the cost of climate action.</w:t>
      </w:r>
    </w:p>
    <w:p>
      <w:pPr>
        <w:pStyle w:val="BodyText"/>
      </w:pPr>
      <w:r>
        <w:t xml:space="preserve">Other beneficiaries include developers of climate technologies</w:t>
      </w:r>
      <w:r>
        <w:t xml:space="preserve"> </w:t>
      </w:r>
      <w:r>
        <w:t xml:space="preserve">and sectors with hard-to-abate emissions.</w:t>
      </w:r>
      <w:r>
        <w:t xml:space="preserve"> </w:t>
      </w:r>
      <w:r>
        <w:t xml:space="preserve">Improved air quality and</w:t>
      </w:r>
      <w:r>
        <w:t xml:space="preserve"> </w:t>
      </w:r>
      <w:r>
        <w:t xml:space="preserve">public health</w:t>
      </w:r>
      <w:r>
        <w:t xml:space="preserve"> </w:t>
      </w:r>
      <w:r>
        <w:t xml:space="preserve">Reductions in PM, NOX, SO2 from industry and waste.</w:t>
      </w:r>
      <w:r>
        <w:br/>
      </w:r>
      <w:r>
        <w:t xml:space="preserve">Achieved from:</w:t>
      </w:r>
      <w:r>
        <w:t xml:space="preserve"> </w:t>
      </w:r>
      <w:r>
        <w:t xml:space="preserve">phase-out of Modernisation Fund support to fossil fuels</w:t>
      </w:r>
      <w:r>
        <w:t xml:space="preserve"> </w:t>
      </w:r>
      <w:r>
        <w:t xml:space="preserve">and waste-to-energy (6.1.2.2).</w:t>
      </w:r>
      <w:r>
        <w:t xml:space="preserve"> </w:t>
      </w:r>
      <w:r>
        <w:t xml:space="preserve">lower air pollution in the maritime sector, with social net</w:t>
      </w:r>
      <w:r>
        <w:t xml:space="preserve"> </w:t>
      </w:r>
      <w:r>
        <w:t xml:space="preserve">present value of EUR 22 million (6.2.1.5).</w:t>
      </w:r>
      <w:r>
        <w:t xml:space="preserve"> </w:t>
      </w:r>
      <w:r>
        <w:t xml:space="preserve">waste reduction, prevention and recycling (6.2.1.7).</w:t>
      </w:r>
      <w:r>
        <w:t xml:space="preserve"> </w:t>
      </w:r>
      <w:r>
        <w:t xml:space="preserve">Main beneficiaries: citizens, urban communities, coastal</w:t>
      </w:r>
      <w:r>
        <w:t xml:space="preserve"> </w:t>
      </w:r>
      <w:r>
        <w:t xml:space="preserve">communities, islands.</w:t>
      </w:r>
    </w:p>
    <w:p>
      <w:pPr>
        <w:pStyle w:val="BodyText"/>
      </w:pPr>
      <w:r>
        <w:t xml:space="preserve">Economic benefits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More</w:t>
      </w:r>
      <w:r>
        <w:t xml:space="preserve"> </w:t>
      </w:r>
      <w:r>
        <w:t xml:space="preserve">gradual</w:t>
      </w:r>
      <w:r>
        <w:t xml:space="preserve"> </w:t>
      </w:r>
      <w:r>
        <w:t xml:space="preserve">decarbonisation</w:t>
      </w:r>
      <w:r>
        <w:t xml:space="preserve"> </w:t>
      </w:r>
      <w:r>
        <w:t xml:space="preserve">trajectory for industry</w:t>
      </w:r>
      <w:r>
        <w:t xml:space="preserve"> </w:t>
      </w:r>
      <w:r>
        <w:t xml:space="preserve">The ETS cap declines more gently compared to the</w:t>
      </w:r>
      <w:r>
        <w:t xml:space="preserve"> </w:t>
      </w:r>
      <w:r>
        <w:t xml:space="preserve">baseline, reducing carbon costs for industry.</w:t>
      </w:r>
    </w:p>
    <w:p>
      <w:pPr>
        <w:pStyle w:val="BodyText"/>
      </w:pPr>
      <w:r>
        <w:t xml:space="preserve">Greater</w:t>
      </w:r>
      <w:r>
        <w:t xml:space="preserve"> </w:t>
      </w:r>
      <w:r>
        <w:t xml:space="preserve">stability</w:t>
      </w:r>
      <w:r>
        <w:t xml:space="preserve"> </w:t>
      </w:r>
      <w:r>
        <w:t xml:space="preserve">in</w:t>
      </w:r>
      <w:r>
        <w:t xml:space="preserve"> </w:t>
      </w:r>
      <w:r>
        <w:t xml:space="preserve">carbon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lower compliance costs</w:t>
      </w:r>
      <w:r>
        <w:t xml:space="preserve"> </w:t>
      </w:r>
      <w:r>
        <w:t xml:space="preserve">Achieved through MSR reform, the preferred design</w:t>
      </w:r>
      <w:r>
        <w:t xml:space="preserve"> </w:t>
      </w:r>
      <w:r>
        <w:t xml:space="preserve">option leads to a gradual and more stable EUA price</w:t>
      </w:r>
      <w:r>
        <w:t xml:space="preserve"> </w:t>
      </w:r>
      <w:r>
        <w:t xml:space="preserve">evolution and a more liquid market, resulting in stable</w:t>
      </w:r>
      <w:r>
        <w:t xml:space="preserve"> </w:t>
      </w:r>
      <w:r>
        <w:t xml:space="preserve">signal for investment and business planning certainty</w:t>
      </w:r>
      <w:r>
        <w:t xml:space="preserve"> </w:t>
      </w:r>
      <w:r>
        <w:t xml:space="preserve">(6.2.1.2).</w:t>
      </w:r>
      <w:r>
        <w:t xml:space="preserve"> </w:t>
      </w:r>
      <w:r>
        <w:t xml:space="preserve">Main beneficiaries: ETS operators, investors.</w:t>
      </w:r>
      <w:r>
        <w:t xml:space="preserve"> </w:t>
      </w:r>
      <w:r>
        <w:t xml:space="preserve">Driven by MSR reform which ensures smoother price trajectory.</w:t>
      </w:r>
      <w:r>
        <w:t xml:space="preserve"> </w:t>
      </w:r>
      <w:r>
        <w:t xml:space="preserve">Support to deployment</w:t>
      </w:r>
      <w:r>
        <w:t xml:space="preserve"> </w:t>
      </w:r>
      <w:r>
        <w:t xml:space="preserve">of carbon removals and</w:t>
      </w:r>
      <w:r>
        <w:t xml:space="preserve"> </w:t>
      </w:r>
      <w:r>
        <w:t xml:space="preserve">innovative mitigation</w:t>
      </w:r>
      <w:r>
        <w:t xml:space="preserve"> </w:t>
      </w:r>
      <w:r>
        <w:t xml:space="preserve">technologies and</w:t>
      </w:r>
      <w:r>
        <w:t xml:space="preserve"> </w:t>
      </w:r>
      <w:r>
        <w:t xml:space="preserve">markets.</w:t>
      </w:r>
      <w:r>
        <w:t xml:space="preserve"> </w:t>
      </w:r>
      <w:r>
        <w:t xml:space="preserve">Due to carbon removal integration through the public</w:t>
      </w:r>
      <w:r>
        <w:t xml:space="preserve"> </w:t>
      </w:r>
      <w:r>
        <w:t xml:space="preserve">purchasing programme (6.2.1.1).</w:t>
      </w:r>
      <w:r>
        <w:t xml:space="preserve"> </w:t>
      </w:r>
      <w:r>
        <w:t xml:space="preserve">Fostering permanent carbon removals from biogenic</w:t>
      </w:r>
      <w:r>
        <w:t xml:space="preserve"> </w:t>
      </w:r>
      <w:r>
        <w:t xml:space="preserve">emissions in municipal waste incineration, supporting</w:t>
      </w:r>
      <w:r>
        <w:t xml:space="preserve"> </w:t>
      </w:r>
      <w:r>
        <w:t xml:space="preserve">economy-wide decarbonisation (6.1.1.8.).</w:t>
      </w:r>
      <w:r>
        <w:t xml:space="preserve"> </w:t>
      </w:r>
      <w:r>
        <w:t xml:space="preserve">Increased investment due to support of the Industrial</w:t>
      </w:r>
      <w:r>
        <w:t xml:space="preserve"> </w:t>
      </w:r>
      <w:r>
        <w:t xml:space="preserve">Decarbonisation Bank, EUR 100bn with average direct</w:t>
      </w:r>
      <w:r>
        <w:t xml:space="preserve"> </w:t>
      </w:r>
      <w:r>
        <w:t xml:space="preserve">leverage effect estimated at 45%23 (6.2.3.3).</w:t>
      </w:r>
      <w:r>
        <w:t xml:space="preserve"> </w:t>
      </w:r>
      <w:r>
        <w:t xml:space="preserve">Investment estimated at EUR 50-90 billion over 2031-</w:t>
      </w:r>
      <w:r>
        <w:t xml:space="preserve"> </w:t>
      </w:r>
      <w:r>
        <w:t xml:space="preserve">2040 due to conditional free allocation (6.2.1.6)</w:t>
      </w:r>
      <w:r>
        <w:t xml:space="preserve"> </w:t>
      </w:r>
      <w:r>
        <w:t xml:space="preserve">Improved business case for carbon capture and</w:t>
      </w:r>
      <w:r>
        <w:t xml:space="preserve"> </w:t>
      </w:r>
      <w:r>
        <w:t xml:space="preserve">utilisation due to accounting change and inclusion of</w:t>
      </w:r>
      <w:r>
        <w:t xml:space="preserve"> </w:t>
      </w:r>
      <w:r>
        <w:t xml:space="preserve">waste incineration (6.2.1.8, 6.2.3.7 &amp; 6.2.3.8)</w:t>
      </w:r>
      <w:r>
        <w:t xml:space="preserve"> </w:t>
      </w:r>
      <w:r>
        <w:t xml:space="preserve">Main beneficiaries: ETS operators, consumers, industrial</w:t>
      </w:r>
      <w:r>
        <w:t xml:space="preserve"> </w:t>
      </w:r>
      <w:r>
        <w:t xml:space="preserve">operators, developers of relevant technologies (e.g. carbon</w:t>
      </w:r>
      <w:r>
        <w:t xml:space="preserve"> </w:t>
      </w:r>
      <w:r>
        <w:t xml:space="preserve">removal, e-fuel producers).</w:t>
      </w:r>
      <w:r>
        <w:br/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carbon</w:t>
      </w:r>
      <w:r>
        <w:t xml:space="preserve"> </w:t>
      </w:r>
      <w:r>
        <w:t xml:space="preserve">leakage rates</w:t>
      </w:r>
      <w:r>
        <w:t xml:space="preserve"> </w:t>
      </w:r>
      <w:r>
        <w:t xml:space="preserve">Less carbon leakage compared to baseline (6.2.3, Annex</w:t>
      </w:r>
      <w:r>
        <w:t xml:space="preserve"> </w:t>
      </w:r>
      <w:r>
        <w:t xml:space="preserve">12 Section 1.4.4.1). Increased free allocation of 42%-</w:t>
      </w:r>
      <w:r>
        <w:t xml:space="preserve"> </w:t>
      </w:r>
      <w:r>
        <w:t xml:space="preserve">47% over 2031-2040 (Annex 12, Table 12).</w:t>
      </w:r>
      <w:r>
        <w:t xml:space="preserve"> </w:t>
      </w:r>
      <w:r>
        <w:t xml:space="preserve">Main beneficiaries: industries exposed to the risk of carbon</w:t>
      </w:r>
      <w:r>
        <w:t xml:space="preserve"> </w:t>
      </w:r>
      <w:r>
        <w:t xml:space="preserve">leakage.</w:t>
      </w:r>
      <w:r>
        <w:t xml:space="preserve"> </w:t>
      </w:r>
      <w:r>
        <w:t xml:space="preserve">Driven by more gradual cap tightening than baseline combined</w:t>
      </w:r>
      <w:r>
        <w:t xml:space="preserve"> </w:t>
      </w:r>
      <w:r>
        <w:t xml:space="preserve">with investments facilitated by ETS revenues and conditionality</w:t>
      </w:r>
      <w:r>
        <w:t xml:space="preserve"> </w:t>
      </w:r>
      <w:r>
        <w:t xml:space="preserve">in free allocation.</w:t>
      </w:r>
    </w:p>
    <w:p>
      <w:pPr>
        <w:pStyle w:val="BodyText"/>
      </w:pPr>
      <w:r>
        <w:t xml:space="preserve">23 Direct leverage effect is defined as IDB support divided by private investment expenditures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incentive</w:t>
      </w:r>
      <w:r>
        <w:t xml:space="preserve"> </w:t>
      </w:r>
      <w:r>
        <w:t xml:space="preserve">Inclusion of waste incineration incentivising circular</w:t>
      </w:r>
      <w:r>
        <w:t xml:space="preserve"> </w:t>
      </w:r>
      <w:r>
        <w:t xml:space="preserve">economy for materials, reducing GHG emissions from</w:t>
      </w:r>
      <w:r>
        <w:t xml:space="preserve"> </w:t>
      </w:r>
      <w:r>
        <w:t xml:space="preserve">waste disposal, and generating recycled materials</w:t>
      </w:r>
      <w:r>
        <w:t xml:space="preserve"> </w:t>
      </w:r>
      <w:r>
        <w:t xml:space="preserve">displacing more carbon-intensive virgin materials</w:t>
      </w:r>
      <w:r>
        <w:t xml:space="preserve"> </w:t>
      </w:r>
      <w:r>
        <w:t xml:space="preserve">(6.1.2.5.).</w:t>
      </w:r>
    </w:p>
    <w:p>
      <w:pPr>
        <w:pStyle w:val="BodyText"/>
      </w:pPr>
      <w:r>
        <w:t xml:space="preserve">Improved functioning of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for</w:t>
      </w:r>
      <w:r>
        <w:t xml:space="preserve"> </w:t>
      </w:r>
      <w:r>
        <w:t xml:space="preserve">waste</w:t>
      </w:r>
      <w:r>
        <w:t xml:space="preserve"> </w:t>
      </w:r>
      <w:r>
        <w:t xml:space="preserve">Level playing field between sectors, within sector and</w:t>
      </w:r>
      <w:r>
        <w:t xml:space="preserve"> </w:t>
      </w:r>
      <w:r>
        <w:t xml:space="preserve">between Member States through harmonised carbon</w:t>
      </w:r>
      <w:r>
        <w:t xml:space="preserve"> </w:t>
      </w:r>
      <w:r>
        <w:t xml:space="preserve">price signal (6.2.6.3.).</w:t>
      </w:r>
    </w:p>
    <w:p>
      <w:pPr>
        <w:pStyle w:val="BodyText"/>
      </w:pPr>
      <w:r>
        <w:t xml:space="preserve">Lower compliance costs</w:t>
      </w:r>
      <w:r>
        <w:t xml:space="preserve"> </w:t>
      </w:r>
      <w:r>
        <w:t xml:space="preserve">in aviation</w:t>
      </w:r>
      <w:r>
        <w:t xml:space="preserve"> </w:t>
      </w:r>
      <w:r>
        <w:t xml:space="preserve">Compliance costs are significantly lower compared to the</w:t>
      </w:r>
      <w:r>
        <w:t xml:space="preserve"> </w:t>
      </w:r>
      <w:r>
        <w:t xml:space="preserve">baseline (36% lower in 2035) due to narrower ETS scope</w:t>
      </w:r>
      <w:r>
        <w:t xml:space="preserve"> </w:t>
      </w:r>
      <w:r>
        <w:t xml:space="preserve">(Annex 10, Table 13).</w:t>
      </w:r>
      <w:r>
        <w:t xml:space="preserve"> </w:t>
      </w:r>
      <w:r>
        <w:t xml:space="preserve">Main beneficiaries: aircraft operators, passengers.</w:t>
      </w:r>
      <w:r>
        <w:br/>
      </w:r>
      <w:r>
        <w:t xml:space="preserve">Overall net benefit</w:t>
      </w:r>
      <w:r>
        <w:t xml:space="preserve"> </w:t>
      </w:r>
      <w:r>
        <w:t xml:space="preserve">(maritime)</w:t>
      </w:r>
      <w:r>
        <w:t xml:space="preserve"> </w:t>
      </w:r>
      <w:r>
        <w:t xml:space="preserve">Maritime policy options are expected to yield a net</w:t>
      </w:r>
      <w:r>
        <w:t xml:space="preserve"> </w:t>
      </w:r>
      <w:r>
        <w:t xml:space="preserve">benefit of EUR 7bn in the preferred option (7.2)</w:t>
      </w:r>
      <w:r>
        <w:t xml:space="preserve"> </w:t>
      </w:r>
      <w:r>
        <w:t xml:space="preserve">Analysis combining discounted benefits of emission savings</w:t>
      </w:r>
      <w:r>
        <w:t xml:space="preserve"> </w:t>
      </w:r>
      <w:r>
        <w:t xml:space="preserve">against discounted abatement costs and administrative costs</w:t>
      </w:r>
      <w:r>
        <w:t xml:space="preserve"> </w:t>
      </w:r>
      <w:r>
        <w:t xml:space="preserve">Avoiding double</w:t>
      </w:r>
      <w:r>
        <w:t xml:space="preserve"> </w:t>
      </w:r>
      <w:r>
        <w:t xml:space="preserve">pricing of GHG</w:t>
      </w:r>
      <w:r>
        <w:t xml:space="preserve"> </w:t>
      </w:r>
      <w:r>
        <w:t xml:space="preserve">emissions priced upon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global measure</w:t>
      </w:r>
      <w:r>
        <w:t xml:space="preserve"> </w:t>
      </w:r>
      <w:r>
        <w:t xml:space="preserve">CORSIA</w:t>
      </w:r>
      <w:r>
        <w:t xml:space="preserve"> </w:t>
      </w:r>
      <w:r>
        <w:t xml:space="preserve">Depends on the participation to CORSIA by third</w:t>
      </w:r>
      <w:r>
        <w:t xml:space="preserve"> </w:t>
      </w:r>
      <w:r>
        <w:t xml:space="preserve">countries (6.1.1.5).</w:t>
      </w:r>
      <w:r>
        <w:br/>
      </w:r>
      <w:r>
        <w:t xml:space="preserve">Main beneficiaries: aircraft operators operating international</w:t>
      </w:r>
      <w:r>
        <w:t xml:space="preserve"> </w:t>
      </w:r>
      <w:r>
        <w:t xml:space="preserve">flights.</w:t>
      </w:r>
      <w:r>
        <w:br/>
      </w:r>
      <w:r>
        <w:t xml:space="preserve">Avoiding of double</w:t>
      </w:r>
      <w:r>
        <w:t xml:space="preserve"> </w:t>
      </w:r>
      <w:r>
        <w:t xml:space="preserve">pricing of GHG</w:t>
      </w:r>
      <w:r>
        <w:t xml:space="preserve"> </w:t>
      </w:r>
      <w:r>
        <w:t xml:space="preserve">emissions priced under</w:t>
      </w:r>
      <w:r>
        <w:t xml:space="preserve"> </w:t>
      </w:r>
      <w:r>
        <w:t xml:space="preserve">a global measure, once</w:t>
      </w:r>
      <w:r>
        <w:t xml:space="preserve"> </w:t>
      </w:r>
      <w:r>
        <w:t xml:space="preserve">adopted, at IMO</w:t>
      </w:r>
      <w:r>
        <w:br/>
      </w:r>
      <w:r>
        <w:t xml:space="preserve">Depends on emissions of each ship 6.2.1.5</w:t>
      </w:r>
      <w:r>
        <w:t xml:space="preserve"> </w:t>
      </w:r>
      <w:r>
        <w:t xml:space="preserve">Main beneficiaries: shipping companies that face payments at</w:t>
      </w:r>
      <w:r>
        <w:t xml:space="preserve"> </w:t>
      </w:r>
      <w:r>
        <w:t xml:space="preserve">IMO and under EU ETS for emissions of their ships.</w:t>
      </w:r>
      <w:r>
        <w:br/>
      </w:r>
      <w:r>
        <w:t xml:space="preserve">Decarbonisation</w:t>
      </w:r>
      <w:r>
        <w:t xml:space="preserve"> </w:t>
      </w:r>
      <w:r>
        <w:t xml:space="preserve">support in maritime</w:t>
      </w:r>
      <w:r>
        <w:t xml:space="preserve"> </w:t>
      </w:r>
      <w:r>
        <w:t xml:space="preserve">Due to support mechanism for Sustainable Maritime</w:t>
      </w:r>
      <w:r>
        <w:t xml:space="preserve"> </w:t>
      </w:r>
      <w:r>
        <w:t xml:space="preserve">Alternative Propulsion (SMAP) (6.2.1.5).</w:t>
      </w:r>
      <w:r>
        <w:t xml:space="preserve"> </w:t>
      </w:r>
      <w:r>
        <w:t xml:space="preserve">Shipping companies using sustainable fuels and propulsion</w:t>
      </w:r>
      <w:r>
        <w:t xml:space="preserve"> </w:t>
      </w:r>
      <w:r>
        <w:t xml:space="preserve">technologies like wind and electricity</w:t>
      </w:r>
      <w:r>
        <w:t xml:space="preserve"> </w:t>
      </w:r>
      <w:r>
        <w:t xml:space="preserve">Increased</w:t>
      </w:r>
      <w:r>
        <w:t xml:space="preserve"> </w:t>
      </w:r>
      <w:r>
        <w:t xml:space="preserve">economic</w:t>
      </w:r>
      <w:r>
        <w:t xml:space="preserve"> </w:t>
      </w:r>
      <w:r>
        <w:t xml:space="preserve">activity in some port</w:t>
      </w:r>
      <w:r>
        <w:t xml:space="preserve"> </w:t>
      </w:r>
      <w:r>
        <w:t xml:space="preserve">areas</w:t>
      </w:r>
      <w:r>
        <w:t xml:space="preserve"> </w:t>
      </w:r>
      <w:r>
        <w:t xml:space="preserve">Due to addressing the risk of relocation of container</w:t>
      </w:r>
      <w:r>
        <w:t xml:space="preserve"> </w:t>
      </w:r>
      <w:r>
        <w:t xml:space="preserve">transhipment activity from EU to non-EU ports and</w:t>
      </w:r>
      <w:r>
        <w:t xml:space="preserve"> </w:t>
      </w:r>
      <w:r>
        <w:t xml:space="preserve">Local economies in port areas.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ensuring a level playing field for vessels performing</w:t>
      </w:r>
      <w:r>
        <w:t xml:space="preserve"> </w:t>
      </w:r>
      <w:r>
        <w:t xml:space="preserve">offshore activities (6.2.3.5).</w:t>
      </w:r>
      <w:r>
        <w:t xml:space="preserve"> </w:t>
      </w:r>
      <w:r>
        <w:t xml:space="preserve">Increased</w:t>
      </w:r>
      <w:r>
        <w:t xml:space="preserve"> </w:t>
      </w:r>
      <w:r>
        <w:t xml:space="preserve">auction</w:t>
      </w:r>
      <w:r>
        <w:t xml:space="preserve"> </w:t>
      </w:r>
      <w:r>
        <w:t xml:space="preserve">revenues</w:t>
      </w:r>
      <w:r>
        <w:t xml:space="preserve"> </w:t>
      </w:r>
      <w:r>
        <w:t xml:space="preserve">to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Higher auction revenues (+137% - 146 %) compared to</w:t>
      </w:r>
      <w:r>
        <w:t xml:space="preserve"> </w:t>
      </w:r>
      <w:r>
        <w:t xml:space="preserve">baseline (Table 16 of main Impact Assessment, Annex</w:t>
      </w:r>
      <w:r>
        <w:t xml:space="preserve"> </w:t>
      </w:r>
      <w:r>
        <w:t xml:space="preserve">12, Table 21).</w:t>
      </w:r>
    </w:p>
    <w:p>
      <w:pPr>
        <w:pStyle w:val="BodyText"/>
      </w:pPr>
      <w:r>
        <w:t xml:space="preserve">Lower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(free</w:t>
      </w:r>
      <w:r>
        <w:t xml:space="preserve"> </w:t>
      </w:r>
      <w:r>
        <w:t xml:space="preserve">allocation)</w:t>
      </w:r>
      <w:r>
        <w:t xml:space="preserve"> </w:t>
      </w:r>
      <w:r>
        <w:t xml:space="preserve">Due to not updating carbon leakage list for ETS Phase V</w:t>
      </w:r>
      <w:r>
        <w:t xml:space="preserve"> </w:t>
      </w:r>
      <w:r>
        <w:t xml:space="preserve">(6.2.2.5).</w:t>
      </w:r>
    </w:p>
    <w:p>
      <w:pPr>
        <w:pStyle w:val="BodyText"/>
      </w:pPr>
      <w:r>
        <w:t xml:space="preserve">Employment</w:t>
      </w:r>
      <w:r>
        <w:t xml:space="preserve"> </w:t>
      </w:r>
      <w:r>
        <w:t xml:space="preserve">Sectoral employment gains occur in chemicals and non-</w:t>
      </w:r>
      <w:r>
        <w:t xml:space="preserve"> </w:t>
      </w:r>
      <w:r>
        <w:t xml:space="preserve">metallic minerals sector, which also records the highest</w:t>
      </w:r>
      <w:r>
        <w:t xml:space="preserve"> </w:t>
      </w:r>
      <w:r>
        <w:t xml:space="preserve">production increase by 2040. Across sectors and policy</w:t>
      </w:r>
      <w:r>
        <w:t xml:space="preserve"> </w:t>
      </w:r>
      <w:r>
        <w:t xml:space="preserve">measures, the overall employment impact ranges from -</w:t>
      </w:r>
      <w:r>
        <w:t xml:space="preserve"> </w:t>
      </w:r>
      <w:r>
        <w:t xml:space="preserve">0.56% to 1.76 (6.3.1.6)</w:t>
      </w:r>
      <w:r>
        <w:t xml:space="preserve"> </w:t>
      </w:r>
      <w:r>
        <w:t xml:space="preserve">Creation of new employment opportunities in new</w:t>
      </w:r>
      <w:r>
        <w:t xml:space="preserve"> </w:t>
      </w:r>
      <w:r>
        <w:t xml:space="preserve">removals market (6.3.1.2) and projects benefiting from</w:t>
      </w:r>
      <w:r>
        <w:t xml:space="preserve"> </w:t>
      </w:r>
      <w:r>
        <w:t xml:space="preserve">the IDB support (6.3.1.3).</w:t>
      </w:r>
      <w:r>
        <w:t xml:space="preserve"> </w:t>
      </w:r>
      <w:r>
        <w:t xml:space="preserve">Positive employment impact in aviation (6.3.1.4).</w:t>
      </w:r>
      <w:r>
        <w:t xml:space="preserve"> </w:t>
      </w:r>
      <w:r>
        <w:t xml:space="preserve">Possible positive employment impact in ports and their</w:t>
      </w:r>
      <w:r>
        <w:t xml:space="preserve"> </w:t>
      </w:r>
      <w:r>
        <w:t xml:space="preserve">hinterland and negligible employment impact concerning</w:t>
      </w:r>
      <w:r>
        <w:t xml:space="preserve"> </w:t>
      </w:r>
      <w:r>
        <w:t xml:space="preserve">smaller vessels (6.3.1.5)</w:t>
      </w:r>
      <w:r>
        <w:t xml:space="preserve"> </w:t>
      </w:r>
      <w:r>
        <w:t xml:space="preserve">Positive employment impact in waste due to increased</w:t>
      </w:r>
      <w:r>
        <w:t xml:space="preserve"> </w:t>
      </w:r>
      <w:r>
        <w:t xml:space="preserve">recycling and circular economy activities (6.3.1.7)</w:t>
      </w:r>
      <w:r>
        <w:t xml:space="preserve"> </w:t>
      </w:r>
      <w:r>
        <w:t xml:space="preserve">Main beneficiaries: citizens, society at large</w:t>
      </w:r>
      <w:r>
        <w:t xml:space="preserve"> </w:t>
      </w:r>
      <w:r>
        <w:t xml:space="preserve">Follows estimated increase in production</w:t>
      </w:r>
      <w:r>
        <w:t xml:space="preserve"> </w:t>
      </w:r>
      <w:r>
        <w:t xml:space="preserve">Distributional effects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Compared to the baseline, lower income households are expected</w:t>
      </w:r>
      <w:r>
        <w:t xml:space="preserve"> </w:t>
      </w:r>
      <w:r>
        <w:t xml:space="preserve">to benefit from a more gradual ramp-up of carbon prices and</w:t>
      </w:r>
      <w:r>
        <w:t xml:space="preserve"> </w:t>
      </w:r>
      <w:r>
        <w:t xml:space="preserve">associated cost pass through, as well as positive economic and</w:t>
      </w:r>
      <w:r>
        <w:t xml:space="preserve"> </w:t>
      </w:r>
      <w:r>
        <w:t xml:space="preserve">employment outcomes, but may on the other hand be affected by</w:t>
      </w:r>
      <w:r>
        <w:t xml:space="preserve"> </w:t>
      </w:r>
      <w:r>
        <w:t xml:space="preserve">the new carbon price on waste disposal and associated cost pass</w:t>
      </w:r>
      <w:r>
        <w:t xml:space="preserve"> </w:t>
      </w:r>
      <w:r>
        <w:t xml:space="preserve">through.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2.2. Overview of costs – preferred option</w:t>
      </w:r>
      <w:r>
        <w:t xml:space="preserve"> </w:t>
      </w:r>
      <w:r>
        <w:t xml:space="preserve">Separate cost overviews are provided for each topic.</w:t>
      </w:r>
      <w:r>
        <w:t xml:space="preserve"> </w:t>
      </w:r>
      <w:r>
        <w:t xml:space="preserve">ETS cap and Market Stability Reserve</w:t>
      </w:r>
      <w:r>
        <w:t xml:space="preserve"> </w:t>
      </w:r>
      <w:r>
        <w:t xml:space="preserve">• Measures regarding the ETS cap, its adjustment trajectory, and the adjustment of the Market Stability Reserve (MSR) are expected</w:t>
      </w:r>
      <w:r>
        <w:t xml:space="preserve"> </w:t>
      </w:r>
      <w:r>
        <w:t xml:space="preserve">to reduce, not increase, costs compared to the baseline.</w:t>
      </w:r>
      <w:r>
        <w:t xml:space="preserve"> </w:t>
      </w:r>
      <w:r>
        <w:t xml:space="preserve">• The cap adjustment results in a gentler decarbonisation trajectory for stationary ETS installations and operators, which lowers costs</w:t>
      </w:r>
      <w:r>
        <w:t xml:space="preserve"> </w:t>
      </w:r>
      <w:r>
        <w:t xml:space="preserve">(see tables below for aviation, maritime and waste sectors).</w:t>
      </w:r>
      <w:r>
        <w:t xml:space="preserve"> </w:t>
      </w:r>
      <w:r>
        <w:t xml:space="preserve">• The MSR adjustment is expected to ensure a steady increase in the price of ETS allowances, compared to other options that exhibit</w:t>
      </w:r>
      <w:r>
        <w:t xml:space="preserve"> </w:t>
      </w:r>
      <w:r>
        <w:t xml:space="preserve">greater variability (6.2.1.2). It also maintains a greater reserve for potential activation during the 2030s and 2040s (Annex 8, Section</w:t>
      </w:r>
      <w:r>
        <w:t xml:space="preserve"> </w:t>
      </w:r>
      <w:r>
        <w:t xml:space="preserve">1.4.3). These attributes are expected to improve the functioning of the carbon market compared to continuing with Market Stability</w:t>
      </w:r>
      <w:r>
        <w:t xml:space="preserve"> </w:t>
      </w:r>
      <w:r>
        <w:t xml:space="preserve">Reserve parameters closer to the baseline.</w:t>
      </w:r>
      <w:r>
        <w:br/>
      </w:r>
      <w:r>
        <w:t xml:space="preserve">Carbon removal</w:t>
      </w:r>
      <w:r>
        <w:t xml:space="preserve"> </w:t>
      </w:r>
      <w:r>
        <w:t xml:space="preserve">• The preferred option (a public purchasing programme) has lower expected transaction costs for carbon removal operators compared</w:t>
      </w:r>
      <w:r>
        <w:t xml:space="preserve"> </w:t>
      </w:r>
      <w:r>
        <w:t xml:space="preserve">to other options (direct integration of removals into the ETS) (6.2.2.1).</w:t>
      </w:r>
      <w:r>
        <w:t xml:space="preserve"> </w:t>
      </w:r>
      <w:r>
        <w:t xml:space="preserve">• By definition, the preferred option increases public costs related to carbon removal compared to the baseline (no carbon removal</w:t>
      </w:r>
      <w:r>
        <w:t xml:space="preserve"> </w:t>
      </w:r>
      <w:r>
        <w:t xml:space="preserve">integration). However, these costs are necessary to deliver the measure’s benefits, namely lower ETS allowance costs, additional</w:t>
      </w:r>
      <w:r>
        <w:t xml:space="preserve"> </w:t>
      </w:r>
      <w:r>
        <w:t xml:space="preserve">mitigation options for the hardest emissions to abate and support to development of innovative technology.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 N/A</w:t>
      </w:r>
      <w:r>
        <w:t xml:space="preserve"> </w:t>
      </w:r>
      <w:r>
        <w:t xml:space="preserve">N/A</w:t>
      </w:r>
      <w:r>
        <w:t xml:space="preserve"> </w:t>
      </w:r>
      <w:r>
        <w:t xml:space="preserve">Cost of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public</w:t>
      </w:r>
      <w:r>
        <w:t xml:space="preserve"> </w:t>
      </w:r>
      <w:r>
        <w:t xml:space="preserve">Cost of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public purchasing</w:t>
      </w:r>
      <w:r>
        <w:t xml:space="preserve"> </w:t>
      </w:r>
      <w:r>
        <w:t xml:space="preserve">Cost of public</w:t>
      </w:r>
      <w:r>
        <w:t xml:space="preserve"> </w:t>
      </w:r>
      <w:r>
        <w:t xml:space="preserve">purchasing programme:</w:t>
      </w:r>
      <w:r>
        <w:t xml:space="preserve"> </w:t>
      </w:r>
      <w:r>
        <w:t xml:space="preserve">establishment (by public</w:t>
      </w:r>
      <w:r>
        <w:t xml:space="preserve"> </w:t>
      </w:r>
      <w:r>
        <w:t xml:space="preserve">The ultimate cost for stimulating</w:t>
      </w:r>
      <w:r>
        <w:t xml:space="preserve"> </w:t>
      </w:r>
      <w:r>
        <w:t xml:space="preserve">CDR is the same among all options</w:t>
      </w:r>
      <w:r>
        <w:t xml:space="preserve"> </w:t>
      </w:r>
      <w:r>
        <w:t xml:space="preserve">for integrating carbon removal.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purchasing</w:t>
      </w:r>
      <w:r>
        <w:t xml:space="preserve"> </w:t>
      </w:r>
      <w:r>
        <w:t xml:space="preserve">programme</w:t>
      </w:r>
      <w:r>
        <w:t xml:space="preserve"> </w:t>
      </w:r>
      <w:r>
        <w:t xml:space="preserve">(6.2.2.1)</w:t>
      </w:r>
      <w:r>
        <w:t xml:space="preserve"> </w:t>
      </w:r>
      <w:r>
        <w:t xml:space="preserve">programme</w:t>
      </w:r>
      <w:r>
        <w:t xml:space="preserve"> </w:t>
      </w:r>
      <w:r>
        <w:t xml:space="preserve">(6.2.2.1)</w:t>
      </w:r>
      <w:r>
        <w:t xml:space="preserve"> </w:t>
      </w:r>
      <w:r>
        <w:t xml:space="preserve">authorities) and</w:t>
      </w:r>
      <w:r>
        <w:t xml:space="preserve"> </w:t>
      </w:r>
      <w:r>
        <w:t xml:space="preserve">participation (by</w:t>
      </w:r>
      <w:r>
        <w:t xml:space="preserve"> </w:t>
      </w:r>
      <w:r>
        <w:t xml:space="preserve">operators) (6.2.2.1)</w:t>
      </w:r>
      <w:r>
        <w:t xml:space="preserve"> </w:t>
      </w:r>
      <w:r>
        <w:t xml:space="preserve">However, the preferred option</w:t>
      </w:r>
      <w:r>
        <w:t xml:space="preserve"> </w:t>
      </w:r>
      <w:r>
        <w:t xml:space="preserve">requires public authorities finance</w:t>
      </w:r>
      <w:r>
        <w:t xml:space="preserve"> </w:t>
      </w:r>
      <w:r>
        <w:t xml:space="preserve">the up-front cost of removals before</w:t>
      </w:r>
      <w:r>
        <w:t xml:space="preserve"> </w:t>
      </w:r>
      <w:r>
        <w:t xml:space="preserve">recouping some of this through sale</w:t>
      </w:r>
      <w:r>
        <w:t xml:space="preserve"> </w:t>
      </w:r>
      <w:r>
        <w:t xml:space="preserve">into the ETS market. The final fiscal</w:t>
      </w:r>
      <w:r>
        <w:t xml:space="preserve"> </w:t>
      </w:r>
      <w:r>
        <w:t xml:space="preserve">cost of the purchasing programme is</w:t>
      </w:r>
      <w:r>
        <w:t xml:space="preserve"> </w:t>
      </w:r>
      <w:r>
        <w:t xml:space="preserve">estimated to be EUR 3 bn (6.2.5.1).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Instruments to support investment</w:t>
      </w:r>
      <w:r>
        <w:t xml:space="preserve"> </w:t>
      </w:r>
      <w:r>
        <w:t xml:space="preserve">• The Industrial Decarbonisation Bank (IDB) has no compliance costs for ETS installations but turns ETS resources into investment</w:t>
      </w:r>
      <w:r>
        <w:t xml:space="preserve"> </w:t>
      </w:r>
      <w:r>
        <w:t xml:space="preserve">support for industry (6.2.1.3).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costs N/A</w:t>
      </w:r>
      <w:r>
        <w:t xml:space="preserve"> </w:t>
      </w:r>
      <w:r>
        <w:t xml:space="preserve">N/A</w:t>
      </w:r>
      <w:r>
        <w:t xml:space="preserve"> </w:t>
      </w:r>
      <w:r>
        <w:t xml:space="preserve">Participation costs</w:t>
      </w:r>
      <w:r>
        <w:t xml:space="preserve"> </w:t>
      </w:r>
      <w:r>
        <w:t xml:space="preserve">(6.2.2.2)</w:t>
      </w:r>
      <w:r>
        <w:t xml:space="preserve"> </w:t>
      </w:r>
      <w:r>
        <w:t xml:space="preserve">Participation</w:t>
      </w:r>
      <w:r>
        <w:t xml:space="preserve"> </w:t>
      </w:r>
      <w:r>
        <w:t xml:space="preserve">costs (6.2.2.2)</w:t>
      </w:r>
      <w:r>
        <w:t xml:space="preserve"> </w:t>
      </w:r>
      <w:r>
        <w:t xml:space="preserve">To public authorities, predominantly on the EU level,</w:t>
      </w:r>
      <w:r>
        <w:t xml:space="preserve"> </w:t>
      </w:r>
      <w:r>
        <w:t xml:space="preserve">for organisation of calls (6.2.2.2).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Cost estimated to be similar to Modernisation Fund</w:t>
      </w:r>
      <w:r>
        <w:t xml:space="preserve"> </w:t>
      </w:r>
      <w:r>
        <w:t xml:space="preserve">(0.13% of total envelope).</w:t>
      </w:r>
      <w:r>
        <w:t xml:space="preserve"> </w:t>
      </w:r>
      <w:r>
        <w:t xml:space="preserve">For Modernisation Fund, the preferred option is</w:t>
      </w:r>
      <w:r>
        <w:t xml:space="preserve"> </w:t>
      </w:r>
      <w:r>
        <w:t xml:space="preserve">expected to reduce administrative cost by reducing</w:t>
      </w:r>
      <w:r>
        <w:t xml:space="preserve"> </w:t>
      </w:r>
      <w:r>
        <w:t xml:space="preserve">share of non-priority investments, which have higher</w:t>
      </w:r>
      <w:r>
        <w:t xml:space="preserve"> </w:t>
      </w:r>
      <w:r>
        <w:t xml:space="preserve">administrative burden (6.2.5.2)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Aviation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 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costs 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Administrative effort associated with</w:t>
      </w:r>
      <w:r>
        <w:t xml:space="preserve"> </w:t>
      </w:r>
      <w:r>
        <w:t xml:space="preserve">existing SAF support is prolonged</w:t>
      </w:r>
      <w:r>
        <w:t xml:space="preserve"> </w:t>
      </w:r>
      <w:r>
        <w:t xml:space="preserve">(6.2.2.3).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Administrative effort is needed for deduction of</w:t>
      </w:r>
      <w:r>
        <w:t xml:space="preserve"> </w:t>
      </w:r>
      <w:r>
        <w:t xml:space="preserve">CORSIA costs but can make use of existing</w:t>
      </w:r>
      <w:r>
        <w:t xml:space="preserve"> </w:t>
      </w:r>
      <w:r>
        <w:t xml:space="preserve">reporting systems (6.2.2.3).</w:t>
      </w:r>
      <w:r>
        <w:br/>
      </w:r>
      <w:r>
        <w:t xml:space="preserve">Administrative effort associated with existing</w:t>
      </w:r>
      <w:r>
        <w:t xml:space="preserve"> </w:t>
      </w:r>
      <w:r>
        <w:t xml:space="preserve">SAF support is prolonged (6.2.2.3).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 the preferred option, ETS</w:t>
      </w:r>
      <w:r>
        <w:t xml:space="preserve"> </w:t>
      </w:r>
      <w:r>
        <w:t xml:space="preserve">compliance costs are lower than in the</w:t>
      </w:r>
      <w:r>
        <w:t xml:space="preserve"> </w:t>
      </w:r>
      <w:r>
        <w:t xml:space="preserve">baseline (6.2.1.4).</w:t>
      </w:r>
      <w:r>
        <w:t xml:space="preserve"> </w:t>
      </w:r>
      <w:r>
        <w:t xml:space="preserve">Preferred option ensures no double</w:t>
      </w:r>
      <w:r>
        <w:t xml:space="preserve"> </w:t>
      </w:r>
      <w:r>
        <w:t xml:space="preserve">pricing of ETS &amp; CORSIA</w:t>
      </w:r>
      <w:r>
        <w:t xml:space="preserve"> </w:t>
      </w:r>
      <w:r>
        <w:t xml:space="preserve">compliance costs (6.2.1.4).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Compared to baseline, administrative effort for</w:t>
      </w:r>
      <w:r>
        <w:t xml:space="preserve"> </w:t>
      </w:r>
      <w:r>
        <w:t xml:space="preserve">operators, national and European authorities is</w:t>
      </w:r>
      <w:r>
        <w:t xml:space="preserve"> </w:t>
      </w:r>
      <w:r>
        <w:t xml:space="preserve">lower (6.2.2.3).</w:t>
      </w:r>
      <w:r>
        <w:t xml:space="preserve"> </w:t>
      </w:r>
      <w:r>
        <w:t xml:space="preserve">Member States may use national budgets to</w:t>
      </w:r>
      <w:r>
        <w:t xml:space="preserve"> </w:t>
      </w:r>
      <w:r>
        <w:t xml:space="preserve">reduce SAF support once ETS support expires</w:t>
      </w:r>
      <w:r>
        <w:t xml:space="preserve"> </w:t>
      </w:r>
      <w:r>
        <w:t xml:space="preserve">(6.2.5.3).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Maritime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adjustment costs 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One-off MRV costs</w:t>
      </w:r>
      <w:r>
        <w:t xml:space="preserve"> </w:t>
      </w:r>
      <w:r>
        <w:t xml:space="preserve">for smaller ships</w:t>
      </w:r>
      <w:r>
        <w:t xml:space="preserve"> </w:t>
      </w:r>
      <w:r>
        <w:t xml:space="preserve">estimated at EUR 3</w:t>
      </w:r>
      <w:r>
        <w:t xml:space="preserve"> </w:t>
      </w:r>
      <w:r>
        <w:t xml:space="preserve">193 on average per</w:t>
      </w:r>
      <w:r>
        <w:t xml:space="preserve"> </w:t>
      </w:r>
      <w:r>
        <w:t xml:space="preserve">vessel.</w:t>
      </w:r>
      <w:r>
        <w:t xml:space="preserve"> </w:t>
      </w:r>
      <w:r>
        <w:t xml:space="preserve">Potential MRV savings of 10%-20% of</w:t>
      </w:r>
      <w:r>
        <w:t xml:space="preserve"> </w:t>
      </w:r>
      <w:r>
        <w:t xml:space="preserve">current MRV from simplification</w:t>
      </w:r>
      <w:r>
        <w:t xml:space="preserve"> </w:t>
      </w:r>
      <w:r>
        <w:t xml:space="preserve">measures aimed at aligning requirements</w:t>
      </w:r>
      <w:r>
        <w:t xml:space="preserve"> </w:t>
      </w:r>
      <w:r>
        <w:t xml:space="preserve">across different regulatory frameworks</w:t>
      </w:r>
      <w:r>
        <w:t xml:space="preserve"> </w:t>
      </w:r>
      <w:r>
        <w:t xml:space="preserve">(6.2.2.4).</w:t>
      </w:r>
      <w:r>
        <w:t xml:space="preserve"> </w:t>
      </w:r>
      <w:r>
        <w:t xml:space="preserve">Recurrent MRV costs for smaller ships</w:t>
      </w:r>
      <w:r>
        <w:t xml:space="preserve"> </w:t>
      </w:r>
      <w:r>
        <w:t xml:space="preserve">estimated at EUR 3 690 on average, partly</w:t>
      </w:r>
      <w:r>
        <w:t xml:space="preserve"> </w:t>
      </w:r>
      <w:r>
        <w:t xml:space="preserve">offset by eligibility for decarbonisation</w:t>
      </w:r>
      <w:r>
        <w:t xml:space="preserve"> </w:t>
      </w:r>
      <w:r>
        <w:t xml:space="preserve">support.</w:t>
      </w:r>
    </w:p>
    <w:p>
      <w:pPr>
        <w:pStyle w:val="BodyText"/>
      </w:pPr>
      <w:r>
        <w:t xml:space="preserve">ETS extension to smaller vessels</w:t>
      </w:r>
      <w:r>
        <w:t xml:space="preserve"> </w:t>
      </w:r>
      <w:r>
        <w:t xml:space="preserve">estimated to increase public</w:t>
      </w:r>
      <w:r>
        <w:t xml:space="preserve"> </w:t>
      </w:r>
      <w:r>
        <w:t xml:space="preserve">authority MRV and</w:t>
      </w:r>
      <w:r>
        <w:t xml:space="preserve"> </w:t>
      </w:r>
      <w:r>
        <w:t xml:space="preserve">administrative cost by EUR</w:t>
      </w:r>
      <w:r>
        <w:t xml:space="preserve"> </w:t>
      </w:r>
      <w:r>
        <w:t xml:space="preserve">0.74m per year (6.2.5.4).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 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Extension of ETS scope to smaller vessels</w:t>
      </w:r>
      <w:r>
        <w:t xml:space="preserve"> </w:t>
      </w:r>
      <w:r>
        <w:t xml:space="preserve">increases shipping costs by EUR 1.2 bn in</w:t>
      </w:r>
      <w:r>
        <w:t xml:space="preserve"> </w:t>
      </w:r>
      <w:r>
        <w:t xml:space="preserve">2030, 1.8 billion in 2040 &amp; 0.7 bn in</w:t>
      </w:r>
      <w:r>
        <w:t xml:space="preserve"> </w:t>
      </w:r>
      <w:r>
        <w:t xml:space="preserve">2050. (ETS costs, fuel costs,</w:t>
      </w:r>
      <w:r>
        <w:t xml:space="preserve"> </w:t>
      </w:r>
      <w:r>
        <w:t xml:space="preserve">decarbonisation capex) (6.2.1.5).</w:t>
      </w:r>
      <w:r>
        <w:t xml:space="preserve"> </w:t>
      </w:r>
      <w:r>
        <w:t xml:space="preserve">Extension of existing derogations reduces</w:t>
      </w:r>
      <w:r>
        <w:t xml:space="preserve"> </w:t>
      </w:r>
      <w:r>
        <w:t xml:space="preserve">compliance costs compared to baseline by</w:t>
      </w:r>
      <w:r>
        <w:t xml:space="preserve"> </w:t>
      </w:r>
      <w:r>
        <w:t xml:space="preserve">estimated EUR 546m in 2031 (6.2.1.5).</w:t>
      </w:r>
      <w:r>
        <w:t xml:space="preserve"> </w:t>
      </w:r>
      <w:r>
        <w:t xml:space="preserve">Preferred option’s IMO deduction lowers</w:t>
      </w:r>
      <w:r>
        <w:t xml:space="preserve"> </w:t>
      </w:r>
      <w:r>
        <w:t xml:space="preserve">compliance costs compared to baseline.</w:t>
      </w:r>
      <w:r>
        <w:t xml:space="preserve"> </w:t>
      </w:r>
      <w:r>
        <w:t xml:space="preserve">N/A</w:t>
      </w:r>
      <w:r>
        <w:t xml:space="preserve"> </w:t>
      </w:r>
      <w:r>
        <w:t xml:space="preserve">Member States may face fiscal</w:t>
      </w:r>
      <w:r>
        <w:t xml:space="preserve"> </w:t>
      </w:r>
      <w:r>
        <w:t xml:space="preserve">cost of sustainable maritime</w:t>
      </w:r>
      <w:r>
        <w:t xml:space="preserve"> </w:t>
      </w:r>
      <w:r>
        <w:t xml:space="preserve">alternative propulsion (SMAP)</w:t>
      </w:r>
      <w:r>
        <w:t xml:space="preserve"> </w:t>
      </w:r>
      <w:r>
        <w:t xml:space="preserve">following expiry of EU</w:t>
      </w:r>
      <w:r>
        <w:t xml:space="preserve"> </w:t>
      </w:r>
      <w:r>
        <w:t xml:space="preserve">programme (6.2.5.4).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Carbon leakage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 reduction</w:t>
      </w:r>
      <w:r>
        <w:t xml:space="preserve"> </w:t>
      </w:r>
      <w:r>
        <w:t xml:space="preserve">due to avoiding</w:t>
      </w:r>
      <w:r>
        <w:t xml:space="preserve"> </w:t>
      </w:r>
      <w:r>
        <w:t xml:space="preserve">carbon leakage</w:t>
      </w:r>
      <w:r>
        <w:t xml:space="preserve"> </w:t>
      </w:r>
      <w:r>
        <w:t xml:space="preserve">list update</w:t>
      </w:r>
      <w:r>
        <w:t xml:space="preserve"> </w:t>
      </w:r>
      <w:r>
        <w:t xml:space="preserve">(6.2.2.5).</w:t>
      </w:r>
      <w:r>
        <w:t xml:space="preserve"> </w:t>
      </w:r>
      <w:r>
        <w:t xml:space="preserve">Reduction in the cost of</w:t>
      </w:r>
      <w:r>
        <w:t xml:space="preserve"> </w:t>
      </w:r>
      <w:r>
        <w:t xml:space="preserve">adjusting to free allocation</w:t>
      </w:r>
      <w:r>
        <w:t xml:space="preserve"> </w:t>
      </w:r>
      <w:r>
        <w:t xml:space="preserve">phase-out compared to</w:t>
      </w:r>
      <w:r>
        <w:t xml:space="preserve"> </w:t>
      </w:r>
      <w:r>
        <w:t xml:space="preserve">baseline (increased free</w:t>
      </w:r>
      <w:r>
        <w:t xml:space="preserve"> </w:t>
      </w:r>
      <w:r>
        <w:t xml:space="preserve">allocation of 39% in 2031-</w:t>
      </w:r>
      <w:r>
        <w:t xml:space="preserve"> </w:t>
      </w:r>
      <w:r>
        <w:t xml:space="preserve">2040) (Annex 12, Table 4).</w:t>
      </w:r>
      <w:r>
        <w:t xml:space="preserve"> </w:t>
      </w:r>
      <w:r>
        <w:t xml:space="preserve">N/A</w:t>
      </w:r>
      <w:r>
        <w:t xml:space="preserve"> </w:t>
      </w:r>
      <w:r>
        <w:t xml:space="preserve">Cost reduction due to simplification,</w:t>
      </w:r>
      <w:r>
        <w:t xml:space="preserve"> </w:t>
      </w:r>
      <w:r>
        <w:t xml:space="preserve">including avoiding carbon leakage</w:t>
      </w:r>
      <w:r>
        <w:t xml:space="preserve"> </w:t>
      </w:r>
      <w:r>
        <w:t xml:space="preserve">list update (6.2.5.5).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costs N/A</w:t>
      </w:r>
      <w:r>
        <w:t xml:space="preserve"> </w:t>
      </w:r>
      <w:r>
        <w:t xml:space="preserve">N/A</w:t>
      </w:r>
      <w:r>
        <w:t xml:space="preserve"> </w:t>
      </w:r>
      <w:r>
        <w:t xml:space="preserve">Costs related to the extension of free allocation</w:t>
      </w:r>
      <w:r>
        <w:t xml:space="preserve"> </w:t>
      </w:r>
      <w:r>
        <w:t xml:space="preserve">conditionality. Estimated one-off cost of EUR</w:t>
      </w:r>
      <w:r>
        <w:t xml:space="preserve"> </w:t>
      </w:r>
      <w:r>
        <w:t xml:space="preserve">0.02 (&lt;0.1%) per tonne CO2, or EUR 8m in</w:t>
      </w:r>
      <w:r>
        <w:t xml:space="preserve"> </w:t>
      </w:r>
      <w:r>
        <w:t xml:space="preserve">total: derived using Standard Cost Model (Table</w:t>
      </w:r>
      <w:r>
        <w:t xml:space="preserve"> </w:t>
      </w:r>
      <w:r>
        <w:t xml:space="preserve">16 of main Impact Assessment, Annex 12,</w:t>
      </w:r>
      <w:r>
        <w:t xml:space="preserve"> </w:t>
      </w:r>
      <w:r>
        <w:t xml:space="preserve">Section 1.4.2.2.1).</w:t>
      </w:r>
      <w:r>
        <w:t xml:space="preserve"> </w:t>
      </w:r>
      <w:r>
        <w:t xml:space="preserve">Very little cost increase expected for</w:t>
      </w:r>
      <w:r>
        <w:t xml:space="preserve"> </w:t>
      </w:r>
      <w:r>
        <w:t xml:space="preserve">conditionality related to indirect carbon cost</w:t>
      </w:r>
      <w:r>
        <w:t xml:space="preserve"> </w:t>
      </w:r>
      <w:r>
        <w:t xml:space="preserve">(ICC) since existing State aid-based approach is</w:t>
      </w:r>
      <w:r>
        <w:t xml:space="preserve"> </w:t>
      </w:r>
      <w:r>
        <w:t xml:space="preserve">maintained.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Waste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adjustment costs 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MRV cost already applies since 2024. Annual MRV costs of EUR 7.8 – 78</w:t>
      </w:r>
      <w:r>
        <w:t xml:space="preserve"> </w:t>
      </w:r>
      <w:r>
        <w:t xml:space="preserve">million depending on plant size (6.2.2.6). Cost is minimised by building on</w:t>
      </w:r>
      <w:r>
        <w:t xml:space="preserve"> </w:t>
      </w:r>
      <w:r>
        <w:t xml:space="preserve">existing ETS and Industrial Emissions Directive processes and practices</w:t>
      </w:r>
      <w:r>
        <w:t xml:space="preserve"> </w:t>
      </w:r>
      <w:r>
        <w:t xml:space="preserve">(Table 16 of main Impact Assessment, Annex 13, Section 1.6.2.1.1).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 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Carbon cost for municipal waste estimated at</w:t>
      </w:r>
      <w:r>
        <w:t xml:space="preserve"> </w:t>
      </w:r>
      <w:r>
        <w:t xml:space="preserve">EUR 39-66 per tonne in 2031 (Annex 13,</w:t>
      </w:r>
      <w:r>
        <w:t xml:space="preserve"> </w:t>
      </w:r>
      <w:r>
        <w:t xml:space="preserve">Section 1.3).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Average annual household waste management</w:t>
      </w:r>
      <w:r>
        <w:t xml:space="preserve"> </w:t>
      </w:r>
      <w:r>
        <w:t xml:space="preserve">fee increases in the order of 4.5%-8.8% or</w:t>
      </w:r>
      <w:r>
        <w:t xml:space="preserve"> </w:t>
      </w:r>
      <w:r>
        <w:t xml:space="preserve">EUR 10-15 on annual basis, based on current</w:t>
      </w:r>
      <w:r>
        <w:t xml:space="preserve"> </w:t>
      </w:r>
      <w:r>
        <w:t xml:space="preserve">experience and depending on waste</w:t>
      </w:r>
      <w:r>
        <w:t xml:space="preserve"> </w:t>
      </w:r>
      <w:r>
        <w:t xml:space="preserve">prevention and collection policies applied</w:t>
      </w:r>
      <w:r>
        <w:t xml:space="preserve"> </w:t>
      </w:r>
      <w:r>
        <w:t xml:space="preserve">(6.2.5.6.)</w:t>
      </w:r>
      <w:r>
        <w:t xml:space="preserve"> </w:t>
      </w:r>
      <w:r>
        <w:t xml:space="preserve">N/A</w:t>
      </w:r>
      <w:r>
        <w:t xml:space="preserve"> </w:t>
      </w:r>
      <w:r>
        <w:t xml:space="preserve">Cost passthrough to competent authorities</w:t>
      </w:r>
      <w:r>
        <w:t xml:space="preserve"> </w:t>
      </w:r>
      <w:r>
        <w:t xml:space="preserve">projected to add 39-66% to gate fee if fully</w:t>
      </w:r>
      <w:r>
        <w:t xml:space="preserve"> </w:t>
      </w:r>
      <w:r>
        <w:t xml:space="preserve">passed through (Annex 13, Section 1.3).</w:t>
      </w:r>
      <w:r>
        <w:t xml:space="preserve"> </w:t>
      </w:r>
      <w:r>
        <w:t xml:space="preserve">Projected to foster increase in cost-mitigating</w:t>
      </w:r>
      <w:r>
        <w:t xml:space="preserve"> </w:t>
      </w:r>
      <w:r>
        <w:t xml:space="preserve">actions: waste reduction (+10%-20%) and</w:t>
      </w:r>
      <w:r>
        <w:t xml:space="preserve"> </w:t>
      </w:r>
      <w:r>
        <w:t xml:space="preserve">recycling (+16%-23%). (Annex 13, Section</w:t>
      </w:r>
      <w:r>
        <w:t xml:space="preserve"> </w:t>
      </w:r>
      <w:r>
        <w:t xml:space="preserve">1.6.2.1).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Carbon Capture and Utilisation</w:t>
      </w:r>
      <w:r>
        <w:t xml:space="preserve"> </w:t>
      </w:r>
      <w:r>
        <w:t xml:space="preserve">• The main effect of the preferred option reduces overall costs by providing more flexibility to operators.</w:t>
      </w:r>
      <w:r>
        <w:t xml:space="preserve"> </w:t>
      </w:r>
      <w:r>
        <w:t xml:space="preserve">• The proposal is to adopt hybrid downstream and midstream accounting, enabling operators who capture their CO2 emissions to pass</w:t>
      </w:r>
      <w:r>
        <w:t xml:space="preserve"> </w:t>
      </w:r>
      <w:r>
        <w:t xml:space="preserve">the carbon cost down the supply chain to the eventual emitter, thereby adding flexibility compared to the baseline (upstream accounting</w:t>
      </w:r>
      <w:r>
        <w:t xml:space="preserve"> </w:t>
      </w:r>
      <w:r>
        <w:t xml:space="preserve">with no opportunity to pass non-permanent carbon capture cost down the value chain).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 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 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Simplification for operators who capture CO2. Operators will be able to</w:t>
      </w:r>
      <w:r>
        <w:t xml:space="preserve"> </w:t>
      </w:r>
      <w:r>
        <w:t xml:space="preserve">report CO2 as captured and transferred to another ETS installation,</w:t>
      </w:r>
      <w:r>
        <w:t xml:space="preserve"> </w:t>
      </w:r>
      <w:r>
        <w:t xml:space="preserve">regardless of the subsequent purpose (6.2.2.7).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Opportunity to reduce carbon costs by replacing direct emissions with CCU.</w:t>
      </w:r>
    </w:p>
    <w:p>
      <w:pPr>
        <w:pStyle w:val="BodyText"/>
      </w:pPr>
      <w:r>
        <w:t xml:space="preserve">Increase in compliance costs for e-fuel producers, who become responsible</w:t>
      </w:r>
      <w:r>
        <w:t xml:space="preserve"> </w:t>
      </w:r>
      <w:r>
        <w:t xml:space="preserve">for fossil CO2 used in their production (6.2.1.8).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2.3. Application of the “one in, one out” approach – Preferred option</w:t>
      </w:r>
      <w:r>
        <w:t xml:space="preserve"> </w:t>
      </w:r>
      <w:r>
        <w:t xml:space="preserve">III. Application of the ‘one in, one out’ approach – Preferred option</w:t>
      </w:r>
      <w:r>
        <w:t xml:space="preserve"> </w:t>
      </w:r>
      <w:r>
        <w:t xml:space="preserve">Type of burden</w:t>
      </w:r>
      <w:r>
        <w:t xml:space="preserve"> </w:t>
      </w:r>
      <w:r>
        <w:t xml:space="preserve">One off</w:t>
      </w:r>
      <w:r>
        <w:br/>
      </w:r>
      <w:r>
        <w:t xml:space="preserve">(annualised total net present value over</w:t>
      </w:r>
      <w:r>
        <w:t xml:space="preserve"> </w:t>
      </w:r>
      <w:r>
        <w:t xml:space="preserve">the relevant period)</w:t>
      </w:r>
      <w:r>
        <w:t xml:space="preserve"> </w:t>
      </w:r>
      <w:r>
        <w:t xml:space="preserve">Recurrent</w:t>
      </w:r>
      <w:r>
        <w:br/>
      </w:r>
      <w:r>
        <w:t xml:space="preserve">(nominal values)</w:t>
      </w:r>
      <w:r>
        <w:t xml:space="preserve"> </w:t>
      </w:r>
      <w:r>
        <w:t xml:space="preserve">Comments</w:t>
      </w:r>
      <w:r>
        <w:t xml:space="preserve"> </w:t>
      </w:r>
      <w:r>
        <w:t xml:space="preserve">Businesses</w:t>
      </w:r>
      <w:r>
        <w:t xml:space="preserve"> </w:t>
      </w:r>
      <w:r>
        <w:t xml:space="preserve">New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Moderate.</w:t>
      </w:r>
      <w:r>
        <w:br/>
      </w:r>
      <w:r>
        <w:t xml:space="preserve">Includes:</w:t>
      </w:r>
    </w:p>
    <w:p>
      <w:pPr>
        <w:pStyle w:val="BodyText"/>
      </w:pPr>
      <w:r>
        <w:t xml:space="preserve">EUR 8m EU-wide associated with free</w:t>
      </w:r>
      <w:r>
        <w:t xml:space="preserve"> </w:t>
      </w:r>
      <w:r>
        <w:t xml:space="preserve">allocation</w:t>
      </w:r>
      <w:r>
        <w:t xml:space="preserve"> </w:t>
      </w:r>
      <w:r>
        <w:t xml:space="preserve">conditionality.</w:t>
      </w:r>
      <w:r>
        <w:t xml:space="preserve"> </w:t>
      </w:r>
      <w:r>
        <w:t xml:space="preserve">(Annex</w:t>
      </w:r>
      <w:r>
        <w:t xml:space="preserve"> </w:t>
      </w:r>
      <w:r>
        <w:t xml:space="preserve">12,</w:t>
      </w:r>
      <w:r>
        <w:t xml:space="preserve"> </w:t>
      </w:r>
      <w:r>
        <w:t xml:space="preserve">Section 1.4.2.2.1)</w:t>
      </w:r>
    </w:p>
    <w:p>
      <w:pPr>
        <w:pStyle w:val="BodyText"/>
      </w:pPr>
      <w:r>
        <w:t xml:space="preserve">Waste incineration facility. (Annex 13,</w:t>
      </w:r>
      <w:r>
        <w:t xml:space="preserve"> </w:t>
      </w:r>
      <w:r>
        <w:t xml:space="preserve">Section 1.7.2)</w:t>
      </w:r>
    </w:p>
    <w:p>
      <w:pPr>
        <w:pStyle w:val="BodyText"/>
      </w:pPr>
      <w:r>
        <w:t xml:space="preserve">Maritime: ETS extension to smaller</w:t>
      </w:r>
      <w:r>
        <w:t xml:space="preserve"> </w:t>
      </w:r>
      <w:r>
        <w:t xml:space="preserve">vessels</w:t>
      </w:r>
      <w:r>
        <w:br/>
      </w:r>
      <w:r>
        <w:t xml:space="preserve">Includes:</w:t>
      </w:r>
    </w:p>
    <w:p>
      <w:pPr>
        <w:pStyle w:val="BodyText"/>
      </w:pPr>
      <w:r>
        <w:t xml:space="preserve">Maritime: ETS extension to smaller</w:t>
      </w:r>
      <w:r>
        <w:t xml:space="preserve"> </w:t>
      </w:r>
      <w:r>
        <w:t xml:space="preserve">vessels. Estimated at EUR 15m total cost</w:t>
      </w:r>
      <w:r>
        <w:t xml:space="preserve"> </w:t>
      </w:r>
      <w:r>
        <w:t xml:space="preserve">(6.2.2.4)</w:t>
      </w:r>
      <w:r>
        <w:t xml:space="preserve"> </w:t>
      </w:r>
      <w:r>
        <w:t xml:space="preserve">Administrative effort associated with use of</w:t>
      </w:r>
      <w:r>
        <w:t xml:space="preserve"> </w:t>
      </w:r>
      <w:r>
        <w:t xml:space="preserve">measures that are optional for operators:</w:t>
      </w:r>
      <w:r>
        <w:t xml:space="preserve"> </w:t>
      </w:r>
      <w:r>
        <w:t xml:space="preserve">•</w:t>
      </w:r>
      <w:r>
        <w:t xml:space="preserve"> </w:t>
      </w:r>
      <w:r>
        <w:t xml:space="preserve">New MRV requirements for CCU</w:t>
      </w:r>
      <w:r>
        <w:t xml:space="preserve"> </w:t>
      </w:r>
      <w:r>
        <w:t xml:space="preserve">operators;</w:t>
      </w:r>
      <w:r>
        <w:t xml:space="preserve"> </w:t>
      </w:r>
      <w:r>
        <w:t xml:space="preserve">•</w:t>
      </w:r>
      <w:r>
        <w:t xml:space="preserve"> </w:t>
      </w:r>
      <w:r>
        <w:t xml:space="preserve">Reporting for removals certification</w:t>
      </w:r>
    </w:p>
    <w:p>
      <w:pPr>
        <w:pStyle w:val="BodyText"/>
      </w:pP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Simplification from discontinuing carbon-</w:t>
      </w:r>
      <w:r>
        <w:t xml:space="preserve"> </w:t>
      </w:r>
      <w:r>
        <w:t xml:space="preserve">leakage risk updates – approx. EUR 27m</w:t>
      </w:r>
      <w:r>
        <w:t xml:space="preserve"> </w:t>
      </w:r>
      <w:r>
        <w:t xml:space="preserve">savings based on 2015 cost calculations</w:t>
      </w:r>
      <w:r>
        <w:t xml:space="preserve"> </w:t>
      </w:r>
      <w:r>
        <w:t xml:space="preserve">(SWD(2015)135) - (Annex 12, Section 1.3)</w:t>
      </w:r>
      <w:r>
        <w:t xml:space="preserve"> </w:t>
      </w:r>
      <w:r>
        <w:t xml:space="preserve">Simplification and limited extension of</w:t>
      </w:r>
      <w:r>
        <w:t xml:space="preserve"> </w:t>
      </w:r>
      <w:r>
        <w:t xml:space="preserve">derogations in maritime (6.2.2.4)</w:t>
      </w:r>
      <w:r>
        <w:t xml:space="preserve"> </w:t>
      </w:r>
      <w:r>
        <w:t xml:space="preserve">Simplification and limited extension of</w:t>
      </w:r>
      <w:r>
        <w:t xml:space="preserve"> </w:t>
      </w:r>
      <w:r>
        <w:t xml:space="preserve">derogations in maritime (6.2.2.4)</w:t>
      </w:r>
      <w:r>
        <w:t xml:space="preserve"> </w:t>
      </w:r>
      <w:r>
        <w:t xml:space="preserve">Lower administrative burden in aviation</w:t>
      </w:r>
      <w:r>
        <w:t xml:space="preserve"> </w:t>
      </w:r>
      <w:r>
        <w:t xml:space="preserve">(6.2.2.3)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Net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Moderate</w:t>
      </w:r>
      <w:r>
        <w:t xml:space="preserve"> </w:t>
      </w:r>
      <w:r>
        <w:t xml:space="preserve">Moderate</w:t>
      </w:r>
      <w:r>
        <w:t xml:space="preserve"> </w:t>
      </w:r>
      <w:r>
        <w:t xml:space="preserve">Net increase mainly from new operator groups</w:t>
      </w:r>
      <w:r>
        <w:t xml:space="preserve"> </w:t>
      </w:r>
      <w:r>
        <w:t xml:space="preserve">and conditionality requirement for free</w:t>
      </w:r>
      <w:r>
        <w:t xml:space="preserve"> </w:t>
      </w:r>
      <w:r>
        <w:t xml:space="preserve">allocation</w:t>
      </w:r>
      <w:r>
        <w:t xml:space="preserve"> </w:t>
      </w:r>
      <w:r>
        <w:t xml:space="preserve">Adjustment costs **</w:t>
      </w:r>
      <w:r>
        <w:t xml:space="preserve"> </w:t>
      </w:r>
      <w:r>
        <w:t xml:space="preserve">Moderate</w:t>
      </w:r>
      <w:r>
        <w:t xml:space="preserve"> </w:t>
      </w:r>
      <w:r>
        <w:t xml:space="preserve">-</w:t>
      </w:r>
      <w:r>
        <w:t xml:space="preserve"> </w:t>
      </w:r>
      <w:r>
        <w:t xml:space="preserve">One-off system adjustments (permit updates,</w:t>
      </w:r>
      <w:r>
        <w:t xml:space="preserve"> </w:t>
      </w:r>
      <w:r>
        <w:t xml:space="preserve">MRV digitalisation, registry onboarding)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New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Moderate (registry updates, verification</w:t>
      </w:r>
      <w:r>
        <w:t xml:space="preserve"> </w:t>
      </w:r>
      <w:r>
        <w:t xml:space="preserve">oversight)</w:t>
      </w:r>
      <w:r>
        <w:t xml:space="preserve"> </w:t>
      </w:r>
      <w:r>
        <w:t xml:space="preserve">Moderate (compliance monitoring, MRV</w:t>
      </w:r>
      <w:r>
        <w:t xml:space="preserve"> </w:t>
      </w:r>
      <w:r>
        <w:t xml:space="preserve">verification)</w:t>
      </w:r>
      <w:r>
        <w:t xml:space="preserve"> </w:t>
      </w:r>
      <w:r>
        <w:t xml:space="preserve">Expansion of ETS coverage (MWIs, CCU,</w:t>
      </w:r>
      <w:r>
        <w:t xml:space="preserve"> </w:t>
      </w:r>
      <w:r>
        <w:t xml:space="preserve">CDR);</w:t>
      </w:r>
      <w:r>
        <w:t xml:space="preserve"> </w:t>
      </w:r>
      <w:r>
        <w:t xml:space="preserve">verification</w:t>
      </w:r>
      <w:r>
        <w:t xml:space="preserve"> </w:t>
      </w:r>
      <w:r>
        <w:t xml:space="preserve">of</w:t>
      </w:r>
      <w:r>
        <w:t xml:space="preserve"> </w:t>
      </w:r>
      <w:r>
        <w:t xml:space="preserve">free-allocation</w:t>
      </w:r>
      <w:r>
        <w:t xml:space="preserve"> </w:t>
      </w:r>
      <w:r>
        <w:t xml:space="preserve">conditionality.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Minor</w:t>
      </w:r>
      <w:r>
        <w:t xml:space="preserve"> </w:t>
      </w:r>
      <w:r>
        <w:t xml:space="preserve">Minor</w:t>
      </w:r>
      <w:r>
        <w:t xml:space="preserve"> </w:t>
      </w:r>
      <w:r>
        <w:t xml:space="preserve">Fewer carbon leakage list review; harmonised</w:t>
      </w:r>
      <w:r>
        <w:t xml:space="preserve"> </w:t>
      </w:r>
      <w:r>
        <w:t xml:space="preserve">verification guidance</w:t>
      </w:r>
      <w:r>
        <w:t xml:space="preserve"> </w:t>
      </w:r>
      <w:r>
        <w:t xml:space="preserve">Net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Moderate</w:t>
      </w:r>
      <w:r>
        <w:t xml:space="preserve"> </w:t>
      </w:r>
      <w:r>
        <w:t xml:space="preserve">Moderate</w:t>
      </w:r>
      <w:r>
        <w:t xml:space="preserve"> </w:t>
      </w:r>
      <w:r>
        <w:t xml:space="preserve">Can be absorbed within existing ETS</w:t>
      </w:r>
      <w:r>
        <w:t xml:space="preserve"> </w:t>
      </w:r>
      <w:r>
        <w:t xml:space="preserve">structures and systems</w:t>
      </w:r>
      <w:r>
        <w:t xml:space="preserve"> </w:t>
      </w:r>
      <w:r>
        <w:t xml:space="preserve">Total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Moderate overall increase</w:t>
      </w:r>
      <w:r>
        <w:t xml:space="preserve"> </w:t>
      </w:r>
      <w:r>
        <w:t xml:space="preserve">Moderate overall increase</w:t>
      </w:r>
      <w:r>
        <w:t xml:space="preserve"> </w:t>
      </w:r>
      <w:r>
        <w:t xml:space="preserve">New obligations offset partly by avoided costs</w:t>
      </w:r>
      <w:r>
        <w:t xml:space="preserve"> </w:t>
      </w:r>
      <w:r>
        <w:t xml:space="preserve">for small emitters and simplifications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3. RELEVANT SUSTAINABLE DEVELOPMENT GOALS</w:t>
      </w:r>
      <w:r>
        <w:t xml:space="preserve"> </w:t>
      </w:r>
      <w:r>
        <w:t xml:space="preserve">IV. Overview of relevant Sustainable Development Goals – Preferred Option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</w:t>
      </w:r>
      <w:r>
        <w:t xml:space="preserve"> </w:t>
      </w:r>
      <w:r>
        <w:t xml:space="preserve">13</w:t>
      </w:r>
      <w:r>
        <w:t xml:space="preserve"> </w:t>
      </w:r>
      <w:r>
        <w:t xml:space="preserve">–</w:t>
      </w:r>
      <w:r>
        <w:t xml:space="preserve"> </w:t>
      </w:r>
      <w:r>
        <w:t xml:space="preserve">Climate</w:t>
      </w:r>
      <w:r>
        <w:t xml:space="preserve"> </w:t>
      </w:r>
      <w:r>
        <w:t xml:space="preserve">Action</w:t>
      </w:r>
      <w:r>
        <w:t xml:space="preserve"> </w:t>
      </w:r>
      <w:r>
        <w:t xml:space="preserve">The revised ETS cap trajectory and inclusion of additional sectors (MWIs, CCU, removals) will contribute to the</w:t>
      </w:r>
      <w:r>
        <w:t xml:space="preserve"> </w:t>
      </w:r>
      <w:r>
        <w:t xml:space="preserve">EU’s economy-wide GHG reduction target for 2040, ensuring continued progress towards the EU’s 2050 climate-</w:t>
      </w:r>
      <w:r>
        <w:t xml:space="preserve"> </w:t>
      </w:r>
      <w:r>
        <w:t xml:space="preserve">neutrality target, which in turn contributes to SDG 13.</w:t>
      </w:r>
      <w:r>
        <w:br/>
      </w:r>
      <w:r>
        <w:t xml:space="preserve">The proposal also reduces the share of GHG emissions that are not subject to carbon pricing by expanding the EU</w:t>
      </w:r>
      <w:r>
        <w:t xml:space="preserve"> </w:t>
      </w:r>
      <w:r>
        <w:t xml:space="preserve">ETS scope in shipping, maritime and waste.</w:t>
      </w:r>
      <w:r>
        <w:br/>
      </w:r>
      <w:r>
        <w:t xml:space="preserve">The extension of the scope of the EU ETS maritime sector with smaller ships and the new measures to better avoid</w:t>
      </w:r>
      <w:r>
        <w:t xml:space="preserve"> </w:t>
      </w:r>
      <w:r>
        <w:t xml:space="preserve">the risk of carbon leakage incentivise shipowners and relevant operators to adopt cleaner technologies, alternative</w:t>
      </w:r>
      <w:r>
        <w:t xml:space="preserve"> </w:t>
      </w:r>
      <w:r>
        <w:t xml:space="preserve">fuels, and energy-efficient practices. This supports Target 13.3 by strengthening institutional and industry capacity</w:t>
      </w:r>
      <w:r>
        <w:t xml:space="preserve"> </w:t>
      </w:r>
      <w:r>
        <w:t xml:space="preserve">for mitigation and low-carbon transition.</w:t>
      </w:r>
      <w:r>
        <w:br/>
      </w:r>
      <w:r>
        <w:t xml:space="preserve">Similarly, the EU is appropriately bringing effective carbon pricing into a larger share of the hard to abate aviation</w:t>
      </w:r>
      <w:r>
        <w:t xml:space="preserve"> </w:t>
      </w:r>
      <w:r>
        <w:t xml:space="preserve">sector, aligning with SDG 13).</w:t>
      </w:r>
      <w:r>
        <w:br/>
      </w:r>
      <w:r>
        <w:t xml:space="preserve">Positive</w:t>
      </w:r>
      <w:r>
        <w:t xml:space="preserve"> </w:t>
      </w:r>
      <w:r>
        <w:t xml:space="preserve">contribution</w:t>
      </w:r>
      <w:r>
        <w:t xml:space="preserve"> </w:t>
      </w:r>
      <w:r>
        <w:t xml:space="preserve">is</w:t>
      </w:r>
      <w:r>
        <w:t xml:space="preserve"> </w:t>
      </w:r>
      <w:r>
        <w:t xml:space="preserve">reinforced by improved market</w:t>
      </w:r>
      <w:r>
        <w:t xml:space="preserve"> </w:t>
      </w:r>
      <w:r>
        <w:t xml:space="preserve">stability (MSR reform) and</w:t>
      </w:r>
      <w:r>
        <w:t xml:space="preserve"> </w:t>
      </w:r>
      <w:r>
        <w:t xml:space="preserve">stronger investment incentives.</w:t>
      </w:r>
      <w:r>
        <w:t xml:space="preserve"> </w:t>
      </w:r>
      <w:r>
        <w:t xml:space="preserve">SDG</w:t>
      </w:r>
      <w:r>
        <w:t xml:space="preserve"> </w:t>
      </w:r>
      <w:r>
        <w:t xml:space="preserve">9</w:t>
      </w:r>
      <w:r>
        <w:t xml:space="preserve"> </w:t>
      </w:r>
      <w:r>
        <w:t xml:space="preserve">–</w:t>
      </w:r>
      <w:r>
        <w:t xml:space="preserve"> </w:t>
      </w:r>
      <w:r>
        <w:t xml:space="preserve">Industry,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Strengthened support instruments (notably Industrial Decarbonisation Bank), conditional free allocation (linked</w:t>
      </w:r>
      <w:r>
        <w:t xml:space="preserve"> </w:t>
      </w:r>
      <w:r>
        <w:t xml:space="preserve">to verified climate-neutral investment plans), scope extension (to waste and removals), and account changes for</w:t>
      </w:r>
      <w:r>
        <w:t xml:space="preserve"> </w:t>
      </w:r>
      <w:r>
        <w:t xml:space="preserve">CCU, drive large-scale deployment of low-carbon technologies and new infrastructure for CCU and CDR.</w:t>
      </w:r>
      <w:r>
        <w:br/>
      </w:r>
      <w:r>
        <w:t xml:space="preserve">Support mechanism for fuels and propulsion technologies in maritime helps companies to modernise their fleet</w:t>
      </w:r>
      <w:r>
        <w:t xml:space="preserve"> </w:t>
      </w:r>
      <w:r>
        <w:t xml:space="preserve">and incentivises clean fuels and technology production in the EU.</w:t>
      </w:r>
      <w:r>
        <w:br/>
      </w:r>
      <w:r>
        <w:t xml:space="preserve">Similarly, support mechanism for sustainable aviation fuels incentivises clean fuels and technology production in</w:t>
      </w:r>
      <w:r>
        <w:t xml:space="preserve"> </w:t>
      </w:r>
      <w:r>
        <w:t xml:space="preserve">the EU. Both support mechanisms are contributing directly to Target 9.4, which concerns the upgrading of</w:t>
      </w:r>
      <w:r>
        <w:t xml:space="preserve"> </w:t>
      </w:r>
      <w:r>
        <w:t xml:space="preserve">infrastructure and industries to be sustainable and resource-efficient.</w:t>
      </w:r>
      <w:r>
        <w:t xml:space="preserve"> </w:t>
      </w:r>
      <w:r>
        <w:t xml:space="preserve">The extension of the scope of maritime sector in the EU ETS to smaller ships incentivises the shipping industry to</w:t>
      </w:r>
      <w:r>
        <w:t xml:space="preserve"> </w:t>
      </w:r>
      <w:r>
        <w:t xml:space="preserve">innovate and even upgrade its fleets to meet environmental and climate goals.</w:t>
      </w:r>
      <w:r>
        <w:br/>
      </w:r>
      <w:r>
        <w:t xml:space="preserve">Revenues generated through the ETS, alongside support from the EU Innovation Fund and other EU facilitating</w:t>
      </w:r>
      <w:r>
        <w:t xml:space="preserve"> </w:t>
      </w:r>
      <w:r>
        <w:t xml:space="preserve">framework, enable Member States to finance research and deployment of breakthrough technologies, advancing</w:t>
      </w:r>
      <w:r>
        <w:t xml:space="preserve"> </w:t>
      </w:r>
      <w:r>
        <w:t xml:space="preserve">Strongly positive effect on</w:t>
      </w:r>
      <w:r>
        <w:t xml:space="preserve"> </w:t>
      </w:r>
      <w:r>
        <w:t xml:space="preserve">industrial</w:t>
      </w:r>
      <w:r>
        <w:t xml:space="preserve"> </w:t>
      </w:r>
      <w:r>
        <w:t xml:space="preserve">innovation.</w:t>
      </w:r>
      <w:r>
        <w:t xml:space="preserve"> </w:t>
      </w:r>
      <w:r>
        <w:t xml:space="preserve">Transitional compliance costs</w:t>
      </w:r>
      <w:r>
        <w:t xml:space="preserve"> </w:t>
      </w:r>
      <w:r>
        <w:t xml:space="preserve">may challenge some energy-</w:t>
      </w:r>
      <w:r>
        <w:t xml:space="preserve"> </w:t>
      </w:r>
      <w:r>
        <w:t xml:space="preserve">intensive sectors, but these are</w:t>
      </w:r>
      <w:r>
        <w:t xml:space="preserve"> </w:t>
      </w:r>
      <w:r>
        <w:t xml:space="preserve">mitigated by funding from</w:t>
      </w:r>
      <w:r>
        <w:t xml:space="preserve"> </w:t>
      </w:r>
      <w:r>
        <w:t xml:space="preserve">auction</w:t>
      </w:r>
      <w:r>
        <w:t xml:space="preserve"> </w:t>
      </w:r>
      <w:r>
        <w:t xml:space="preserve">revenues</w:t>
      </w:r>
      <w:r>
        <w:t xml:space="preserve"> </w:t>
      </w:r>
      <w:r>
        <w:t xml:space="preserve">and</w:t>
      </w:r>
      <w:r>
        <w:t xml:space="preserve"> </w:t>
      </w:r>
      <w:r>
        <w:t xml:space="preserve">innovation instruments.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Target 9.b on supporting domestic technology development and industrial diversification. Together, these efforts</w:t>
      </w:r>
      <w:r>
        <w:t xml:space="preserve"> </w:t>
      </w:r>
      <w:r>
        <w:t xml:space="preserve">help build a resilient and competitive sectors that foster sustainable industrialization, in fill alignment with Target</w:t>
      </w:r>
      <w:r>
        <w:t xml:space="preserve"> </w:t>
      </w:r>
      <w:r>
        <w:t xml:space="preserve">9.2, which aims to promote inclusive and sustainable industrial growth.</w:t>
      </w:r>
      <w:r>
        <w:br/>
      </w:r>
      <w:r>
        <w:t xml:space="preserve">SDG</w:t>
      </w:r>
      <w:r>
        <w:t xml:space="preserve"> </w:t>
      </w:r>
      <w:r>
        <w:t xml:space="preserve">7</w:t>
      </w:r>
      <w:r>
        <w:t xml:space="preserve"> </w:t>
      </w:r>
      <w:r>
        <w:t xml:space="preserve">–</w:t>
      </w:r>
      <w:r>
        <w:t xml:space="preserve"> </w:t>
      </w:r>
      <w:r>
        <w:t xml:space="preserve">Affordable</w:t>
      </w:r>
      <w:r>
        <w:t xml:space="preserve"> </w:t>
      </w:r>
      <w:r>
        <w:t xml:space="preserve">and</w:t>
      </w:r>
      <w:r>
        <w:t xml:space="preserve"> </w:t>
      </w:r>
      <w:r>
        <w:t xml:space="preserve">Clean</w:t>
      </w:r>
      <w:r>
        <w:t xml:space="preserve"> </w:t>
      </w:r>
      <w:r>
        <w:t xml:space="preserve">Energy</w:t>
      </w:r>
      <w:r>
        <w:t xml:space="preserve"> </w:t>
      </w:r>
      <w:r>
        <w:t xml:space="preserve">Continued carbon pricing across energy and industrial sectors and extension to waste-to-energy strengthens the</w:t>
      </w:r>
      <w:r>
        <w:t xml:space="preserve"> </w:t>
      </w:r>
      <w:r>
        <w:t xml:space="preserve">competitiveness of renewable and low-carbon energy sources. Expected increase in power-sector decarbonisation</w:t>
      </w:r>
      <w:r>
        <w:t xml:space="preserve"> </w:t>
      </w:r>
      <w:r>
        <w:t xml:space="preserve">supports progress towards affordable, clean energy. The proposal also helps expand the market for cleaner fuels</w:t>
      </w:r>
      <w:r>
        <w:t xml:space="preserve"> </w:t>
      </w:r>
      <w:r>
        <w:t xml:space="preserve">in aviation and shipping.</w:t>
      </w:r>
      <w:r>
        <w:t xml:space="preserve"> </w:t>
      </w:r>
      <w:r>
        <w:t xml:space="preserve">Carbon costs may temporarily</w:t>
      </w:r>
      <w:r>
        <w:t xml:space="preserve"> </w:t>
      </w:r>
      <w:r>
        <w:t xml:space="preserve">raise electricity prices; revenues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vulnerable consumers, electro-</w:t>
      </w:r>
      <w:r>
        <w:t xml:space="preserve"> </w:t>
      </w:r>
      <w:r>
        <w:t xml:space="preserve">intensive industries and energy-</w:t>
      </w:r>
      <w:r>
        <w:t xml:space="preserve"> </w:t>
      </w:r>
      <w:r>
        <w:t xml:space="preserve">efficiency measures.</w:t>
      </w:r>
      <w:r>
        <w:t xml:space="preserve"> </w:t>
      </w:r>
      <w:r>
        <w:t xml:space="preserve">SDG</w:t>
      </w:r>
      <w:r>
        <w:t xml:space="preserve"> </w:t>
      </w:r>
      <w:r>
        <w:t xml:space="preserve">11</w:t>
      </w:r>
      <w:r>
        <w:t xml:space="preserve"> </w:t>
      </w:r>
      <w:r>
        <w:t xml:space="preserve">–</w:t>
      </w:r>
      <w:r>
        <w:t xml:space="preserve"> </w:t>
      </w:r>
      <w:r>
        <w:t xml:space="preserve">Sustainable</w:t>
      </w:r>
      <w:r>
        <w:t xml:space="preserve"> </w:t>
      </w:r>
      <w:r>
        <w:t xml:space="preserve">Cities</w:t>
      </w:r>
      <w:r>
        <w:t xml:space="preserve"> </w:t>
      </w:r>
      <w:r>
        <w:t xml:space="preserve">and</w:t>
      </w:r>
      <w:r>
        <w:t xml:space="preserve"> </w:t>
      </w:r>
      <w:r>
        <w:t xml:space="preserve">Communities</w:t>
      </w:r>
      <w:r>
        <w:t xml:space="preserve"> </w:t>
      </w:r>
      <w:r>
        <w:t xml:space="preserve">Inclusion of municipal waste incineration installations reduces local air-pollutant emissions and promotes cleaner</w:t>
      </w:r>
      <w:r>
        <w:t xml:space="preserve"> </w:t>
      </w:r>
      <w:r>
        <w:t xml:space="preserve">urban waste management.</w:t>
      </w:r>
      <w:r>
        <w:br/>
      </w:r>
      <w:r>
        <w:t xml:space="preserve">Positive benefits for public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air</w:t>
      </w:r>
      <w:r>
        <w:t xml:space="preserve"> </w:t>
      </w:r>
      <w:r>
        <w:t xml:space="preserve">quality;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municipalities can be offset by</w:t>
      </w:r>
      <w:r>
        <w:t xml:space="preserve"> </w:t>
      </w:r>
      <w:r>
        <w:t xml:space="preserve">improved sorting and recycling</w:t>
      </w:r>
      <w:r>
        <w:t xml:space="preserve"> </w:t>
      </w:r>
      <w:r>
        <w:t xml:space="preserve">incentives.</w:t>
      </w:r>
      <w:r>
        <w:t xml:space="preserve"> </w:t>
      </w:r>
      <w:r>
        <w:t xml:space="preserve">SDG</w:t>
      </w:r>
      <w:r>
        <w:t xml:space="preserve"> </w:t>
      </w:r>
      <w:r>
        <w:t xml:space="preserve">12</w:t>
      </w:r>
      <w:r>
        <w:t xml:space="preserve"> </w:t>
      </w:r>
      <w:r>
        <w:t xml:space="preserve">–</w:t>
      </w:r>
      <w:r>
        <w:t xml:space="preserve"> </w:t>
      </w:r>
      <w:r>
        <w:t xml:space="preserve">Responsible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ETS coverage of waste incineration and CCU processes encourages circular resource use and waste prevention,</w:t>
      </w:r>
      <w:r>
        <w:t xml:space="preserve"> </w:t>
      </w:r>
      <w:r>
        <w:t xml:space="preserve">supporting responsible production and consumption patterns.</w:t>
      </w:r>
      <w:r>
        <w:br/>
      </w:r>
      <w:r>
        <w:t xml:space="preserve">The extension of the EU ETS scope to private and business jets, used by a very limited group of citizens, will</w:t>
      </w:r>
      <w:r>
        <w:t xml:space="preserve"> </w:t>
      </w:r>
      <w:r>
        <w:t xml:space="preserve">encourage more responsible consumption within aviation; It will also bring in additional ETS revenues, ensuring</w:t>
      </w:r>
      <w:r>
        <w:t xml:space="preserve"> </w:t>
      </w:r>
      <w:r>
        <w:t xml:space="preserve">aviation contributes to the EU decarbonisation.</w:t>
      </w:r>
      <w:r>
        <w:br/>
      </w:r>
      <w:r>
        <w:t xml:space="preserve">Similarly, the extension of the scope of the EU ETS to smaller maritime vessels will encourage more responsible</w:t>
      </w:r>
      <w:r>
        <w:t xml:space="preserve"> </w:t>
      </w:r>
      <w:r>
        <w:t xml:space="preserve">consumption and production patterns within shipping.</w:t>
      </w:r>
      <w:r>
        <w:br/>
      </w:r>
      <w:r>
        <w:t xml:space="preserve">Furthermore, the EU ETS fosters transparency and accountability by requiring detailed and simplified emissions</w:t>
      </w:r>
      <w:r>
        <w:t xml:space="preserve"> </w:t>
      </w:r>
      <w:r>
        <w:t xml:space="preserve">reporting, aligning with Target 12.6, which calls for shipping companies to adopt sustainable practices and</w:t>
      </w:r>
      <w:r>
        <w:t xml:space="preserve"> </w:t>
      </w:r>
      <w:r>
        <w:t xml:space="preserve">integrate sustainability information into reporting cycles.</w:t>
      </w:r>
      <w:r>
        <w:br/>
      </w:r>
      <w:r>
        <w:t xml:space="preserve">Positive</w:t>
      </w:r>
      <w:r>
        <w:t xml:space="preserve"> </w:t>
      </w:r>
      <w:r>
        <w:t xml:space="preserve">effect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constrained by limited short-</w:t>
      </w:r>
      <w:r>
        <w:t xml:space="preserve"> </w:t>
      </w:r>
      <w:r>
        <w:t xml:space="preserve">term</w:t>
      </w:r>
      <w:r>
        <w:t xml:space="preserve"> </w:t>
      </w:r>
      <w:r>
        <w:t xml:space="preserve">recycling</w:t>
      </w:r>
      <w:r>
        <w:t xml:space="preserve"> </w:t>
      </w:r>
      <w:r>
        <w:t xml:space="preserve">capacity;</w:t>
      </w:r>
      <w:r>
        <w:t xml:space="preserve"> </w:t>
      </w:r>
      <w:r>
        <w:t xml:space="preserve">accompanying</w:t>
      </w:r>
      <w:r>
        <w:t xml:space="preserve"> </w:t>
      </w:r>
      <w:r>
        <w:t xml:space="preserve">waste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 will mitigate this.</w:t>
      </w:r>
      <w:r>
        <w:t xml:space="preserve"> </w:t>
      </w:r>
      <w:r>
        <w:t xml:space="preserve">SDG</w:t>
      </w:r>
      <w:r>
        <w:t xml:space="preserve"> </w:t>
      </w:r>
      <w:r>
        <w:t xml:space="preserve">8</w:t>
      </w:r>
      <w:r>
        <w:t xml:space="preserve"> </w:t>
      </w:r>
      <w:r>
        <w:t xml:space="preserve">–</w:t>
      </w:r>
      <w:r>
        <w:t xml:space="preserve"> </w:t>
      </w:r>
      <w:r>
        <w:t xml:space="preserve">Decent Work</w:t>
      </w:r>
      <w:r>
        <w:t xml:space="preserve"> </w:t>
      </w:r>
      <w:r>
        <w:t xml:space="preserve">The transition towards climate-neutral industry and investments spurred notably via the Industrial Decarbonisation</w:t>
      </w:r>
      <w:r>
        <w:t xml:space="preserve"> </w:t>
      </w:r>
      <w:r>
        <w:t xml:space="preserve">Bank support is expected to create skilled jobs in green technology sectors in all ETS sectors and in circular</w:t>
      </w:r>
      <w:r>
        <w:t xml:space="preserve"> </w:t>
      </w:r>
      <w:r>
        <w:t xml:space="preserve">economy sectors.</w:t>
      </w:r>
      <w:r>
        <w:t xml:space="preserve"> </w:t>
      </w:r>
      <w:r>
        <w:t xml:space="preserve">Short-term adjustment costs</w:t>
      </w:r>
      <w:r>
        <w:t xml:space="preserve"> </w:t>
      </w:r>
      <w:r>
        <w:t xml:space="preserve">may occur in carbon-intensive</w:t>
      </w:r>
      <w:r>
        <w:t xml:space="preserve"> </w:t>
      </w:r>
      <w:r>
        <w:t xml:space="preserve">regions; Just Transition and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and Economic</w:t>
      </w:r>
      <w:r>
        <w:t xml:space="preserve"> </w:t>
      </w:r>
      <w:r>
        <w:t xml:space="preserve">Growth</w:t>
      </w:r>
      <w:r>
        <w:t xml:space="preserve"> </w:t>
      </w:r>
      <w:r>
        <w:t xml:space="preserve">Innovation</w:t>
      </w:r>
      <w:r>
        <w:t xml:space="preserve"> </w:t>
      </w:r>
      <w:r>
        <w:t xml:space="preserve">Funds</w:t>
      </w:r>
      <w:r>
        <w:t xml:space="preserve"> </w:t>
      </w:r>
      <w:r>
        <w:t xml:space="preserve">provide</w:t>
      </w:r>
      <w:r>
        <w:t xml:space="preserve"> </w:t>
      </w:r>
      <w:r>
        <w:t xml:space="preserve">mitigation.</w:t>
      </w:r>
      <w:r>
        <w:t xml:space="preserve"> </w:t>
      </w:r>
      <w:r>
        <w:t xml:space="preserve">SDG 3 – Good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Well-being</w:t>
      </w:r>
      <w:r>
        <w:t xml:space="preserve"> </w:t>
      </w:r>
      <w:r>
        <w:t xml:space="preserve">Reduced industrial and waste sector emissions, and incentives to reduce aviation and maritime emissions lead to</w:t>
      </w:r>
      <w:r>
        <w:t xml:space="preserve"> </w:t>
      </w:r>
      <w:r>
        <w:t xml:space="preserve">improved air quality and lower exposure to harmful pollutants, benefiting public health.</w:t>
      </w:r>
      <w:r>
        <w:t xml:space="preserve"> </w:t>
      </w:r>
      <w:r>
        <w:t xml:space="preserve">By encouraging the shipping sector to switch to sustainable fuels and adopt more efficient and innovative</w:t>
      </w:r>
      <w:r>
        <w:t xml:space="preserve"> </w:t>
      </w:r>
      <w:r>
        <w:t xml:space="preserve">technologies, the ETS, including SMaP, contributes to lowering air pollution levels in coastal and port</w:t>
      </w:r>
      <w:r>
        <w:t xml:space="preserve"> </w:t>
      </w:r>
      <w:r>
        <w:t xml:space="preserve">communities, directly advancing Target 3.9, which aims to improve health conditions by reducing illnesses and</w:t>
      </w:r>
      <w:r>
        <w:t xml:space="preserve"> </w:t>
      </w:r>
      <w:r>
        <w:t xml:space="preserve">deaths from hazardous chemicals and air and water pollution. Additionally, improved air quality benefits</w:t>
      </w:r>
      <w:r>
        <w:t xml:space="preserve"> </w:t>
      </w:r>
      <w:r>
        <w:t xml:space="preserve">vulnerable populations, including children and the elderly citizens, supporting the broader goal of ensuring healthy</w:t>
      </w:r>
      <w:r>
        <w:t xml:space="preserve"> </w:t>
      </w:r>
      <w:r>
        <w:t xml:space="preserve">lives and promoting well-being for all ages</w:t>
      </w:r>
      <w:r>
        <w:t xml:space="preserve"> </w:t>
      </w:r>
      <w:r>
        <w:t xml:space="preserve">Health co-benefits complement</w:t>
      </w:r>
      <w:r>
        <w:t xml:space="preserve"> </w:t>
      </w:r>
      <w:r>
        <w:t xml:space="preserve">environmental gains</w:t>
      </w:r>
      <w:r>
        <w:t xml:space="preserve"> </w:t>
      </w:r>
      <w:r>
        <w:t xml:space="preserve">SDG</w:t>
      </w:r>
      <w:r>
        <w:t xml:space="preserve"> </w:t>
      </w:r>
      <w:r>
        <w:t xml:space="preserve">14</w:t>
      </w:r>
      <w:r>
        <w:t xml:space="preserve"> </w:t>
      </w:r>
      <w:r>
        <w:t xml:space="preserve">–</w:t>
      </w:r>
      <w:r>
        <w:t xml:space="preserve"> </w:t>
      </w:r>
      <w:r>
        <w:t xml:space="preserve">LIFE</w:t>
      </w:r>
      <w:r>
        <w:t xml:space="preserve"> </w:t>
      </w:r>
      <w:r>
        <w:t xml:space="preserve">below</w:t>
      </w:r>
      <w:r>
        <w:t xml:space="preserve"> </w:t>
      </w:r>
      <w:r>
        <w:t xml:space="preserve">Water</w:t>
      </w:r>
      <w:r>
        <w:t xml:space="preserve"> </w:t>
      </w:r>
      <w:r>
        <w:t xml:space="preserve">EU ETS supports SDG 14 as one of the main EU instruments for reducing greenhouse gas emissions, damage</w:t>
      </w:r>
      <w:r>
        <w:t xml:space="preserve"> </w:t>
      </w:r>
      <w:r>
        <w:t xml:space="preserve">marine ecosystems through both global warming and ocean acidification.</w:t>
      </w:r>
      <w:r>
        <w:t xml:space="preserve"> </w:t>
      </w:r>
      <w:r>
        <w:t xml:space="preserve">The EU ETS for maritime plays significant role in protecting our oceans by encouraging the shipping sector to</w:t>
      </w:r>
      <w:r>
        <w:t xml:space="preserve"> </w:t>
      </w:r>
      <w:r>
        <w:t xml:space="preserve">operate in a more sustainable way according to the SDGs. Beyond reducing GHGs, the policy promotes cleaner</w:t>
      </w:r>
      <w:r>
        <w:t xml:space="preserve"> </w:t>
      </w:r>
      <w:r>
        <w:t xml:space="preserve">fuels, energy efficiency and better practices that help reduce emissions and pollutants affecting marine life. This</w:t>
      </w:r>
      <w:r>
        <w:t xml:space="preserve"> </w:t>
      </w:r>
      <w:r>
        <w:t xml:space="preserve">supports the goal of maintaining healthy and productive seas by limiting factors such as acidification and chemical</w:t>
      </w:r>
      <w:r>
        <w:t xml:space="preserve"> </w:t>
      </w:r>
      <w:r>
        <w:t xml:space="preserve">contamination, which directly impact biodiversity. Moreover, by promoting the innovation and better</w:t>
      </w:r>
      <w:r>
        <w:t xml:space="preserve"> </w:t>
      </w:r>
      <w:r>
        <w:t xml:space="preserve">environmental monitoring, the EU ETS helps improve how the way the shipping sector manages its environmental</w:t>
      </w:r>
      <w:r>
        <w:t xml:space="preserve"> </w:t>
      </w:r>
      <w:r>
        <w:t xml:space="preserve">footprint, contributing to stronger scientific understanding and responsible stewardship of ocean resources. In this</w:t>
      </w:r>
      <w:r>
        <w:t xml:space="preserve"> </w:t>
      </w:r>
      <w:r>
        <w:t xml:space="preserve">way, the maritime ETS supports the long-term maintenance of the shipping industry while safeguarding marine</w:t>
      </w:r>
      <w:r>
        <w:t xml:space="preserve"> </w:t>
      </w:r>
      <w:r>
        <w:t xml:space="preserve">ecosystems, aligning closely with the broader aims of SDG 14.</w:t>
      </w:r>
      <w:r>
        <w:br/>
      </w:r>
      <w:r>
        <w:t xml:space="preserve">Marine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</w:t>
      </w:r>
      <w:r>
        <w:t xml:space="preserve"> </w:t>
      </w:r>
      <w:r>
        <w:t xml:space="preserve">ecosystems’</w:t>
      </w:r>
      <w:r>
        <w:t xml:space="preserve"> </w:t>
      </w:r>
      <w:r>
        <w:t xml:space="preserve">co-benefits</w:t>
      </w:r>
      <w:r>
        <w:t xml:space="preserve"> </w:t>
      </w:r>
      <w:r>
        <w:t xml:space="preserve">complement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gains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ANNEX 4: MODELLING</w:t>
      </w:r>
      <w:r>
        <w:t xml:space="preserve"> </w:t>
      </w:r>
      <w:r>
        <w:t xml:space="preserve">LIST OF TABLES</w:t>
      </w:r>
      <w:r>
        <w:t xml:space="preserve"> </w:t>
      </w:r>
      <w:r>
        <w:t xml:space="preserve">Table 1:</w:t>
      </w:r>
      <w:r>
        <w:t xml:space="preserve"> </w:t>
      </w:r>
      <w:r>
        <w:t xml:space="preserve">Overview of assumptions modelled using AERO-MS …………………………………. 56</w:t>
      </w:r>
      <w:r>
        <w:t xml:space="preserve"> </w:t>
      </w:r>
      <w:r>
        <w:t xml:space="preserve">Table 2:</w:t>
      </w:r>
      <w:r>
        <w:t xml:space="preserve"> </w:t>
      </w:r>
      <w:r>
        <w:t xml:space="preserve">Regional resolution of the GEM-E3 model ………………………………………………… 62</w:t>
      </w:r>
      <w:r>
        <w:t xml:space="preserve"> </w:t>
      </w:r>
      <w:r>
        <w:t xml:space="preserve">Table 3:</w:t>
      </w:r>
      <w:r>
        <w:t xml:space="preserve"> </w:t>
      </w:r>
      <w:r>
        <w:t xml:space="preserve">Sectoral resolution of the GEM-E3 model………………………………………………….. 64</w:t>
      </w:r>
      <w:r>
        <w:t xml:space="preserve"> </w:t>
      </w:r>
      <w:r>
        <w:t xml:space="preserve">Table 4:</w:t>
      </w:r>
      <w:r>
        <w:t xml:space="preserve"> </w:t>
      </w:r>
      <w:r>
        <w:t xml:space="preserve">Data sources used in GEM-E3 model for the base year calibration ……………….. 65</w:t>
      </w:r>
      <w:r>
        <w:t xml:space="preserve"> </w:t>
      </w:r>
      <w:r>
        <w:t xml:space="preserve">Table 5:</w:t>
      </w:r>
      <w:r>
        <w:t xml:space="preserve"> </w:t>
      </w:r>
      <w:r>
        <w:t xml:space="preserve">Fossil fuel price assumptions ……………………………………………………………………. 69</w:t>
      </w:r>
      <w:r>
        <w:t xml:space="preserve"> </w:t>
      </w:r>
      <w:r>
        <w:t xml:space="preserve">Table 6:</w:t>
      </w:r>
      <w:r>
        <w:t xml:space="preserve"> </w:t>
      </w:r>
      <w:r>
        <w:t xml:space="preserve">Overview of the development of the baseline at the non-EU level ………………… 71</w:t>
      </w:r>
      <w:r>
        <w:t xml:space="preserve"> </w:t>
      </w:r>
      <w:r>
        <w:t xml:space="preserve">Table 7:</w:t>
      </w:r>
      <w:r>
        <w:t xml:space="preserve"> </w:t>
      </w:r>
      <w:r>
        <w:t xml:space="preserve">Overview of the development of the baseline at the EU level ……………………….. 72</w:t>
      </w:r>
      <w:r>
        <w:t xml:space="preserve"> </w:t>
      </w:r>
      <w:r>
        <w:t xml:space="preserve">Table 8:</w:t>
      </w:r>
      <w:r>
        <w:t xml:space="preserve"> </w:t>
      </w:r>
      <w:r>
        <w:t xml:space="preserve">Overview of the development of the policy scenario at the EU level …………….. 74</w:t>
      </w:r>
    </w:p>
    <w:p>
      <w:pPr>
        <w:pStyle w:val="BodyText"/>
      </w:pPr>
      <w:r>
        <w:t xml:space="preserve">List of Figures</w:t>
      </w:r>
      <w:r>
        <w:t xml:space="preserve"> </w:t>
      </w:r>
      <w:r>
        <w:t xml:space="preserve">Figure 1:</w:t>
      </w:r>
      <w:r>
        <w:t xml:space="preserve"> </w:t>
      </w:r>
      <w:r>
        <w:t xml:space="preserve">Main modelling suite used for GHG projections. ………………………………………… 55</w:t>
      </w:r>
      <w:r>
        <w:t xml:space="preserve"> </w:t>
      </w:r>
      <w:r>
        <w:t xml:space="preserve">Figure 2:</w:t>
      </w:r>
      <w:r>
        <w:t xml:space="preserve"> </w:t>
      </w:r>
      <w:r>
        <w:t xml:space="preserve">PRIMES model structure. ………………………………………………………………………… 57</w:t>
      </w:r>
      <w:r>
        <w:t xml:space="preserve"> </w:t>
      </w:r>
      <w:r>
        <w:t xml:space="preserve">Figure 3:</w:t>
      </w:r>
      <w:r>
        <w:t xml:space="preserve"> </w:t>
      </w:r>
      <w:r>
        <w:t xml:space="preserve">Schematic representation of the GEM-E3 model ………………………………………… 60</w:t>
      </w:r>
      <w:r>
        <w:t xml:space="preserve"> </w:t>
      </w:r>
      <w:r>
        <w:t xml:space="preserve">Figure 4:</w:t>
      </w:r>
      <w:r>
        <w:t xml:space="preserve"> </w:t>
      </w:r>
      <w:r>
        <w:t xml:space="preserve">GEM-E3 system dimensions…………………………………………………………………….. 61</w:t>
      </w:r>
      <w:r>
        <w:t xml:space="preserve"> </w:t>
      </w:r>
      <w:r>
        <w:t xml:space="preserve">Figure 5:</w:t>
      </w:r>
      <w:r>
        <w:t xml:space="preserve"> </w:t>
      </w:r>
      <w:r>
        <w:t xml:space="preserve">POTEnCIA model structure ……………………………………………………………………… 67</w:t>
      </w:r>
      <w:r>
        <w:t xml:space="preserve"> </w:t>
      </w:r>
      <w:r>
        <w:t xml:space="preserve">Figure 6:</w:t>
      </w:r>
      <w:r>
        <w:t xml:space="preserve"> </w:t>
      </w:r>
      <w:r>
        <w:t xml:space="preserve">Population assumptions …………………………………………………………………………… 68</w:t>
      </w:r>
      <w:r>
        <w:t xml:space="preserve"> </w:t>
      </w:r>
      <w:r>
        <w:t xml:space="preserve">Figure 7:</w:t>
      </w:r>
      <w:r>
        <w:t xml:space="preserve"> </w:t>
      </w:r>
      <w:r>
        <w:t xml:space="preserve">EU GDP (2015 = 100) and GDP growth (%) ……………………………………………… 69</w:t>
      </w:r>
      <w:r>
        <w:t xml:space="preserve"> </w:t>
      </w:r>
      <w:r>
        <w:t xml:space="preserve">Figure 8:</w:t>
      </w:r>
      <w:r>
        <w:t xml:space="preserve"> </w:t>
      </w:r>
      <w:r>
        <w:t xml:space="preserve">POLES-Enerdata multi-issue energy model ……………………………………………….. 77</w:t>
      </w:r>
      <w:r>
        <w:t xml:space="preserve"> </w:t>
      </w:r>
      <w:r>
        <w:t xml:space="preserve">Figure 9:</w:t>
      </w:r>
      <w:r>
        <w:t xml:space="preserve"> </w:t>
      </w:r>
      <w:r>
        <w:t xml:space="preserve">POLES-Enerdata geographical coverage ……………………………………………………. 78</w:t>
      </w:r>
      <w:r>
        <w:t xml:space="preserve"> </w:t>
      </w:r>
      <w:r>
        <w:t xml:space="preserve">Figure 10: POLES-Enerdata main issues and topics covered ……………………………………….. 79</w:t>
      </w:r>
      <w:r>
        <w:t xml:space="preserve"> </w:t>
      </w:r>
      <w:r>
        <w:t xml:space="preserve">Figure 11: EUA price comparison between POLES-Enerdata &amp; PRIMES - Core Working</w:t>
      </w:r>
      <w:r>
        <w:t xml:space="preserve"> </w:t>
      </w:r>
      <w:r>
        <w:t xml:space="preserve">Assumption Scenario ………………………………………………………………………………………………… 81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1. ANALYSIS OF FUTURE GHG EMISSIONS</w:t>
      </w:r>
      <w:r>
        <w:br/>
      </w:r>
      <w:r>
        <w:t xml:space="preserve">1.1. Models24</w:t>
      </w:r>
      <w:r>
        <w:t xml:space="preserve"> </w:t>
      </w:r>
      <w:r>
        <w:t xml:space="preserve">The projections for this Impact Assessment are performed with the help of state-of-the-art,</w:t>
      </w:r>
      <w:r>
        <w:t xml:space="preserve"> </w:t>
      </w:r>
      <w:r>
        <w:t xml:space="preserve">computational models for energy and GHG system analysis, which follow an approach based</w:t>
      </w:r>
      <w:r>
        <w:t xml:space="preserve"> </w:t>
      </w:r>
      <w:r>
        <w:t xml:space="preserve">on micro-economics, solve a price-driven market equilibrium, and integrate engineering and</w:t>
      </w:r>
      <w:r>
        <w:t xml:space="preserve"> </w:t>
      </w:r>
      <w:r>
        <w:t xml:space="preserve">economic representations for all sectors. The models use peer-reviewed assumptions and</w:t>
      </w:r>
      <w:r>
        <w:t xml:space="preserve"> </w:t>
      </w:r>
      <w:r>
        <w:t xml:space="preserve">detailed and up-to-date databases to produce projections per sector and per country. Calibration</w:t>
      </w:r>
      <w:r>
        <w:t xml:space="preserve"> </w:t>
      </w:r>
      <w:r>
        <w:t xml:space="preserve">ensures continuity between historical data and projections.</w:t>
      </w:r>
      <w:r>
        <w:t xml:space="preserve"> </w:t>
      </w:r>
      <w:r>
        <w:t xml:space="preserve">1.1.1. Main modelling suite for GHG emissions</w:t>
      </w:r>
      <w:r>
        <w:t xml:space="preserve"> </w:t>
      </w:r>
      <w:r>
        <w:t xml:space="preserve">The modelling suite used for overarching climate target modelling which is being used for this</w:t>
      </w:r>
      <w:r>
        <w:t xml:space="preserve"> </w:t>
      </w:r>
      <w:r>
        <w:t xml:space="preserve">Impact Assessment, (Figure 1) is common to the one used for the Commission’s proposal for</w:t>
      </w:r>
      <w:r>
        <w:t xml:space="preserve"> </w:t>
      </w:r>
      <w:r>
        <w:t xml:space="preserve">Long Term Strategy25, the 2030 Climate Target Plan26, and the EU Reference Scenario 202027</w:t>
      </w:r>
      <w:r>
        <w:t xml:space="preserve"> </w:t>
      </w:r>
      <w:r>
        <w:t xml:space="preserve">as well as for the most recent modelling exercises supporting the Fit for 5528, the REPowerEU29</w:t>
      </w:r>
      <w:r>
        <w:t xml:space="preserve"> </w:t>
      </w:r>
      <w:r>
        <w:t xml:space="preserve">and the 2040 Climate Target Plan30 policy frameworks.</w:t>
      </w:r>
      <w:r>
        <w:br/>
      </w:r>
      <w:r>
        <w:t xml:space="preserve">Figure 1:</w:t>
      </w:r>
      <w:r>
        <w:t xml:space="preserve"> </w:t>
      </w:r>
      <w:r>
        <w:t xml:space="preserve">Main modelling suite used for GHG projections.</w:t>
      </w:r>
    </w:p>
    <w:p>
      <w:pPr>
        <w:pStyle w:val="BodyText"/>
      </w:pPr>
      <w:r>
        <w:t xml:space="preserve">The modelling capacity consists of a series of interlinked models well known to the modelling</w:t>
      </w:r>
      <w:r>
        <w:t xml:space="preserve"> </w:t>
      </w:r>
      <w:r>
        <w:t xml:space="preserve">community31. These are continuously improved with cutting-edge features. The models</w:t>
      </w:r>
      <w:r>
        <w:t xml:space="preserve"> </w:t>
      </w:r>
      <w:r>
        <w:t xml:space="preserve">combine technical and economic methodologies assessing GHG pathways and associated</w:t>
      </w:r>
    </w:p>
    <w:p>
      <w:pPr>
        <w:pStyle w:val="BodyText"/>
      </w:pPr>
      <w:r>
        <w:t xml:space="preserve">24 The model-based analysis is a technical exercise based on a number of assumptions that are shared across</w:t>
      </w:r>
      <w:r>
        <w:t xml:space="preserve"> </w:t>
      </w:r>
      <w:r>
        <w:t xml:space="preserve">scenarios. Its results do not prejudge the future design of the post-2030 policy framework.</w:t>
      </w:r>
      <w:r>
        <w:t xml:space="preserve"> </w:t>
      </w:r>
      <w:r>
        <w:t xml:space="preserve">25 In-depth analysis in support of the commission communication COM (2018) 773</w:t>
      </w:r>
      <w:r>
        <w:t xml:space="preserve"> </w:t>
      </w:r>
      <w:r>
        <w:t xml:space="preserve">26 SWD (2020) 176 final</w:t>
      </w:r>
      <w:r>
        <w:t xml:space="preserve"> </w:t>
      </w:r>
      <w:r>
        <w:t xml:space="preserve">27 European Commission, EU reference scenario 2020: energy, transport and GHG emissions: trends to 2050,</w:t>
      </w:r>
      <w:r>
        <w:t xml:space="preserve"> </w:t>
      </w:r>
      <w:r>
        <w:t xml:space="preserve">Publications Office, 2021, DOI: 10.2833/3575</w:t>
      </w:r>
      <w:r>
        <w:t xml:space="preserve"> </w:t>
      </w:r>
      <w:r>
        <w:t xml:space="preserve">28 COM (2021) 550 final</w:t>
      </w:r>
      <w:r>
        <w:t xml:space="preserve"> </w:t>
      </w:r>
      <w:r>
        <w:t xml:space="preserve">29 SWD (2022) 230 final</w:t>
      </w:r>
      <w:r>
        <w:t xml:space="preserve"> </w:t>
      </w:r>
      <w:r>
        <w:t xml:space="preserve">30 SWD (2024) 63 final</w:t>
      </w:r>
      <w:r>
        <w:t xml:space="preserve"> </w:t>
      </w:r>
      <w:r>
        <w:t xml:space="preserve">31 See for instance Ringkjøb, H. K., et al. (2018). A review of modelling tools for energy and electricity systems</w:t>
      </w:r>
      <w:r>
        <w:t xml:space="preserve"> </w:t>
      </w:r>
      <w:r>
        <w:t xml:space="preserve">with large shares of variable renewables. Renewable and Sustainable Energy Reviews, 96, 440-459 and</w:t>
      </w:r>
      <w:r>
        <w:t xml:space="preserve"> </w:t>
      </w:r>
      <w:r>
        <w:t xml:space="preserve">Angenendt, E., et al. (2018). Modelling and tools supporting the transition to a bioeconomy. Bioeconomy:</w:t>
      </w:r>
      <w:r>
        <w:t xml:space="preserve"> </w:t>
      </w:r>
      <w:r>
        <w:t xml:space="preserve">Shaping the Transition to a Sustainable, Biobased Economy, 289-316.</w:t>
      </w:r>
      <w:r>
        <w:t xml:space="preserve"> </w:t>
      </w:r>
      <w:r>
        <w:t xml:space="preserve">Economics</w:t>
      </w:r>
      <w:r>
        <w:t xml:space="preserve"> </w:t>
      </w:r>
      <w:r>
        <w:t xml:space="preserve">Energy</w:t>
      </w:r>
      <w:r>
        <w:t xml:space="preserve"> </w:t>
      </w:r>
      <w:r>
        <w:t xml:space="preserve">Land use &amp;</w:t>
      </w:r>
      <w:r>
        <w:t xml:space="preserve"> </w:t>
      </w:r>
      <w:r>
        <w:t xml:space="preserve">agriculture</w:t>
      </w:r>
      <w:r>
        <w:t xml:space="preserve"> </w:t>
      </w:r>
      <w:r>
        <w:t xml:space="preserve">Non-CO2 GHG</w:t>
      </w:r>
      <w:r>
        <w:t xml:space="preserve"> </w:t>
      </w:r>
      <w:r>
        <w:t xml:space="preserve">Air pollution</w:t>
      </w:r>
      <w:r>
        <w:t xml:space="preserve"> </w:t>
      </w:r>
      <w:r>
        <w:t xml:space="preserve">GEM-E3</w:t>
      </w:r>
      <w:r>
        <w:t xml:space="preserve"> </w:t>
      </w:r>
      <w:r>
        <w:t xml:space="preserve">Population &amp; GDP</w:t>
      </w:r>
      <w:r>
        <w:t xml:space="preserve"> </w:t>
      </w:r>
      <w:r>
        <w:t xml:space="preserve">PRIMES</w:t>
      </w:r>
      <w:r>
        <w:t xml:space="preserve"> </w:t>
      </w:r>
      <w:r>
        <w:t xml:space="preserve">POLES-JRC</w:t>
      </w:r>
      <w:r>
        <w:t xml:space="preserve"> </w:t>
      </w:r>
      <w:r>
        <w:t xml:space="preserve">GLOBIOM</w:t>
      </w:r>
      <w:r>
        <w:t xml:space="preserve"> </w:t>
      </w:r>
      <w:r>
        <w:t xml:space="preserve">CAPRI</w:t>
      </w:r>
      <w:r>
        <w:t xml:space="preserve"> </w:t>
      </w:r>
      <w:r>
        <w:t xml:space="preserve">GAINS</w:t>
      </w:r>
      <w:r>
        <w:t xml:space="preserve"> </w:t>
      </w:r>
      <w:r>
        <w:t xml:space="preserve">Framework conditions</w:t>
      </w:r>
      <w:r>
        <w:t xml:space="preserve"> </w:t>
      </w:r>
      <w:r>
        <w:t xml:space="preserve">Economic structure</w:t>
      </w:r>
      <w:r>
        <w:t xml:space="preserve"> </w:t>
      </w:r>
      <w:r>
        <w:t xml:space="preserve">Global system</w:t>
      </w:r>
      <w:r>
        <w:t xml:space="preserve"> </w:t>
      </w:r>
      <w:r>
        <w:t xml:space="preserve">EU energy system</w:t>
      </w:r>
      <w:r>
        <w:t xml:space="preserve"> </w:t>
      </w:r>
      <w:r>
        <w:t xml:space="preserve">EU</w:t>
      </w:r>
      <w:r>
        <w:t xml:space="preserve"> </w:t>
      </w:r>
      <w:r>
        <w:t xml:space="preserve">agriculture</w:t>
      </w:r>
      <w:r>
        <w:t xml:space="preserve"> </w:t>
      </w:r>
      <w:r>
        <w:t xml:space="preserve">Global, EU</w:t>
      </w:r>
      <w:r>
        <w:t xml:space="preserve"> </w:t>
      </w:r>
      <w:r>
        <w:t xml:space="preserve">PRIMES-TREMOVE</w:t>
      </w:r>
      <w:r>
        <w:t xml:space="preserve"> </w:t>
      </w:r>
      <w:r>
        <w:t xml:space="preserve">EU transport system</w:t>
      </w:r>
      <w:r>
        <w:t xml:space="preserve"> </w:t>
      </w:r>
      <w:r>
        <w:t xml:space="preserve">Global &amp;</w:t>
      </w:r>
      <w:r>
        <w:t xml:space="preserve"> </w:t>
      </w:r>
      <w:r>
        <w:t xml:space="preserve">EU forestry+LU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system cost. It allows to project the evolution of all GHG net emissions from the EU economy</w:t>
      </w:r>
      <w:r>
        <w:t xml:space="preserve"> </w:t>
      </w:r>
      <w:r>
        <w:t xml:space="preserve">up to 2050.</w:t>
      </w:r>
      <w:r>
        <w:br/>
      </w:r>
      <w:r>
        <w:t xml:space="preserve">For the aviation sector specifically, the quantitative analysis of the impacts of each option and</w:t>
      </w:r>
      <w:r>
        <w:t xml:space="preserve"> </w:t>
      </w:r>
      <w:r>
        <w:t xml:space="preserve">combinations relies on the values modelled under PRIMES and is based on modelling of the</w:t>
      </w:r>
      <w:r>
        <w:t xml:space="preserve"> </w:t>
      </w:r>
      <w:r>
        <w:t xml:space="preserve">aviation sector using the AERO-MS model32. For this exercise, the latest updated version of</w:t>
      </w:r>
      <w:r>
        <w:t xml:space="preserve"> </w:t>
      </w:r>
      <w:r>
        <w:t xml:space="preserve">the model has been used and aligned with fuel and carbon price projections from PRIMES. As</w:t>
      </w:r>
      <w:r>
        <w:t xml:space="preserve"> </w:t>
      </w:r>
      <w:r>
        <w:t xml:space="preserve">a result, PRIMES (and consequently AERO-MS) outputs should be interpreted as internally</w:t>
      </w:r>
      <w:r>
        <w:t xml:space="preserve"> </w:t>
      </w:r>
      <w:r>
        <w:t xml:space="preserve">consistent representations of possible energy system and aviation transport developments, with</w:t>
      </w:r>
      <w:r>
        <w:t xml:space="preserve"> </w:t>
      </w:r>
      <w:r>
        <w:t xml:space="preserve">robustness assessed through comparison across scenarios.</w:t>
      </w:r>
      <w:r>
        <w:br/>
      </w:r>
      <w:r>
        <w:t xml:space="preserve">Table 1:</w:t>
      </w:r>
      <w:r>
        <w:t xml:space="preserve"> </w:t>
      </w:r>
      <w:r>
        <w:t xml:space="preserve">Overview of assumptions modelled using AERO-MS</w:t>
      </w:r>
    </w:p>
    <w:p>
      <w:pPr>
        <w:pStyle w:val="BodyText"/>
      </w:pPr>
      <w:r>
        <w:t xml:space="preserve">With respect to the specific impacts relevant for this exercise, the impact on activity between</w:t>
      </w:r>
      <w:r>
        <w:t xml:space="preserve"> </w:t>
      </w:r>
      <w:r>
        <w:t xml:space="preserve">scenarios have been delivered by the AERO-MS model. The main sources of results variation</w:t>
      </w:r>
      <w:r>
        <w:t xml:space="preserve"> </w:t>
      </w:r>
      <w:r>
        <w:t xml:space="preserve">in the scenarios examined come from fuel-related costs, including taxes and carbon (ETS,</w:t>
      </w:r>
      <w:r>
        <w:t xml:space="preserve"> </w:t>
      </w:r>
      <w:r>
        <w:t xml:space="preserve">CORSIA) prices derived from PRIMES. Consequently, although there remains uncertainty</w:t>
      </w:r>
      <w:r>
        <w:t xml:space="preserve"> </w:t>
      </w:r>
      <w:r>
        <w:t xml:space="preserve">around future price developments, the model-driven variables are internally consistent.</w:t>
      </w:r>
      <w:r>
        <w:t xml:space="preserve"> </w:t>
      </w:r>
      <w:r>
        <w:t xml:space="preserve">Overall, scenario results indicate that possible impacts on activities exist but are barely relevant</w:t>
      </w:r>
      <w:r>
        <w:t xml:space="preserve"> </w:t>
      </w:r>
      <w:r>
        <w:t xml:space="preserve">at these price levels and are more strongly associated with general fuel price variations than</w:t>
      </w:r>
      <w:r>
        <w:t xml:space="preserve"> </w:t>
      </w:r>
      <w:r>
        <w:t xml:space="preserve">with the ETS price signal itself.</w:t>
      </w:r>
      <w:r>
        <w:t xml:space="preserve"> </w:t>
      </w:r>
      <w:r>
        <w:t xml:space="preserve">1.1.2. Modelling used for the current Impact Assessment</w:t>
      </w:r>
      <w:r>
        <w:t xml:space="preserve"> </w:t>
      </w:r>
      <w:r>
        <w:t xml:space="preserve">1.1.2.1.</w:t>
      </w:r>
      <w:r>
        <w:t xml:space="preserve"> </w:t>
      </w:r>
      <w:r>
        <w:t xml:space="preserve">PRIMES</w:t>
      </w:r>
      <w:r>
        <w:t xml:space="preserve"> </w:t>
      </w:r>
      <w:r>
        <w:t xml:space="preserve">PRIMES supports detailed analysis of climate and energy policies, technology shifts, and the</w:t>
      </w:r>
      <w:r>
        <w:t xml:space="preserve"> </w:t>
      </w:r>
      <w:r>
        <w:t xml:space="preserve">long-term economic effects of different policy and market pathways.</w:t>
      </w:r>
      <w:r>
        <w:br/>
      </w:r>
      <w:r>
        <w:t xml:space="preserve">Analytical structure, assumptions, limitations.</w:t>
      </w:r>
    </w:p>
    <w:p>
      <w:pPr>
        <w:pStyle w:val="BodyText"/>
      </w:pPr>
      <w:r>
        <w:t xml:space="preserve">32 AERO-MS</w:t>
      </w:r>
      <w:r>
        <w:t xml:space="preserve"> </w:t>
      </w:r>
      <w:r>
        <w:t xml:space="preserve">Fact</w:t>
      </w:r>
      <w:r>
        <w:t xml:space="preserve"> </w:t>
      </w:r>
      <w:r>
        <w:t xml:space="preserve">Sheet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https://web.jrc.ec.europa.eu/policy-model-</w:t>
      </w:r>
      <w:r>
        <w:t xml:space="preserve"> </w:t>
      </w:r>
      <w:r>
        <w:t xml:space="preserve">inventory/explore/models/model-aero-ms-print/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Figure 2:</w:t>
      </w:r>
      <w:r>
        <w:t xml:space="preserve"> </w:t>
      </w:r>
      <w:r>
        <w:t xml:space="preserve">PRIMES model structure.</w:t>
      </w:r>
      <w:r>
        <w:t xml:space="preserve"> </w:t>
      </w:r>
      <w:r>
        <w:t xml:space="preserve">Source: PRIMES</w:t>
      </w:r>
      <w:r>
        <w:t xml:space="preserve"> </w:t>
      </w:r>
      <w:r>
        <w:t xml:space="preserve">A series of research programs funded by the European Commission led to the development of</w:t>
      </w:r>
      <w:r>
        <w:t xml:space="preserve"> </w:t>
      </w:r>
      <w:r>
        <w:t xml:space="preserve">the PRIMES model. The PRIMES (Price-Induced Market Equilibrium System) is a large-scale</w:t>
      </w:r>
      <w:r>
        <w:t xml:space="preserve"> </w:t>
      </w:r>
      <w:r>
        <w:t xml:space="preserve">applied energy system model that provides detailed projections of energy demand, supply,</w:t>
      </w:r>
      <w:r>
        <w:t xml:space="preserve"> </w:t>
      </w:r>
      <w:r>
        <w:t xml:space="preserve">prices and investment to the future, covering the entire energy system including emissions. The</w:t>
      </w:r>
      <w:r>
        <w:t xml:space="preserve"> </w:t>
      </w:r>
      <w:r>
        <w:t xml:space="preserve">distinctive feature of PRIMES is the combination of behavioural modelling (following a micro-</w:t>
      </w:r>
      <w:r>
        <w:t xml:space="preserve"> </w:t>
      </w:r>
      <w:r>
        <w:t xml:space="preserve">economic foundation) with engineering aspects, covering all energy sectors and markets. The</w:t>
      </w:r>
      <w:r>
        <w:t xml:space="preserve"> </w:t>
      </w:r>
      <w:r>
        <w:t xml:space="preserve">model has a detailed representation of policy instruments related to energy markets and climate,</w:t>
      </w:r>
      <w:r>
        <w:t xml:space="preserve"> </w:t>
      </w:r>
      <w:r>
        <w:t xml:space="preserve">including market drivers, standards, and targets by sector or overall (over the entire system). It</w:t>
      </w:r>
      <w:r>
        <w:t xml:space="preserve"> </w:t>
      </w:r>
      <w:r>
        <w:t xml:space="preserve">handles multiple policy objectives, such as GHG emission reductions, energy efficiency and</w:t>
      </w:r>
      <w:r>
        <w:t xml:space="preserve"> </w:t>
      </w:r>
      <w:r>
        <w:t xml:space="preserve">renewable energy targets, and also provides a pan-European simulation of internal markets for</w:t>
      </w:r>
      <w:r>
        <w:t xml:space="preserve"> </w:t>
      </w:r>
      <w:r>
        <w:t xml:space="preserve">electricity and gas.</w:t>
      </w:r>
      <w:r>
        <w:t xml:space="preserve"> </w:t>
      </w:r>
      <w:r>
        <w:t xml:space="preserve">The PRIMES model currently covers all 27 EU Member States, UK and all 9 Energy</w:t>
      </w:r>
      <w:r>
        <w:t xml:space="preserve"> </w:t>
      </w:r>
      <w:r>
        <w:t xml:space="preserve">Community Contracting Parties, as well as Iceland, Norway Switzerland and Turkey. The full</w:t>
      </w:r>
      <w:r>
        <w:t xml:space="preserve"> </w:t>
      </w:r>
      <w:r>
        <w:t xml:space="preserve">suite of PRIMES model comprises the following models:</w:t>
      </w:r>
      <w:r>
        <w:t xml:space="preserve"> </w:t>
      </w:r>
      <w:r>
        <w:t xml:space="preserve">• PRIMES-TREMOVE transport model: recently enhanced to include linkage to synthetic</w:t>
      </w:r>
      <w:r>
        <w:t xml:space="preserve"> </w:t>
      </w:r>
      <w:r>
        <w:t xml:space="preserve">fuels and hydrogen and to detailed spatial projections of transport activity and route</w:t>
      </w:r>
      <w:r>
        <w:t xml:space="preserve"> </w:t>
      </w:r>
      <w:r>
        <w:t xml:space="preserve">assignment</w:t>
      </w:r>
      <w:r>
        <w:t xml:space="preserve"> </w:t>
      </w:r>
      <w:r>
        <w:t xml:space="preserve">• PRIMES BuiMo residential and services model: model with high resolution</w:t>
      </w:r>
      <w:r>
        <w:t xml:space="preserve"> </w:t>
      </w:r>
      <w:r>
        <w:t xml:space="preserve">representation of the housing and office building stock, embedded in an economic-</w:t>
      </w:r>
      <w:r>
        <w:t xml:space="preserve"> </w:t>
      </w:r>
      <w:r>
        <w:t xml:space="preserve">engineering model of multi-agent choice of building renovation, heating system and</w:t>
      </w:r>
      <w:r>
        <w:t xml:space="preserve"> </w:t>
      </w:r>
      <w:r>
        <w:t xml:space="preserve">equipment/appliances by energy use</w:t>
      </w:r>
      <w:r>
        <w:t xml:space="preserve"> </w:t>
      </w:r>
      <w:r>
        <w:t xml:space="preserve">• PRIMES-Industry model: recently enhanced version of the very detailed industrial</w:t>
      </w:r>
      <w:r>
        <w:t xml:space="preserve"> </w:t>
      </w:r>
      <w:r>
        <w:t xml:space="preserve">model that includes a high-resolution split of industrial consumption by sector and type</w:t>
      </w:r>
      <w:r>
        <w:t xml:space="preserve"> </w:t>
      </w:r>
      <w:r>
        <w:t xml:space="preserve">of industrial process and now includes the possibility of using hydrogen and synthetic</w:t>
      </w:r>
      <w:r>
        <w:t xml:space="preserve"> </w:t>
      </w:r>
      <w:r>
        <w:t xml:space="preserve">fuels directly, as well as extended possibilities of electrification and the possible</w:t>
      </w:r>
      <w:r>
        <w:t xml:space="preserve"> </w:t>
      </w:r>
      <w:r>
        <w:t xml:space="preserve">emergence of non-fossil hydrocarbon feedstock in the chemicals</w:t>
      </w:r>
      <w:r>
        <w:t xml:space="preserve"> </w:t>
      </w:r>
      <w:r>
        <w:t xml:space="preserve">• PRIMES Biomass supply model: biomass supply model that includes land use</w:t>
      </w:r>
      <w:r>
        <w:t xml:space="preserve"> </w:t>
      </w:r>
      <w:r>
        <w:t xml:space="preserve">constraints, many types of biomass and waste feedstock, sustainability regulation, and</w:t>
      </w:r>
      <w:r>
        <w:t xml:space="preserve"> </w:t>
      </w:r>
      <w:r>
        <w:t xml:space="preserve">endogenous learning and industrial maturity of a large number of potential biomass to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biofuels conversion technologies; the model is linked with the IIASA models that</w:t>
      </w:r>
      <w:r>
        <w:t xml:space="preserve"> </w:t>
      </w:r>
      <w:r>
        <w:t xml:space="preserve">handle LULUCF and forestry, as well as to the agricultural model CAPRI</w:t>
      </w:r>
      <w:r>
        <w:t xml:space="preserve"> </w:t>
      </w:r>
      <w:r>
        <w:t xml:space="preserve">• PRIMES Electricity and Heat/Steam supply and market model: The electricity and</w:t>
      </w:r>
      <w:r>
        <w:t xml:space="preserve"> </w:t>
      </w:r>
      <w:r>
        <w:t xml:space="preserve">heat/steam market model of PRIMES includes three elements: hourly unit commitment</w:t>
      </w:r>
      <w:r>
        <w:t xml:space="preserve"> </w:t>
      </w:r>
      <w:r>
        <w:t xml:space="preserve">model - with a pan-European market simulation over the grid constraints and detailed</w:t>
      </w:r>
      <w:r>
        <w:t xml:space="preserve"> </w:t>
      </w:r>
      <w:r>
        <w:t xml:space="preserve">technical operation restrictions - the long-term power system expansion model, the</w:t>
      </w:r>
      <w:r>
        <w:t xml:space="preserve"> </w:t>
      </w:r>
      <w:r>
        <w:t xml:space="preserve">costing and pricing electricity and grid model, the integration of heat supply and</w:t>
      </w:r>
      <w:r>
        <w:t xml:space="preserve"> </w:t>
      </w:r>
      <w:r>
        <w:t xml:space="preserve">industrial steam supply with synchronised hourly operation</w:t>
      </w:r>
      <w:r>
        <w:t xml:space="preserve"> </w:t>
      </w:r>
      <w:r>
        <w:t xml:space="preserve">• PRIMES Gas Supply and Market model: a stand-alone model representing in detail the</w:t>
      </w:r>
      <w:r>
        <w:t xml:space="preserve"> </w:t>
      </w:r>
      <w:r>
        <w:t xml:space="preserve">gas supply and infrastructure in the Eurasian and Middle East area and the internal</w:t>
      </w:r>
      <w:r>
        <w:t xml:space="preserve"> </w:t>
      </w:r>
      <w:r>
        <w:t xml:space="preserve">European market of gas within an oligopoly model embedding engineering gas flow</w:t>
      </w:r>
      <w:r>
        <w:t xml:space="preserve"> </w:t>
      </w:r>
      <w:r>
        <w:t xml:space="preserve">modelling</w:t>
      </w:r>
      <w:r>
        <w:t xml:space="preserve"> </w:t>
      </w:r>
      <w:r>
        <w:t xml:space="preserve">• PRIMES new Fuels and storage model covering Hydrogen, Synthetic fuels, Power-to-</w:t>
      </w:r>
      <w:r>
        <w:t xml:space="preserve"> </w:t>
      </w:r>
      <w:r>
        <w:t xml:space="preserve">X, CO2 capture from the air and biogenic, CCS/CCU and process-emissions modelling</w:t>
      </w:r>
      <w:r>
        <w:t xml:space="preserve"> </w:t>
      </w:r>
      <w:r>
        <w:t xml:space="preserve">to enhance and perform sectoral integration aiming at simulating a zero-CO2 system.</w:t>
      </w:r>
      <w:r>
        <w:t xml:space="preserve"> </w:t>
      </w:r>
      <w:r>
        <w:t xml:space="preserve">• PRIMES Maritime model: a module of PRIMES and PRIMES-TREMOVE transport</w:t>
      </w:r>
      <w:r>
        <w:t xml:space="preserve"> </w:t>
      </w:r>
      <w:r>
        <w:t xml:space="preserve">model, including the developments in maritime transport activity, energy use in the</w:t>
      </w:r>
      <w:r>
        <w:t xml:space="preserve"> </w:t>
      </w:r>
      <w:r>
        <w:t xml:space="preserve">maritime sector, the greenhouse gas emissions and air pollution emissions, as well as</w:t>
      </w:r>
      <w:r>
        <w:t xml:space="preserve"> </w:t>
      </w:r>
      <w:r>
        <w:t xml:space="preserve">the associated costs.</w:t>
      </w:r>
      <w:r>
        <w:t xml:space="preserve"> </w:t>
      </w:r>
      <w:r>
        <w:t xml:space="preserve">The PRIMES model offers the possibility of handling market distortions, barriers to rational</w:t>
      </w:r>
      <w:r>
        <w:t xml:space="preserve"> </w:t>
      </w:r>
      <w:r>
        <w:t xml:space="preserve">decisions, behaviours, as well as and market coordination issues and includes a complete</w:t>
      </w:r>
      <w:r>
        <w:t xml:space="preserve"> </w:t>
      </w:r>
      <w:r>
        <w:t xml:space="preserve">accounting of costs (CAPEX and OPEX) and investment expenditure on infrastructure needs.</w:t>
      </w:r>
      <w:r>
        <w:t xml:space="preserve"> </w:t>
      </w:r>
      <w:r>
        <w:t xml:space="preserve">PRIMES is designed to analyse complex interactions within the energy system in multiple</w:t>
      </w:r>
      <w:r>
        <w:t xml:space="preserve"> </w:t>
      </w:r>
      <w:r>
        <w:t xml:space="preserve">agents – multiple markets framework.</w:t>
      </w:r>
      <w:r>
        <w:t xml:space="preserve"> </w:t>
      </w:r>
      <w:r>
        <w:t xml:space="preserve">PRIMES is well-placed to simulate medium and long-term transformations of the energy</w:t>
      </w:r>
      <w:r>
        <w:t xml:space="preserve"> </w:t>
      </w:r>
      <w:r>
        <w:t xml:space="preserve">system (rather than short-term ones) and includes non-linear formulation of potentials by type</w:t>
      </w:r>
      <w:r>
        <w:t xml:space="preserve"> </w:t>
      </w:r>
      <w:r>
        <w:t xml:space="preserve">(resources, sites, acceptability etc.) and technology learning.</w:t>
      </w:r>
      <w:r>
        <w:t xml:space="preserve"> </w:t>
      </w:r>
      <w:r>
        <w:t xml:space="preserve">The PRIMES model, with its ETS tool combines two essential characteristics required for the</w:t>
      </w:r>
      <w:r>
        <w:t xml:space="preserve"> </w:t>
      </w:r>
      <w:r>
        <w:t xml:space="preserve">purpose of the analysis in this impact assessment: It combines a rigorous simulation of the ETS</w:t>
      </w:r>
      <w:r>
        <w:t xml:space="preserve"> </w:t>
      </w:r>
      <w:r>
        <w:t xml:space="preserve">market functioning under different circumstances with the energy system model which allows</w:t>
      </w:r>
      <w:r>
        <w:t xml:space="preserve"> </w:t>
      </w:r>
      <w:r>
        <w:t xml:space="preserve">the simulation of the developments driven by policies other than ETS. Being a vintage-</w:t>
      </w:r>
      <w:r>
        <w:t xml:space="preserve"> </w:t>
      </w:r>
      <w:r>
        <w:t xml:space="preserve">engineering based model it includes the inertia of the energy system and has sufficient detail</w:t>
      </w:r>
      <w:r>
        <w:t xml:space="preserve"> </w:t>
      </w:r>
      <w:r>
        <w:t xml:space="preserve">to capture the effects of the other multiple policies (Energy efficiency policies, RES policies,</w:t>
      </w:r>
      <w:r>
        <w:t xml:space="preserve"> </w:t>
      </w:r>
      <w:r>
        <w:t xml:space="preserve">etc.) in combination with the ETS system. As the model covers all sectors of the economy from</w:t>
      </w:r>
      <w:r>
        <w:t xml:space="preserve"> </w:t>
      </w:r>
      <w:r>
        <w:t xml:space="preserve">an energy and emissions perspective, as well as multiple technologies (including negative</w:t>
      </w:r>
      <w:r>
        <w:t xml:space="preserve"> </w:t>
      </w:r>
      <w:r>
        <w:t xml:space="preserve">emission technologies) almost any extension or changes in the ETS system can be captured.</w:t>
      </w:r>
      <w:r>
        <w:t xml:space="preserve"> </w:t>
      </w:r>
      <w:r>
        <w:t xml:space="preserve">PRIMES can provide information on and verify the effect of the possible implications of all</w:t>
      </w:r>
      <w:r>
        <w:t xml:space="preserve"> </w:t>
      </w:r>
      <w:r>
        <w:t xml:space="preserve">interventions.</w:t>
      </w:r>
      <w:r>
        <w:t xml:space="preserve"> </w:t>
      </w:r>
      <w:r>
        <w:t xml:space="preserve">-</w:t>
      </w:r>
      <w:r>
        <w:t xml:space="preserve"> </w:t>
      </w:r>
      <w:r>
        <w:t xml:space="preserve">Demand for allowances under different emissions reduction targets</w:t>
      </w:r>
      <w:r>
        <w:t xml:space="preserve"> </w:t>
      </w:r>
      <w:r>
        <w:t xml:space="preserve">-</w:t>
      </w:r>
      <w:r>
        <w:t xml:space="preserve"> </w:t>
      </w:r>
      <w:r>
        <w:t xml:space="preserve">Different trajectories of ambition (also for different sectors and emissions scope) can</w:t>
      </w:r>
      <w:r>
        <w:t xml:space="preserve"> </w:t>
      </w:r>
      <w:r>
        <w:t xml:space="preserve">be verified</w:t>
      </w:r>
      <w:r>
        <w:t xml:space="preserve"> </w:t>
      </w:r>
      <w:r>
        <w:t xml:space="preserve">-</w:t>
      </w:r>
      <w:r>
        <w:t xml:space="preserve"> </w:t>
      </w:r>
      <w:r>
        <w:t xml:space="preserve">The compliance of an ETS price trajectory with alternative MSR designs</w:t>
      </w:r>
      <w:r>
        <w:t xml:space="preserve"> </w:t>
      </w:r>
      <w:r>
        <w:t xml:space="preserve">-</w:t>
      </w:r>
      <w:r>
        <w:t xml:space="preserve"> </w:t>
      </w:r>
      <w:r>
        <w:t xml:space="preserve">The ETS price tool (ex post) can mimic different actor anticipation and foresight</w:t>
      </w:r>
    </w:p>
    <w:bookmarkStart w:id="9" w:name="section"/>
    <w:p>
      <w:pPr>
        <w:pStyle w:val="Heading2"/>
      </w:pPr>
      <w:r>
        <w:t xml:space="preserve">59</w:t>
      </w:r>
    </w:p>
    <w:p>
      <w:pPr>
        <w:pStyle w:val="FirstParagraph"/>
      </w:pPr>
      <w:r>
        <w:t xml:space="preserve">The PRIMES model can mimic the effect of complementary policy packages for each</w:t>
      </w:r>
      <w:r>
        <w:t xml:space="preserve"> </w:t>
      </w:r>
      <w:r>
        <w:t xml:space="preserve">sector individually (measures on transport, energy efficiency policies, etc).</w:t>
      </w:r>
      <w:r>
        <w:t xml:space="preserve"> </w:t>
      </w:r>
      <w:r>
        <w:t xml:space="preserve">The PRIMES model is regularly used in EU impact assessments and for developing the EU</w:t>
      </w:r>
      <w:r>
        <w:t xml:space="preserve"> </w:t>
      </w:r>
      <w:r>
        <w:t xml:space="preserve">Reference Scenario. Recent applications include the EU Reference Scenario 2020 (European</w:t>
      </w:r>
      <w:r>
        <w:t xml:space="preserve"> </w:t>
      </w:r>
      <w:r>
        <w:t xml:space="preserve">Commission, 2021)33, which projects trends in energy, transport, and GHG emissions through</w:t>
      </w:r>
      <w:r>
        <w:t xml:space="preserve"> </w:t>
      </w:r>
      <w:r>
        <w:t xml:space="preserve">2050, updating the 2016 version (European Commission, 2016)34. PRIMES has been central to</w:t>
      </w:r>
      <w:r>
        <w:t xml:space="preserve"> </w:t>
      </w:r>
      <w:r>
        <w:t xml:space="preserve">assessing key EU climate and energy policy packages, such as the Fit-for-55 initiative,</w:t>
      </w:r>
      <w:r>
        <w:t xml:space="preserve"> </w:t>
      </w:r>
      <w:r>
        <w:t xml:space="preserve">supporting the design of pathways to meet 2030 targets and achieve climate neutrality by 2050.</w:t>
      </w:r>
      <w:r>
        <w:t xml:space="preserve"> </w:t>
      </w:r>
      <w:r>
        <w:t xml:space="preserve">The model was also used in response to the recent energy crisis triggered by the Russian</w:t>
      </w:r>
      <w:r>
        <w:t xml:space="preserve"> </w:t>
      </w:r>
      <w:r>
        <w:t xml:space="preserve">invasion of Ukraine, underpinning the REPowerEU plan to reduce dependence on Russian</w:t>
      </w:r>
      <w:r>
        <w:t xml:space="preserve"> </w:t>
      </w:r>
      <w:r>
        <w:t xml:space="preserve">fossil fuels (European Commission, 2022) 35. Most recently, in 2024, PRIMES supported the</w:t>
      </w:r>
      <w:r>
        <w:t xml:space="preserve"> </w:t>
      </w:r>
      <w:r>
        <w:t xml:space="preserve">analysis behind the EU’s 2040 climate target plan (European Commission, 2024). 36</w:t>
      </w:r>
      <w:r>
        <w:t xml:space="preserve"> </w:t>
      </w:r>
      <w:r>
        <w:t xml:space="preserve">1.1.2.2.</w:t>
      </w:r>
      <w:r>
        <w:t xml:space="preserve"> </w:t>
      </w:r>
      <w:r>
        <w:t xml:space="preserve">GEM-E3</w:t>
      </w:r>
      <w:r>
        <w:t xml:space="preserve"> </w:t>
      </w:r>
      <w:r>
        <w:t xml:space="preserve">GEM-E3 is a large-scale multi-sectoral hybrid CGE model designed to evaluate the effects of</w:t>
      </w:r>
      <w:r>
        <w:t xml:space="preserve"> </w:t>
      </w:r>
      <w:r>
        <w:t xml:space="preserve">external shocks on the economy. The model provides a robust framework to capture the</w:t>
      </w:r>
      <w:r>
        <w:t xml:space="preserve"> </w:t>
      </w:r>
      <w:r>
        <w:t xml:space="preserve">complex energy-economy-climate interactions and simulate the impact of climate damage or</w:t>
      </w:r>
      <w:r>
        <w:t xml:space="preserve"> </w:t>
      </w:r>
      <w:r>
        <w:t xml:space="preserve">climate and energy policies on the performance of sectors, sectoral output, prices and bilateral</w:t>
      </w:r>
      <w:r>
        <w:t xml:space="preserve"> </w:t>
      </w:r>
      <w:r>
        <w:t xml:space="preserve">trade, the competitiveness of regions and the welfare of communities. Results have a yearly</w:t>
      </w:r>
      <w:r>
        <w:t xml:space="preserve"> </w:t>
      </w:r>
      <w:r>
        <w:t xml:space="preserve">time-steps up to 2030 and 5-year time steps until 2050/2100. The model has a global coverage,</w:t>
      </w:r>
      <w:r>
        <w:t xml:space="preserve"> </w:t>
      </w:r>
      <w:r>
        <w:t xml:space="preserve">with 47 regions, where the G-20 countries, EU27 Member States, and major equipment</w:t>
      </w:r>
      <w:r>
        <w:t xml:space="preserve"> </w:t>
      </w:r>
      <w:r>
        <w:t xml:space="preserve">manufacturing or energy exporting countries are represented individually, and countries are</w:t>
      </w:r>
      <w:r>
        <w:t xml:space="preserve"> </w:t>
      </w:r>
      <w:r>
        <w:t xml:space="preserve">linked through bilateral trade. All countries are linked through endogenous bilateral trade</w:t>
      </w:r>
      <w:r>
        <w:t xml:space="preserve"> </w:t>
      </w:r>
      <w:r>
        <w:t xml:space="preserve">transactions. The model explicitly represents 50 distinct economic activities, which are</w:t>
      </w:r>
      <w:r>
        <w:t xml:space="preserve"> </w:t>
      </w:r>
      <w:r>
        <w:t xml:space="preserve">interlinked across the production and consumption value chain.</w:t>
      </w:r>
    </w:p>
    <w:p>
      <w:pPr>
        <w:pStyle w:val="BodyText"/>
      </w:pPr>
      <w:r>
        <w:t xml:space="preserve">33 European Commission 2021. European Commission, Directorate-General for Climate Action, Directorate-</w:t>
      </w:r>
      <w:r>
        <w:t xml:space="preserve"> </w:t>
      </w:r>
      <w:r>
        <w:t xml:space="preserve">General for Energy, Directorate-General for Mobility and Transport, De Vita, A., Capros, P., Paroussos, L.</w:t>
      </w:r>
      <w:r>
        <w:t xml:space="preserve"> </w:t>
      </w:r>
      <w:r>
        <w:t xml:space="preserve">et al. EU reference scenario 2020: energy, transport and GHG emissions: trends to 2050. Publications Office.</w:t>
      </w:r>
      <w:r>
        <w:t xml:space="preserve"> </w:t>
      </w:r>
      <w:r>
        <w:t xml:space="preserve">https://data.europa.eu/doi/10.2833/35750</w:t>
      </w:r>
      <w:r>
        <w:br/>
      </w:r>
      <w:r>
        <w:t xml:space="preserve">34 European Commission 2016. European Commission, Directorate-General for Climate Action, Directorate-</w:t>
      </w:r>
      <w:r>
        <w:t xml:space="preserve"> </w:t>
      </w:r>
      <w:r>
        <w:t xml:space="preserve">General for Energy, Directorate-General for Mobility and Transport, Zampara, M., Obersteiner, M.,</w:t>
      </w:r>
      <w:r>
        <w:t xml:space="preserve"> </w:t>
      </w:r>
      <w:r>
        <w:t xml:space="preserve">Evangelopoulou, S. et al. EU reference scenario 2016: energy, transport and GHG emissions: trends to 2050.</w:t>
      </w:r>
      <w:r>
        <w:t xml:space="preserve"> </w:t>
      </w:r>
      <w:r>
        <w:t xml:space="preserve">Publications Office. https://data.europa.eu/doi/10.2833/001137</w:t>
      </w:r>
      <w:r>
        <w:t xml:space="preserve"> </w:t>
      </w:r>
      <w:r>
        <w:t xml:space="preserve">35 European Commission 2022. Commission staff working document Implementing the RepowerEU action</w:t>
      </w:r>
      <w:r>
        <w:t xml:space="preserve"> </w:t>
      </w:r>
      <w:r>
        <w:t xml:space="preserve">plan: Investment needs, hydrogen accelerator and achieving the bio-methane targets. Accompanying the</w:t>
      </w:r>
      <w:r>
        <w:t xml:space="preserve"> </w:t>
      </w:r>
      <w:r>
        <w:t xml:space="preserve">document</w:t>
      </w:r>
      <w:r>
        <w:t xml:space="preserve"> </w:t>
      </w:r>
      <w:r>
        <w:t xml:space="preserve">“Communication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 REPowerEU Plan”</w:t>
      </w:r>
      <w:r>
        <w:t xml:space="preserve"> </w:t>
      </w:r>
      <w:r>
        <w:t xml:space="preserve">SWD/2022/230 final</w:t>
      </w:r>
      <w:r>
        <w:t xml:space="preserve"> </w:t>
      </w:r>
      <w:r>
        <w:t xml:space="preserve">36 European Commission 2024. Impact Assessment Report Part 1 Accompanying the document</w:t>
      </w:r>
      <w:r>
        <w:t xml:space="preserve"> </w:t>
      </w:r>
      <w:r>
        <w:t xml:space="preserve">“Communication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Regions: Securing our future Europe’s 2040 climate target and</w:t>
      </w:r>
      <w:r>
        <w:t xml:space="preserve"> </w:t>
      </w:r>
      <w:r>
        <w:t xml:space="preserve">path to climate neutrality by 2050, building a sustainable, just and prosperous society”</w:t>
      </w:r>
      <w:r>
        <w:t xml:space="preserve">. SWD/2024/63 final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Figure 3:</w:t>
      </w:r>
      <w:r>
        <w:t xml:space="preserve"> </w:t>
      </w:r>
      <w:r>
        <w:t xml:space="preserve">Schematic representation of the GEM-E3 model</w:t>
      </w:r>
    </w:p>
    <w:p>
      <w:pPr>
        <w:pStyle w:val="BodyText"/>
      </w:pPr>
      <w:r>
        <w:t xml:space="preserve">Focus is placed on the representation of the energy system where specialised bottom-up</w:t>
      </w:r>
      <w:r>
        <w:t xml:space="preserve"> </w:t>
      </w:r>
      <w:r>
        <w:t xml:space="preserve">modules for power generation, buildings and transport sectors have been developed. To this</w:t>
      </w:r>
      <w:r>
        <w:t xml:space="preserve"> </w:t>
      </w:r>
      <w:r>
        <w:t xml:space="preserve">end, the model includes a detailed representation of the power generation system (12 power</w:t>
      </w:r>
      <w:r>
        <w:t xml:space="preserve"> </w:t>
      </w:r>
      <w:r>
        <w:t xml:space="preserve">technologies) and a detailed transport module (private and public transport modes), while</w:t>
      </w:r>
      <w:r>
        <w:t xml:space="preserve"> </w:t>
      </w:r>
      <w:r>
        <w:t xml:space="preserve">different technological options for energy use in buildings and industry are provided. The</w:t>
      </w:r>
      <w:r>
        <w:t xml:space="preserve"> </w:t>
      </w:r>
      <w:r>
        <w:t xml:space="preserve">energy system representation includes an explicit representation of new technologies such as</w:t>
      </w:r>
      <w:r>
        <w:t xml:space="preserve"> </w:t>
      </w:r>
      <w:r>
        <w:t xml:space="preserve">hydrogen, clean fuels, and bioenergy options. The GEM-E3 environment module covers all</w:t>
      </w:r>
      <w:r>
        <w:t xml:space="preserve"> </w:t>
      </w:r>
      <w:r>
        <w:t xml:space="preserve">GHG emissions and a wide range of abatement options, as well as a thoroughly designed</w:t>
      </w:r>
      <w:r>
        <w:t xml:space="preserve"> </w:t>
      </w:r>
      <w:r>
        <w:t xml:space="preserve">carbon market structure (e.g., grandfathering, auctioning, alternative recycling mechanisms).</w:t>
      </w:r>
      <w:r>
        <w:t xml:space="preserve"> </w:t>
      </w:r>
      <w:r>
        <w:t xml:space="preserve">The model has been used extensively by the European Commission, governments and public</w:t>
      </w:r>
      <w:r>
        <w:t xml:space="preserve"> </w:t>
      </w:r>
      <w:r>
        <w:t xml:space="preserve">institutions to assess the macroeconomic, distributional and employment implications of the</w:t>
      </w:r>
      <w:r>
        <w:t xml:space="preserve"> </w:t>
      </w:r>
      <w:r>
        <w:t xml:space="preserve">transition to climate neutrality.</w:t>
      </w:r>
      <w:r>
        <w:br/>
      </w:r>
      <w:r>
        <w:t xml:space="preserve">The model is based on advanced applied modelling techniques and has been further extended</w:t>
      </w:r>
      <w:r>
        <w:t xml:space="preserve"> </w:t>
      </w:r>
      <w:r>
        <w:t xml:space="preserve">to allow the representation of semi-endogenous technical progress, endogenous formation of</w:t>
      </w:r>
      <w:r>
        <w:t xml:space="preserve"> </w:t>
      </w:r>
      <w:r>
        <w:t xml:space="preserve">labour skills and human capital and a detailed bottom-up representation of the energy system</w:t>
      </w:r>
      <w:r>
        <w:t xml:space="preserve"> </w:t>
      </w:r>
      <w:r>
        <w:t xml:space="preserve">(in particular transport and power generation), along with non-CO2 emission abatement options</w:t>
      </w:r>
      <w:r>
        <w:t xml:space="preserve"> </w:t>
      </w:r>
      <w:r>
        <w:t xml:space="preserve">and negative emissions technologies. It moves beyond the standard CGE framework as it is</w:t>
      </w:r>
      <w:r>
        <w:t xml:space="preserve"> </w:t>
      </w:r>
      <w:r>
        <w:t xml:space="preserve">dynamic and features involuntary unemployment in the labour market and alternative</w:t>
      </w:r>
      <w:r>
        <w:t xml:space="preserve"> </w:t>
      </w:r>
      <w:r>
        <w:t xml:space="preserve">macroeconomic closures supported by a detailed representation of the financial sector. The</w:t>
      </w:r>
      <w:r>
        <w:t xml:space="preserve"> </w:t>
      </w:r>
      <w:r>
        <w:t xml:space="preserve">model is established on rigorous microeconomic theory; it is empirically estimated</w:t>
      </w:r>
      <w:r>
        <w:t xml:space="preserve"> </w:t>
      </w:r>
      <w:r>
        <w:t xml:space="preserve">(substitution and trade elasticities) and is able to undertake long term analysis as opposed to</w:t>
      </w:r>
      <w:r>
        <w:t xml:space="preserve"> </w:t>
      </w:r>
      <w:r>
        <w:t xml:space="preserve">econometric models that suffer from the Lucas critique. The model can be used both in a</w:t>
      </w:r>
      <w:r>
        <w:t xml:space="preserve"> </w:t>
      </w:r>
      <w:r>
        <w:t xml:space="preserve">comparative and what if analysis frameworks and represents a closed and consistent accounting</w:t>
      </w:r>
      <w:r>
        <w:t xml:space="preserve"> </w:t>
      </w:r>
      <w:r>
        <w:t xml:space="preserve">of resources.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Figure 4:</w:t>
      </w:r>
      <w:r>
        <w:t xml:space="preserve"> </w:t>
      </w:r>
      <w:r>
        <w:t xml:space="preserve">GEM-E3 system dimensions</w:t>
      </w:r>
    </w:p>
    <w:p>
      <w:pPr>
        <w:pStyle w:val="BodyText"/>
      </w:pPr>
      <w:r>
        <w:t xml:space="preserve">The model is calibrated to a wide range of datasets comprising of Input-Output tables, financial</w:t>
      </w:r>
      <w:r>
        <w:t xml:space="preserve"> </w:t>
      </w:r>
      <w:r>
        <w:t xml:space="preserve">accounting matrices, institutional transactions, energy balances, GHG inventories, bilateral</w:t>
      </w:r>
      <w:r>
        <w:t xml:space="preserve"> </w:t>
      </w:r>
      <w:r>
        <w:t xml:space="preserve">trade matrices, investment matrices and household budget surveys. The model has been</w:t>
      </w:r>
      <w:r>
        <w:t xml:space="preserve"> </w:t>
      </w:r>
      <w:r>
        <w:t xml:space="preserve">calibrated to the latest statistics (GTAP 11, IEA, UN, ILO) while Eurostat statistics have been</w:t>
      </w:r>
      <w:r>
        <w:t xml:space="preserve"> </w:t>
      </w:r>
      <w:r>
        <w:t xml:space="preserve">used for the EU. All countries in the model are linked through endogenous bilateral trade</w:t>
      </w:r>
      <w:r>
        <w:t xml:space="preserve"> </w:t>
      </w:r>
      <w:r>
        <w:t xml:space="preserve">transactions identifying origin and destination. The substitution elasticities of the model are not</w:t>
      </w:r>
      <w:r>
        <w:t xml:space="preserve"> </w:t>
      </w:r>
      <w:r>
        <w:t xml:space="preserve">derived from the general literature but are estimated according to its dimensions and functional</w:t>
      </w:r>
      <w:r>
        <w:t xml:space="preserve"> </w:t>
      </w:r>
      <w:r>
        <w:t xml:space="preserve">forms using the latest available datasets. The model is recursive dynamic through the</w:t>
      </w:r>
      <w:r>
        <w:t xml:space="preserve"> </w:t>
      </w:r>
      <w:r>
        <w:t xml:space="preserve">accumulation of capital via the decision for investments and through the accumulation of</w:t>
      </w:r>
      <w:r>
        <w:t xml:space="preserve"> </w:t>
      </w:r>
      <w:r>
        <w:t xml:space="preserve">knowledge stocks via R&amp;D and human capital development. Model regions are linked through</w:t>
      </w:r>
      <w:r>
        <w:t xml:space="preserve"> </w:t>
      </w:r>
      <w:r>
        <w:t xml:space="preserve">endogenous bilateral trade following the Armington assumption of imperfect substitution</w:t>
      </w:r>
      <w:r>
        <w:t xml:space="preserve"> </w:t>
      </w:r>
      <w:r>
        <w:t xml:space="preserve">across domestic and imported goods. The nested production functions are differentiated by</w:t>
      </w:r>
      <w:r>
        <w:t xml:space="preserve"> </w:t>
      </w:r>
      <w:r>
        <w:t xml:space="preserve">sector and follow a CES structure. For the demand side, the model simulates consumer</w:t>
      </w:r>
      <w:r>
        <w:t xml:space="preserve"> </w:t>
      </w:r>
      <w:r>
        <w:t xml:space="preserve">behaviour and maximises a Klein-Rubin utility function that results in a Linear Expenditure</w:t>
      </w:r>
      <w:r>
        <w:t xml:space="preserve"> </w:t>
      </w:r>
      <w:r>
        <w:t xml:space="preserve">demand system subject to its disposable income not used for obliged consumption (subsistence</w:t>
      </w:r>
      <w:r>
        <w:t xml:space="preserve"> </w:t>
      </w:r>
      <w:r>
        <w:t xml:space="preserve">minima consumption) and after allowing for the decision on savings. The representative</w:t>
      </w:r>
      <w:r>
        <w:t xml:space="preserve"> </w:t>
      </w:r>
      <w:r>
        <w:t xml:space="preserve">household decides on the allocation of the income that is available for consumption over</w:t>
      </w:r>
      <w:r>
        <w:t xml:space="preserve"> </w:t>
      </w:r>
      <w:r>
        <w:t xml:space="preserve">different consumption categories (COICOP), distinguishing between durable and non-durable</w:t>
      </w:r>
      <w:r>
        <w:t xml:space="preserve"> </w:t>
      </w:r>
      <w:r>
        <w:t xml:space="preserve">goods. The model has been calibrated to the latest statistics (GTAP 11, IEA, UN, ILO) while</w:t>
      </w:r>
      <w:r>
        <w:t xml:space="preserve"> </w:t>
      </w:r>
      <w:r>
        <w:t xml:space="preserve">Eurostat statistics have been used for the EU.</w:t>
      </w:r>
      <w:r>
        <w:br/>
      </w:r>
      <w:r>
        <w:t xml:space="preserve">The key innovations of the model relate to the explicit representation of the financial sector,</w:t>
      </w:r>
      <w:r>
        <w:t xml:space="preserve"> </w:t>
      </w:r>
      <w:r>
        <w:t xml:space="preserve">semi-endogenous dynamics based on R&amp;D induced technical progress and knowledge</w:t>
      </w:r>
      <w:r>
        <w:t xml:space="preserve"> </w:t>
      </w:r>
      <w:r>
        <w:t xml:space="preserve">spillovers, the representation of multiple households, unemployment in the labour market with</w:t>
      </w:r>
      <w:r>
        <w:t xml:space="preserve"> </w:t>
      </w:r>
      <w:r>
        <w:t xml:space="preserve">a representation of five labour skill levels and endogenous formation of labour skills.</w:t>
      </w:r>
      <w:r>
        <w:br/>
      </w:r>
      <w:r>
        <w:t xml:space="preserve">The model is written in structural form and can be used for the comparative analysis of</w:t>
      </w:r>
      <w:r>
        <w:t xml:space="preserve"> </w:t>
      </w:r>
      <w:r>
        <w:t xml:space="preserve">alternative policy scenarios and the provision of insights on the distributional effects of long-</w:t>
      </w:r>
      <w:r>
        <w:t xml:space="preserve"> </w:t>
      </w:r>
      <w:r>
        <w:t xml:space="preserve">term structural adjustments. In all simulation alternatives the model ensures that the economic</w:t>
      </w:r>
      <w:r>
        <w:t xml:space="preserve"> </w:t>
      </w:r>
      <w:r>
        <w:t xml:space="preserve">system is always in general equilibrium. It extends beyond the static comparison of alternative</w:t>
      </w:r>
      <w:r>
        <w:t xml:space="preserve"> </w:t>
      </w:r>
      <w:r>
        <w:t xml:space="preserve">policies.</w:t>
      </w:r>
      <w:r>
        <w:br/>
      </w:r>
      <w:r>
        <w:t xml:space="preserve">The GEM-E3 model is written entirely in GAMS. The implementation of the model is split in</w:t>
      </w:r>
      <w:r>
        <w:t xml:space="preserve"> </w:t>
      </w:r>
      <w:r>
        <w:t xml:space="preserve">two stages: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I.</w:t>
      </w:r>
      <w:r>
        <w:t xml:space="preserve"> </w:t>
      </w:r>
      <w:r>
        <w:t xml:space="preserve">Calibration: At this stage the calculation of the model parameters is carried out so that</w:t>
      </w:r>
      <w:r>
        <w:t xml:space="preserve"> </w:t>
      </w:r>
      <w:r>
        <w:t xml:space="preserve">the model replicates a single year (base year) data.</w:t>
      </w:r>
      <w:r>
        <w:br/>
      </w:r>
      <w:r>
        <w:t xml:space="preserve">II.</w:t>
      </w:r>
      <w:r>
        <w:t xml:space="preserve"> </w:t>
      </w:r>
      <w:r>
        <w:t xml:space="preserve">Scenario quantification: This stage entails model implementation that quantifies a</w:t>
      </w:r>
      <w:r>
        <w:t xml:space="preserve"> </w:t>
      </w:r>
      <w:r>
        <w:t xml:space="preserve">reference and/or a counterfactual scenario.</w:t>
      </w:r>
      <w:r>
        <w:br/>
      </w:r>
      <w:r>
        <w:t xml:space="preserve">GEM-E3 enables the analysis of the impacts of policy scenarios on key macro-economic</w:t>
      </w:r>
      <w:r>
        <w:t xml:space="preserve"> </w:t>
      </w:r>
      <w:r>
        <w:t xml:space="preserve">variables. A wide range of policies and measures can be assessed under any given level of</w:t>
      </w:r>
      <w:r>
        <w:t xml:space="preserve"> </w:t>
      </w:r>
      <w:r>
        <w:t xml:space="preserve">mitigation ambition, including those to support the deployment of renewable energy or</w:t>
      </w:r>
      <w:r>
        <w:t xml:space="preserve"> </w:t>
      </w:r>
      <w:r>
        <w:t xml:space="preserve">industrial decarbonisation, e.g. via the recycling of carbon revenues, measures to support up-</w:t>
      </w:r>
      <w:r>
        <w:t xml:space="preserve"> </w:t>
      </w:r>
      <w:r>
        <w:t xml:space="preserve">skilling and re-skilling of the labour force, or policies to avoid carbon leakage, such as the</w:t>
      </w:r>
      <w:r>
        <w:t xml:space="preserve"> </w:t>
      </w:r>
      <w:r>
        <w:t xml:space="preserve">carbon border adjustment measure. The model can also be used to assess the impact of price</w:t>
      </w:r>
      <w:r>
        <w:t xml:space="preserve"> </w:t>
      </w:r>
      <w:r>
        <w:t xml:space="preserve">shocks on the economy, e.g. fossil fuel price shocks.</w:t>
      </w:r>
      <w:r>
        <w:t xml:space="preserve"> </w:t>
      </w:r>
      <w:r>
        <w:t xml:space="preserve">They key variables represented in GEM-E3 include GDP and its components, employment by</w:t>
      </w:r>
      <w:r>
        <w:t xml:space="preserve"> </w:t>
      </w:r>
      <w:r>
        <w:t xml:space="preserve">economic activity and by skill and unemployment rates, capital, interest rates and investment</w:t>
      </w:r>
      <w:r>
        <w:t xml:space="preserve"> </w:t>
      </w:r>
      <w:r>
        <w:t xml:space="preserve">by country and sector, private and public consumption, bilateral trade flows, consumption</w:t>
      </w:r>
      <w:r>
        <w:t xml:space="preserve"> </w:t>
      </w:r>
      <w:r>
        <w:t xml:space="preserve">matrices by product and investment matrix by ownership branch, GHG emissions by country,</w:t>
      </w:r>
      <w:r>
        <w:t xml:space="preserve"> </w:t>
      </w:r>
      <w:r>
        <w:t xml:space="preserve">sector and fuel and detailed energy system projections (energy demand by sector and fuel,</w:t>
      </w:r>
      <w:r>
        <w:t xml:space="preserve"> </w:t>
      </w:r>
      <w:r>
        <w:t xml:space="preserve">power generation mix, deployment of transport technologies, energy efficiency</w:t>
      </w:r>
      <w:r>
        <w:t xml:space="preserve"> </w:t>
      </w:r>
      <w:r>
        <w:t xml:space="preserve">improvements).</w:t>
      </w:r>
      <w:r>
        <w:br/>
      </w:r>
      <w:r>
        <w:t xml:space="preserve">GEM-E3 enables a thorough understanding and detailed identification of risks and</w:t>
      </w:r>
      <w:r>
        <w:t xml:space="preserve"> </w:t>
      </w:r>
      <w:r>
        <w:t xml:space="preserve">opportunities of the low carbon transition and of the implementation of specific climate and</w:t>
      </w:r>
      <w:r>
        <w:t xml:space="preserve"> </w:t>
      </w:r>
      <w:r>
        <w:t xml:space="preserve">energy policies by capturing:</w:t>
      </w:r>
      <w:r>
        <w:br/>
      </w:r>
      <w:r>
        <w:t xml:space="preserve">•</w:t>
      </w:r>
      <w:r>
        <w:t xml:space="preserve"> </w:t>
      </w:r>
      <w:r>
        <w:t xml:space="preserve">Direct impacts on each sector, e.g., how carbon prices and carbon border taxes will</w:t>
      </w:r>
      <w:r>
        <w:t xml:space="preserve"> </w:t>
      </w:r>
      <w:r>
        <w:t xml:space="preserve">affect a sector’s costs of production (considering carbon intensity) and thus its</w:t>
      </w:r>
      <w:r>
        <w:t xml:space="preserve"> </w:t>
      </w:r>
      <w:r>
        <w:t xml:space="preserve">production levels (via domestic and international demand)</w:t>
      </w:r>
      <w:r>
        <w:br/>
      </w:r>
      <w:r>
        <w:t xml:space="preserve">•</w:t>
      </w:r>
      <w:r>
        <w:t xml:space="preserve"> </w:t>
      </w:r>
      <w:r>
        <w:t xml:space="preserve">Indirect impacts via value chain effects (e.g. changes in prices of intermediate products,</w:t>
      </w:r>
      <w:r>
        <w:t xml:space="preserve"> </w:t>
      </w:r>
      <w:r>
        <w:t xml:space="preserve">of labour and capital inputs), technology costs, consumer preferences, material</w:t>
      </w:r>
      <w:r>
        <w:t xml:space="preserve"> </w:t>
      </w:r>
      <w:r>
        <w:t xml:space="preserve">availability and costs</w:t>
      </w:r>
      <w:r>
        <w:br/>
      </w:r>
      <w:r>
        <w:t xml:space="preserve">•</w:t>
      </w:r>
      <w:r>
        <w:t xml:space="preserve"> </w:t>
      </w:r>
      <w:r>
        <w:t xml:space="preserve">Induced effects via economy feedback, prices, and income implications (e.g. overall</w:t>
      </w:r>
      <w:r>
        <w:t xml:space="preserve"> </w:t>
      </w:r>
      <w:r>
        <w:t xml:space="preserve">drop of demand even for products not directly affected by carbon prices etc.)</w:t>
      </w:r>
      <w:r>
        <w:br/>
      </w:r>
      <w:r>
        <w:t xml:space="preserve">•</w:t>
      </w:r>
      <w:r>
        <w:t xml:space="preserve"> </w:t>
      </w:r>
      <w:r>
        <w:t xml:space="preserve">The impacts of financing requirements (capital-intensive process of mitigation) and</w:t>
      </w:r>
      <w:r>
        <w:t xml:space="preserve"> </w:t>
      </w:r>
      <w:r>
        <w:t xml:space="preserve">different financing options</w:t>
      </w:r>
      <w:r>
        <w:br/>
      </w:r>
      <w:r>
        <w:t xml:space="preserve">•</w:t>
      </w:r>
      <w:r>
        <w:t xml:space="preserve"> </w:t>
      </w:r>
      <w:r>
        <w:t xml:space="preserve">Impacts on competitiveness</w:t>
      </w:r>
      <w:r>
        <w:br/>
      </w:r>
      <w:r>
        <w:t xml:space="preserve">•</w:t>
      </w:r>
      <w:r>
        <w:t xml:space="preserve"> </w:t>
      </w:r>
      <w:r>
        <w:t xml:space="preserve">Impacts on sectoral productivity, household incomes and prices due to climate</w:t>
      </w:r>
      <w:r>
        <w:t xml:space="preserve"> </w:t>
      </w:r>
      <w:r>
        <w:t xml:space="preserve">damages</w:t>
      </w:r>
      <w:r>
        <w:br/>
      </w:r>
      <w:r>
        <w:t xml:space="preserve">Table 2:</w:t>
      </w:r>
      <w:r>
        <w:t xml:space="preserve"> </w:t>
      </w:r>
      <w:r>
        <w:t xml:space="preserve">Regional resolution of the GEM-E3 model</w:t>
      </w:r>
      <w:r>
        <w:t xml:space="preserve"> </w:t>
      </w:r>
      <w:r>
        <w:t xml:space="preserve">Country Code: Description:</w:t>
      </w:r>
      <w:r>
        <w:br/>
      </w:r>
      <w:r>
        <w:t xml:space="preserve">Country Code: Description:</w:t>
      </w:r>
      <w:r>
        <w:br/>
      </w:r>
      <w:r>
        <w:t xml:space="preserve">AUT</w:t>
      </w:r>
      <w:r>
        <w:br/>
      </w:r>
      <w:r>
        <w:t xml:space="preserve">Austria</w:t>
      </w:r>
      <w:r>
        <w:br/>
      </w:r>
      <w:r>
        <w:t xml:space="preserve">USA</w:t>
      </w:r>
      <w:r>
        <w:br/>
      </w:r>
      <w:r>
        <w:t xml:space="preserve">USA</w:t>
      </w:r>
      <w:r>
        <w:br/>
      </w:r>
      <w:r>
        <w:t xml:space="preserve">BEL</w:t>
      </w:r>
      <w:r>
        <w:br/>
      </w:r>
      <w:r>
        <w:t xml:space="preserve">Belgium</w:t>
      </w:r>
    </w:p>
    <w:p>
      <w:pPr>
        <w:pStyle w:val="BodyText"/>
      </w:pPr>
      <w:r>
        <w:t xml:space="preserve">JPN</w:t>
      </w:r>
      <w:r>
        <w:br/>
      </w:r>
      <w:r>
        <w:t xml:space="preserve">Japan</w:t>
      </w:r>
      <w:r>
        <w:br/>
      </w:r>
      <w:r>
        <w:t xml:space="preserve">BGR</w:t>
      </w:r>
      <w:r>
        <w:br/>
      </w:r>
      <w:r>
        <w:t xml:space="preserve">Bulgaria</w:t>
      </w:r>
      <w:r>
        <w:br/>
      </w:r>
      <w:r>
        <w:t xml:space="preserve">CAN</w:t>
      </w:r>
      <w:r>
        <w:br/>
      </w:r>
      <w:r>
        <w:t xml:space="preserve">Canada</w:t>
      </w:r>
      <w:r>
        <w:br/>
      </w:r>
      <w:r>
        <w:t xml:space="preserve">CYP</w:t>
      </w:r>
      <w:r>
        <w:br/>
      </w:r>
      <w:r>
        <w:t xml:space="preserve">Cyprus</w:t>
      </w:r>
      <w:r>
        <w:br/>
      </w:r>
      <w:r>
        <w:t xml:space="preserve">BRA</w:t>
      </w:r>
      <w:r>
        <w:br/>
      </w:r>
      <w:r>
        <w:t xml:space="preserve">Brazil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CRO</w:t>
      </w:r>
      <w:r>
        <w:br/>
      </w:r>
      <w:r>
        <w:t xml:space="preserve">Croatia</w:t>
      </w:r>
    </w:p>
    <w:p>
      <w:pPr>
        <w:pStyle w:val="BodyText"/>
      </w:pPr>
      <w:r>
        <w:t xml:space="preserve">CHN</w:t>
      </w:r>
      <w:r>
        <w:br/>
      </w:r>
      <w:r>
        <w:t xml:space="preserve">China</w:t>
      </w:r>
      <w:r>
        <w:br/>
      </w:r>
      <w:r>
        <w:t xml:space="preserve">CZE</w:t>
      </w:r>
      <w:r>
        <w:br/>
      </w:r>
      <w:r>
        <w:t xml:space="preserve">Czech Republic</w:t>
      </w:r>
      <w:r>
        <w:br/>
      </w:r>
      <w:r>
        <w:t xml:space="preserve">IND</w:t>
      </w:r>
      <w:r>
        <w:br/>
      </w:r>
      <w:r>
        <w:t xml:space="preserve">India</w:t>
      </w:r>
      <w:r>
        <w:br/>
      </w:r>
      <w:r>
        <w:t xml:space="preserve">DEU</w:t>
      </w:r>
      <w:r>
        <w:br/>
      </w:r>
      <w:r>
        <w:t xml:space="preserve">Germany</w:t>
      </w:r>
      <w:r>
        <w:br/>
      </w:r>
      <w:r>
        <w:t xml:space="preserve">KOR</w:t>
      </w:r>
      <w:r>
        <w:br/>
      </w:r>
      <w:r>
        <w:t xml:space="preserve">South Korea</w:t>
      </w:r>
      <w:r>
        <w:br/>
      </w:r>
      <w:r>
        <w:t xml:space="preserve">DNK</w:t>
      </w:r>
      <w:r>
        <w:br/>
      </w:r>
      <w:r>
        <w:t xml:space="preserve">Denmark</w:t>
      </w:r>
      <w:r>
        <w:br/>
      </w:r>
      <w:r>
        <w:t xml:space="preserve">IDN</w:t>
      </w:r>
      <w:r>
        <w:br/>
      </w:r>
      <w:r>
        <w:t xml:space="preserve">Indonesia</w:t>
      </w:r>
      <w:r>
        <w:br/>
      </w:r>
      <w:r>
        <w:t xml:space="preserve">ESP</w:t>
      </w:r>
      <w:r>
        <w:br/>
      </w:r>
      <w:r>
        <w:t xml:space="preserve">Spain</w:t>
      </w:r>
      <w:r>
        <w:br/>
      </w:r>
      <w:r>
        <w:t xml:space="preserve">MEX</w:t>
      </w:r>
      <w:r>
        <w:br/>
      </w:r>
      <w:r>
        <w:t xml:space="preserve">Mexico</w:t>
      </w:r>
      <w:r>
        <w:br/>
      </w:r>
      <w:r>
        <w:t xml:space="preserve">EST</w:t>
      </w:r>
      <w:r>
        <w:br/>
      </w:r>
      <w:r>
        <w:t xml:space="preserve">Estonia</w:t>
      </w:r>
      <w:r>
        <w:br/>
      </w:r>
      <w:r>
        <w:t xml:space="preserve">ARG</w:t>
      </w:r>
      <w:r>
        <w:br/>
      </w:r>
      <w:r>
        <w:t xml:space="preserve">Argentina</w:t>
      </w:r>
      <w:r>
        <w:br/>
      </w:r>
      <w:r>
        <w:t xml:space="preserve">FIN</w:t>
      </w:r>
      <w:r>
        <w:br/>
      </w:r>
      <w:r>
        <w:t xml:space="preserve">Finland</w:t>
      </w:r>
      <w:r>
        <w:br/>
      </w:r>
      <w:r>
        <w:t xml:space="preserve">TUR</w:t>
      </w:r>
      <w:r>
        <w:br/>
      </w:r>
      <w:r>
        <w:t xml:space="preserve">Turkey</w:t>
      </w:r>
      <w:r>
        <w:br/>
      </w:r>
      <w:r>
        <w:t xml:space="preserve">FRA</w:t>
      </w:r>
      <w:r>
        <w:br/>
      </w:r>
      <w:r>
        <w:t xml:space="preserve">France</w:t>
      </w:r>
      <w:r>
        <w:br/>
      </w:r>
      <w:r>
        <w:t xml:space="preserve">SAR</w:t>
      </w:r>
      <w:r>
        <w:br/>
      </w:r>
      <w:r>
        <w:t xml:space="preserve">Saudi Arabia</w:t>
      </w:r>
      <w:r>
        <w:br/>
      </w:r>
      <w:r>
        <w:t xml:space="preserve">GBR</w:t>
      </w:r>
      <w:r>
        <w:br/>
      </w:r>
      <w:r>
        <w:t xml:space="preserve">United Kingdom</w:t>
      </w:r>
      <w:r>
        <w:br/>
      </w:r>
      <w:r>
        <w:t xml:space="preserve">OCE</w:t>
      </w:r>
      <w:r>
        <w:br/>
      </w:r>
      <w:r>
        <w:t xml:space="preserve">Oceania</w:t>
      </w:r>
      <w:r>
        <w:br/>
      </w:r>
      <w:r>
        <w:t xml:space="preserve">GRC</w:t>
      </w:r>
      <w:r>
        <w:br/>
      </w:r>
      <w:r>
        <w:t xml:space="preserve">Greece</w:t>
      </w:r>
      <w:r>
        <w:br/>
      </w:r>
      <w:r>
        <w:t xml:space="preserve">RUS</w:t>
      </w:r>
      <w:r>
        <w:br/>
      </w:r>
      <w:r>
        <w:t xml:space="preserve">Russian federation</w:t>
      </w:r>
      <w:r>
        <w:br/>
      </w:r>
      <w:r>
        <w:t xml:space="preserve">HUN</w:t>
      </w:r>
      <w:r>
        <w:br/>
      </w:r>
      <w:r>
        <w:t xml:space="preserve">Hungary</w:t>
      </w:r>
      <w:r>
        <w:br/>
      </w:r>
      <w:r>
        <w:t xml:space="preserve">ARE</w:t>
      </w:r>
      <w:r>
        <w:br/>
      </w:r>
      <w:r>
        <w:t xml:space="preserve">United Arab Emirates</w:t>
      </w:r>
      <w:r>
        <w:br/>
      </w:r>
      <w:r>
        <w:t xml:space="preserve">IRL</w:t>
      </w:r>
      <w:r>
        <w:br/>
      </w:r>
      <w:r>
        <w:t xml:space="preserve">Ireland</w:t>
      </w:r>
      <w:r>
        <w:br/>
      </w:r>
      <w:r>
        <w:t xml:space="preserve">REP</w:t>
      </w:r>
      <w:r>
        <w:br/>
      </w:r>
      <w:r>
        <w:t xml:space="preserve">Rest of energy producing countries</w:t>
      </w:r>
      <w:r>
        <w:br/>
      </w:r>
      <w:r>
        <w:t xml:space="preserve">ITA</w:t>
      </w:r>
      <w:r>
        <w:br/>
      </w:r>
      <w:r>
        <w:t xml:space="preserve">Italy</w:t>
      </w:r>
      <w:r>
        <w:br/>
      </w:r>
      <w:r>
        <w:t xml:space="preserve">SAF</w:t>
      </w:r>
      <w:r>
        <w:br/>
      </w:r>
      <w:r>
        <w:t xml:space="preserve">South Africa</w:t>
      </w:r>
      <w:r>
        <w:br/>
      </w:r>
      <w:r>
        <w:t xml:space="preserve">LTU</w:t>
      </w:r>
      <w:r>
        <w:br/>
      </w:r>
      <w:r>
        <w:t xml:space="preserve">Lithuania</w:t>
      </w:r>
      <w:r>
        <w:br/>
      </w:r>
      <w:r>
        <w:t xml:space="preserve">REU</w:t>
      </w:r>
      <w:r>
        <w:br/>
      </w:r>
      <w:r>
        <w:t xml:space="preserve">Rest of Europe</w:t>
      </w:r>
      <w:r>
        <w:br/>
      </w:r>
      <w:r>
        <w:t xml:space="preserve">LUX</w:t>
      </w:r>
      <w:r>
        <w:br/>
      </w:r>
      <w:r>
        <w:t xml:space="preserve">Luxembourg</w:t>
      </w:r>
      <w:r>
        <w:br/>
      </w:r>
      <w:r>
        <w:t xml:space="preserve">ROW</w:t>
      </w:r>
      <w:r>
        <w:br/>
      </w:r>
      <w:r>
        <w:t xml:space="preserve">Rest of the World</w:t>
      </w:r>
      <w:r>
        <w:br/>
      </w:r>
      <w:r>
        <w:t xml:space="preserve">MLT</w:t>
      </w:r>
      <w:r>
        <w:br/>
      </w:r>
      <w:r>
        <w:t xml:space="preserve">Malta</w:t>
      </w:r>
      <w:r>
        <w:br/>
      </w:r>
      <w:r>
        <w:t xml:space="preserve">NLD</w:t>
      </w:r>
      <w:r>
        <w:br/>
      </w:r>
      <w:r>
        <w:t xml:space="preserve">Netherlands</w:t>
      </w:r>
      <w:r>
        <w:br/>
      </w:r>
      <w:r>
        <w:t xml:space="preserve">POL</w:t>
      </w:r>
      <w:r>
        <w:br/>
      </w:r>
      <w:r>
        <w:t xml:space="preserve">Poland</w:t>
      </w:r>
      <w:r>
        <w:br/>
      </w:r>
      <w:r>
        <w:t xml:space="preserve">PRT</w:t>
      </w:r>
      <w:r>
        <w:br/>
      </w:r>
      <w:r>
        <w:t xml:space="preserve">Portugal</w:t>
      </w:r>
      <w:r>
        <w:br/>
      </w:r>
      <w:r>
        <w:t xml:space="preserve">SVK</w:t>
      </w:r>
      <w:r>
        <w:br/>
      </w:r>
      <w:r>
        <w:t xml:space="preserve">Slovakia</w:t>
      </w:r>
      <w:r>
        <w:br/>
      </w:r>
      <w:r>
        <w:t xml:space="preserve">SVN</w:t>
      </w:r>
      <w:r>
        <w:br/>
      </w:r>
      <w:r>
        <w:t xml:space="preserve">Slovenia</w:t>
      </w:r>
      <w:r>
        <w:br/>
      </w:r>
      <w:r>
        <w:t xml:space="preserve">SWE</w:t>
      </w:r>
      <w:r>
        <w:br/>
      </w:r>
      <w:r>
        <w:t xml:space="preserve">Sweden</w:t>
      </w:r>
      <w:r>
        <w:br/>
      </w:r>
      <w:r>
        <w:t xml:space="preserve">ROU</w:t>
      </w:r>
      <w:r>
        <w:br/>
      </w:r>
      <w:r>
        <w:t xml:space="preserve">Romania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Table 3:</w:t>
      </w:r>
      <w:r>
        <w:t xml:space="preserve"> </w:t>
      </w:r>
      <w:r>
        <w:t xml:space="preserve">Sectoral resolution of the GEM-E3 model</w:t>
      </w:r>
      <w:r>
        <w:t xml:space="preserve"> </w:t>
      </w:r>
      <w:r>
        <w:t xml:space="preserve">Code</w:t>
      </w:r>
      <w:r>
        <w:t xml:space="preserve"> </w:t>
      </w:r>
      <w:r>
        <w:t xml:space="preserve">Description</w:t>
      </w:r>
      <w:r>
        <w:t xml:space="preserve"> </w:t>
      </w:r>
      <w:r>
        <w:t xml:space="preserve">Code</w:t>
      </w:r>
      <w:r>
        <w:t xml:space="preserve"> </w:t>
      </w:r>
      <w:r>
        <w:t xml:space="preserve">Description</w:t>
      </w:r>
      <w:r>
        <w:t xml:space="preserve"> </w:t>
      </w:r>
      <w:r>
        <w:t xml:space="preserve">Code</w:t>
      </w:r>
      <w:r>
        <w:t xml:space="preserve"> </w:t>
      </w:r>
      <w:r>
        <w:t xml:space="preserve">Description</w:t>
      </w:r>
      <w:r>
        <w:t xml:space="preserve"> </w:t>
      </w:r>
      <w:r>
        <w:t xml:space="preserve">Industry</w:t>
      </w:r>
      <w:r>
        <w:t xml:space="preserve"> </w:t>
      </w:r>
      <w:r>
        <w:t xml:space="preserve">Industry (continued)</w:t>
      </w:r>
      <w:r>
        <w:t xml:space="preserve"> </w:t>
      </w:r>
      <w:r>
        <w:t xml:space="preserve">Agriculture</w:t>
      </w:r>
      <w:r>
        <w:t xml:space="preserve"> </w:t>
      </w:r>
      <w:r>
        <w:t xml:space="preserve">IND01 Ferrous metals</w:t>
      </w:r>
      <w:r>
        <w:br/>
      </w:r>
      <w:r>
        <w:t xml:space="preserve">IND19</w:t>
      </w:r>
      <w:r>
        <w:br/>
      </w:r>
      <w:r>
        <w:t xml:space="preserve">Equipment for PV</w:t>
      </w:r>
      <w:r>
        <w:t xml:space="preserve"> </w:t>
      </w:r>
      <w:r>
        <w:t xml:space="preserve">panels</w:t>
      </w:r>
      <w:r>
        <w:br/>
      </w:r>
      <w:r>
        <w:t xml:space="preserve">AGR01 Agriculture</w:t>
      </w:r>
      <w:r>
        <w:br/>
      </w:r>
      <w:r>
        <w:t xml:space="preserve">IND02 Non-ferrous metals</w:t>
      </w:r>
      <w:r>
        <w:br/>
      </w:r>
      <w:r>
        <w:t xml:space="preserve">IND20</w:t>
      </w:r>
      <w:r>
        <w:br/>
      </w:r>
      <w:r>
        <w:t xml:space="preserve">Equipment for CCS</w:t>
      </w:r>
      <w:r>
        <w:t xml:space="preserve"> </w:t>
      </w:r>
      <w:r>
        <w:t xml:space="preserve">power technology</w:t>
      </w:r>
      <w:r>
        <w:br/>
      </w:r>
      <w:r>
        <w:t xml:space="preserve">Services</w:t>
      </w:r>
      <w:r>
        <w:t xml:space="preserve"> </w:t>
      </w:r>
      <w:r>
        <w:t xml:space="preserve">IND03 Fabricated Metal products</w:t>
      </w:r>
      <w:r>
        <w:br/>
      </w:r>
      <w:r>
        <w:t xml:space="preserve">IND21</w:t>
      </w:r>
      <w:r>
        <w:br/>
      </w:r>
      <w:r>
        <w:t xml:space="preserve">CO2 Capture</w:t>
      </w:r>
      <w:r>
        <w:br/>
      </w:r>
      <w:r>
        <w:t xml:space="preserve">SRV01</w:t>
      </w:r>
      <w:r>
        <w:br/>
      </w:r>
      <w:r>
        <w:t xml:space="preserve">Market</w:t>
      </w:r>
      <w:r>
        <w:t xml:space="preserve"> </w:t>
      </w:r>
      <w:r>
        <w:t xml:space="preserve">Services</w:t>
      </w:r>
      <w:r>
        <w:br/>
      </w:r>
      <w:r>
        <w:t xml:space="preserve">IND04 Chemical Products</w:t>
      </w:r>
      <w:r>
        <w:br/>
      </w:r>
      <w:r>
        <w:t xml:space="preserve">Energy</w:t>
      </w:r>
      <w:r>
        <w:t xml:space="preserve"> </w:t>
      </w:r>
      <w:r>
        <w:t xml:space="preserve">SRV02</w:t>
      </w:r>
      <w:r>
        <w:br/>
      </w:r>
      <w:r>
        <w:t xml:space="preserve">Non-Market</w:t>
      </w:r>
      <w:r>
        <w:t xml:space="preserve"> </w:t>
      </w:r>
      <w:r>
        <w:t xml:space="preserve">Services</w:t>
      </w:r>
      <w:r>
        <w:br/>
      </w:r>
      <w:r>
        <w:t xml:space="preserve">IND05 Basic pharmaceutical</w:t>
      </w:r>
      <w:r>
        <w:t xml:space="preserve"> </w:t>
      </w:r>
      <w:r>
        <w:t xml:space="preserve">products</w:t>
      </w:r>
      <w:r>
        <w:br/>
      </w:r>
      <w:r>
        <w:t xml:space="preserve">ENE01 Coal</w:t>
      </w:r>
      <w:r>
        <w:br/>
      </w:r>
      <w:r>
        <w:t xml:space="preserve">SRV03</w:t>
      </w:r>
      <w:r>
        <w:br/>
      </w:r>
      <w:r>
        <w:t xml:space="preserve">R&amp;D</w:t>
      </w:r>
      <w:r>
        <w:br/>
      </w:r>
      <w:r>
        <w:t xml:space="preserve">IND06 Rubber and plastic products ENE02 Crude Oil</w:t>
      </w:r>
      <w:r>
        <w:br/>
      </w:r>
      <w:r>
        <w:t xml:space="preserve">Power Generation</w:t>
      </w:r>
      <w:r>
        <w:t xml:space="preserve"> </w:t>
      </w:r>
      <w:r>
        <w:t xml:space="preserve">IND07 Paper products, publishing</w:t>
      </w:r>
      <w:r>
        <w:br/>
      </w:r>
      <w:r>
        <w:t xml:space="preserve">ENE03 Oil</w:t>
      </w:r>
      <w:r>
        <w:br/>
      </w:r>
      <w:r>
        <w:t xml:space="preserve">PGT01</w:t>
      </w:r>
      <w:r>
        <w:br/>
      </w:r>
      <w:r>
        <w:t xml:space="preserve">Coal fired</w:t>
      </w:r>
      <w:r>
        <w:br/>
      </w:r>
      <w:r>
        <w:t xml:space="preserve">IND08 Non-metallic minerals</w:t>
      </w:r>
      <w:r>
        <w:br/>
      </w:r>
      <w:r>
        <w:t xml:space="preserve">ENE04 Gas</w:t>
      </w:r>
      <w:r>
        <w:br/>
      </w:r>
      <w:r>
        <w:t xml:space="preserve">PGT02</w:t>
      </w:r>
      <w:r>
        <w:br/>
      </w:r>
      <w:r>
        <w:t xml:space="preserve">Oil fired</w:t>
      </w:r>
      <w:r>
        <w:br/>
      </w:r>
      <w:r>
        <w:t xml:space="preserve">IND09 Computer, electronic and</w:t>
      </w:r>
      <w:r>
        <w:t xml:space="preserve"> </w:t>
      </w:r>
      <w:r>
        <w:t xml:space="preserve">optical products</w:t>
      </w:r>
      <w:r>
        <w:br/>
      </w:r>
      <w:r>
        <w:t xml:space="preserve">ENE05 Power Supply</w:t>
      </w:r>
      <w:r>
        <w:br/>
      </w:r>
      <w:r>
        <w:t xml:space="preserve">PGT03</w:t>
      </w:r>
      <w:r>
        <w:br/>
      </w:r>
      <w:r>
        <w:t xml:space="preserve">Gas fired</w:t>
      </w:r>
      <w:r>
        <w:br/>
      </w:r>
      <w:r>
        <w:t xml:space="preserve">IND10 Other Equipment Goods</w:t>
      </w:r>
      <w:r>
        <w:br/>
      </w:r>
      <w:r>
        <w:t xml:space="preserve">ENE06 Biomass Solid</w:t>
      </w:r>
      <w:r>
        <w:br/>
      </w:r>
      <w:r>
        <w:t xml:space="preserve">PGT04</w:t>
      </w:r>
      <w:r>
        <w:br/>
      </w:r>
      <w:r>
        <w:t xml:space="preserve">Nuclear</w:t>
      </w:r>
      <w:r>
        <w:br/>
      </w:r>
      <w:r>
        <w:t xml:space="preserve">IND11 Transport equipment</w:t>
      </w:r>
      <w:r>
        <w:t xml:space="preserve"> </w:t>
      </w:r>
      <w:r>
        <w:t xml:space="preserve">(excluding EV)</w:t>
      </w:r>
      <w:r>
        <w:br/>
      </w:r>
      <w:r>
        <w:t xml:space="preserve">ENE07 Biofuels</w:t>
      </w:r>
      <w:r>
        <w:br/>
      </w:r>
      <w:r>
        <w:t xml:space="preserve">PGT05</w:t>
      </w:r>
      <w:r>
        <w:br/>
      </w:r>
      <w:r>
        <w:t xml:space="preserve">Biomass</w:t>
      </w:r>
      <w:r>
        <w:br/>
      </w:r>
      <w:r>
        <w:t xml:space="preserve">IND12 Consumer Goods Industries ENE08 Hydrogen</w:t>
      </w:r>
      <w:r>
        <w:br/>
      </w:r>
      <w:r>
        <w:t xml:space="preserve">PGT06</w:t>
      </w:r>
      <w:r>
        <w:br/>
      </w:r>
      <w:r>
        <w:t xml:space="preserve">Hydro</w:t>
      </w:r>
      <w:r>
        <w:t xml:space="preserve"> </w:t>
      </w:r>
      <w:r>
        <w:t xml:space="preserve">electric</w:t>
      </w:r>
      <w:r>
        <w:br/>
      </w:r>
      <w:r>
        <w:t xml:space="preserve">IND13 Construction</w:t>
      </w:r>
      <w:r>
        <w:br/>
      </w:r>
      <w:r>
        <w:t xml:space="preserve">ENE09 Clean Gas</w:t>
      </w:r>
      <w:r>
        <w:br/>
      </w:r>
      <w:r>
        <w:t xml:space="preserve">PGT07</w:t>
      </w:r>
      <w:r>
        <w:br/>
      </w:r>
      <w:r>
        <w:t xml:space="preserve">Wind</w:t>
      </w:r>
      <w:r>
        <w:br/>
      </w:r>
      <w:r>
        <w:t xml:space="preserve">IND14 Batteries</w:t>
      </w:r>
      <w:r>
        <w:br/>
      </w:r>
      <w:r>
        <w:t xml:space="preserve">Transport</w:t>
      </w:r>
      <w:r>
        <w:t xml:space="preserve"> </w:t>
      </w:r>
      <w:r>
        <w:t xml:space="preserve">PGT08</w:t>
      </w:r>
      <w:r>
        <w:br/>
      </w:r>
      <w:r>
        <w:t xml:space="preserve">PV</w:t>
      </w:r>
      <w:r>
        <w:br/>
      </w:r>
      <w:r>
        <w:t xml:space="preserve">IND15 EV Transport Equipment</w:t>
      </w:r>
      <w:r>
        <w:br/>
      </w:r>
      <w:r>
        <w:t xml:space="preserve">TRA01 Warehousing and</w:t>
      </w:r>
      <w:r>
        <w:t xml:space="preserve"> </w:t>
      </w:r>
      <w:r>
        <w:t xml:space="preserve">support activities</w:t>
      </w:r>
      <w:r>
        <w:br/>
      </w:r>
      <w:r>
        <w:t xml:space="preserve">PGT09</w:t>
      </w:r>
      <w:r>
        <w:br/>
      </w:r>
      <w:r>
        <w:t xml:space="preserve">Geothermal</w:t>
      </w:r>
      <w:r>
        <w:br/>
      </w:r>
      <w:r>
        <w:t xml:space="preserve">IND16 Advanced Electric</w:t>
      </w:r>
      <w:r>
        <w:t xml:space="preserve"> </w:t>
      </w:r>
      <w:r>
        <w:t xml:space="preserve">Appliances</w:t>
      </w:r>
      <w:r>
        <w:br/>
      </w:r>
      <w:r>
        <w:t xml:space="preserve">TRA02 Air transport</w:t>
      </w:r>
      <w:r>
        <w:br/>
      </w:r>
      <w:r>
        <w:t xml:space="preserve">PGT10</w:t>
      </w:r>
      <w:r>
        <w:br/>
      </w:r>
      <w:r>
        <w:t xml:space="preserve">CCS coal</w:t>
      </w:r>
      <w:r>
        <w:br/>
      </w:r>
      <w:r>
        <w:t xml:space="preserve">IND17 Advanced Heating and</w:t>
      </w:r>
      <w:r>
        <w:t xml:space="preserve"> </w:t>
      </w:r>
      <w:r>
        <w:t xml:space="preserve">Cooking Appliances</w:t>
      </w:r>
      <w:r>
        <w:br/>
      </w:r>
      <w:r>
        <w:t xml:space="preserve">TRA03 Land transport</w:t>
      </w:r>
      <w:r>
        <w:br/>
      </w:r>
      <w:r>
        <w:t xml:space="preserve">PGT11</w:t>
      </w:r>
      <w:r>
        <w:br/>
      </w:r>
      <w:r>
        <w:t xml:space="preserve">CCS Gas</w:t>
      </w:r>
      <w:r>
        <w:br/>
      </w:r>
      <w:r>
        <w:t xml:space="preserve">IND18 Equipment for wind power</w:t>
      </w:r>
      <w:r>
        <w:t xml:space="preserve"> </w:t>
      </w:r>
      <w:r>
        <w:t xml:space="preserve">technology</w:t>
      </w:r>
      <w:r>
        <w:br/>
      </w:r>
      <w:r>
        <w:t xml:space="preserve">TRA04 Water transport</w:t>
      </w:r>
      <w:r>
        <w:br/>
      </w:r>
      <w:r>
        <w:t xml:space="preserve">PGT12</w:t>
      </w:r>
      <w:r>
        <w:br/>
      </w:r>
      <w:r>
        <w:t xml:space="preserve">CCS Bio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Table 4:</w:t>
      </w:r>
      <w:r>
        <w:t xml:space="preserve"> </w:t>
      </w:r>
      <w:r>
        <w:t xml:space="preserve">Data sources used in GEM-E3 model for the base year calibration</w:t>
      </w:r>
      <w:r>
        <w:t xml:space="preserve"> </w:t>
      </w:r>
      <w:r>
        <w:t xml:space="preserve">Data</w:t>
      </w:r>
      <w:r>
        <w:t xml:space="preserve"> </w:t>
      </w:r>
      <w:r>
        <w:t xml:space="preserve">Source</w:t>
      </w:r>
      <w:r>
        <w:t xml:space="preserve"> </w:t>
      </w:r>
      <w:r>
        <w:t xml:space="preserve">Economic activity (GDP/GRDP)</w:t>
      </w:r>
      <w:r>
        <w:t xml:space="preserve"> </w:t>
      </w:r>
      <w:r>
        <w:t xml:space="preserve">GTAP v11</w:t>
      </w:r>
      <w:r>
        <w:t xml:space="preserve"> </w:t>
      </w:r>
      <w:r>
        <w:t xml:space="preserve">Employment (per economic activity)</w:t>
      </w:r>
      <w:r>
        <w:t xml:space="preserve"> </w:t>
      </w:r>
      <w:r>
        <w:t xml:space="preserve">GTAP v11</w:t>
      </w:r>
      <w:r>
        <w:t xml:space="preserve"> </w:t>
      </w:r>
      <w:r>
        <w:t xml:space="preserve">GHG emissions (per GHG and economic activity)</w:t>
      </w:r>
      <w:r>
        <w:t xml:space="preserve"> </w:t>
      </w:r>
      <w:r>
        <w:t xml:space="preserve">GTAP v11</w:t>
      </w:r>
      <w:r>
        <w:t xml:space="preserve"> </w:t>
      </w:r>
      <w:r>
        <w:t xml:space="preserve">Energy consumption (per fuel and economic activity) GTAP v11, IEA</w:t>
      </w:r>
      <w:r>
        <w:t xml:space="preserve"> </w:t>
      </w:r>
      <w:r>
        <w:t xml:space="preserve">Population</w:t>
      </w:r>
      <w:r>
        <w:t xml:space="preserve"> </w:t>
      </w:r>
      <w:r>
        <w:t xml:space="preserve">GTAP v11, ILO</w:t>
      </w:r>
      <w:r>
        <w:t xml:space="preserve"> </w:t>
      </w:r>
      <w:r>
        <w:t xml:space="preserve">Working age</w:t>
      </w:r>
      <w:r>
        <w:t xml:space="preserve"> </w:t>
      </w:r>
      <w:r>
        <w:t xml:space="preserve">GTAP v11, ILO</w:t>
      </w:r>
      <w:r>
        <w:t xml:space="preserve"> </w:t>
      </w:r>
      <w:r>
        <w:t xml:space="preserve">Labour force</w:t>
      </w:r>
      <w:r>
        <w:t xml:space="preserve"> </w:t>
      </w:r>
      <w:r>
        <w:t xml:space="preserve">GTAP v11, ILO</w:t>
      </w:r>
      <w:r>
        <w:t xml:space="preserve"> </w:t>
      </w:r>
      <w:r>
        <w:t xml:space="preserve">Unemployment rate</w:t>
      </w:r>
      <w:r>
        <w:t xml:space="preserve"> </w:t>
      </w:r>
      <w:r>
        <w:t xml:space="preserve">GTAP v11, ILO</w:t>
      </w:r>
      <w:r>
        <w:t xml:space="preserve"> </w:t>
      </w:r>
      <w:r>
        <w:t xml:space="preserve">Sectoral production per economic activity</w:t>
      </w:r>
      <w:r>
        <w:t xml:space="preserve"> </w:t>
      </w:r>
      <w:r>
        <w:t xml:space="preserve">GTAP v11</w:t>
      </w:r>
      <w:r>
        <w:t xml:space="preserve"> </w:t>
      </w:r>
      <w:r>
        <w:t xml:space="preserve">Bilateral trade</w:t>
      </w:r>
      <w:r>
        <w:t xml:space="preserve"> </w:t>
      </w:r>
      <w:r>
        <w:t xml:space="preserve">GTAP v11)</w:t>
      </w:r>
      <w:r>
        <w:t xml:space="preserve"> </w:t>
      </w:r>
      <w:r>
        <w:t xml:space="preserve">Input/Output tables</w:t>
      </w:r>
      <w:r>
        <w:t xml:space="preserve"> </w:t>
      </w:r>
      <w:r>
        <w:t xml:space="preserve">GTAP v11</w:t>
      </w:r>
      <w:r>
        <w:t xml:space="preserve"> </w:t>
      </w:r>
      <w:r>
        <w:t xml:space="preserve">Transport fleet (by mode, fuel, age, etc)</w:t>
      </w:r>
      <w:r>
        <w:t xml:space="preserve"> </w:t>
      </w:r>
      <w:r>
        <w:t xml:space="preserve">IEA</w:t>
      </w:r>
      <w:r>
        <w:t xml:space="preserve"> </w:t>
      </w:r>
      <w:r>
        <w:t xml:space="preserve">CAPEX for power generation technologies</w:t>
      </w:r>
      <w:r>
        <w:t xml:space="preserve"> </w:t>
      </w:r>
      <w:r>
        <w:t xml:space="preserve">IEA</w:t>
      </w:r>
      <w:r>
        <w:t xml:space="preserve"> </w:t>
      </w:r>
      <w:r>
        <w:t xml:space="preserve">Energy prices</w:t>
      </w:r>
      <w:r>
        <w:t xml:space="preserve"> </w:t>
      </w:r>
      <w:r>
        <w:t xml:space="preserve">IEA</w:t>
      </w:r>
      <w:r>
        <w:t xml:space="preserve"> </w:t>
      </w:r>
      <w:r>
        <w:t xml:space="preserve">1.1.2.3.</w:t>
      </w:r>
      <w:r>
        <w:t xml:space="preserve"> </w:t>
      </w:r>
      <w:r>
        <w:t xml:space="preserve">POTEnCIA</w:t>
      </w:r>
      <w:r>
        <w:t xml:space="preserve"> </w:t>
      </w:r>
      <w:r>
        <w:t xml:space="preserve">POTEnCIA (the Policy Oriented Tool for Energy and Climate Change Impact Assessment) is</w:t>
      </w:r>
      <w:r>
        <w:t xml:space="preserve"> </w:t>
      </w:r>
      <w:r>
        <w:t xml:space="preserve">an economic model designed to represent the supply of energy and all sectors of energy demand</w:t>
      </w:r>
      <w:r>
        <w:t xml:space="preserve"> </w:t>
      </w:r>
      <w:r>
        <w:t xml:space="preserve">in the EU: industry, residential, services and agriculture, transport, and power and heat</w:t>
      </w:r>
      <w:r>
        <w:t xml:space="preserve"> </w:t>
      </w:r>
      <w:r>
        <w:t xml:space="preserve">generation.</w:t>
      </w:r>
      <w:r>
        <w:br/>
      </w:r>
      <w:r>
        <w:t xml:space="preserve">POTEnCIA has been used in the Annex on Cap setting as an alternative view to the PRIMES</w:t>
      </w:r>
      <w:r>
        <w:t xml:space="preserve"> </w:t>
      </w:r>
      <w:r>
        <w:t xml:space="preserve">modelling underlying the Impact Assessment, distributing effort across sectors in a different</w:t>
      </w:r>
      <w:r>
        <w:t xml:space="preserve"> </w:t>
      </w:r>
      <w:r>
        <w:t xml:space="preserve">way. It has also been used in the Annex on Removals to for different estimates of removals</w:t>
      </w:r>
      <w:r>
        <w:t xml:space="preserve"> </w:t>
      </w:r>
      <w:r>
        <w:t xml:space="preserve">supply. It also provides estimates for economic estimates such as investment needs, allowing</w:t>
      </w:r>
      <w:r>
        <w:t xml:space="preserve"> </w:t>
      </w:r>
      <w:r>
        <w:t xml:space="preserve">the impact assessment and Annex on the Cap to provide a range of such estimates.</w:t>
      </w:r>
      <w:r>
        <w:br/>
      </w:r>
      <w:r>
        <w:t xml:space="preserve">We provide a short description here.</w:t>
      </w:r>
      <w:r>
        <w:br/>
      </w:r>
      <w:r>
        <w:t xml:space="preserve">POTEnCIA represents each EU Member State individually with the option of addressing the</w:t>
      </w:r>
      <w:r>
        <w:t xml:space="preserve"> </w:t>
      </w:r>
      <w:r>
        <w:t xml:space="preserve">EU27 energy system as a whole. It is designed to evaluate prospective or existing policies,</w:t>
      </w:r>
      <w:r>
        <w:t xml:space="preserve"> </w:t>
      </w:r>
      <w:r>
        <w:t xml:space="preserve">generally by comparing scenarios that depict alternative energy and climate policy</w:t>
      </w:r>
      <w:r>
        <w:t xml:space="preserve"> </w:t>
      </w:r>
      <w:r>
        <w:t xml:space="preserve">environments. To this end POTEnCIA:</w:t>
      </w:r>
      <w:r>
        <w:t xml:space="preserve"> </w:t>
      </w:r>
      <w:r>
        <w:t xml:space="preserve">• Realistically captures the adoption and use of new energy technologies under different</w:t>
      </w:r>
      <w:r>
        <w:t xml:space="preserve"> </w:t>
      </w:r>
      <w:r>
        <w:t xml:space="preserve">policy conditions.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o How? By simulating decision-making under imperfect foresight at a high level</w:t>
      </w:r>
      <w:r>
        <w:t xml:space="preserve"> </w:t>
      </w:r>
      <w:r>
        <w:t xml:space="preserve">of techno-economic detail.</w:t>
      </w:r>
      <w:r>
        <w:t xml:space="preserve"> </w:t>
      </w:r>
      <w:r>
        <w:t xml:space="preserve">• Provides high temporal detail to assess rapid structural changes in the EU’s energy</w:t>
      </w:r>
      <w:r>
        <w:t xml:space="preserve"> </w:t>
      </w:r>
      <w:r>
        <w:t xml:space="preserve">system.</w:t>
      </w:r>
      <w:r>
        <w:t xml:space="preserve"> </w:t>
      </w:r>
      <w:r>
        <w:t xml:space="preserve">o How? By combining a yearly simulation of demand-side investment with hourly</w:t>
      </w:r>
      <w:r>
        <w:t xml:space="preserve"> </w:t>
      </w:r>
      <w:r>
        <w:t xml:space="preserve">resolution for the power sector.</w:t>
      </w:r>
      <w:r>
        <w:t xml:space="preserve"> </w:t>
      </w:r>
      <w:r>
        <w:t xml:space="preserve">• Accurately represents the age and performance of installed energy equipment and</w:t>
      </w:r>
      <w:r>
        <w:t xml:space="preserve"> </w:t>
      </w:r>
      <w:r>
        <w:t xml:space="preserve">enables the assessment of stranded asset risks and retrofitting or retirement strategies.</w:t>
      </w:r>
      <w:r>
        <w:t xml:space="preserve"> </w:t>
      </w:r>
      <w:r>
        <w:t xml:space="preserve">o How? By tracking yearly equipment stock vintages for energy supply and</w:t>
      </w:r>
      <w:r>
        <w:t xml:space="preserve"> </w:t>
      </w:r>
      <w:r>
        <w:t xml:space="preserve">demand.</w:t>
      </w:r>
      <w:r>
        <w:t xml:space="preserve"> </w:t>
      </w:r>
      <w:r>
        <w:t xml:space="preserve">These features enable the joint analysis of technology-focused policies as well as policies</w:t>
      </w:r>
      <w:r>
        <w:t xml:space="preserve"> </w:t>
      </w:r>
      <w:r>
        <w:t xml:space="preserve">addressing the decision-making of energy users. Model outputs are provided in annual time</w:t>
      </w:r>
      <w:r>
        <w:t xml:space="preserve"> </w:t>
      </w:r>
      <w:r>
        <w:t xml:space="preserve">steps for 2000-2050; historical conditions (2000-2021) are consistent with Eurostat and based</w:t>
      </w:r>
      <w:r>
        <w:t xml:space="preserve"> </w:t>
      </w:r>
      <w:r>
        <w:t xml:space="preserve">on the Joint Research Centre’s Integrated Database of the European Energy System (JRC-</w:t>
      </w:r>
      <w:r>
        <w:t xml:space="preserve"> </w:t>
      </w:r>
      <w:r>
        <w:t xml:space="preserve">IDEES), which is publicly available and maintained in parallel to the POTEnCIA model.</w:t>
      </w:r>
      <w:r>
        <w:t xml:space="preserve"> </w:t>
      </w:r>
      <w:r>
        <w:t xml:space="preserve">The core modelling structure of POTEnCIA (detailed in a scientific article37) follows a</w:t>
      </w:r>
      <w:r>
        <w:t xml:space="preserve"> </w:t>
      </w:r>
      <w:r>
        <w:t xml:space="preserve">recursive dynamic partial equilibrium approach, which successively optimises demand and</w:t>
      </w:r>
      <w:r>
        <w:t xml:space="preserve"> </w:t>
      </w:r>
      <w:r>
        <w:t xml:space="preserve">supply across energy carriers in each year. This approach assumes that each demand sector</w:t>
      </w:r>
      <w:r>
        <w:t xml:space="preserve"> </w:t>
      </w:r>
      <w:r>
        <w:t xml:space="preserve">requires a certain energy service to meet foreseen activity levels in a given year (such as tonnes</w:t>
      </w:r>
      <w:r>
        <w:t xml:space="preserve"> </w:t>
      </w:r>
      <w:r>
        <w:t xml:space="preserve">of steel produced or mobility needs). This energy service is then met by optimising both the</w:t>
      </w:r>
      <w:r>
        <w:t xml:space="preserve"> </w:t>
      </w:r>
      <w:r>
        <w:t xml:space="preserve">stock and use of energy-related equipment in each sector of energy supply and demand.</w:t>
      </w:r>
    </w:p>
    <w:p>
      <w:pPr>
        <w:pStyle w:val="BodyText"/>
      </w:pPr>
      <w:r>
        <w:t xml:space="preserve">37 JRC 2017, “POTEnCIA: A new EU-wide energy sector model”,</w:t>
      </w:r>
      <w:r>
        <w:br/>
      </w:r>
      <w:r>
        <w:t xml:space="preserve">https://publications.jrc.ec.europa.eu/repository/handle/JRC106760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Figure 5:</w:t>
      </w:r>
      <w:r>
        <w:t xml:space="preserve"> </w:t>
      </w:r>
      <w:r>
        <w:t xml:space="preserve">POTEnCIA model structure</w:t>
      </w:r>
    </w:p>
    <w:p>
      <w:pPr>
        <w:pStyle w:val="BodyText"/>
      </w:pPr>
      <w:r>
        <w:t xml:space="preserve">1.2. Key Assumptions</w:t>
      </w:r>
      <w:r>
        <w:t xml:space="preserve"> </w:t>
      </w:r>
      <w:r>
        <w:t xml:space="preserve">1.2.1. Economic Assumptions</w:t>
      </w:r>
      <w:r>
        <w:t xml:space="preserve"> </w:t>
      </w:r>
      <w:r>
        <w:t xml:space="preserve">The modelling work is based on socio-economic assumptions describing the expected evolution of the</w:t>
      </w:r>
      <w:r>
        <w:t xml:space="preserve"> </w:t>
      </w:r>
      <w:r>
        <w:t xml:space="preserve">European society. Long-term projections on population dynamics and economic activity form part of</w:t>
      </w:r>
      <w:r>
        <w:t xml:space="preserve"> </w:t>
      </w:r>
      <w:r>
        <w:t xml:space="preserve">the input to the model and are used to estimate transport activity, particularly relevant for this impact</w:t>
      </w:r>
      <w:r>
        <w:t xml:space="preserve"> </w:t>
      </w:r>
      <w:r>
        <w:t xml:space="preserve">assessment.</w:t>
      </w:r>
      <w:r>
        <w:br/>
      </w:r>
      <w:r>
        <w:t xml:space="preserve">Population projections rely on Eurostat’s long-term projections (EUROPOP2023)38. The EU</w:t>
      </w:r>
      <w:r>
        <w:t xml:space="preserve"> </w:t>
      </w:r>
      <w:r>
        <w:t xml:space="preserve">population is projected to remain broadly stable over the projection period to 2050. However, there is a</w:t>
      </w:r>
      <w:r>
        <w:t xml:space="preserve"> </w:t>
      </w:r>
      <w:r>
        <w:t xml:space="preserve">noticeable trend towards the ageing of the population, with a 10% decline in the working-age population</w:t>
      </w:r>
      <w:r>
        <w:t xml:space="preserve"> </w:t>
      </w:r>
      <w:r>
        <w:t xml:space="preserve">aged 20 to 64 between 2025 and 2050 and an increase in the old-age dependency ratio from 38% to</w:t>
      </w:r>
      <w:r>
        <w:t xml:space="preserve"> </w:t>
      </w:r>
      <w:r>
        <w:t xml:space="preserve">55.2%.</w:t>
      </w:r>
    </w:p>
    <w:p>
      <w:pPr>
        <w:pStyle w:val="BodyText"/>
      </w:pPr>
      <w:r>
        <w:t xml:space="preserve">38 EUROPOP2023 (proj_23n).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Figure 6:</w:t>
      </w:r>
      <w:r>
        <w:t xml:space="preserve"> </w:t>
      </w:r>
      <w:r>
        <w:t xml:space="preserve">Population assumptions</w:t>
      </w:r>
    </w:p>
    <w:p>
      <w:pPr>
        <w:pStyle w:val="BodyText"/>
      </w:pPr>
      <w:r>
        <w:t xml:space="preserve">Source: Eurostat</w:t>
      </w:r>
      <w:r>
        <w:t xml:space="preserve"> </w:t>
      </w:r>
      <w:r>
        <w:t xml:space="preserve">Economic projections have taken place in an unusually unstable context in the past few years, as the</w:t>
      </w:r>
      <w:r>
        <w:t xml:space="preserve"> </w:t>
      </w:r>
      <w:r>
        <w:t xml:space="preserve">EU and world economies were hit first by the COVID pandemic and second by Russia’s war of</w:t>
      </w:r>
      <w:r>
        <w:t xml:space="preserve"> </w:t>
      </w:r>
      <w:r>
        <w:t xml:space="preserve">aggression against Ukraine, with the ensuing sharp increase in international energy prices. The GDP</w:t>
      </w:r>
      <w:r>
        <w:t xml:space="preserve"> </w:t>
      </w:r>
      <w:r>
        <w:t xml:space="preserve">projections for 2025 rely on the Spring Forecast39 of the Directorate General for Economic and</w:t>
      </w:r>
      <w:r>
        <w:t xml:space="preserve"> </w:t>
      </w:r>
      <w:r>
        <w:t xml:space="preserve">Financial Affairs (DG ECFIN). From 2025 onwards, the GDP growth projections converge to those</w:t>
      </w:r>
      <w:r>
        <w:t xml:space="preserve"> </w:t>
      </w:r>
      <w:r>
        <w:t xml:space="preserve">prepared by DG ECFIN for the 2024 Ageing Report40. At EU level, real GDP is projected to be 23%</w:t>
      </w:r>
      <w:r>
        <w:t xml:space="preserve"> </w:t>
      </w:r>
      <w:r>
        <w:t xml:space="preserve">higher in 2030 than in 2015, 39% higher in 2040, and 60% higher in 2050 compared to 2015.</w:t>
      </w:r>
      <w:r>
        <w:t xml:space="preserve"> </w:t>
      </w:r>
      <w:r>
        <w:t xml:space="preserve">Projections on the sectoral composition of GDP were prepared using the GEM-E3 computable general</w:t>
      </w:r>
      <w:r>
        <w:t xml:space="preserve"> </w:t>
      </w:r>
      <w:r>
        <w:t xml:space="preserve">economic model. It is projected that the EU economy will continue to become increasingly services-</w:t>
      </w:r>
      <w:r>
        <w:t xml:space="preserve"> </w:t>
      </w:r>
      <w:r>
        <w:t xml:space="preserve">oriented, with the sector’s share rising from close to 74% of total gross value added (GVA) in 2016-</w:t>
      </w:r>
      <w:r>
        <w:t xml:space="preserve"> </w:t>
      </w:r>
      <w:r>
        <w:t xml:space="preserve">2020 to around 75% in 2040 and 76% in 2050.</w:t>
      </w:r>
    </w:p>
    <w:p>
      <w:pPr>
        <w:pStyle w:val="BodyText"/>
      </w:pPr>
      <w:r>
        <w:t xml:space="preserve">39 DG ECFIN, https://ec.europa.eu/commission/presscorner/detail/en/ip_22_6782</w:t>
      </w:r>
      <w:r>
        <w:t xml:space="preserve"> </w:t>
      </w:r>
      <w:r>
        <w:t xml:space="preserve">40 DG ECFIN, 2024 Ageing Report. Economic and budgetary projections for the EU Member States (2022-</w:t>
      </w:r>
      <w:r>
        <w:t xml:space="preserve"> </w:t>
      </w:r>
      <w:r>
        <w:t xml:space="preserve">2070).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2041</w:t>
      </w:r>
      <w:r>
        <w:t xml:space="preserve"> </w:t>
      </w:r>
      <w:r>
        <w:t xml:space="preserve">2042</w:t>
      </w:r>
      <w:r>
        <w:t xml:space="preserve"> </w:t>
      </w:r>
      <w:r>
        <w:t xml:space="preserve">2043</w:t>
      </w:r>
      <w:r>
        <w:t xml:space="preserve"> </w:t>
      </w:r>
      <w:r>
        <w:t xml:space="preserve">2044</w:t>
      </w:r>
      <w:r>
        <w:t xml:space="preserve"> </w:t>
      </w:r>
      <w:r>
        <w:t xml:space="preserve">2045</w:t>
      </w:r>
      <w:r>
        <w:t xml:space="preserve"> </w:t>
      </w:r>
      <w:r>
        <w:t xml:space="preserve">2046</w:t>
      </w:r>
      <w:r>
        <w:t xml:space="preserve"> </w:t>
      </w:r>
      <w:r>
        <w:t xml:space="preserve">2047</w:t>
      </w:r>
      <w:r>
        <w:t xml:space="preserve"> </w:t>
      </w:r>
      <w:r>
        <w:t xml:space="preserve">2048</w:t>
      </w:r>
      <w:r>
        <w:t xml:space="preserve"> </w:t>
      </w:r>
      <w:r>
        <w:t xml:space="preserve">2049</w:t>
      </w:r>
      <w:r>
        <w:t xml:space="preserve"> </w:t>
      </w:r>
      <w:r>
        <w:t xml:space="preserve">2050</w:t>
      </w:r>
      <w:r>
        <w:t xml:space="preserve"> </w:t>
      </w:r>
      <w:r>
        <w:t xml:space="preserve">Million people</w:t>
      </w:r>
      <w:r>
        <w:t xml:space="preserve"> </w:t>
      </w:r>
      <w:r>
        <w:t xml:space="preserve">Old-age dependency ratio (RHS)</w:t>
      </w:r>
      <w:r>
        <w:t xml:space="preserve"> </w:t>
      </w:r>
      <w:r>
        <w:t xml:space="preserve">Total population</w:t>
      </w:r>
      <w:r>
        <w:t xml:space="preserve"> </w:t>
      </w:r>
      <w:r>
        <w:t xml:space="preserve">Working-age population (20-64y)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Figure 7:</w:t>
      </w:r>
      <w:r>
        <w:t xml:space="preserve"> </w:t>
      </w:r>
      <w:r>
        <w:t xml:space="preserve">EU GDP (2015 = 100) and GDP growth (%)</w:t>
      </w:r>
    </w:p>
    <w:p>
      <w:pPr>
        <w:pStyle w:val="BodyText"/>
      </w:pPr>
      <w:r>
        <w:t xml:space="preserve">Source: DG ECFIN</w:t>
      </w:r>
      <w:r>
        <w:t xml:space="preserve"> </w:t>
      </w:r>
      <w:r>
        <w:t xml:space="preserve">1.2.2. International energy prices assumptions</w:t>
      </w:r>
      <w:r>
        <w:br/>
      </w:r>
      <w:r>
        <w:t xml:space="preserve">The assumptions for fuel prices trajectories take into account the market conditions for 2025 but there</w:t>
      </w:r>
      <w:r>
        <w:t xml:space="preserve"> </w:t>
      </w:r>
      <w:r>
        <w:t xml:space="preserve">are large uncertainties for the long term. Main sources for post-2025 trajectories are the projections from</w:t>
      </w:r>
      <w:r>
        <w:t xml:space="preserve"> </w:t>
      </w:r>
      <w:r>
        <w:t xml:space="preserve">the POLES model in the Global Energy and Climate Outlook 2023 and the World Energy Outlook</w:t>
      </w:r>
      <w:r>
        <w:t xml:space="preserve"> </w:t>
      </w:r>
      <w:r>
        <w:t xml:space="preserve">from the International Energy Agency. The table below shows the oil prices assumptions of the baseline</w:t>
      </w:r>
      <w:r>
        <w:t xml:space="preserve"> </w:t>
      </w:r>
      <w:r>
        <w:t xml:space="preserve">used in this impact assessment.</w:t>
      </w:r>
      <w:r>
        <w:br/>
      </w:r>
      <w:r>
        <w:t xml:space="preserve">Table 5:</w:t>
      </w:r>
      <w:r>
        <w:t xml:space="preserve"> </w:t>
      </w:r>
      <w:r>
        <w:t xml:space="preserve">Fossil fuel price assumptions</w:t>
      </w:r>
    </w:p>
    <w:p>
      <w:pPr>
        <w:pStyle w:val="BodyText"/>
      </w:pPr>
      <w:r>
        <w:t xml:space="preserve">-6%</w:t>
      </w:r>
      <w:r>
        <w:t xml:space="preserve"> </w:t>
      </w:r>
      <w:r>
        <w:t xml:space="preserve">-4%</w:t>
      </w:r>
      <w:r>
        <w:t xml:space="preserve"> </w:t>
      </w:r>
      <w:r>
        <w:t xml:space="preserve">-2%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110</w:t>
      </w:r>
      <w:r>
        <w:t xml:space="preserve"> </w:t>
      </w:r>
      <w:r>
        <w:t xml:space="preserve">120</w:t>
      </w:r>
      <w:r>
        <w:t xml:space="preserve"> </w:t>
      </w:r>
      <w:r>
        <w:t xml:space="preserve">130</w:t>
      </w:r>
      <w:r>
        <w:t xml:space="preserve"> </w:t>
      </w:r>
      <w:r>
        <w:t xml:space="preserve">140</w:t>
      </w:r>
      <w:r>
        <w:t xml:space="preserve"> </w:t>
      </w:r>
      <w:r>
        <w:t xml:space="preserve">150</w:t>
      </w:r>
      <w:r>
        <w:t xml:space="preserve"> </w:t>
      </w:r>
      <w:r>
        <w:t xml:space="preserve">160</w:t>
      </w:r>
      <w:r>
        <w:t xml:space="preserve"> </w:t>
      </w:r>
      <w:r>
        <w:t xml:space="preserve">170</w:t>
      </w:r>
      <w:r>
        <w:t xml:space="preserve"> </w:t>
      </w:r>
      <w:r>
        <w:t xml:space="preserve">2015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2021</w:t>
      </w:r>
      <w:r>
        <w:t xml:space="preserve"> </w:t>
      </w:r>
      <w:r>
        <w:t xml:space="preserve">2023</w:t>
      </w:r>
      <w:r>
        <w:t xml:space="preserve"> </w:t>
      </w:r>
      <w:r>
        <w:t xml:space="preserve">2025</w:t>
      </w:r>
      <w:r>
        <w:t xml:space="preserve"> </w:t>
      </w:r>
      <w:r>
        <w:t xml:space="preserve">2027</w:t>
      </w:r>
      <w:r>
        <w:t xml:space="preserve"> </w:t>
      </w:r>
      <w:r>
        <w:t xml:space="preserve">2029</w:t>
      </w:r>
      <w:r>
        <w:t xml:space="preserve"> </w:t>
      </w:r>
      <w:r>
        <w:t xml:space="preserve">2031</w:t>
      </w:r>
      <w:r>
        <w:t xml:space="preserve"> </w:t>
      </w:r>
      <w:r>
        <w:t xml:space="preserve">2033</w:t>
      </w:r>
      <w:r>
        <w:t xml:space="preserve"> </w:t>
      </w:r>
      <w:r>
        <w:t xml:space="preserve">2035</w:t>
      </w:r>
      <w:r>
        <w:t xml:space="preserve"> </w:t>
      </w:r>
      <w:r>
        <w:t xml:space="preserve">2037</w:t>
      </w:r>
      <w:r>
        <w:t xml:space="preserve"> </w:t>
      </w:r>
      <w:r>
        <w:t xml:space="preserve">2039</w:t>
      </w:r>
      <w:r>
        <w:t xml:space="preserve"> </w:t>
      </w:r>
      <w:r>
        <w:t xml:space="preserve">2041</w:t>
      </w:r>
      <w:r>
        <w:t xml:space="preserve"> </w:t>
      </w:r>
      <w:r>
        <w:t xml:space="preserve">2043</w:t>
      </w:r>
      <w:r>
        <w:t xml:space="preserve"> </w:t>
      </w:r>
      <w:r>
        <w:t xml:space="preserve">2045</w:t>
      </w:r>
      <w:r>
        <w:t xml:space="preserve"> </w:t>
      </w:r>
      <w:r>
        <w:t xml:space="preserve">2047</w:t>
      </w:r>
      <w:r>
        <w:t xml:space="preserve"> </w:t>
      </w:r>
      <w:r>
        <w:t xml:space="preserve">2049</w:t>
      </w:r>
      <w:r>
        <w:t xml:space="preserve"> </w:t>
      </w:r>
      <w:r>
        <w:t xml:space="preserve">2015=100</w:t>
      </w:r>
      <w:r>
        <w:t xml:space="preserve"> </w:t>
      </w:r>
      <w:r>
        <w:t xml:space="preserve">Real GDP (2015=100)</w:t>
      </w:r>
      <w:r>
        <w:t xml:space="preserve"> </w:t>
      </w:r>
      <w:r>
        <w:t xml:space="preserve">Real GDP growth (RHS)</w:t>
      </w:r>
      <w:r>
        <w:t xml:space="preserve"> </w:t>
      </w:r>
      <w:r>
        <w:t xml:space="preserve">EUR2023</w:t>
      </w:r>
      <w:r>
        <w:t xml:space="preserve"> </w:t>
      </w:r>
      <w:r>
        <w:t xml:space="preserve">Oil price</w:t>
      </w:r>
      <w:r>
        <w:t xml:space="preserve"> </w:t>
      </w:r>
      <w:r>
        <w:t xml:space="preserve">Gas price (NCV) Coal price</w:t>
      </w:r>
    </w:p>
    <w:p>
      <w:pPr>
        <w:pStyle w:val="BodyText"/>
      </w:pPr>
      <w:r>
        <w:t xml:space="preserve">EUR/boe</w:t>
      </w:r>
      <w:r>
        <w:t xml:space="preserve"> </w:t>
      </w:r>
      <w:r>
        <w:t xml:space="preserve">EUR/toe</w:t>
      </w:r>
      <w:r>
        <w:t xml:space="preserve"> </w:t>
      </w:r>
      <w:r>
        <w:t xml:space="preserve">EUR/toe</w:t>
      </w:r>
      <w:r>
        <w:t xml:space="preserve"> </w:t>
      </w:r>
      <w:r>
        <w:t xml:space="preserve">2025</w:t>
      </w:r>
      <w:r>
        <w:t xml:space="preserve"> </w:t>
      </w:r>
      <w:r>
        <w:t xml:space="preserve">76</w:t>
      </w:r>
      <w:r>
        <w:t xml:space="preserve"> </w:t>
      </w:r>
      <w:r>
        <w:t xml:space="preserve">394</w:t>
      </w:r>
      <w:r>
        <w:t xml:space="preserve"> </w:t>
      </w:r>
      <w:r>
        <w:t xml:space="preserve">172</w:t>
      </w:r>
      <w:r>
        <w:t xml:space="preserve"> </w:t>
      </w:r>
      <w:r>
        <w:t xml:space="preserve">2030</w:t>
      </w:r>
      <w:r>
        <w:t xml:space="preserve"> </w:t>
      </w:r>
      <w:r>
        <w:t xml:space="preserve">85</w:t>
      </w:r>
      <w:r>
        <w:t xml:space="preserve"> </w:t>
      </w:r>
      <w:r>
        <w:t xml:space="preserve">377</w:t>
      </w:r>
      <w:r>
        <w:t xml:space="preserve"> </w:t>
      </w:r>
      <w:r>
        <w:t xml:space="preserve">169</w:t>
      </w:r>
      <w:r>
        <w:t xml:space="preserve"> </w:t>
      </w:r>
      <w:r>
        <w:t xml:space="preserve">2035</w:t>
      </w:r>
      <w:r>
        <w:t xml:space="preserve"> </w:t>
      </w:r>
      <w:r>
        <w:t xml:space="preserve">94</w:t>
      </w:r>
      <w:r>
        <w:t xml:space="preserve"> </w:t>
      </w:r>
      <w:r>
        <w:t xml:space="preserve">344</w:t>
      </w:r>
      <w:r>
        <w:t xml:space="preserve"> </w:t>
      </w:r>
      <w:r>
        <w:t xml:space="preserve">161</w:t>
      </w:r>
      <w:r>
        <w:t xml:space="preserve"> </w:t>
      </w:r>
      <w:r>
        <w:t xml:space="preserve">2040</w:t>
      </w:r>
      <w:r>
        <w:t xml:space="preserve"> </w:t>
      </w:r>
      <w:r>
        <w:t xml:space="preserve">97</w:t>
      </w:r>
      <w:r>
        <w:t xml:space="preserve"> </w:t>
      </w:r>
      <w:r>
        <w:t xml:space="preserve">422</w:t>
      </w:r>
      <w:r>
        <w:t xml:space="preserve"> </w:t>
      </w:r>
      <w:r>
        <w:t xml:space="preserve">160</w:t>
      </w:r>
      <w:r>
        <w:t xml:space="preserve"> </w:t>
      </w:r>
      <w:r>
        <w:t xml:space="preserve">2045</w:t>
      </w:r>
      <w:r>
        <w:t xml:space="preserve"> </w:t>
      </w:r>
      <w:r>
        <w:t xml:space="preserve">105</w:t>
      </w:r>
      <w:r>
        <w:t xml:space="preserve"> </w:t>
      </w:r>
      <w:r>
        <w:t xml:space="preserve">412</w:t>
      </w:r>
      <w:r>
        <w:t xml:space="preserve"> </w:t>
      </w:r>
      <w:r>
        <w:t xml:space="preserve">165</w:t>
      </w:r>
      <w:r>
        <w:t xml:space="preserve"> </w:t>
      </w:r>
      <w:r>
        <w:t xml:space="preserve">2050</w:t>
      </w:r>
      <w:r>
        <w:t xml:space="preserve"> </w:t>
      </w:r>
      <w:r>
        <w:t xml:space="preserve">121</w:t>
      </w:r>
      <w:r>
        <w:t xml:space="preserve"> </w:t>
      </w:r>
      <w:r>
        <w:t xml:space="preserve">403</w:t>
      </w:r>
      <w:r>
        <w:t xml:space="preserve"> </w:t>
      </w:r>
      <w:r>
        <w:t xml:space="preserve">166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1.2.3. Technology assumptions</w:t>
      </w:r>
      <w:r>
        <w:t xml:space="preserve"> </w:t>
      </w:r>
      <w:r>
        <w:t xml:space="preserve">Modelling scenarios on the evolution of the energy system is highly dependent on the</w:t>
      </w:r>
      <w:r>
        <w:t xml:space="preserve"> </w:t>
      </w:r>
      <w:r>
        <w:t xml:space="preserve">assumptions on the development of technologies - both in terms of performance and costs.</w:t>
      </w:r>
      <w:r>
        <w:br/>
      </w:r>
      <w:r>
        <w:t xml:space="preserve">Continuing the approach adopted in the long-term strategy in 2018 and for the Reference</w:t>
      </w:r>
      <w:r>
        <w:t xml:space="preserve"> </w:t>
      </w:r>
      <w:r>
        <w:t xml:space="preserve">Scenario 2020, the Commission consulted on the technology assumption with Member States</w:t>
      </w:r>
      <w:r>
        <w:t xml:space="preserve"> </w:t>
      </w:r>
      <w:r>
        <w:t xml:space="preserve">and stakeholders in 2024. In particular, the technology database of the main model suite</w:t>
      </w:r>
      <w:r>
        <w:t xml:space="preserve"> </w:t>
      </w:r>
      <w:r>
        <w:t xml:space="preserve">(PRIMES, PRIMES-TREMOVE, POTEnCIA, GAINS, GLOBIOM, and CAPRI) were</w:t>
      </w:r>
      <w:r>
        <w:t xml:space="preserve"> </w:t>
      </w:r>
      <w:r>
        <w:t xml:space="preserve">discussed with Member State during a meeting of the Reference scenario expert group on 5</w:t>
      </w:r>
      <w:r>
        <w:t xml:space="preserve"> </w:t>
      </w:r>
      <w:r>
        <w:t xml:space="preserve">June 2024. They also benefited from a dedicated consultation workshop with stakeholders, held</w:t>
      </w:r>
      <w:r>
        <w:t xml:space="preserve"> </w:t>
      </w:r>
      <w:r>
        <w:t xml:space="preserve">on 22 and 23 October 2024. The technology costs assumptions for energy technologies</w:t>
      </w:r>
      <w:r>
        <w:t xml:space="preserve"> </w:t>
      </w:r>
      <w:r>
        <w:t xml:space="preserve">including for industry are published together with the impact assessment report for the ETS</w:t>
      </w:r>
      <w:r>
        <w:t xml:space="preserve"> </w:t>
      </w:r>
      <w:r>
        <w:t xml:space="preserve">review.</w:t>
      </w:r>
      <w:r>
        <w:t xml:space="preserve"> </w:t>
      </w:r>
      <w:r>
        <w:t xml:space="preserve">The discount rates for investing in these technologies differ per sector and are published in the</w:t>
      </w:r>
      <w:r>
        <w:t xml:space="preserve"> </w:t>
      </w:r>
      <w:r>
        <w:t xml:space="preserve">Reference Scenario 2020 report41 for the PRIMES model.</w:t>
      </w:r>
      <w:r>
        <w:t xml:space="preserve"> </w:t>
      </w:r>
      <w:r>
        <w:t xml:space="preserve">1.2.3.1.</w:t>
      </w:r>
      <w:r>
        <w:t xml:space="preserve"> </w:t>
      </w:r>
      <w:r>
        <w:t xml:space="preserve">International aviation carbon pricing</w:t>
      </w:r>
      <w:r>
        <w:t xml:space="preserve"> </w:t>
      </w:r>
      <w:r>
        <w:t xml:space="preserve">Specific to the aviation sector, the offset price of CORSIA (expressed in EUR23/tCO2) is</w:t>
      </w:r>
      <w:r>
        <w:t xml:space="preserve"> </w:t>
      </w:r>
      <w:r>
        <w:t xml:space="preserve">projected to increase from 30 EUR/tCO2 in 2030 to 83 EUR/tCO2 in 2035. No projections are</w:t>
      </w:r>
      <w:r>
        <w:t xml:space="preserve"> </w:t>
      </w:r>
      <w:r>
        <w:t xml:space="preserve">made for later years considering CORSIA’s defined end date in 2035 (subject to the “special</w:t>
      </w:r>
      <w:r>
        <w:t xml:space="preserve"> </w:t>
      </w:r>
      <w:r>
        <w:t xml:space="preserve">review” in 2032 determining if and how the scheme should be continued). It is equally worth</w:t>
      </w:r>
      <w:r>
        <w:t xml:space="preserve"> </w:t>
      </w:r>
      <w:r>
        <w:t xml:space="preserve">noting that modelling includes flights operated by EU-based airline operators between two</w:t>
      </w:r>
      <w:r>
        <w:t xml:space="preserve"> </w:t>
      </w:r>
      <w:r>
        <w:t xml:space="preserve">third countries outside the scope of application of the EU ETS and subject to CORSIA. In 2023,</w:t>
      </w:r>
      <w:r>
        <w:t xml:space="preserve"> </w:t>
      </w:r>
      <w:r>
        <w:t xml:space="preserve">such flights represented approximately 5% of emissions covered by CORSIA. Based on</w:t>
      </w:r>
      <w:r>
        <w:t xml:space="preserve"> </w:t>
      </w:r>
      <w:r>
        <w:t xml:space="preserve">available data, it is speculative to project the 2023 share to future years: beyond typical</w:t>
      </w:r>
      <w:r>
        <w:t xml:space="preserve"> </w:t>
      </w:r>
      <w:r>
        <w:t xml:space="preserve">fluctuations in activity levels, network planning through aviation partnerships determines the</w:t>
      </w:r>
      <w:r>
        <w:t xml:space="preserve"> </w:t>
      </w:r>
      <w:r>
        <w:t xml:space="preserve">dynamics of routes and slot allocation. For this reason, these flights were not taken into account</w:t>
      </w:r>
      <w:r>
        <w:t xml:space="preserve"> </w:t>
      </w:r>
      <w:r>
        <w:t xml:space="preserve">when calculating CORSIA offsetting costs, which in turn would result in modelling presumably</w:t>
      </w:r>
      <w:r>
        <w:t xml:space="preserve"> </w:t>
      </w:r>
      <w:r>
        <w:t xml:space="preserve">slightly underestimating such cost estimates.</w:t>
      </w:r>
      <w:r>
        <w:t xml:space="preserve"> </w:t>
      </w:r>
      <w:r>
        <w:t xml:space="preserve">International jet fuel prices expressed in (EUR23/boe) are projected to increase by 14%</w:t>
      </w:r>
      <w:r>
        <w:t xml:space="preserve"> </w:t>
      </w:r>
      <w:r>
        <w:t xml:space="preserve">approximately from 85 EUR/boe in 2030 to 97 in 2040.</w:t>
      </w:r>
      <w:r>
        <w:t xml:space="preserve"> </w:t>
      </w:r>
      <w:r>
        <w:t xml:space="preserve">SAF options are used as computed in PRIMES42, resulting in slightly higher post-2035 ETS</w:t>
      </w:r>
      <w:r>
        <w:t xml:space="preserve"> </w:t>
      </w:r>
      <w:r>
        <w:t xml:space="preserve">compliance prices compared to the PRIMES 85% (20 EUR/tCO2). This slight difference is thus</w:t>
      </w:r>
      <w:r>
        <w:t xml:space="preserve"> </w:t>
      </w:r>
      <w:r>
        <w:t xml:space="preserve">not relevant to the SAF support mechanism because dedicated allowances are projected to be</w:t>
      </w:r>
      <w:r>
        <w:t xml:space="preserve"> </w:t>
      </w:r>
      <w:r>
        <w:t xml:space="preserve">used up by 2035 at the latest. It is equally worth noting that further breakdowns per feedstock</w:t>
      </w:r>
      <w:r>
        <w:t xml:space="preserve"> </w:t>
      </w:r>
      <w:r>
        <w:t xml:space="preserve">category and production processes are used based on the underlying assumptions on fuel</w:t>
      </w:r>
      <w:r>
        <w:t xml:space="preserve"> </w:t>
      </w:r>
      <w:r>
        <w:t xml:space="preserve">production within PRIMES. Such finer granularity results in SAF prices’ projected evolution</w:t>
      </w:r>
      <w:r>
        <w:t xml:space="preserve"> </w:t>
      </w:r>
      <w:r>
        <w:t xml:space="preserve">differing from PRIMES overall assumptions when assessing the options of an extended support</w:t>
      </w:r>
      <w:r>
        <w:t xml:space="preserve"> </w:t>
      </w:r>
      <w:r>
        <w:t xml:space="preserve">mechanism for SAF uptake (cross-ref to relevant section, currently 8). SAF uptake being</w:t>
      </w:r>
      <w:r>
        <w:t xml:space="preserve"> </w:t>
      </w:r>
      <w:r>
        <w:t xml:space="preserve">represented in the models consistently with ReFuelEU Aviation mandates results in synthetic</w:t>
      </w:r>
      <w:r>
        <w:t xml:space="preserve"> </w:t>
      </w:r>
      <w:r>
        <w:t xml:space="preserve">fuels’ use starting in 2030 with production costs used as a proxy to today’s inexistent market</w:t>
      </w:r>
      <w:r>
        <w:t xml:space="preserve"> </w:t>
      </w:r>
      <w:r>
        <w:t xml:space="preserve">price and held constant over the time period of relevance to this exercise. SAF produced from</w:t>
      </w:r>
      <w:r>
        <w:t xml:space="preserve"> </w:t>
      </w:r>
      <w:r>
        <w:t xml:space="preserve">RED Annex IX Part A via advanced conversion processes (Alcohol-to-Jet, and Fischer-</w:t>
      </w:r>
      <w:r>
        <w:t xml:space="preserve"> </w:t>
      </w:r>
      <w:r>
        <w:t xml:space="preserve">Tropsch) are conversely projected to lower production costs while still more costly than HEFA</w:t>
      </w:r>
      <w:r>
        <w:t xml:space="preserve"> </w:t>
      </w:r>
      <w:r>
        <w:t xml:space="preserve">in the same period. Production costs are based on EASA’s ReFuelEU Aviation Annual</w:t>
      </w:r>
    </w:p>
    <w:p>
      <w:pPr>
        <w:pStyle w:val="BodyText"/>
      </w:pPr>
      <w:r>
        <w:t xml:space="preserve">41 EU reference scenario 2020 - Publications Office of the EU</w:t>
      </w:r>
      <w:r>
        <w:t xml:space="preserve"> </w:t>
      </w:r>
      <w:r>
        <w:t xml:space="preserve">42 PRIMES 87p_var3_v3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Technical Report289. This choice is justified out of precaution when considering fuel options</w:t>
      </w:r>
      <w:r>
        <w:t xml:space="preserve"> </w:t>
      </w:r>
      <w:r>
        <w:t xml:space="preserve">not in commercial production today. Assumptions are aligned with PRIMES with respect to</w:t>
      </w:r>
      <w:r>
        <w:t xml:space="preserve"> </w:t>
      </w:r>
      <w:r>
        <w:t xml:space="preserve">EU domestic production vs imported volumes of SAF.</w:t>
      </w:r>
      <w:r>
        <w:t xml:space="preserve"> </w:t>
      </w:r>
      <w:r>
        <w:t xml:space="preserve">2. SCENARIOS</w:t>
      </w:r>
      <w:r>
        <w:t xml:space="preserve"> </w:t>
      </w:r>
      <w:r>
        <w:t xml:space="preserve">The specific objectives of this initiative are to identify and assess pathways towards climate</w:t>
      </w:r>
      <w:r>
        <w:t xml:space="preserve"> </w:t>
      </w:r>
      <w:r>
        <w:t xml:space="preserve">neutrality in 2050 and an intermediate target for 204043.</w:t>
      </w:r>
      <w:r>
        <w:br/>
      </w:r>
      <w:r>
        <w:t xml:space="preserve">2.1. Baseline Scenario</w:t>
      </w:r>
      <w:r>
        <w:t xml:space="preserve"> </w:t>
      </w:r>
      <w:r>
        <w:t xml:space="preserve">The Baseline scenario in this Impact Assessment is used as a counterfactual scenario – with</w:t>
      </w:r>
      <w:r>
        <w:t xml:space="preserve"> </w:t>
      </w:r>
      <w:r>
        <w:t xml:space="preserve">the EU ETS as currently legislated: meeting the emissions reduction target in 2030, and post-</w:t>
      </w:r>
      <w:r>
        <w:t xml:space="preserve"> </w:t>
      </w:r>
      <w:r>
        <w:t xml:space="preserve">2030 gross emissions under the EU ETS will reduce yearly as defined by the linear reduction</w:t>
      </w:r>
      <w:r>
        <w:t xml:space="preserve"> </w:t>
      </w:r>
      <w:r>
        <w:t xml:space="preserve">factor. The scenario will be used as the comparison basis to analyse and assess the impacts of</w:t>
      </w:r>
      <w:r>
        <w:t xml:space="preserve"> </w:t>
      </w:r>
      <w:r>
        <w:t xml:space="preserve">the alternative policy options compared to the unchanged policy setup for the EU ETS and</w:t>
      </w:r>
      <w:r>
        <w:t xml:space="preserve"> </w:t>
      </w:r>
      <w:r>
        <w:t xml:space="preserve">broader EU climate goals (overall GHG emission reduction target, renewable and energy</w:t>
      </w:r>
      <w:r>
        <w:t xml:space="preserve"> </w:t>
      </w:r>
      <w:r>
        <w:t xml:space="preserve">efficiency objectives).</w:t>
      </w:r>
      <w:r>
        <w:t xml:space="preserve"> </w:t>
      </w:r>
      <w:r>
        <w:t xml:space="preserve">The Baseline scenario was reproduced with the PRIMES model for the EU level and at member</w:t>
      </w:r>
      <w:r>
        <w:t xml:space="preserve"> </w:t>
      </w:r>
      <w:r>
        <w:t xml:space="preserve">state level. GEM-E3 and POLES-Enerdata models integrate elements of the Baseline scenario</w:t>
      </w:r>
      <w:r>
        <w:t xml:space="preserve"> </w:t>
      </w:r>
      <w:r>
        <w:t xml:space="preserve">produced with the PRIMES model, by aligning assumptions and scenario narrative. However,</w:t>
      </w:r>
      <w:r>
        <w:t xml:space="preserve"> </w:t>
      </w:r>
      <w:r>
        <w:t xml:space="preserve">it was not possible in the modelling to reproduce fully the linear reduction factor of 4.4% until</w:t>
      </w:r>
      <w:r>
        <w:t xml:space="preserve"> </w:t>
      </w:r>
      <w:r>
        <w:t xml:space="preserve">2040. A scenario, called PRIMES-MAX, utilizes the technical potentially available. While the</w:t>
      </w:r>
      <w:r>
        <w:t xml:space="preserve"> </w:t>
      </w:r>
      <w:r>
        <w:t xml:space="preserve">scenario provided technical information, it is not the key scenario to which economic data is</w:t>
      </w:r>
      <w:r>
        <w:t xml:space="preserve"> </w:t>
      </w:r>
      <w:r>
        <w:t xml:space="preserve">compared, as the change in ambition level would dominate the differences between all other</w:t>
      </w:r>
      <w:r>
        <w:t xml:space="preserve"> </w:t>
      </w:r>
      <w:r>
        <w:t xml:space="preserve">aspects of the policy options.</w:t>
      </w:r>
      <w:r>
        <w:br/>
      </w:r>
      <w:r>
        <w:t xml:space="preserve">Table 6:</w:t>
      </w:r>
      <w:r>
        <w:t xml:space="preserve"> </w:t>
      </w:r>
      <w:r>
        <w:t xml:space="preserve">Overview of the development of the baseline at the non-EU level</w:t>
      </w:r>
    </w:p>
    <w:p>
      <w:pPr>
        <w:pStyle w:val="BodyText"/>
      </w:pPr>
      <w:r>
        <w:t xml:space="preserve">Baseline / PRIMES MAX</w:t>
      </w:r>
      <w:r>
        <w:t xml:space="preserve"> </w:t>
      </w:r>
      <w:r>
        <w:t xml:space="preserve">The energy and climate</w:t>
      </w:r>
      <w:r>
        <w:t xml:space="preserve"> </w:t>
      </w:r>
      <w:r>
        <w:t xml:space="preserve">policies that we will consider</w:t>
      </w:r>
      <w:r>
        <w:t xml:space="preserve"> </w:t>
      </w:r>
      <w:r>
        <w:t xml:space="preserve">in non-EU countries impact the</w:t>
      </w:r>
      <w:r>
        <w:t xml:space="preserve"> </w:t>
      </w:r>
      <w:r>
        <w:t xml:space="preserve">carbon leakage</w:t>
      </w:r>
      <w:r>
        <w:t xml:space="preserve"> </w:t>
      </w:r>
      <w:r>
        <w:t xml:space="preserve">Options:</w:t>
      </w:r>
      <w:r>
        <w:t xml:space="preserve"> </w:t>
      </w:r>
      <w:r>
        <w:t xml:space="preserve">1. Current policies in non-EU countries (suggested</w:t>
      </w:r>
      <w:r>
        <w:t xml:space="preserve"> </w:t>
      </w:r>
      <w:r>
        <w:t xml:space="preserve">option) – legislated up until 2023 – e.g., China NDC not</w:t>
      </w:r>
      <w:r>
        <w:t xml:space="preserve"> </w:t>
      </w:r>
      <w:r>
        <w:t xml:space="preserve">included.</w:t>
      </w:r>
      <w:r>
        <w:t xml:space="preserve"> </w:t>
      </w:r>
      <w:r>
        <w:t xml:space="preserve">2. nationally determined contributions (NDC) until 2030</w:t>
      </w:r>
      <w:r>
        <w:t xml:space="preserve"> </w:t>
      </w:r>
      <w:r>
        <w:t xml:space="preserve">and frozen policies after 2030.</w:t>
      </w:r>
      <w:r>
        <w:br/>
      </w:r>
      <w:r>
        <w:t xml:space="preserve">3. NDC until 2030 and long-term strategy (LTS)</w:t>
      </w:r>
      <w:r>
        <w:t xml:space="preserve"> </w:t>
      </w:r>
      <w:r>
        <w:t xml:space="preserve">afterwards.</w:t>
      </w:r>
      <w:r>
        <w:br/>
      </w:r>
      <w:r>
        <w:t xml:space="preserve">At the EU level and in the context of the EU ETS revision impact assessment, the Baseline</w:t>
      </w:r>
      <w:r>
        <w:t xml:space="preserve"> </w:t>
      </w:r>
      <w:r>
        <w:t xml:space="preserve">scenario can be summarised with the following points:</w:t>
      </w:r>
      <w:r>
        <w:t xml:space="preserve"> </w:t>
      </w:r>
      <w:r>
        <w:t xml:space="preserve">• GHG scope : Domestic countries + intra-EU aviation + 100% international intra-EU</w:t>
      </w:r>
      <w:r>
        <w:t xml:space="preserve"> </w:t>
      </w:r>
      <w:r>
        <w:t xml:space="preserve">maritime + 50% international extra-EU MRV maritime + 50% international extra-EU</w:t>
      </w:r>
      <w:r>
        <w:t xml:space="preserve"> </w:t>
      </w:r>
      <w:r>
        <w:t xml:space="preserve">aviation (incoming and outgoing).</w:t>
      </w:r>
      <w:r>
        <w:t xml:space="preserve"> </w:t>
      </w:r>
      <w:r>
        <w:t xml:space="preserve">• EU ETS cap: follows the EU ETS emissions reduction trajectory as currently legislated.</w:t>
      </w:r>
    </w:p>
    <w:p>
      <w:pPr>
        <w:pStyle w:val="BodyText"/>
      </w:pPr>
      <w:r>
        <w:t xml:space="preserve">43 The model-based analysis is a technical exercise based on a number of assumptions that are shared across</w:t>
      </w:r>
      <w:r>
        <w:t xml:space="preserve"> </w:t>
      </w:r>
      <w:r>
        <w:t xml:space="preserve">scenarios. Its results do not prejudge the future design of the post-2030 policy framework.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• EU ETS scope: follows the EU ETS scope as currently legislated, where the aviation</w:t>
      </w:r>
      <w:r>
        <w:t xml:space="preserve"> </w:t>
      </w:r>
      <w:r>
        <w:t xml:space="preserve">scope from 2027 onwards is: domestic, intra-EEA flights and extra-EEA flights</w:t>
      </w:r>
      <w:r>
        <w:t xml:space="preserve"> </w:t>
      </w:r>
      <w:r>
        <w:t xml:space="preserve">(outgoing and incoming).</w:t>
      </w:r>
      <w:r>
        <w:t xml:space="preserve"> </w:t>
      </w:r>
      <w:r>
        <w:t xml:space="preserve">• Removals in EU ETS: Carbon removals (from BECCS or DACCS) do not contribute to</w:t>
      </w:r>
      <w:r>
        <w:t xml:space="preserve"> </w:t>
      </w:r>
      <w:r>
        <w:t xml:space="preserve">the yearly decrease of emissions under the EU ETS.</w:t>
      </w:r>
      <w:r>
        <w:t xml:space="preserve"> </w:t>
      </w:r>
      <w:r>
        <w:t xml:space="preserve">• CCU in EU ETS: Fossil CO2 emissions captured from installation under ETS and used</w:t>
      </w:r>
      <w:r>
        <w:t xml:space="preserve"> </w:t>
      </w:r>
      <w:r>
        <w:t xml:space="preserve">to produce synthetic fuels count as emissions under ETS.</w:t>
      </w:r>
      <w:r>
        <w:t xml:space="preserve"> </w:t>
      </w:r>
      <w:r>
        <w:t xml:space="preserve">The detailed overview of PRIMES Baseline scenario specifications is provided in Table 7.</w:t>
      </w:r>
      <w:r>
        <w:br/>
      </w:r>
      <w:r>
        <w:t xml:space="preserve">Table 7:</w:t>
      </w:r>
      <w:r>
        <w:t xml:space="preserve"> </w:t>
      </w:r>
      <w:r>
        <w:t xml:space="preserve">Overview of the development of the baseline at the EU level</w:t>
      </w:r>
    </w:p>
    <w:p>
      <w:pPr>
        <w:pStyle w:val="BodyText"/>
      </w:pPr>
      <w:r>
        <w:t xml:space="preserve">Baseline / PRIMES MAX</w:t>
      </w:r>
      <w:r>
        <w:t xml:space="preserve"> </w:t>
      </w:r>
      <w:r>
        <w:t xml:space="preserve">International fossil fuel prices</w:t>
      </w:r>
      <w:r>
        <w:t xml:space="preserve"> </w:t>
      </w:r>
      <w:r>
        <w:t xml:space="preserve">(oil, gas, coal)</w:t>
      </w:r>
      <w:r>
        <w:t xml:space="preserve"> </w:t>
      </w:r>
      <w:r>
        <w:t xml:space="preserve">Assumptions as presented in section 1.2.2.</w:t>
      </w:r>
      <w:r>
        <w:t xml:space="preserve"> </w:t>
      </w:r>
      <w:r>
        <w:t xml:space="preserve">Technology assumptions, coal,</w:t>
      </w:r>
      <w:r>
        <w:t xml:space="preserve"> </w:t>
      </w:r>
      <w:r>
        <w:t xml:space="preserve">nuclear, CCS capacities</w:t>
      </w:r>
      <w:r>
        <w:t xml:space="preserve"> </w:t>
      </w:r>
      <w:r>
        <w:t xml:space="preserve">Technology assumptions as presented in section 1.2.3. and</w:t>
      </w:r>
      <w:r>
        <w:t xml:space="preserve"> </w:t>
      </w:r>
      <w:r>
        <w:t xml:space="preserve">capacities based on Member States’ latest announced capacity</w:t>
      </w:r>
      <w:r>
        <w:t xml:space="preserve"> </w:t>
      </w:r>
      <w:r>
        <w:t xml:space="preserve">developments, and information in final updated NECP1, as well</w:t>
      </w:r>
      <w:r>
        <w:t xml:space="preserve"> </w:t>
      </w:r>
      <w:r>
        <w:t xml:space="preserve">as information collected during bilateral meetings with Member</w:t>
      </w:r>
      <w:r>
        <w:t xml:space="preserve"> </w:t>
      </w:r>
      <w:r>
        <w:t xml:space="preserve">States.</w:t>
      </w:r>
      <w:r>
        <w:br/>
      </w:r>
      <w:r>
        <w:t xml:space="preserve">Population, GDP/</w:t>
      </w:r>
      <w:r>
        <w:t xml:space="preserve"> </w:t>
      </w:r>
      <w:r>
        <w:t xml:space="preserve">macroeconomics/ activity</w:t>
      </w:r>
      <w:r>
        <w:t xml:space="preserve"> </w:t>
      </w:r>
      <w:r>
        <w:t xml:space="preserve">levels</w:t>
      </w:r>
      <w:r>
        <w:t xml:space="preserve"> </w:t>
      </w:r>
      <w:r>
        <w:t xml:space="preserve">Assumptions as presented in section 1.2.1.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EU ETS emissions reduction</w:t>
      </w:r>
      <w:r>
        <w:t xml:space="preserve"> </w:t>
      </w:r>
      <w:r>
        <w:t xml:space="preserve">target / cap and scope</w:t>
      </w:r>
      <w:r>
        <w:t xml:space="preserve"> </w:t>
      </w:r>
      <w:r>
        <w:t xml:space="preserve">The cap follows the EU ETS emissions reduction trajectory as</w:t>
      </w:r>
      <w:r>
        <w:t xml:space="preserve"> </w:t>
      </w:r>
      <w:r>
        <w:t xml:space="preserve">currently legislated. The EU ETS aviation scope includes extra-</w:t>
      </w:r>
      <w:r>
        <w:t xml:space="preserve"> </w:t>
      </w:r>
      <w:r>
        <w:t xml:space="preserve">EEA aviation from January 2027. CO2 emissions from</w:t>
      </w:r>
      <w:r>
        <w:t xml:space="preserve"> </w:t>
      </w:r>
      <w:r>
        <w:t xml:space="preserve">installation under EU ETS and used to produce e-fuels are</w:t>
      </w:r>
      <w:r>
        <w:t xml:space="preserve"> </w:t>
      </w:r>
      <w:r>
        <w:t xml:space="preserve">accounted for under the EU ETS at the point where they are</w:t>
      </w:r>
      <w:r>
        <w:t xml:space="preserve"> </w:t>
      </w:r>
      <w:r>
        <w:t xml:space="preserve">captured.</w:t>
      </w:r>
      <w:r>
        <w:br/>
      </w:r>
      <w:r>
        <w:t xml:space="preserve">EU RES share in final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Can deviate from the legislated target in 2030, driven by the</w:t>
      </w:r>
      <w:r>
        <w:t xml:space="preserve"> </w:t>
      </w:r>
      <w:r>
        <w:t xml:space="preserve">GHG emissions reduction target.</w:t>
      </w:r>
      <w:r>
        <w:t xml:space="preserve"> </w:t>
      </w:r>
      <w:r>
        <w:t xml:space="preserve">Total GHGs emissions</w:t>
      </w:r>
      <w:r>
        <w:br/>
      </w:r>
      <w:r>
        <w:t xml:space="preserve">As currently legislated.</w:t>
      </w:r>
      <w:r>
        <w:t xml:space="preserve"> </w:t>
      </w:r>
      <w:r>
        <w:t xml:space="preserve">Reduction in final energy</w:t>
      </w:r>
      <w:r>
        <w:t xml:space="preserve"> </w:t>
      </w:r>
      <w:r>
        <w:t xml:space="preserve">consumption relative to the</w:t>
      </w:r>
      <w:r>
        <w:t xml:space="preserve"> </w:t>
      </w:r>
      <w:r>
        <w:t xml:space="preserve">projection in the EU 2020</w:t>
      </w:r>
      <w:r>
        <w:t xml:space="preserve"> </w:t>
      </w:r>
      <w:r>
        <w:t xml:space="preserve">Reference scenario</w:t>
      </w:r>
      <w:r>
        <w:t xml:space="preserve"> </w:t>
      </w:r>
      <w:r>
        <w:t xml:space="preserve">Can deviate from the legislated target in 2030, driven by the</w:t>
      </w:r>
      <w:r>
        <w:t xml:space="preserve"> </w:t>
      </w:r>
      <w:r>
        <w:t xml:space="preserve">GHG emissions reduction target.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EU ETS emissions reduction</w:t>
      </w:r>
      <w:r>
        <w:t xml:space="preserve"> </w:t>
      </w:r>
      <w:r>
        <w:t xml:space="preserve">target / cap and scope</w:t>
      </w:r>
      <w:r>
        <w:t xml:space="preserve"> </w:t>
      </w:r>
      <w:r>
        <w:t xml:space="preserve">As currently legislated</w:t>
      </w:r>
      <w:r>
        <w:t xml:space="preserve"> </w:t>
      </w:r>
      <w:r>
        <w:t xml:space="preserve">EU RES share in final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Post 2030, the RES share as observed in the scenario, is the result</w:t>
      </w:r>
      <w:r>
        <w:t xml:space="preserve"> </w:t>
      </w:r>
      <w:r>
        <w:t xml:space="preserve">of implemented policies and scenario specifications.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Total GHGs emissions</w:t>
      </w:r>
      <w:r>
        <w:t xml:space="preserve"> </w:t>
      </w:r>
      <w:r>
        <w:t xml:space="preserve">The scenario does not assume the overall net GHG objective</w:t>
      </w:r>
      <w:r>
        <w:t xml:space="preserve"> </w:t>
      </w:r>
      <w:r>
        <w:t xml:space="preserve">post-2030, the GHG emissions reduction observed, is the result</w:t>
      </w:r>
      <w:r>
        <w:t xml:space="preserve"> </w:t>
      </w:r>
      <w:r>
        <w:t xml:space="preserve">of policies implemented and scenario specifications.</w:t>
      </w:r>
      <w:r>
        <w:t xml:space="preserve"> </w:t>
      </w:r>
      <w:r>
        <w:t xml:space="preserve">Reduction in final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Post 2030, the reduction in final energy consumption as observed</w:t>
      </w:r>
      <w:r>
        <w:t xml:space="preserve"> </w:t>
      </w:r>
      <w:r>
        <w:t xml:space="preserve">in the scenario, is the result of implemented policies and scenario</w:t>
      </w:r>
      <w:r>
        <w:t xml:space="preserve"> </w:t>
      </w:r>
      <w:r>
        <w:t xml:space="preserve">specifications.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Total GHGs emissions without</w:t>
      </w:r>
      <w:r>
        <w:t xml:space="preserve"> </w:t>
      </w:r>
      <w:r>
        <w:t xml:space="preserve">LULUCF</w:t>
      </w:r>
      <w:r>
        <w:t xml:space="preserve"> </w:t>
      </w:r>
      <w:r>
        <w:t xml:space="preserve">Achieve climate neutrality by 2050.</w:t>
      </w:r>
      <w:r>
        <w:t xml:space="preserve"> </w:t>
      </w:r>
      <w:r>
        <w:t xml:space="preserve">EU ETS Impact Assessment thematic policy measures</w:t>
      </w:r>
      <w:r>
        <w:t xml:space="preserve"> </w:t>
      </w:r>
      <w:r>
        <w:t xml:space="preserve">EU ETS cap trajectory</w:t>
      </w:r>
      <w:r>
        <w:t xml:space="preserve"> </w:t>
      </w:r>
      <w:r>
        <w:t xml:space="preserve">In line with existing legislation (as amended by ETS 2023/959)</w:t>
      </w:r>
      <w:r>
        <w:t xml:space="preserve"> </w:t>
      </w:r>
      <w:r>
        <w:t xml:space="preserve">ETS2 cap trajectory</w:t>
      </w:r>
      <w:r>
        <w:t xml:space="preserve"> </w:t>
      </w:r>
      <w:r>
        <w:t xml:space="preserve">In line with existing legislation (as amended by ETS 2023/959)</w:t>
      </w:r>
      <w:r>
        <w:t xml:space="preserve"> </w:t>
      </w:r>
      <w:r>
        <w:t xml:space="preserve">Carbon Leakage</w:t>
      </w:r>
    </w:p>
    <w:p>
      <w:pPr>
        <w:pStyle w:val="BodyText"/>
      </w:pPr>
      <w:r>
        <w:t xml:space="preserve">Policy measures</w:t>
      </w:r>
      <w:r>
        <w:t xml:space="preserve"> </w:t>
      </w:r>
      <w:r>
        <w:t xml:space="preserve">In line with existing legislation (as amended by ETS 2023/959)</w:t>
      </w:r>
      <w:r>
        <w:t xml:space="preserve"> </w:t>
      </w:r>
      <w:r>
        <w:t xml:space="preserve">MSR EU ETS</w:t>
      </w:r>
    </w:p>
    <w:p>
      <w:pPr>
        <w:pStyle w:val="BodyText"/>
      </w:pPr>
      <w:r>
        <w:t xml:space="preserve">Policy measures</w:t>
      </w:r>
      <w:r>
        <w:t xml:space="preserve"> </w:t>
      </w:r>
      <w:r>
        <w:t xml:space="preserve">In line with existing legislation (ETS 2023/959)</w:t>
      </w:r>
      <w:r>
        <w:t xml:space="preserve"> </w:t>
      </w:r>
      <w:r>
        <w:t xml:space="preserve">Potential inclusion of permanent carbon removals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Permanent removals excluded from the ETS (existing legislation</w:t>
      </w:r>
      <w:r>
        <w:t xml:space="preserve"> </w:t>
      </w:r>
      <w:r>
        <w:t xml:space="preserve">(ETS 2023/959))</w:t>
      </w:r>
      <w:r>
        <w:t xml:space="preserve"> </w:t>
      </w:r>
      <w:r>
        <w:t xml:space="preserve">Potential inclusion of municipal waste incineration (MWI) and other waste management</w:t>
      </w:r>
      <w:r>
        <w:t xml:space="preserve"> </w:t>
      </w:r>
      <w:r>
        <w:t xml:space="preserve">processes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Waste management activities not included (in line with existing</w:t>
      </w:r>
      <w:r>
        <w:t xml:space="preserve"> </w:t>
      </w:r>
      <w:r>
        <w:t xml:space="preserve">legislation (ETS 2023/959))</w:t>
      </w:r>
      <w:r>
        <w:t xml:space="preserve"> </w:t>
      </w:r>
      <w:r>
        <w:t xml:space="preserve">Carbon Capture and Use (CCU):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Upstream accounting - Emitter pays for the carbon molecule</w:t>
      </w:r>
      <w:r>
        <w:t xml:space="preserve"> </w:t>
      </w:r>
      <w:r>
        <w:t xml:space="preserve">2.2. 85% Policy Scenario</w:t>
      </w:r>
      <w:r>
        <w:t xml:space="preserve"> </w:t>
      </w:r>
      <w:r>
        <w:t xml:space="preserve">The PRIMES85 scenario serves as a basis for the assessment of EU ETS policy options. The</w:t>
      </w:r>
      <w:r>
        <w:t xml:space="preserve"> </w:t>
      </w:r>
      <w:r>
        <w:t xml:space="preserve">scenario aims at achieving 85% reduction of net GHGs in 2040 and climate neutrality in 2050.</w:t>
      </w:r>
      <w:r>
        <w:t xml:space="preserve"> </w:t>
      </w:r>
      <w:r>
        <w:t xml:space="preserve">Main changes compared to the Baseline scenario at the EU level can be summarised with the</w:t>
      </w:r>
      <w:r>
        <w:t xml:space="preserve"> </w:t>
      </w:r>
      <w:r>
        <w:t xml:space="preserve">following points:</w:t>
      </w:r>
      <w:r>
        <w:br/>
      </w:r>
      <w:r>
        <w:t xml:space="preserve">• GHG scope: Domestic countries + intra-EU aviation + 100% international intra-EU</w:t>
      </w:r>
      <w:r>
        <w:t xml:space="preserve"> </w:t>
      </w:r>
      <w:r>
        <w:t xml:space="preserve">maritime + 50% international extra-EU MRV maritime + outgoing extra-EEA aviation.</w:t>
      </w:r>
      <w:r>
        <w:t xml:space="preserve"> </w:t>
      </w:r>
      <w:r>
        <w:t xml:space="preserve">• GHG emissions reduction ambition: achieving 85% reduction of net GHGs in 2040 and</w:t>
      </w:r>
      <w:r>
        <w:t xml:space="preserve"> </w:t>
      </w:r>
      <w:r>
        <w:t xml:space="preserve">climate neutrality in 2050.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• EU ETS cap: the scenario does not aim at following the EU ETS trajectories as in the</w:t>
      </w:r>
      <w:r>
        <w:t xml:space="preserve"> </w:t>
      </w:r>
      <w:r>
        <w:t xml:space="preserve">Baseline scenario.</w:t>
      </w:r>
      <w:r>
        <w:t xml:space="preserve"> </w:t>
      </w:r>
      <w:r>
        <w:t xml:space="preserve">• EU ETS scope: domestic flights within EU-27 countries (except to and from outermost</w:t>
      </w:r>
      <w:r>
        <w:t xml:space="preserve"> </w:t>
      </w:r>
      <w:r>
        <w:t xml:space="preserve">regions), intra-EEA flights (including non-domestic flights to and from outermost</w:t>
      </w:r>
      <w:r>
        <w:t xml:space="preserve"> </w:t>
      </w:r>
      <w:r>
        <w:t xml:space="preserve">regions) plus departing flights to UK and Switzerland, outgoing extra-EEA aviation.</w:t>
      </w:r>
      <w:r>
        <w:t xml:space="preserve"> </w:t>
      </w:r>
      <w:r>
        <w:t xml:space="preserve">Table 8:</w:t>
      </w:r>
      <w:r>
        <w:t xml:space="preserve"> </w:t>
      </w:r>
      <w:r>
        <w:t xml:space="preserve">Overview of the development of the policy scenario at the EU level</w:t>
      </w:r>
    </w:p>
    <w:p>
      <w:pPr>
        <w:pStyle w:val="BodyText"/>
      </w:pPr>
      <w:r>
        <w:t xml:space="preserve">Policy scenario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EU ETS emissions</w:t>
      </w:r>
      <w:r>
        <w:t xml:space="preserve"> </w:t>
      </w:r>
      <w:r>
        <w:t xml:space="preserve">reduction target</w:t>
      </w:r>
      <w:r>
        <w:t xml:space="preserve"> </w:t>
      </w:r>
      <w:r>
        <w:t xml:space="preserve">The reduction of EU ETS emissions as observed in the scenario, is</w:t>
      </w:r>
      <w:r>
        <w:t xml:space="preserve"> </w:t>
      </w:r>
      <w:r>
        <w:t xml:space="preserve">the result of implemented policy options and scenario specifications.</w:t>
      </w:r>
      <w:r>
        <w:t xml:space="preserve"> </w:t>
      </w:r>
      <w:r>
        <w:t xml:space="preserve">The cap trajectory will be the subject of the policy option design.</w:t>
      </w:r>
      <w:r>
        <w:t xml:space="preserve"> </w:t>
      </w:r>
      <w:r>
        <w:t xml:space="preserve">EU RES share in final</w:t>
      </w:r>
      <w:r>
        <w:t xml:space="preserve"> </w:t>
      </w:r>
      <w:r>
        <w:t xml:space="preserve">energy consumption</w:t>
      </w:r>
      <w:r>
        <w:t xml:space="preserve"> </w:t>
      </w:r>
      <w:r>
        <w:t xml:space="preserve">Post 2030, the RES share as observed in the scenario, is the result of</w:t>
      </w:r>
      <w:r>
        <w:t xml:space="preserve"> </w:t>
      </w:r>
      <w:r>
        <w:t xml:space="preserve">implemented policies and scenario specifications.</w:t>
      </w:r>
      <w:r>
        <w:t xml:space="preserve"> </w:t>
      </w:r>
      <w:r>
        <w:t xml:space="preserve">Total GHGs emissions</w:t>
      </w:r>
      <w:r>
        <w:t xml:space="preserve"> </w:t>
      </w:r>
      <w:r>
        <w:t xml:space="preserve">Aims at achieving 85% reduction of net GHGs in 2040 and climate</w:t>
      </w:r>
      <w:r>
        <w:t xml:space="preserve"> </w:t>
      </w:r>
      <w:r>
        <w:t xml:space="preserve">neutrality in 2050, considering the following net GHG scope:</w:t>
      </w:r>
      <w:r>
        <w:t xml:space="preserve"> </w:t>
      </w:r>
      <w:r>
        <w:t xml:space="preserve">domestic countries + intra-EU aviation + outgoing extra-EEA</w:t>
      </w:r>
      <w:r>
        <w:t xml:space="preserve"> </w:t>
      </w:r>
      <w:r>
        <w:t xml:space="preserve">aviation + 100% international intra-EU maritime + 50% international</w:t>
      </w:r>
      <w:r>
        <w:t xml:space="preserve"> </w:t>
      </w:r>
      <w:r>
        <w:t xml:space="preserve">extra-EU MRV maritime.</w:t>
      </w:r>
      <w:r>
        <w:t xml:space="preserve"> </w:t>
      </w:r>
      <w:r>
        <w:t xml:space="preserve">Reduction in final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Post 2030, the reduction in final energy consumption as observed in</w:t>
      </w:r>
      <w:r>
        <w:t xml:space="preserve"> </w:t>
      </w:r>
      <w:r>
        <w:t xml:space="preserve">the scenario, is the result of implemented policies and scenario</w:t>
      </w:r>
      <w:r>
        <w:t xml:space="preserve"> </w:t>
      </w:r>
      <w:r>
        <w:t xml:space="preserve">specifications.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Total GHGs emissions</w:t>
      </w:r>
      <w:r>
        <w:t xml:space="preserve"> </w:t>
      </w:r>
      <w:r>
        <w:t xml:space="preserve">without LULUCF</w:t>
      </w:r>
      <w:r>
        <w:t xml:space="preserve"> </w:t>
      </w:r>
      <w:r>
        <w:t xml:space="preserve">Achieve climate neutrality by 2050 (assuming LULUCF net sink of</w:t>
      </w:r>
      <w:r>
        <w:t xml:space="preserve"> </w:t>
      </w:r>
      <w:r>
        <w:t xml:space="preserve">250-275 Mt).</w:t>
      </w:r>
      <w:r>
        <w:t xml:space="preserve"> </w:t>
      </w:r>
      <w:r>
        <w:t xml:space="preserve">Impact Assessment thematic policy measures</w:t>
      </w:r>
      <w:r>
        <w:t xml:space="preserve"> </w:t>
      </w:r>
      <w:r>
        <w:t xml:space="preserve">EU ETS cap trajectory</w:t>
      </w:r>
      <w:r>
        <w:t xml:space="preserve"> </w:t>
      </w:r>
      <w:r>
        <w:t xml:space="preserve">To be defined based on policy option.</w:t>
      </w:r>
      <w:r>
        <w:t xml:space="preserve"> </w:t>
      </w:r>
      <w:r>
        <w:t xml:space="preserve">Carbon Leakage</w:t>
      </w:r>
    </w:p>
    <w:p>
      <w:pPr>
        <w:pStyle w:val="BodyText"/>
      </w:pPr>
      <w:r>
        <w:t xml:space="preserve">Policy measures</w:t>
      </w:r>
      <w:r>
        <w:t xml:space="preserve"> </w:t>
      </w:r>
      <w:r>
        <w:t xml:space="preserve">To be defined based on policy option.</w:t>
      </w:r>
      <w:r>
        <w:t xml:space="preserve"> </w:t>
      </w:r>
      <w:r>
        <w:t xml:space="preserve">MSR EU ETS</w:t>
      </w:r>
    </w:p>
    <w:p>
      <w:pPr>
        <w:pStyle w:val="BodyText"/>
      </w:pPr>
      <w:r>
        <w:t xml:space="preserve">Policy measures</w:t>
      </w:r>
      <w:r>
        <w:t xml:space="preserve"> </w:t>
      </w:r>
      <w:r>
        <w:t xml:space="preserve">To be defined based on policy option.</w:t>
      </w:r>
      <w:r>
        <w:t xml:space="preserve"> </w:t>
      </w:r>
      <w:r>
        <w:t xml:space="preserve">Potential inclusion of permanent carbon removals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To be defined based on policy option.</w:t>
      </w:r>
      <w:r>
        <w:t xml:space="preserve"> </w:t>
      </w:r>
      <w:r>
        <w:t xml:space="preserve">Potential inclusion of municipal waste incineration (MWI) and other waste management</w:t>
      </w:r>
      <w:r>
        <w:t xml:space="preserve"> </w:t>
      </w:r>
      <w:r>
        <w:t xml:space="preserve">processes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To be defined based on policy option.</w:t>
      </w:r>
      <w:r>
        <w:t xml:space="preserve"> </w:t>
      </w:r>
      <w:r>
        <w:t xml:space="preserve">Carbon Capture and Use (CCU):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To be defined based on policy option.</w:t>
      </w:r>
      <w:r>
        <w:t xml:space="preserve"> </w:t>
      </w:r>
      <w:r>
        <w:t xml:space="preserve">Here, the elements which can be varied per policy option are not necessarily modelled in</w:t>
      </w:r>
      <w:r>
        <w:t xml:space="preserve"> </w:t>
      </w:r>
      <w:r>
        <w:t xml:space="preserve">PRIMES but handled in different models like GEM-E3 for carbon leakage, POLES for MSR,</w:t>
      </w:r>
      <w:r>
        <w:t xml:space="preserve"> </w:t>
      </w:r>
      <w:r>
        <w:t xml:space="preserve">and various post-hoc analysis for the other options, using PRIMES results.</w:t>
      </w:r>
      <w:r>
        <w:t xml:space="preserve"> </w:t>
      </w:r>
      <w:r>
        <w:t xml:space="preserve">A version of this scenario attaining in 2035 an economy-wide GHG emissions level consistent</w:t>
      </w:r>
      <w:r>
        <w:t xml:space="preserve"> </w:t>
      </w:r>
      <w:r>
        <w:t xml:space="preserve">with a pathway towards a 90% target in 2040, but thereafter consistent with an 85% target in</w:t>
      </w:r>
      <w:r>
        <w:t xml:space="preserve"> </w:t>
      </w:r>
      <w:r>
        <w:t xml:space="preserve">2040, has also been used.</w:t>
      </w:r>
      <w:r>
        <w:t xml:space="preserve"> </w:t>
      </w:r>
      <w:r>
        <w:t xml:space="preserve">2.3. Integration of different models</w:t>
      </w:r>
      <w:r>
        <w:t xml:space="preserve"> </w:t>
      </w:r>
      <w:r>
        <w:t xml:space="preserve">The key analytical approach followed in the impact assessment has been to use the PRIMES</w:t>
      </w:r>
      <w:r>
        <w:t xml:space="preserve"> </w:t>
      </w:r>
      <w:r>
        <w:t xml:space="preserve">85 scenario and using its outputs and variants to analyse policy options.</w:t>
      </w:r>
      <w:r>
        <w:t xml:space="preserve"> </w:t>
      </w:r>
      <w:r>
        <w:t xml:space="preserve">Data about energy use, investments, technology deployment and other key drivers generated</w:t>
      </w:r>
      <w:r>
        <w:t xml:space="preserve"> </w:t>
      </w:r>
      <w:r>
        <w:t xml:space="preserve">in the PRIMES 85 run have been provided to the GEM-E3 model for macro-economic analysis.</w:t>
      </w:r>
      <w:r>
        <w:t xml:space="preserve"> </w:t>
      </w:r>
      <w:r>
        <w:t xml:space="preserve">The GEM-E3 model then provides macro-economic indicators showing the sectorial impact of</w:t>
      </w:r>
      <w:r>
        <w:t xml:space="preserve"> </w:t>
      </w:r>
      <w:r>
        <w:t xml:space="preserve">the different policy options for dealing with carbon leakage prevention (see Annex 12, section</w:t>
      </w:r>
      <w:r>
        <w:t xml:space="preserve"> </w:t>
      </w:r>
      <w:r>
        <w:t xml:space="preserve">1.3). Similar data has been provided to the POLES model to provide analysis of MSR measures,</w:t>
      </w:r>
      <w:r>
        <w:t xml:space="preserve"> </w:t>
      </w:r>
      <w:r>
        <w:t xml:space="preserve">calibrated to specific PRIMES scenarios, but providing broader insights.</w:t>
      </w:r>
      <w:r>
        <w:br/>
      </w:r>
      <w:r>
        <w:t xml:space="preserve">Other measures have been analysed through analysis of PRIMES results, including by varying</w:t>
      </w:r>
      <w:r>
        <w:t xml:space="preserve"> </w:t>
      </w:r>
      <w:r>
        <w:t xml:space="preserve">removals amounts and costs, to represent different measures.</w:t>
      </w:r>
      <w:r>
        <w:t xml:space="preserve"> </w:t>
      </w:r>
      <w:r>
        <w:t xml:space="preserve">3. MODELLING FOR THE MARKET STABILITY RESERVE (POLES-ENERDATA)</w:t>
      </w:r>
      <w:r>
        <w:t xml:space="preserve"> </w:t>
      </w:r>
      <w:r>
        <w:t xml:space="preserve">The objective of this section is to present the methodology used for the quantitative modelling</w:t>
      </w:r>
      <w:r>
        <w:t xml:space="preserve"> </w:t>
      </w:r>
      <w:r>
        <w:t xml:space="preserve">work, using the POLES-Enerdata model, to support the analysis of the Market Stability Reserve</w:t>
      </w:r>
      <w:r>
        <w:t xml:space="preserve"> </w:t>
      </w:r>
      <w:r>
        <w:t xml:space="preserve">(MSR). POLES was selected for the MSR modelling exercise instead of PRIMES, POTEnCIA,</w:t>
      </w:r>
      <w:r>
        <w:t xml:space="preserve"> </w:t>
      </w:r>
      <w:r>
        <w:t xml:space="preserve">or GEM-E3 because it is a comparatively lightweight model, enabling faster simulations of</w:t>
      </w:r>
      <w:r>
        <w:t xml:space="preserve"> </w:t>
      </w:r>
      <w:r>
        <w:t xml:space="preserve">scenarios and sensitivity analyses. By contrast, PRIMES and POTEnCIA are substantially</w:t>
      </w:r>
      <w:r>
        <w:t xml:space="preserve"> </w:t>
      </w:r>
      <w:r>
        <w:t xml:space="preserve">more complex and require much more time and resources produce results for a single variant,</w:t>
      </w:r>
      <w:r>
        <w:t xml:space="preserve"> </w:t>
      </w:r>
      <w:r>
        <w:t xml:space="preserve">making them less suited for exploring a large number of sensitivities and variants. To ensure</w:t>
      </w:r>
      <w:r>
        <w:t xml:space="preserve"> </w:t>
      </w:r>
      <w:r>
        <w:t xml:space="preserve">consistency with across the different models, the cap trajectory implemented in POLES was</w:t>
      </w:r>
      <w:r>
        <w:t xml:space="preserve"> </w:t>
      </w:r>
      <w:r>
        <w:t xml:space="preserve">aligned with the cap derived from the PRIMES. Although the outputs generated by PRIMES</w:t>
      </w:r>
      <w:r>
        <w:t xml:space="preserve"> </w:t>
      </w:r>
      <w:r>
        <w:t xml:space="preserve">and POTEnCIA are generally more detailed and are considered more robust, POLES</w:t>
      </w:r>
      <w:r>
        <w:t xml:space="preserve"> </w:t>
      </w:r>
      <w:r>
        <w:t xml:space="preserve">nonetheless provides useful insights, particularly with regard to the relative impacts observed</w:t>
      </w:r>
      <w:r>
        <w:t xml:space="preserve"> </w:t>
      </w:r>
      <w:r>
        <w:t xml:space="preserve">across the measures and policy options for the MSR.</w:t>
      </w:r>
      <w:r>
        <w:br/>
      </w:r>
      <w:r>
        <w:t xml:space="preserve">3.1. Approach for MSR analysis</w:t>
      </w:r>
      <w:r>
        <w:t xml:space="preserve"> </w:t>
      </w:r>
      <w:r>
        <w:t xml:space="preserve">The quantitative analysis of the MSR is based on two successive phases. First, a measure-level</w:t>
      </w:r>
      <w:r>
        <w:t xml:space="preserve"> </w:t>
      </w:r>
      <w:r>
        <w:t xml:space="preserve">analysis is undertaken, with the aim to define possible MSR designs that best support the</w:t>
      </w:r>
      <w:r>
        <w:t xml:space="preserve"> </w:t>
      </w:r>
      <w:r>
        <w:t xml:space="preserve">system’s stability and resilience to shocks. This measure-level analysis is based on a standard</w:t>
      </w:r>
      <w:r>
        <w:t xml:space="preserve"> </w:t>
      </w:r>
      <w:r>
        <w:t xml:space="preserve">situation, referred to as the MSR core working assumption scenario (or MSR0 measure), which</w:t>
      </w:r>
      <w:r>
        <w:t xml:space="preserve"> </w:t>
      </w:r>
      <w:r>
        <w:t xml:space="preserve">aims to represent one possible base trajectory for the future evolution of the EU emission</w:t>
      </w:r>
      <w:r>
        <w:t xml:space="preserve"> </w:t>
      </w:r>
      <w:r>
        <w:t xml:space="preserve">reductions and of the EU ETS cap, as opposed to the legal default configuration which would</w:t>
      </w:r>
      <w:r>
        <w:t xml:space="preserve"> </w:t>
      </w:r>
      <w:r>
        <w:t xml:space="preserve">lead to an over-constrained system by 2040. The core working assumption scenario definition</w:t>
      </w:r>
      <w:r>
        <w:t xml:space="preserve"> </w:t>
      </w:r>
      <w:r>
        <w:t xml:space="preserve">(presented below) had to be set before the final version of the Policy scenario was ready and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was defined to be close enough to the final versions tested in the next phase of policy option-</w:t>
      </w:r>
      <w:r>
        <w:t xml:space="preserve"> </w:t>
      </w:r>
      <w:r>
        <w:t xml:space="preserve">level analysis. Indeed, the calibration of the POLES-Enerdata model for the CWAS was based</w:t>
      </w:r>
      <w:r>
        <w:t xml:space="preserve"> </w:t>
      </w:r>
      <w:r>
        <w:t xml:space="preserve">on the PRIMES scenario for a 90% economy-wide target available on 30 May 2025. Despite</w:t>
      </w:r>
      <w:r>
        <w:t xml:space="preserve"> </w:t>
      </w:r>
      <w:r>
        <w:t xml:space="preserve">these, PRIMES results having been updated subsequently, POLES-Enerdata used the</w:t>
      </w:r>
      <w:r>
        <w:t xml:space="preserve"> </w:t>
      </w:r>
      <w:r>
        <w:t xml:space="preserve">intermediate results in order to be able to deliver the MSR results for the measure-level analysis</w:t>
      </w:r>
      <w:r>
        <w:t xml:space="preserve"> </w:t>
      </w:r>
      <w:r>
        <w:t xml:space="preserve">within the deadline set by the contract. However, the MSR analysis at the policy options level</w:t>
      </w:r>
      <w:r>
        <w:t xml:space="preserve"> </w:t>
      </w:r>
      <w:r>
        <w:t xml:space="preserve">was done using the most recent PRIMES results available for the 90-85% target, on 31 March</w:t>
      </w:r>
      <w:r>
        <w:t xml:space="preserve"> </w:t>
      </w:r>
      <w:r>
        <w:t xml:space="preserve">2026.</w:t>
      </w:r>
      <w:r>
        <w:t xml:space="preserve"> </w:t>
      </w:r>
      <w:r>
        <w:t xml:space="preserve">Then, the obtained robust MSR designs were indeed incorporated as part of policy options.</w:t>
      </w:r>
      <w:r>
        <w:t xml:space="preserve"> </w:t>
      </w:r>
      <w:r>
        <w:t xml:space="preserve">This phase allowed to fine-tune and validate the parameters of the MSR configuration, in the</w:t>
      </w:r>
      <w:r>
        <w:t xml:space="preserve"> </w:t>
      </w:r>
      <w:r>
        <w:t xml:space="preserve">actual context of the final considered scenario.</w:t>
      </w:r>
      <w:r>
        <w:t xml:space="preserve"> </w:t>
      </w:r>
      <w:r>
        <w:t xml:space="preserve">3.2. Presentation of the model</w:t>
      </w:r>
      <w:r>
        <w:t xml:space="preserve"> </w:t>
      </w:r>
      <w:r>
        <w:t xml:space="preserve">Enerdata used the POLES-Enerdata model to do this modelling task.</w:t>
      </w:r>
      <w:r>
        <w:br/>
      </w:r>
      <w:r>
        <w:t xml:space="preserve">The POLES model has been initially (early 1990s) developed by IEPE (Institute for Economics</w:t>
      </w:r>
      <w:r>
        <w:t xml:space="preserve"> </w:t>
      </w:r>
      <w:r>
        <w:t xml:space="preserve">and Energy Policy), now GAEL lab (Grenoble Applied Economics Lab). Today, it is co-</w:t>
      </w:r>
      <w:r>
        <w:t xml:space="preserve"> </w:t>
      </w:r>
      <w:r>
        <w:t xml:space="preserve">developed by 3 entities: the GAEL lab, the Joint Research Centre of the European Commission</w:t>
      </w:r>
      <w:r>
        <w:t xml:space="preserve"> </w:t>
      </w:r>
      <w:r>
        <w:t xml:space="preserve">in Sevilla, and Enerdata. Each entity has ownership of its own version of the model, which is</w:t>
      </w:r>
      <w:r>
        <w:t xml:space="preserve"> </w:t>
      </w:r>
      <w:r>
        <w:t xml:space="preserve">not open-source. POLES-Enerdata is the version of the POLES model owned, maintained and</w:t>
      </w:r>
      <w:r>
        <w:t xml:space="preserve"> </w:t>
      </w:r>
      <w:r>
        <w:t xml:space="preserve">operated by Enerdata. It is continuously updated, developed and used in the framework of</w:t>
      </w:r>
      <w:r>
        <w:t xml:space="preserve"> </w:t>
      </w:r>
      <w:r>
        <w:t xml:space="preserve">numerous studies for public and private actors in the EU and globally.</w:t>
      </w:r>
      <w:r>
        <w:br/>
      </w:r>
      <w:r>
        <w:t xml:space="preserve">The POLES-Enerdata (Prospective Outlook on Long-term Energy Systems) model is a</w:t>
      </w:r>
      <w:r>
        <w:t xml:space="preserve"> </w:t>
      </w:r>
      <w:r>
        <w:t xml:space="preserve">recognised multi-issue energy model that relies on national energy balances combined with</w:t>
      </w:r>
      <w:r>
        <w:t xml:space="preserve"> </w:t>
      </w:r>
      <w:r>
        <w:t xml:space="preserve">economic, policy and technological scenarios to withdraw energy production, consumption,</w:t>
      </w:r>
      <w:r>
        <w:t xml:space="preserve"> </w:t>
      </w:r>
      <w:r>
        <w:t xml:space="preserve">and greenhouse gas (GHG) emission projections. The figure below shows the general structure</w:t>
      </w:r>
      <w:r>
        <w:t xml:space="preserve"> </w:t>
      </w:r>
      <w:r>
        <w:t xml:space="preserve">of the model, with its main inputs, outputs and covered sectors.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Figure 8:</w:t>
      </w:r>
      <w:r>
        <w:t xml:space="preserve"> </w:t>
      </w:r>
      <w:r>
        <w:t xml:space="preserve">POLES-Enerdata multi-issue energy model</w:t>
      </w:r>
    </w:p>
    <w:p>
      <w:pPr>
        <w:pStyle w:val="BodyText"/>
      </w:pPr>
      <w:r>
        <w:t xml:space="preserve">Source: Enerdata</w:t>
      </w:r>
      <w:r>
        <w:t xml:space="preserve"> </w:t>
      </w:r>
      <w:r>
        <w:t xml:space="preserve">Enerdata co-develops and uses the internationally recognised POLES-Enerdata model to</w:t>
      </w:r>
      <w:r>
        <w:t xml:space="preserve"> </w:t>
      </w:r>
      <w:r>
        <w:t xml:space="preserve">provide quantitative, scenario-based, empirical and objective analyses. Because the POLES-</w:t>
      </w:r>
      <w:r>
        <w:t xml:space="preserve"> </w:t>
      </w:r>
      <w:r>
        <w:t xml:space="preserve">Enerdata model is used for many members of the energy sector (industry, governments,</w:t>
      </w:r>
      <w:r>
        <w:t xml:space="preserve"> </w:t>
      </w:r>
      <w:r>
        <w:t xml:space="preserve">European Commission, etc.), it is very well adapted to forecast the effects of different energy-</w:t>
      </w:r>
      <w:r>
        <w:t xml:space="preserve"> </w:t>
      </w:r>
      <w:r>
        <w:t xml:space="preserve">related engagements (demand-supply, GHG emissions limitations, promotion of renewables</w:t>
      </w:r>
      <w:r>
        <w:t xml:space="preserve"> </w:t>
      </w:r>
      <w:r>
        <w:t xml:space="preserve">and energy efficiency, energy security issues, etc.). In addition, with its global coverage and</w:t>
      </w:r>
      <w:r>
        <w:t xml:space="preserve"> </w:t>
      </w:r>
      <w:r>
        <w:t xml:space="preserve">the endogenous calculation of demand, supply and prices of numerous energies including oil,</w:t>
      </w:r>
      <w:r>
        <w:t xml:space="preserve"> </w:t>
      </w:r>
      <w:r>
        <w:t xml:space="preserve">gas, and coal, the POLES-Enerdata model is very relevant to capture all the impacts of energy</w:t>
      </w:r>
      <w:r>
        <w:t xml:space="preserve"> </w:t>
      </w:r>
      <w:r>
        <w:t xml:space="preserve">policies and climate change measures and to ensure that all the forecasts are coherent within</w:t>
      </w:r>
      <w:r>
        <w:t xml:space="preserve"> </w:t>
      </w:r>
      <w:r>
        <w:t xml:space="preserve">the global environment.</w:t>
      </w:r>
      <w:r>
        <w:t xml:space="preserve"> </w:t>
      </w:r>
      <w:r>
        <w:t xml:space="preserve">The model is a world energy-economy partial equilibrium simulation model of the energy</w:t>
      </w:r>
      <w:r>
        <w:t xml:space="preserve"> </w:t>
      </w:r>
      <w:r>
        <w:t xml:space="preserve">sector, with complete modelling from upstream production through to final user demand and</w:t>
      </w:r>
      <w:r>
        <w:t xml:space="preserve"> </w:t>
      </w:r>
      <w:r>
        <w:t xml:space="preserve">greenhouse gas emissions. The simulation process uses dynamic year-by-year recursive</w:t>
      </w:r>
      <w:r>
        <w:t xml:space="preserve"> </w:t>
      </w:r>
      <w:r>
        <w:t xml:space="preserve">modelling, with endogenous international energy prices and lagged adjustments of supply and</w:t>
      </w:r>
      <w:r>
        <w:t xml:space="preserve"> </w:t>
      </w:r>
      <w:r>
        <w:t xml:space="preserve">demand by world region, which allows for describing full development pathways to 2050. The</w:t>
      </w:r>
      <w:r>
        <w:t xml:space="preserve"> </w:t>
      </w:r>
      <w:r>
        <w:t xml:space="preserve">below figure presents the geographical coverage of the POLES-Enerdata model, with a global</w:t>
      </w:r>
      <w:r>
        <w:t xml:space="preserve"> </w:t>
      </w:r>
      <w:r>
        <w:t xml:space="preserve">coverage including 66 countries or country aggregates. All EU Member States are covered</w:t>
      </w:r>
      <w:r>
        <w:t xml:space="preserve"> </w:t>
      </w:r>
      <w:r>
        <w:t xml:space="preserve">individually.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Figure 9:</w:t>
      </w:r>
      <w:r>
        <w:t xml:space="preserve"> </w:t>
      </w:r>
      <w:r>
        <w:t xml:space="preserve">POLES-Enerdata geographical coverage</w:t>
      </w:r>
    </w:p>
    <w:p>
      <w:pPr>
        <w:pStyle w:val="BodyText"/>
      </w:pPr>
      <w:r>
        <w:t xml:space="preserve">Source: Enerdata</w:t>
      </w:r>
      <w:r>
        <w:t xml:space="preserve"> </w:t>
      </w:r>
      <w:r>
        <w:t xml:space="preserve">The use of the POLES-Enerdata model combines a high degree of detail for key components</w:t>
      </w:r>
      <w:r>
        <w:t xml:space="preserve"> </w:t>
      </w:r>
      <w:r>
        <w:t xml:space="preserve">of the energy system and a strong economic consistency, as all changes in these key</w:t>
      </w:r>
      <w:r>
        <w:t xml:space="preserve"> </w:t>
      </w:r>
      <w:r>
        <w:t xml:space="preserve">components are influenced by relative price changes at the sectoral level. The model provides</w:t>
      </w:r>
      <w:r>
        <w:t xml:space="preserve"> </w:t>
      </w:r>
      <w:r>
        <w:t xml:space="preserve">technological change through dynamic cumulative processes such as the incorporation of Two</w:t>
      </w:r>
      <w:r>
        <w:t xml:space="preserve"> </w:t>
      </w:r>
      <w:r>
        <w:t xml:space="preserve">Factor Learning Curves, which combine the impacts of “learning by doing” and “learning by</w:t>
      </w:r>
      <w:r>
        <w:t xml:space="preserve"> </w:t>
      </w:r>
      <w:r>
        <w:t xml:space="preserve">searching” on technologies’ development. As price induced diffusion mechanisms (such as</w:t>
      </w:r>
      <w:r>
        <w:t xml:space="preserve"> </w:t>
      </w:r>
      <w:r>
        <w:t xml:space="preserve">feed-in tariffs) can also be included in the simulations, the model allows for consideration of</w:t>
      </w:r>
      <w:r>
        <w:t xml:space="preserve"> </w:t>
      </w:r>
      <w:r>
        <w:t xml:space="preserve">key drivers to future development of new energy technologies. One key aspect of the analysis</w:t>
      </w:r>
      <w:r>
        <w:t xml:space="preserve"> </w:t>
      </w:r>
      <w:r>
        <w:t xml:space="preserve">of energy technology development with the POLES-Enerdata model is indeed that it relies on</w:t>
      </w:r>
      <w:r>
        <w:t xml:space="preserve"> </w:t>
      </w:r>
      <w:r>
        <w:t xml:space="preserve">a framework of permanent inter-technology competition, with dynamically changing attributes</w:t>
      </w:r>
      <w:r>
        <w:t xml:space="preserve"> </w:t>
      </w:r>
      <w:r>
        <w:t xml:space="preserve">for each technology.</w:t>
      </w:r>
      <w:r>
        <w:t xml:space="preserve"> </w:t>
      </w:r>
      <w:r>
        <w:t xml:space="preserve">The model provides a complete endogenous calculation from upstream activities (supply,</w:t>
      </w:r>
      <w:r>
        <w:t xml:space="preserve"> </w:t>
      </w:r>
      <w:r>
        <w:t xml:space="preserve">prices of several energies including oil, gas and coal) to final user demand. POLES-Enerdata</w:t>
      </w:r>
      <w:r>
        <w:t xml:space="preserve"> </w:t>
      </w:r>
      <w:r>
        <w:t xml:space="preserve">offers a mixed approach based on:</w:t>
      </w:r>
      <w:r>
        <w:br/>
      </w:r>
      <w:r>
        <w:t xml:space="preserve">• a “top-down” modelling for sectorial demand, which is directly related to activity,</w:t>
      </w:r>
      <w:r>
        <w:t xml:space="preserve"> </w:t>
      </w:r>
      <w:r>
        <w:t xml:space="preserve">prices and technologies through econometric equations; for each key economic sector</w:t>
      </w:r>
      <w:r>
        <w:t xml:space="preserve"> </w:t>
      </w:r>
      <w:r>
        <w:t xml:space="preserve">energy consumption is distinguished between substitutable fuels and electricity; and</w:t>
      </w:r>
      <w:r>
        <w:t xml:space="preserve"> </w:t>
      </w:r>
      <w:r>
        <w:t xml:space="preserve">• a “bottom-up” approach for the power sector (explicit representation of each type of</w:t>
      </w:r>
      <w:r>
        <w:t xml:space="preserve"> </w:t>
      </w:r>
      <w:r>
        <w:t xml:space="preserve">technology as well as their costs).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Figure 10: POLES-Enerdata main issues and topics covered</w:t>
      </w:r>
    </w:p>
    <w:p>
      <w:pPr>
        <w:pStyle w:val="BodyText"/>
      </w:pPr>
      <w:r>
        <w:t xml:space="preserve">Source: Enerdata</w:t>
      </w:r>
      <w:r>
        <w:t xml:space="preserve"> </w:t>
      </w:r>
      <w:r>
        <w:t xml:space="preserve">Key features of the POLES-Enerdata model are summarized in the following:</w:t>
      </w:r>
      <w:r>
        <w:t xml:space="preserve"> </w:t>
      </w:r>
      <w:r>
        <w:t xml:space="preserve">• Long-term (up to 2050) simulation of world energy scenarios/projections and</w:t>
      </w:r>
      <w:r>
        <w:t xml:space="preserve"> </w:t>
      </w:r>
      <w:r>
        <w:t xml:space="preserve">international energy markets;</w:t>
      </w:r>
      <w:r>
        <w:t xml:space="preserve"> </w:t>
      </w:r>
      <w:r>
        <w:t xml:space="preserve">• World energy supply scenarios by main producing country/region with consideration</w:t>
      </w:r>
      <w:r>
        <w:t xml:space="preserve"> </w:t>
      </w:r>
      <w:r>
        <w:t xml:space="preserve">of reserve development and resource constraints (88 producing countries/regions);</w:t>
      </w:r>
      <w:r>
        <w:t xml:space="preserve"> </w:t>
      </w:r>
      <w:r>
        <w:t xml:space="preserve">• Outlook for energy prices at international, national and sectoral level;</w:t>
      </w:r>
      <w:r>
        <w:t xml:space="preserve"> </w:t>
      </w:r>
      <w:r>
        <w:t xml:space="preserve">• Disaggregation into 15 energy demand sectors, with over 40 technologies (power</w:t>
      </w:r>
      <w:r>
        <w:t xml:space="preserve"> </w:t>
      </w:r>
      <w:r>
        <w:t xml:space="preserve">generation, buildings, transport);</w:t>
      </w:r>
      <w:r>
        <w:t xml:space="preserve"> </w:t>
      </w:r>
      <w:r>
        <w:t xml:space="preserve">• Detailed national/regional energy balances, integrating final energy demand, new and</w:t>
      </w:r>
      <w:r>
        <w:t xml:space="preserve"> </w:t>
      </w:r>
      <w:r>
        <w:t xml:space="preserve">renewable energy technologies diffusion, electricity, hydrogen and Carbon Capture and</w:t>
      </w:r>
      <w:r>
        <w:t xml:space="preserve"> </w:t>
      </w:r>
      <w:r>
        <w:t xml:space="preserve">Sequestration</w:t>
      </w:r>
      <w:r>
        <w:t xml:space="preserve"> </w:t>
      </w:r>
      <w:r>
        <w:t xml:space="preserve">systems,</w:t>
      </w:r>
      <w:r>
        <w:t xml:space="preserve"> </w:t>
      </w:r>
      <w:r>
        <w:t xml:space="preserve">fossil</w:t>
      </w:r>
      <w:r>
        <w:t xml:space="preserve"> </w:t>
      </w:r>
      <w:r>
        <w:t xml:space="preserve">fuel</w:t>
      </w:r>
      <w:r>
        <w:t xml:space="preserve"> </w:t>
      </w:r>
      <w:r>
        <w:t xml:space="preserve">supply,</w:t>
      </w:r>
      <w:r>
        <w:t xml:space="preserve"> </w:t>
      </w:r>
      <w:r>
        <w:t xml:space="preserve">and</w:t>
      </w:r>
      <w:r>
        <w:t xml:space="preserve"> </w:t>
      </w:r>
      <w:r>
        <w:t xml:space="preserve">uranium</w:t>
      </w:r>
      <w:r>
        <w:t xml:space="preserve"> </w:t>
      </w:r>
      <w:r>
        <w:t xml:space="preserve">(66</w:t>
      </w:r>
      <w:r>
        <w:t xml:space="preserve"> </w:t>
      </w:r>
      <w:r>
        <w:t xml:space="preserve">consuming</w:t>
      </w:r>
      <w:r>
        <w:t xml:space="preserve"> </w:t>
      </w:r>
      <w:r>
        <w:t xml:space="preserve">countries/regions);</w:t>
      </w:r>
      <w:r>
        <w:t xml:space="preserve"> </w:t>
      </w:r>
      <w:r>
        <w:t xml:space="preserve">• Full power generation system (and feedback effect on other energies);</w:t>
      </w:r>
      <w:r>
        <w:t xml:space="preserve"> </w:t>
      </w:r>
      <w:r>
        <w:t xml:space="preserve">• Impacts of energy prices and tax policies on regional energy systems;</w:t>
      </w:r>
      <w:r>
        <w:t xml:space="preserve"> </w:t>
      </w:r>
      <w:r>
        <w:t xml:space="preserve">• National greenhouse gas emissions and abatement strategies; costs of national and</w:t>
      </w:r>
      <w:r>
        <w:t xml:space="preserve"> </w:t>
      </w:r>
      <w:r>
        <w:t xml:space="preserve">international GHG abatement scenarios with different regional targets/endowments and</w:t>
      </w:r>
      <w:r>
        <w:t xml:space="preserve"> </w:t>
      </w:r>
      <w:r>
        <w:t xml:space="preserve">flexibility systems;</w:t>
      </w:r>
      <w:r>
        <w:t xml:space="preserve"> </w:t>
      </w:r>
      <w:r>
        <w:t xml:space="preserve">• CO2 emissions Marginal Abatement Cost Curves and Emission Trading System</w:t>
      </w:r>
      <w:r>
        <w:t xml:space="preserve"> </w:t>
      </w:r>
      <w:r>
        <w:t xml:space="preserve">analyses by region and/or sector, under different market configurations and trading</w:t>
      </w:r>
      <w:r>
        <w:t xml:space="preserve"> </w:t>
      </w:r>
      <w:r>
        <w:t xml:space="preserve">rules;</w:t>
      </w:r>
      <w:r>
        <w:t xml:space="preserve"> </w:t>
      </w:r>
      <w:r>
        <w:t xml:space="preserve">• Technology diffusion under conditions of sectoral demand and inter-technology</w:t>
      </w:r>
      <w:r>
        <w:t xml:space="preserve"> </w:t>
      </w:r>
      <w:r>
        <w:t xml:space="preserve">competition based on relative costs and merit orders; and</w:t>
      </w:r>
      <w:r>
        <w:t xml:space="preserve"> </w:t>
      </w:r>
      <w:r>
        <w:t xml:space="preserve">• Endogenous developments in energy technology, with impacts of public and private</w:t>
      </w:r>
      <w:r>
        <w:t xml:space="preserve"> </w:t>
      </w:r>
      <w:r>
        <w:t xml:space="preserve">investment in R&amp;D and cumulative learning experience. Induced technological change</w:t>
      </w:r>
      <w:r>
        <w:t xml:space="preserve"> </w:t>
      </w:r>
      <w:r>
        <w:t xml:space="preserve">of climate policies.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The POLES model benefits from numerous references, including public study reports,</w:t>
      </w:r>
      <w:r>
        <w:t xml:space="preserve"> </w:t>
      </w:r>
      <w:r>
        <w:t xml:space="preserve">mentions in official publications from the European Commission, project references and</w:t>
      </w:r>
      <w:r>
        <w:t xml:space="preserve"> </w:t>
      </w:r>
      <w:r>
        <w:t xml:space="preserve">academic references. In particular, it has recently been used as part of a study supporting the</w:t>
      </w:r>
      <w:r>
        <w:t xml:space="preserve"> </w:t>
      </w:r>
      <w:r>
        <w:t xml:space="preserve">European Commission’s Impact Assessment on the 2040 Climate Target in 2024.</w:t>
      </w:r>
      <w:r>
        <w:t xml:space="preserve"> </w:t>
      </w:r>
      <w:r>
        <w:t xml:space="preserve">Furthermore, although the full documentation of Enerdata’s version is not publicly available,</w:t>
      </w:r>
      <w:r>
        <w:t xml:space="preserve"> </w:t>
      </w:r>
      <w:r>
        <w:t xml:space="preserve">the one from the EC-JRC’s version is.44 Both models are very similar in terms of core logic,</w:t>
      </w:r>
      <w:r>
        <w:t xml:space="preserve"> </w:t>
      </w:r>
      <w:r>
        <w:t xml:space="preserve">and only a few recent developments on both sides have made them diverge on some aspects of</w:t>
      </w:r>
      <w:r>
        <w:t xml:space="preserve"> </w:t>
      </w:r>
      <w:r>
        <w:t xml:space="preserve">the modelling.</w:t>
      </w:r>
      <w:r>
        <w:t xml:space="preserve"> </w:t>
      </w:r>
      <w:r>
        <w:t xml:space="preserve">3.3. Baseline scenario design</w:t>
      </w:r>
      <w:r>
        <w:t xml:space="preserve"> </w:t>
      </w:r>
      <w:r>
        <w:t xml:space="preserve">The Commission designed scenarios which were ran with the PRIMES model by Ricardo-</w:t>
      </w:r>
      <w:r>
        <w:t xml:space="preserve"> </w:t>
      </w:r>
      <w:r>
        <w:t xml:space="preserve">E3M, which serve as bases for the present study.</w:t>
      </w:r>
      <w:r>
        <w:br/>
      </w:r>
      <w:r>
        <w:t xml:space="preserve">These PRIMES-based scenarios include the baseline scenario, a “90% economy-wide</w:t>
      </w:r>
      <w:r>
        <w:t xml:space="preserve"> </w:t>
      </w:r>
      <w:r>
        <w:t xml:space="preserve">scenario”, and a “85% economy-wide scenario”.</w:t>
      </w:r>
      <w:r>
        <w:t xml:space="preserve"> </w:t>
      </w:r>
      <w:r>
        <w:t xml:space="preserve">In the MSR measure-level analysis, the calibration of the POLES-Enerdata model for the core</w:t>
      </w:r>
      <w:r>
        <w:t xml:space="preserve"> </w:t>
      </w:r>
      <w:r>
        <w:t xml:space="preserve">working assumption scenario was based on the “90% economy-wide scenario” available on 30</w:t>
      </w:r>
      <w:r>
        <w:t xml:space="preserve"> </w:t>
      </w:r>
      <w:r>
        <w:t xml:space="preserve">May 2025. In spite of these PRIMES results having been updated subsequently, intermediate</w:t>
      </w:r>
      <w:r>
        <w:t xml:space="preserve"> </w:t>
      </w:r>
      <w:r>
        <w:t xml:space="preserve">results were used in order to be able to deliver the MSR results for the measure-level analysis</w:t>
      </w:r>
      <w:r>
        <w:t xml:space="preserve"> </w:t>
      </w:r>
      <w:r>
        <w:t xml:space="preserve">within the deadline. For the policy option level analysis, the POLES-Enerdata baseline was</w:t>
      </w:r>
      <w:r>
        <w:t xml:space="preserve"> </w:t>
      </w:r>
      <w:r>
        <w:t xml:space="preserve">based on the 90-85% var3 scenario sent by PRIMES on 15 December 2025.</w:t>
      </w:r>
      <w:r>
        <w:t xml:space="preserve"> </w:t>
      </w:r>
      <w:r>
        <w:t xml:space="preserve">The E3M team provided Enerdata with the GHG emissions for each consumption sectors and</w:t>
      </w:r>
      <w:r>
        <w:t xml:space="preserve"> </w:t>
      </w:r>
      <w:r>
        <w:t xml:space="preserve">each EU ETS sector with a 5-year time step. Carbon prices trajectories were also provided for</w:t>
      </w:r>
      <w:r>
        <w:t xml:space="preserve"> </w:t>
      </w:r>
      <w:r>
        <w:t xml:space="preserve">both the EU ETS and the ETS2 perimeters. The “90% economy-wide scenario” includes half</w:t>
      </w:r>
      <w:r>
        <w:t xml:space="preserve"> </w:t>
      </w:r>
      <w:r>
        <w:t xml:space="preserve">of the emissions from extra-EU international aviation (“one way inclusion”).</w:t>
      </w:r>
      <w:r>
        <w:br/>
      </w:r>
      <w:r>
        <w:t xml:space="preserve">Enerdata reproduced this scenario within the POLES-Enerdata model by targeting the same</w:t>
      </w:r>
      <w:r>
        <w:t xml:space="preserve"> </w:t>
      </w:r>
      <w:r>
        <w:t xml:space="preserve">GHG emissions evolution for 2030 and 2050, looking at: total emissions, ETS-level emissions,</w:t>
      </w:r>
      <w:r>
        <w:t xml:space="preserve"> </w:t>
      </w:r>
      <w:r>
        <w:t xml:space="preserve">and some specific sectors (notably: power generation). The aim of this approach is to align the</w:t>
      </w:r>
      <w:r>
        <w:t xml:space="preserve"> </w:t>
      </w:r>
      <w:r>
        <w:t xml:space="preserve">emission reduction effort sharing between the EU ETS and other instruments, captured as part</w:t>
      </w:r>
      <w:r>
        <w:t xml:space="preserve"> </w:t>
      </w:r>
      <w:r>
        <w:t xml:space="preserve">of the PRIMES model through the explicit inclusion of national policies.</w:t>
      </w:r>
      <w:r>
        <w:t xml:space="preserve"> </w:t>
      </w:r>
      <w:r>
        <w:t xml:space="preserve">3.4. Adaptation of the baseline with MSR modelling</w:t>
      </w:r>
      <w:r>
        <w:t xml:space="preserve"> </w:t>
      </w:r>
      <w:r>
        <w:t xml:space="preserve">3.4.1. MSR methodology applied to the core working scenario</w:t>
      </w:r>
      <w:r>
        <w:t xml:space="preserve"> </w:t>
      </w:r>
      <w:r>
        <w:t xml:space="preserve">Based on the core working assumption scenario, Enerdata would run the POLES-Enerdata</w:t>
      </w:r>
      <w:r>
        <w:t xml:space="preserve"> </w:t>
      </w:r>
      <w:r>
        <w:t xml:space="preserve">model with its added ETS optimisation module, which explicitly represents MSR operations,</w:t>
      </w:r>
      <w:r>
        <w:t xml:space="preserve"> </w:t>
      </w:r>
      <w:r>
        <w:t xml:space="preserve">and whose parameters are presented in detail below.</w:t>
      </w:r>
      <w:r>
        <w:t xml:space="preserve"> </w:t>
      </w:r>
      <w:r>
        <w:t xml:space="preserve">One of the results from the optimisation module is an indexed EUA price trajectory, as the</w:t>
      </w:r>
      <w:r>
        <w:t xml:space="preserve"> </w:t>
      </w:r>
      <w:r>
        <w:t xml:space="preserve">specificities of the EU ETS market are represented and a limited foresight of the market from</w:t>
      </w:r>
      <w:r>
        <w:t xml:space="preserve"> </w:t>
      </w:r>
      <w:r>
        <w:t xml:space="preserve">actors is considered (which inherently differs from PRIMES). The model calculates the EUA</w:t>
      </w:r>
      <w:r>
        <w:t xml:space="preserve"> </w:t>
      </w:r>
      <w:r>
        <w:t xml:space="preserve">price evolution, based on a supply-demand equilibrium. These modelling outputs should not</w:t>
      </w:r>
      <w:r>
        <w:t xml:space="preserve"> </w:t>
      </w:r>
      <w:r>
        <w:t xml:space="preserve">be considered as actual forecasts, as the model cannot perfectly capture the broader policy mix</w:t>
      </w:r>
      <w:r>
        <w:t xml:space="preserve"> </w:t>
      </w:r>
      <w:r>
        <w:t xml:space="preserve">and relies on simplified assumptions for the regulated entities’ behaviors. The post-2040 period</w:t>
      </w:r>
      <w:r>
        <w:t xml:space="preserve"> </w:t>
      </w:r>
      <w:r>
        <w:t xml:space="preserve">also has impacts on the output price trajectory due to a modelled actors’ anticipation horizon.</w:t>
      </w:r>
      <w:r>
        <w:t xml:space="preserve"> </w:t>
      </w:r>
      <w:r>
        <w:t xml:space="preserve">The price results should therefore be considered with caution, however the main trends</w:t>
      </w:r>
    </w:p>
    <w:p>
      <w:pPr>
        <w:pStyle w:val="BodyText"/>
      </w:pPr>
      <w:r>
        <w:t xml:space="preserve">44 Full</w:t>
      </w:r>
      <w:r>
        <w:t xml:space="preserve"> </w:t>
      </w:r>
      <w:r>
        <w:t xml:space="preserve">documentation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EC-JRC</w:t>
      </w:r>
      <w:r>
        <w:t xml:space="preserve"> </w:t>
      </w:r>
      <w:r>
        <w:t xml:space="preserve">version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POLES</w:t>
      </w:r>
      <w:r>
        <w:t xml:space="preserve"> </w:t>
      </w:r>
      <w:r>
        <w:t xml:space="preserve">model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at:</w:t>
      </w:r>
      <w:r>
        <w:br/>
      </w:r>
      <w:r>
        <w:t xml:space="preserve">https://ec.europa.eu/jrc/en/publication/poles-jrc-model-documentation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observed, also validated with qualitative reasoning, are instructive and provide a very useful</w:t>
      </w:r>
      <w:r>
        <w:t xml:space="preserve"> </w:t>
      </w:r>
      <w:r>
        <w:t xml:space="preserve">comparison framework for the different measures. All prices are provided as index considering</w:t>
      </w:r>
      <w:r>
        <w:t xml:space="preserve"> </w:t>
      </w:r>
      <w:r>
        <w:t xml:space="preserve">2028 as the base year.</w:t>
      </w:r>
      <w:r>
        <w:br/>
      </w:r>
      <w:r>
        <w:t xml:space="preserve">As a result, a POLES-Enerdata core working assumption scenario is produced, consistent with</w:t>
      </w:r>
      <w:r>
        <w:t xml:space="preserve"> </w:t>
      </w:r>
      <w:r>
        <w:t xml:space="preserve">the PRIMES 90% scenario (to which one-way extra-EU aviation is added to the ETS scope in</w:t>
      </w:r>
      <w:r>
        <w:t xml:space="preserve"> </w:t>
      </w:r>
      <w:r>
        <w:t xml:space="preserve">2027), and with the carbon price trajectory assessed with the MSR methodology. This scenario</w:t>
      </w:r>
      <w:r>
        <w:t xml:space="preserve"> </w:t>
      </w:r>
      <w:r>
        <w:t xml:space="preserve">is taken as a basis for the different runs and sensitivities analysis envisioned as part of the</w:t>
      </w:r>
      <w:r>
        <w:t xml:space="preserve"> </w:t>
      </w:r>
      <w:r>
        <w:t xml:space="preserve">quantitative measure-level assessment.</w:t>
      </w:r>
      <w:r>
        <w:t xml:space="preserve"> </w:t>
      </w:r>
      <w:r>
        <w:t xml:space="preserve">As shown on Figure 11, the indexed price outlook in POLES-Enerdata is not aligned with the</w:t>
      </w:r>
      <w:r>
        <w:t xml:space="preserve"> </w:t>
      </w:r>
      <w:r>
        <w:t xml:space="preserve">initial 90% scenario from PRIMES to which the CWAS was aligned. This difference is</w:t>
      </w:r>
      <w:r>
        <w:t xml:space="preserve"> </w:t>
      </w:r>
      <w:r>
        <w:t xml:space="preserve">explained by the differing methodologies used: in PRIMES, the carbon value is an input of the</w:t>
      </w:r>
      <w:r>
        <w:t xml:space="preserve"> </w:t>
      </w:r>
      <w:r>
        <w:t xml:space="preserve">model, and the ETS and MSR operations are not directly endogenously represented. PRIMES</w:t>
      </w:r>
      <w:r>
        <w:t xml:space="preserve"> </w:t>
      </w:r>
      <w:r>
        <w:t xml:space="preserve">also uses a benchmark approach with foresight up to 2050. In POLES-Enerdata, the price is</w:t>
      </w:r>
      <w:r>
        <w:t xml:space="preserve"> </w:t>
      </w:r>
      <w:r>
        <w:t xml:space="preserve">the output from an optimization, which explicitly accounts for the ETS and MSR operations,</w:t>
      </w:r>
      <w:r>
        <w:t xml:space="preserve"> </w:t>
      </w:r>
      <w:r>
        <w:t xml:space="preserve">and which works with a limited rolling anticipation horizon. These elements are the key factors</w:t>
      </w:r>
      <w:r>
        <w:t xml:space="preserve"> </w:t>
      </w:r>
      <w:r>
        <w:t xml:space="preserve">explaining the differences observed.</w:t>
      </w:r>
      <w:r>
        <w:t xml:space="preserve"> </w:t>
      </w:r>
      <w:r>
        <w:t xml:space="preserve">Figure 11: EUA price comparison between POLES-Enerdata &amp; PRIMES - Core Working</w:t>
      </w:r>
      <w:r>
        <w:t xml:space="preserve"> </w:t>
      </w:r>
      <w:r>
        <w:t xml:space="preserve">Assumption Scenario</w:t>
      </w:r>
    </w:p>
    <w:p>
      <w:pPr>
        <w:pStyle w:val="BodyText"/>
      </w:pPr>
      <w:r>
        <w:t xml:space="preserve">Source: POLES-Enerdata, PRIMES.</w:t>
      </w:r>
      <w:r>
        <w:br/>
      </w:r>
      <w:r>
        <w:t xml:space="preserve">Note: Primes prices are indexed with 2028 POLES-Enerdata for model comparison.</w:t>
      </w:r>
      <w:r>
        <w:t xml:space="preserve"> </w:t>
      </w:r>
      <w:r>
        <w:t xml:space="preserve">3.4.2. Modelling the removals</w:t>
      </w:r>
      <w:r>
        <w:t xml:space="preserve"> </w:t>
      </w:r>
      <w:r>
        <w:t xml:space="preserve">In POLES-Enerdata, removals (both BECCS and DACCS) are modelled in the following way:</w:t>
      </w:r>
      <w:r>
        <w:t xml:space="preserve"> </w:t>
      </w:r>
      <w:r>
        <w:t xml:space="preserve">it is agreed that the volume of CO2 captured can be considered as an exogenous hypothesis.</w:t>
      </w:r>
      <w:r>
        <w:t xml:space="preserve"> </w:t>
      </w:r>
      <w:r>
        <w:t xml:space="preserve">The level of captured CO2 of BECCS and DACCS provided by PRIMES are considered as</w:t>
      </w:r>
      <w:r>
        <w:t xml:space="preserve"> </w:t>
      </w:r>
      <w:r>
        <w:t xml:space="preserve">added in the gross cap. The development of these technologies is set exogenously in the model,</w:t>
      </w:r>
      <w:r>
        <w:t xml:space="preserve"> </w:t>
      </w:r>
      <w:r>
        <w:t xml:space="preserve">bypassing its usual endogenous equations. This solution allows us to take into account the</w:t>
      </w:r>
      <w:r>
        <w:t xml:space="preserve"> </w:t>
      </w:r>
      <w:r>
        <w:t xml:space="preserve">BECCS and DACCS contributions in the market by adding removals without having to assume</w:t>
      </w:r>
      <w:r>
        <w:t xml:space="preserve"> </w:t>
      </w:r>
      <w:r>
        <w:t xml:space="preserve">any explicit mechanism for how they are integrated into the system. Also, the level of removals</w:t>
      </w:r>
      <w:r>
        <w:t xml:space="preserve"> </w:t>
      </w:r>
      <w:r>
        <w:t xml:space="preserve">will not depend on the sensitivities ulteriorly run. In both cases, removals are excluded from</w:t>
      </w:r>
      <w:r>
        <w:t xml:space="preserve"> </w:t>
      </w:r>
      <w:r>
        <w:t xml:space="preserve">the EU ETS emission perimeter.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3.4.3. Market parameters</w:t>
      </w:r>
      <w:r>
        <w:t xml:space="preserve"> </w:t>
      </w:r>
      <w:r>
        <w:t xml:space="preserve">This section presents the different scopes and parameters considered in the modelling of the</w:t>
      </w:r>
      <w:r>
        <w:t xml:space="preserve"> </w:t>
      </w:r>
      <w:r>
        <w:t xml:space="preserve">EU ETS market and the MSR and provide the default values of these parameters, some of</w:t>
      </w:r>
      <w:r>
        <w:t xml:space="preserve"> </w:t>
      </w:r>
      <w:r>
        <w:t xml:space="preserve">which are then modified in the different scenarios run for the analysis.</w:t>
      </w:r>
      <w:r>
        <w:t xml:space="preserve"> </w:t>
      </w:r>
      <w:r>
        <w:t xml:space="preserve">3.4.3.1.</w:t>
      </w:r>
      <w:r>
        <w:t xml:space="preserve"> </w:t>
      </w:r>
      <w:r>
        <w:t xml:space="preserve">Geographical perimeter covered for the EU ETS market:</w:t>
      </w:r>
      <w:r>
        <w:br/>
      </w:r>
      <w:r>
        <w:t xml:space="preserve">The geographical perimeter within the EU ETS is the EU27, Norway, Iceland and</w:t>
      </w:r>
      <w:r>
        <w:t xml:space="preserve"> </w:t>
      </w:r>
      <w:r>
        <w:t xml:space="preserve">Liechtenstein. Emissions can be assessed for both this “EEA” perimeter and the EU27</w:t>
      </w:r>
      <w:r>
        <w:t xml:space="preserve"> </w:t>
      </w:r>
      <w:r>
        <w:t xml:space="preserve">perimeter allowing us to follow the PRIMES figures.</w:t>
      </w:r>
      <w:r>
        <w:t xml:space="preserve"> </w:t>
      </w:r>
      <w:r>
        <w:t xml:space="preserve">3.4.3.2.</w:t>
      </w:r>
      <w:r>
        <w:t xml:space="preserve"> </w:t>
      </w:r>
      <w:r>
        <w:t xml:space="preserve">Sectoral perimeter accounted in the EU ETS market</w:t>
      </w:r>
      <w:r>
        <w:t xml:space="preserve"> </w:t>
      </w:r>
      <w:r>
        <w:t xml:space="preserve">Emissions from electricity generation are assumed fully accounted for in the EU ETS market</w:t>
      </w:r>
      <w:r>
        <w:t xml:space="preserve"> </w:t>
      </w:r>
      <w:r>
        <w:t xml:space="preserve">• Emissions from the industrial sector, in particular</w:t>
      </w:r>
      <w:r>
        <w:br/>
      </w:r>
      <w:r>
        <w:t xml:space="preserve">o Emissions from manufacturing industry sectors such as chemicals, non-metallic</w:t>
      </w:r>
      <w:r>
        <w:t xml:space="preserve"> </w:t>
      </w:r>
      <w:r>
        <w:t xml:space="preserve">minerals, steel, and other industries</w:t>
      </w:r>
      <w:r>
        <w:t xml:space="preserve"> </w:t>
      </w:r>
      <w:r>
        <w:t xml:space="preserve">o Non-CO2 emissions from industry: PFC from aluminium production &amp; N2O</w:t>
      </w:r>
      <w:r>
        <w:t xml:space="preserve"> </w:t>
      </w:r>
      <w:r>
        <w:t xml:space="preserve">from industry</w:t>
      </w:r>
      <w:r>
        <w:t xml:space="preserve"> </w:t>
      </w:r>
      <w:r>
        <w:t xml:space="preserve">o Emissions from the hydrogen production sector</w:t>
      </w:r>
      <w:r>
        <w:t xml:space="preserve"> </w:t>
      </w:r>
      <w:r>
        <w:t xml:space="preserve">o Emissions from the district heat production sector</w:t>
      </w:r>
      <w:r>
        <w:t xml:space="preserve"> </w:t>
      </w:r>
      <w:r>
        <w:t xml:space="preserve">• Emissions from the energy transformation sector.</w:t>
      </w:r>
      <w:r>
        <w:t xml:space="preserve"> </w:t>
      </w:r>
      <w:r>
        <w:t xml:space="preserve">o Emissions from aviation (domestic &amp; intra-EU since historically, extra-EU one-</w:t>
      </w:r>
      <w:r>
        <w:t xml:space="preserve"> </w:t>
      </w:r>
      <w:r>
        <w:t xml:space="preserve">way starting 2027) and maritime (starting 2024) transport are considered</w:t>
      </w:r>
      <w:r>
        <w:t xml:space="preserve"> </w:t>
      </w:r>
      <w:r>
        <w:t xml:space="preserve">exogenously in the modelling, with values based on the PRIMES 90% scenario.</w:t>
      </w:r>
      <w:r>
        <w:t xml:space="preserve"> </w:t>
      </w:r>
      <w:r>
        <w:t xml:space="preserve">In the model, these aviation and maritime emissions are considered as an</w:t>
      </w:r>
      <w:r>
        <w:t xml:space="preserve"> </w:t>
      </w:r>
      <w:r>
        <w:t xml:space="preserve">exogenous added demand for EU ETS allowances. The amount of allowances</w:t>
      </w:r>
      <w:r>
        <w:t xml:space="preserve"> </w:t>
      </w:r>
      <w:r>
        <w:t xml:space="preserve">required for these sectors are therefore deducted from the EU ETS cap to reflect</w:t>
      </w:r>
      <w:r>
        <w:t xml:space="preserve"> </w:t>
      </w:r>
      <w:r>
        <w:t xml:space="preserve">the contribution of these sectors in the EU ETS market.</w:t>
      </w:r>
      <w:r>
        <w:t xml:space="preserve"> </w:t>
      </w:r>
      <w:r>
        <w:t xml:space="preserve">o This means that, for the purpose of MSR measure-level analyses, we assume</w:t>
      </w:r>
      <w:r>
        <w:t xml:space="preserve"> </w:t>
      </w:r>
      <w:r>
        <w:t xml:space="preserve">that the aviation and maritime emissions will not be affected by the changes in</w:t>
      </w:r>
      <w:r>
        <w:t xml:space="preserve"> </w:t>
      </w:r>
      <w:r>
        <w:t xml:space="preserve">the ETS price. In other words, we neglect the retroactions on aviation and</w:t>
      </w:r>
      <w:r>
        <w:t xml:space="preserve"> </w:t>
      </w:r>
      <w:r>
        <w:t xml:space="preserve">maritime emissions through the price. This assumption enables to simplify the</w:t>
      </w:r>
      <w:r>
        <w:t xml:space="preserve"> </w:t>
      </w:r>
      <w:r>
        <w:t xml:space="preserve">modelling work, also accounting for the fact that modelling price effects for</w:t>
      </w:r>
      <w:r>
        <w:t xml:space="preserve"> </w:t>
      </w:r>
      <w:r>
        <w:t xml:space="preserve">mobility demand internationally is complex. Finally, some sensitivities to</w:t>
      </w:r>
      <w:r>
        <w:t xml:space="preserve"> </w:t>
      </w:r>
      <w:r>
        <w:t xml:space="preserve">shocks will be studied as part of the measure analysis, some of which could</w:t>
      </w:r>
      <w:r>
        <w:t xml:space="preserve"> </w:t>
      </w:r>
      <w:r>
        <w:t xml:space="preserve">simulate a different EUA demand from aviation and maritime.</w:t>
      </w:r>
      <w:r>
        <w:br/>
      </w:r>
      <w:r>
        <w:t xml:space="preserve">3.4.3.3.</w:t>
      </w:r>
      <w:r>
        <w:t xml:space="preserve"> </w:t>
      </w:r>
      <w:r>
        <w:t xml:space="preserve">Cap of emissions:</w:t>
      </w:r>
      <w:r>
        <w:br/>
      </w:r>
      <w:r>
        <w:t xml:space="preserve">The cap taken into account is provided by the EU Commission for each year between 2023 and</w:t>
      </w:r>
      <w:r>
        <w:t xml:space="preserve"> </w:t>
      </w:r>
      <w:r>
        <w:t xml:space="preserve">2050. There is consideration of</w:t>
      </w:r>
      <w:r>
        <w:br/>
      </w:r>
      <w:r>
        <w:t xml:space="preserve">• Industry EU ETS energy CO2</w:t>
      </w:r>
      <w:r>
        <w:t xml:space="preserve"> </w:t>
      </w:r>
      <w:r>
        <w:t xml:space="preserve">• Industry EU ETS non energy CO2</w:t>
      </w:r>
      <w:r>
        <w:t xml:space="preserve"> </w:t>
      </w:r>
      <w:r>
        <w:t xml:space="preserve">• Industry EU ETS non-CO2</w:t>
      </w:r>
      <w:r>
        <w:t xml:space="preserve"> </w:t>
      </w:r>
      <w:r>
        <w:t xml:space="preserve">• Supply Side, that gather power, heat and hydrogen production sectors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• Intra EU international Aviation</w:t>
      </w:r>
      <w:r>
        <w:t xml:space="preserve"> </w:t>
      </w:r>
      <w:r>
        <w:t xml:space="preserve">• Domestic Aviation</w:t>
      </w:r>
      <w:r>
        <w:t xml:space="preserve"> </w:t>
      </w:r>
      <w:r>
        <w:t xml:space="preserve">• EU ETS Navigation</w:t>
      </w:r>
      <w:r>
        <w:br/>
      </w:r>
      <w:r>
        <w:t xml:space="preserve">• 50% of international aviation outside the EU: “International aviation one way”</w:t>
      </w:r>
      <w:r>
        <w:t xml:space="preserve"> </w:t>
      </w:r>
      <w:r>
        <w:t xml:space="preserve">3.4.3.4.</w:t>
      </w:r>
      <w:r>
        <w:t xml:space="preserve"> </w:t>
      </w:r>
      <w:r>
        <w:t xml:space="preserve">Banking from industrials:</w:t>
      </w:r>
      <w:r>
        <w:br/>
      </w:r>
      <w:r>
        <w:t xml:space="preserve">A quantity of allowances is assumed historically banked by industrial actors. It is assumed that</w:t>
      </w:r>
      <w:r>
        <w:t xml:space="preserve"> </w:t>
      </w:r>
      <w:r>
        <w:t xml:space="preserve">industrial actors will use these EUAs in the short term in a context of sustained ETS prices. In</w:t>
      </w:r>
      <w:r>
        <w:t xml:space="preserve"> </w:t>
      </w:r>
      <w:r>
        <w:t xml:space="preserve">practice, it is assumed that 350 MtCO2 is banked in end-2023 by industrials and they will</w:t>
      </w:r>
      <w:r>
        <w:t xml:space="preserve"> </w:t>
      </w:r>
      <w:r>
        <w:t xml:space="preserve">release this quantity until 2030 with the same amount per year: 50MtCO2/year. The model</w:t>
      </w:r>
      <w:r>
        <w:t xml:space="preserve"> </w:t>
      </w:r>
      <w:r>
        <w:t xml:space="preserve">treats the “banked allowances” as a temporarily unavailable supply, to reproduce the reality of</w:t>
      </w:r>
      <w:r>
        <w:t xml:space="preserve"> </w:t>
      </w:r>
      <w:r>
        <w:t xml:space="preserve">the market operations.</w:t>
      </w:r>
      <w:r>
        <w:t xml:space="preserve"> </w:t>
      </w:r>
      <w:r>
        <w:t xml:space="preserve">3.4.3.5.</w:t>
      </w:r>
      <w:r>
        <w:t xml:space="preserve"> </w:t>
      </w:r>
      <w:r>
        <w:t xml:space="preserve">Hedging from the electricity sector:</w:t>
      </w:r>
      <w:r>
        <w:br/>
      </w:r>
      <w:r>
        <w:t xml:space="preserve">Hedging behaviour from power actors is represented in the model. Hedging is a crucial strategy</w:t>
      </w:r>
      <w:r>
        <w:t xml:space="preserve"> </w:t>
      </w:r>
      <w:r>
        <w:t xml:space="preserve">for electricity producers to manage and stabilise costs or revenues by locking in prices in</w:t>
      </w:r>
      <w:r>
        <w:t xml:space="preserve"> </w:t>
      </w:r>
      <w:r>
        <w:t xml:space="preserve">advance. It is assumed that electricity producers apply this strategy within the EU ETS market.</w:t>
      </w:r>
      <w:r>
        <w:t xml:space="preserve"> </w:t>
      </w:r>
      <w:r>
        <w:t xml:space="preserve">In the modelling, the demand for EUA computed when representing compliance, i.e. the</w:t>
      </w:r>
      <w:r>
        <w:t xml:space="preserve"> </w:t>
      </w:r>
      <w:r>
        <w:t xml:space="preserve">supply-demand equilibrium leading to the formation of the price, accounts for the hedging from</w:t>
      </w:r>
      <w:r>
        <w:t xml:space="preserve"> </w:t>
      </w:r>
      <w:r>
        <w:t xml:space="preserve">power producers, assuming that the corresponding quantity of EUAs is not available for trade.</w:t>
      </w:r>
      <w:r>
        <w:t xml:space="preserve"> </w:t>
      </w:r>
      <w:r>
        <w:t xml:space="preserve">Therefore, instead of calculating the EUA demand for a year N as [industry emissions (within</w:t>
      </w:r>
      <w:r>
        <w:t xml:space="preserve"> </w:t>
      </w:r>
      <w:r>
        <w:t xml:space="preserve">the EU ETS scope) year N + Electricity production emissions year N + Aviation and maritime</w:t>
      </w:r>
      <w:r>
        <w:t xml:space="preserve"> </w:t>
      </w:r>
      <w:r>
        <w:t xml:space="preserve">transport emissions], it is calculated as [industry emissions (within the EU ETS scope) year N</w:t>
      </w:r>
      <w:r>
        <w:t xml:space="preserve"> </w:t>
      </w:r>
      <w:r>
        <w:t xml:space="preserve">+ Electricity production emissions year N not already covered by past hedging + Electricity</w:t>
      </w:r>
      <w:r>
        <w:t xml:space="preserve"> </w:t>
      </w:r>
      <w:r>
        <w:t xml:space="preserve">production emissions hedging need for future years + Aviation and maritime transport</w:t>
      </w:r>
      <w:r>
        <w:t xml:space="preserve"> </w:t>
      </w:r>
      <w:r>
        <w:t xml:space="preserve">emissions]. It is assumed that the hedging needs are considered for the 3 years in advance (with</w:t>
      </w:r>
      <w:r>
        <w:t xml:space="preserve"> </w:t>
      </w:r>
      <w:r>
        <w:t xml:space="preserve">partial coverage of future emissions). The aim for hedging at year N is to cover 80 % of</w:t>
      </w:r>
      <w:r>
        <w:t xml:space="preserve"> </w:t>
      </w:r>
      <w:r>
        <w:t xml:space="preserve">emissions of year N+1, 50% of N+2 and 10% of N+3. These are default settings, adjusted with</w:t>
      </w:r>
      <w:r>
        <w:t xml:space="preserve"> </w:t>
      </w:r>
      <w:r>
        <w:t xml:space="preserve">historical data, and are configurable.</w:t>
      </w:r>
      <w:r>
        <w:t xml:space="preserve"> </w:t>
      </w:r>
      <w:r>
        <w:t xml:space="preserve">Emissions projections of years N+1, N+2 and N+3 for calculating hedging are considered</w:t>
      </w:r>
      <w:r>
        <w:t xml:space="preserve"> </w:t>
      </w:r>
      <w:r>
        <w:t xml:space="preserve">constant and equal to emissions in year N.</w:t>
      </w:r>
      <w:r>
        <w:t xml:space="preserve"> </w:t>
      </w:r>
      <w:r>
        <w:t xml:space="preserve">3.4.3.6.</w:t>
      </w:r>
      <w:r>
        <w:t xml:space="preserve"> </w:t>
      </w:r>
      <w:r>
        <w:t xml:space="preserve">Actors’ foresight:</w:t>
      </w:r>
      <w:r>
        <w:br/>
      </w:r>
      <w:r>
        <w:t xml:space="preserve">It is assumed that there is not a perfect but a limited foresight for actors assessing the constraint</w:t>
      </w:r>
      <w:r>
        <w:t xml:space="preserve"> </w:t>
      </w:r>
      <w:r>
        <w:t xml:space="preserve">of the market. In this case, 8 years foresight is taken into account as it is a common hypothesis</w:t>
      </w:r>
      <w:r>
        <w:t xml:space="preserve"> </w:t>
      </w:r>
      <w:r>
        <w:t xml:space="preserve">seen in the literature.</w:t>
      </w:r>
      <w:r>
        <w:br/>
      </w:r>
      <w:r>
        <w:t xml:space="preserve">3.4.3.7.</w:t>
      </w:r>
      <w:r>
        <w:t xml:space="preserve"> </w:t>
      </w:r>
      <w:r>
        <w:t xml:space="preserve">MSR specific parameters:</w:t>
      </w:r>
      <w:r>
        <w:t xml:space="preserve"> </w:t>
      </w:r>
      <w:r>
        <w:t xml:space="preserve">• Upper buffer: 1096 MtCO2 until 2030; 947 MtCO2 from 2031</w:t>
      </w:r>
      <w:r>
        <w:t xml:space="preserve"> </w:t>
      </w:r>
      <w:r>
        <w:t xml:space="preserve">• Upper threshold: 833 MtCO2</w:t>
      </w:r>
      <w:r>
        <w:t xml:space="preserve"> </w:t>
      </w:r>
      <w:r>
        <w:t xml:space="preserve">• MSR intake:</w:t>
      </w:r>
      <w:r>
        <w:br/>
      </w:r>
      <w:r>
        <w:t xml:space="preserve">o If TNAC &gt; Upper buffer:24% of TNAC until 2030 and 12% of TNAC from</w:t>
      </w:r>
      <w:r>
        <w:t xml:space="preserve"> </w:t>
      </w:r>
      <w:r>
        <w:t xml:space="preserve">2031</w:t>
      </w:r>
      <w:r>
        <w:t xml:space="preserve"> </w:t>
      </w:r>
      <w:r>
        <w:t xml:space="preserve">o If Upper buffer &gt; TNAC &gt; Upper threshold: TNAC – Upper threshold</w:t>
      </w:r>
      <w:r>
        <w:t xml:space="preserve"> </w:t>
      </w:r>
      <w:r>
        <w:t xml:space="preserve">• Lower threshold: 400 MtCO2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• MSR release: 100 MtCO2</w:t>
      </w:r>
      <w:r>
        <w:t xml:space="preserve"> </w:t>
      </w:r>
      <w:r>
        <w:t xml:space="preserve">• Maximum volume in MSR reserve: no limitation until 2023, then 400 MtCO2 in 2024</w:t>
      </w:r>
      <w:r>
        <w:t xml:space="preserve"> </w:t>
      </w:r>
      <w:r>
        <w:t xml:space="preserve">and after because of the invalidation mechanism</w:t>
      </w:r>
      <w:r>
        <w:t xml:space="preserve"> </w:t>
      </w:r>
      <w:r>
        <w:t xml:space="preserve">3.5. Assessing the impact of the policy options on the functioning of the MSR</w:t>
      </w:r>
      <w:r>
        <w:t xml:space="preserve"> </w:t>
      </w:r>
      <w:r>
        <w:t xml:space="preserve">The policy options bring together sets of measures across all thematic areas of the project, and</w:t>
      </w:r>
      <w:r>
        <w:t xml:space="preserve"> </w:t>
      </w:r>
      <w:r>
        <w:t xml:space="preserve">hence from a combined effort from all working groups. Three main scenarios are constructed</w:t>
      </w:r>
      <w:r>
        <w:t xml:space="preserve"> </w:t>
      </w:r>
      <w:r>
        <w:t xml:space="preserve">in the PRIMES model to analyse results from the options on most thematic areas, although for</w:t>
      </w:r>
      <w:r>
        <w:t xml:space="preserve"> </w:t>
      </w:r>
      <w:r>
        <w:t xml:space="preserve">the MSR aspects, the POLES-Enerdata is required.</w:t>
      </w:r>
      <w:r>
        <w:t xml:space="preserve"> </w:t>
      </w:r>
      <w:r>
        <w:t xml:space="preserve">The 3 policy options are indeed assessed quantitatively with the POLES-Enerdata model to</w:t>
      </w:r>
      <w:r>
        <w:t xml:space="preserve"> </w:t>
      </w:r>
      <w:r>
        <w:t xml:space="preserve">quantify their impacts in terms of MSR. Similarly to the measure-level assessment, the model</w:t>
      </w:r>
      <w:r>
        <w:t xml:space="preserve"> </w:t>
      </w:r>
      <w:r>
        <w:t xml:space="preserve">allows to simulate the EU energy systems, with an explicit representation of the EU ETS and</w:t>
      </w:r>
      <w:r>
        <w:t xml:space="preserve"> </w:t>
      </w:r>
      <w:r>
        <w:t xml:space="preserve">its MSR design. The endogenous evolution of key indicators such as the ETS-covered</w:t>
      </w:r>
      <w:r>
        <w:t xml:space="preserve"> </w:t>
      </w:r>
      <w:r>
        <w:t xml:space="preserve">emissions, the TNAC, the MSR operations and the EUA price evolution, for each considered</w:t>
      </w:r>
      <w:r>
        <w:t xml:space="preserve"> </w:t>
      </w:r>
      <w:r>
        <w:t xml:space="preserve">policy option, are analysed in this section.</w:t>
      </w:r>
      <w:r>
        <w:t xml:space="preserve"> </w:t>
      </w:r>
      <w:r>
        <w:t xml:space="preserve">The 90-85% scenario from PRIMES, available on March 31st, 2026, is the starting point for the</w:t>
      </w:r>
      <w:r>
        <w:t xml:space="preserve"> </w:t>
      </w:r>
      <w:r>
        <w:t xml:space="preserve">MSR option-level analysis. This scenario has been calibrated in the POLES-Enerdata model,</w:t>
      </w:r>
      <w:r>
        <w:t xml:space="preserve"> </w:t>
      </w:r>
      <w:r>
        <w:t xml:space="preserve">to build upon the repartition of effort between ETS-covered emissions and other emissions</w:t>
      </w:r>
      <w:r>
        <w:t xml:space="preserve"> </w:t>
      </w:r>
      <w:r>
        <w:t xml:space="preserve">calculated in PRIMES (exactly as the 90% scenario was used for the measures level</w:t>
      </w:r>
      <w:r>
        <w:t xml:space="preserve"> </w:t>
      </w:r>
      <w:r>
        <w:t xml:space="preserve">assessment). In practice, the POLES-Enerdata scenario has been built by targeting the 90-85%</w:t>
      </w:r>
      <w:r>
        <w:t xml:space="preserve"> </w:t>
      </w:r>
      <w:r>
        <w:t xml:space="preserve">scenario emissions provided by PRIMES for the ETS sectors (power generation and industry</w:t>
      </w:r>
      <w:r>
        <w:t xml:space="preserve"> </w:t>
      </w:r>
      <w:r>
        <w:t xml:space="preserve">&amp; other supply side) and non-ETS sectors as transports and buildings. Then, the different policy</w:t>
      </w:r>
      <w:r>
        <w:t xml:space="preserve"> </w:t>
      </w:r>
      <w:r>
        <w:t xml:space="preserve">options are design incrementally to this reference case.</w:t>
      </w:r>
      <w:r>
        <w:t xml:space="preserve"> </w:t>
      </w:r>
      <w:r>
        <w:t xml:space="preserve">Using the 90-85% scenario for the policy option analysis was a compromise to ensure a timely</w:t>
      </w:r>
      <w:r>
        <w:t xml:space="preserve"> </w:t>
      </w:r>
      <w:r>
        <w:t xml:space="preserve">delivery of results. Theoretically, it would have been needed to run the POLES-Enerdata model</w:t>
      </w:r>
      <w:r>
        <w:t xml:space="preserve"> </w:t>
      </w:r>
      <w:r>
        <w:t xml:space="preserve">on the results of each PRIMES policy-option runs (incorporating the impacts from other</w:t>
      </w:r>
      <w:r>
        <w:t xml:space="preserve"> </w:t>
      </w:r>
      <w:r>
        <w:t xml:space="preserve">thematic areas). However, given the delayed availability of results for policy option scenarios,</w:t>
      </w:r>
      <w:r>
        <w:t xml:space="preserve"> </w:t>
      </w:r>
      <w:r>
        <w:t xml:space="preserve">it was decided to use only the 90% scenario for the MSR-focused analysis. The assumption is</w:t>
      </w:r>
      <w:r>
        <w:t xml:space="preserve"> </w:t>
      </w:r>
      <w:r>
        <w:t xml:space="preserve">that the changes introduced in the other thematic areas have only a small impact on the MSR</w:t>
      </w:r>
      <w:r>
        <w:t xml:space="preserve"> </w:t>
      </w:r>
      <w:r>
        <w:t xml:space="preserve">operations. In addition, the expected co-decision process to come at the EU level could lead to</w:t>
      </w:r>
      <w:r>
        <w:t xml:space="preserve"> </w:t>
      </w:r>
      <w:r>
        <w:t xml:space="preserve">changes in the actual cap implemented. These changes are likely to have a magnitude as high</w:t>
      </w:r>
      <w:r>
        <w:t xml:space="preserve"> </w:t>
      </w:r>
      <w:r>
        <w:t xml:space="preserve">(if not more) than what other thematic areas would induce in the model. Hence the choice to</w:t>
      </w:r>
      <w:r>
        <w:t xml:space="preserve"> </w:t>
      </w:r>
      <w:r>
        <w:t xml:space="preserve">use a simple approach.</w:t>
      </w:r>
      <w:r>
        <w:t xml:space="preserve"> </w:t>
      </w:r>
      <w:r>
        <w:t xml:space="preserve">It should be noted that this 90-85% scenario differs somewhat from the 90% scenario, notably</w:t>
      </w:r>
      <w:r>
        <w:t xml:space="preserve"> </w:t>
      </w:r>
      <w:r>
        <w:t xml:space="preserve">in that it assumes that non-carbon price efforts for electricity decarbonisation are greater in the</w:t>
      </w:r>
      <w:r>
        <w:t xml:space="preserve"> </w:t>
      </w:r>
      <w:r>
        <w:t xml:space="preserve">90-85% scenario. The impact on the POLES-Enerdata MSR optimisation is that prices are</w:t>
      </w:r>
      <w:r>
        <w:t xml:space="preserve"> </w:t>
      </w:r>
      <w:r>
        <w:t xml:space="preserve">automatically lower for the same EU ETS market design. Therefore, the results of the level of</w:t>
      </w:r>
      <w:r>
        <w:t xml:space="preserve"> </w:t>
      </w:r>
      <w:r>
        <w:t xml:space="preserve">measures analysis and the policy options analysis should not be compared in terms of carbon</w:t>
      </w:r>
      <w:r>
        <w:t xml:space="preserve"> </w:t>
      </w:r>
      <w:r>
        <w:t xml:space="preserve">prices.</w:t>
      </w:r>
      <w:r>
        <w:t xml:space="preserve"> </w:t>
      </w:r>
      <w:r>
        <w:t xml:space="preserve">As with MSR assessment measures, the optimization of the EU ETS system price using MSR</w:t>
      </w:r>
      <w:r>
        <w:t xml:space="preserve"> </w:t>
      </w:r>
      <w:r>
        <w:t xml:space="preserve">modelling is based on an equilibrium on stationary emissions that include the power, industry,</w:t>
      </w:r>
      <w:r>
        <w:t xml:space="preserve"> </w:t>
      </w:r>
      <w:r>
        <w:t xml:space="preserve">and other supply-side sectors. Aviation, maritime transport, and removals are considered as an</w:t>
      </w:r>
      <w:r>
        <w:t xml:space="preserve"> </w:t>
      </w:r>
      <w:r>
        <w:t xml:space="preserve">exogenous EUA demand in the POLES-Enerdata model.</w:t>
      </w:r>
      <w:r>
        <w:t xml:space="preserve"> </w:t>
      </w:r>
      <w:r>
        <w:t xml:space="preserve">The 3 main policy options studied here are defined below for the MSR part:</w:t>
      </w:r>
      <w:r>
        <w:t xml:space="preserve"> </w:t>
      </w:r>
      <w:r>
        <w:t xml:space="preserve">-</w:t>
      </w:r>
      <w:r>
        <w:t xml:space="preserve"> </w:t>
      </w:r>
      <w:r>
        <w:t xml:space="preserve">Policy option 1 (PO1). For the MSR part, this policy option takes into account the</w:t>
      </w:r>
      <w:r>
        <w:t xml:space="preserve"> </w:t>
      </w:r>
      <w:r>
        <w:t xml:space="preserve">MSR1 measure previously presented in the MSR annex Section 1.3.1.</w:t>
      </w:r>
    </w:p>
    <w:bookmarkEnd w:id="9"/>
    <w:bookmarkStart w:id="10" w:name="section-1"/>
    <w:p>
      <w:pPr>
        <w:pStyle w:val="Heading2"/>
      </w:pPr>
      <w:r>
        <w:t xml:space="preserve">85</w:t>
      </w:r>
    </w:p>
    <w:p>
      <w:pPr>
        <w:pStyle w:val="FirstParagraph"/>
      </w:pPr>
      <w:r>
        <w:t xml:space="preserve">Policy option 2 (PO2). For the MSR part, this policy option takes into account the</w:t>
      </w:r>
      <w:r>
        <w:t xml:space="preserve"> </w:t>
      </w:r>
      <w:r>
        <w:t xml:space="preserve">MSR3 measure previously presented in the MSR annex Section 1.3.1. The contribution</w:t>
      </w:r>
      <w:r>
        <w:t xml:space="preserve"> </w:t>
      </w:r>
      <w:r>
        <w:t xml:space="preserve">from the waste sector to the EU ETS is considered as an exogenous demand in POLES-</w:t>
      </w:r>
      <w:r>
        <w:t xml:space="preserve"> </w:t>
      </w:r>
      <w:r>
        <w:t xml:space="preserve">Enerdata.</w:t>
      </w:r>
      <w:r>
        <w:t xml:space="preserve"> </w:t>
      </w:r>
      <w:r>
        <w:t xml:space="preserve">-</w:t>
      </w:r>
      <w:r>
        <w:t xml:space="preserve"> </w:t>
      </w:r>
      <w:r>
        <w:t xml:space="preserve">Policy option 3 (PO3). For the MSR part, this policy option takes into account the</w:t>
      </w:r>
      <w:r>
        <w:t xml:space="preserve"> </w:t>
      </w:r>
      <w:r>
        <w:t xml:space="preserve">MSR3 measure previously presented in the MSR annex Section 1.3.1. The contribution</w:t>
      </w:r>
      <w:r>
        <w:t xml:space="preserve"> </w:t>
      </w:r>
      <w:r>
        <w:t xml:space="preserve">from waste and landfills sectors to the EU ETS is considered as an exogenous demand</w:t>
      </w:r>
      <w:r>
        <w:t xml:space="preserve"> </w:t>
      </w:r>
      <w:r>
        <w:t xml:space="preserve">in POLES-Enerdata.</w:t>
      </w:r>
      <w:r>
        <w:t xml:space="preserve"> </w:t>
      </w:r>
      <w:r>
        <w:t xml:space="preserve">PO2 envisages a net cap approach where removal credits must be purchased by market</w:t>
      </w:r>
      <w:r>
        <w:t xml:space="preserve"> </w:t>
      </w:r>
      <w:r>
        <w:t xml:space="preserve">participants to offset their emissions, whereas the philosophy behind PO3 is a gross cap</w:t>
      </w:r>
      <w:r>
        <w:t xml:space="preserve"> </w:t>
      </w:r>
      <w:r>
        <w:t xml:space="preserve">approach for participants, with an instrument (to be designed at a later stage by the European</w:t>
      </w:r>
      <w:r>
        <w:t xml:space="preserve"> </w:t>
      </w:r>
      <w:r>
        <w:t xml:space="preserve">Commission) providing the market with the required amount of removals that develop in the</w:t>
      </w:r>
      <w:r>
        <w:t xml:space="preserve"> </w:t>
      </w:r>
      <w:r>
        <w:t xml:space="preserve">85% scenario.</w:t>
      </w:r>
      <w:r>
        <w:t xml:space="preserve"> </w:t>
      </w:r>
      <w:r>
        <w:t xml:space="preserve">The results of POLES-Enerdata are identical across these two scenarios, since the aviation and</w:t>
      </w:r>
      <w:r>
        <w:t xml:space="preserve"> </w:t>
      </w:r>
      <w:r>
        <w:t xml:space="preserve">maritime transport sectors, BECCS and DACCS removals, and added waste and landfills are</w:t>
      </w:r>
      <w:r>
        <w:t xml:space="preserve"> </w:t>
      </w:r>
      <w:r>
        <w:t xml:space="preserve">considered as additional exogenous demand on the market. Consequently, for POLES-</w:t>
      </w:r>
      <w:r>
        <w:t xml:space="preserve"> </w:t>
      </w:r>
      <w:r>
        <w:t xml:space="preserve">Enerdata, the cap envisaged for optimising the MSR price on stationary installations (electricity</w:t>
      </w:r>
      <w:r>
        <w:t xml:space="preserve"> </w:t>
      </w:r>
      <w:r>
        <w:t xml:space="preserve">+ industry) is the same. This is why, in the section presenting the results, the TNAC, MSR and</w:t>
      </w:r>
      <w:r>
        <w:t xml:space="preserve"> </w:t>
      </w:r>
      <w:r>
        <w:t xml:space="preserve">carbon price indicators are identical.</w:t>
      </w:r>
      <w:r>
        <w:t xml:space="preserve"> </w:t>
      </w:r>
      <w:r>
        <w:t xml:space="preserve">In theory, as removals could be modelled endogenously in the POLES-Enerdata model, a more</w:t>
      </w:r>
      <w:r>
        <w:t xml:space="preserve"> </w:t>
      </w:r>
      <w:r>
        <w:t xml:space="preserve">in-depth analysis of PO2, considering endogenous development of BECCS and DACCS with</w:t>
      </w:r>
      <w:r>
        <w:t xml:space="preserve"> </w:t>
      </w:r>
      <w:r>
        <w:t xml:space="preserve">their own production costs, would have been interesting and would have shown differences</w:t>
      </w:r>
      <w:r>
        <w:t xml:space="preserve"> </w:t>
      </w:r>
      <w:r>
        <w:t xml:space="preserve">with PO3, as the marginal cost of the technology should have an impact on the EU ETS market</w:t>
      </w:r>
      <w:r>
        <w:t xml:space="preserve"> </w:t>
      </w:r>
      <w:r>
        <w:t xml:space="preserve">price equilibrium.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t xml:space="preserve"> </w:t>
      </w:r>
      <w:r>
        <w:t xml:space="preserve">Competitiveness Check summary</w:t>
      </w:r>
      <w:r>
        <w:t xml:space="preserve"> </w:t>
      </w:r>
      <w:r>
        <w:t xml:space="preserve">Dimension</w:t>
      </w:r>
      <w:r>
        <w:t xml:space="preserve"> </w:t>
      </w:r>
      <w:r>
        <w:t xml:space="preserve">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(++ / + / 0</w:t>
      </w:r>
      <w:r>
        <w:t xml:space="preserve"> </w:t>
      </w:r>
      <w:r>
        <w:t xml:space="preserve">/ – / –– /</w:t>
      </w:r>
      <w:r>
        <w:t xml:space="preserve"> </w:t>
      </w:r>
      <w:r>
        <w:t xml:space="preserve">n.a.)</w:t>
      </w:r>
      <w:r>
        <w:t xml:space="preserve"> </w:t>
      </w:r>
      <w:r>
        <w:t xml:space="preserve">References to sub-sections of the main report or annexes</w:t>
      </w:r>
      <w:r>
        <w:t xml:space="preserve"> </w:t>
      </w:r>
      <w:r>
        <w:t xml:space="preserve">Cost and 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Compared to baseline a combination of more gradual cap reduction,</w:t>
      </w:r>
      <w:r>
        <w:t xml:space="preserve"> </w:t>
      </w:r>
      <w:r>
        <w:t xml:space="preserve">continued free allocation, carbon removal integration and reform of</w:t>
      </w:r>
      <w:r>
        <w:t xml:space="preserve"> </w:t>
      </w:r>
      <w:r>
        <w:t xml:space="preserve">Market Stability Reserve promotes overall competitiveness and</w:t>
      </w:r>
      <w:r>
        <w:t xml:space="preserve"> </w:t>
      </w:r>
      <w:r>
        <w:t xml:space="preserve">reduces the unit cost of production [6.2.3.1, 6.2.3.2, 6.2.3.6]</w:t>
      </w:r>
      <w:r>
        <w:br/>
      </w:r>
      <w:r>
        <w:t xml:space="preserve">Industrial Decarbonisation Bank supports investments in industrial</w:t>
      </w:r>
      <w:r>
        <w:t xml:space="preserve"> </w:t>
      </w:r>
      <w:r>
        <w:t xml:space="preserve">decarbonisation and helps to limit the increase in the carbon price with</w:t>
      </w:r>
      <w:r>
        <w:t xml:space="preserve"> </w:t>
      </w:r>
      <w:r>
        <w:t xml:space="preserve">positive impacts on costs and price competitiveness [6.2.3.3]</w:t>
      </w:r>
      <w:r>
        <w:t xml:space="preserve"> </w:t>
      </w:r>
      <w:r>
        <w:t xml:space="preserve">Modernisation Fund supports lower income Member States improve</w:t>
      </w:r>
      <w:r>
        <w:t xml:space="preserve"> </w:t>
      </w:r>
      <w:r>
        <w:t xml:space="preserve">their competitiveness through investments in modernising their energy</w:t>
      </w:r>
      <w:r>
        <w:t xml:space="preserve"> </w:t>
      </w:r>
      <w:r>
        <w:t xml:space="preserve">systems and energy efficiency or electrification. [6.2.3.3]</w:t>
      </w:r>
      <w:r>
        <w:t xml:space="preserve"> </w:t>
      </w:r>
      <w:r>
        <w:t xml:space="preserve">Moderate impact in aviation overall. Costs are passed through and</w:t>
      </w:r>
      <w:r>
        <w:t xml:space="preserve"> </w:t>
      </w:r>
      <w:r>
        <w:t xml:space="preserve">incurred on the basis of equal treatment on routes. Avoidance of</w:t>
      </w:r>
      <w:r>
        <w:t xml:space="preserve"> </w:t>
      </w:r>
      <w:r>
        <w:t xml:space="preserve">double-pricing of emissions through the deduction of CORSIA</w:t>
      </w:r>
      <w:r>
        <w:t xml:space="preserve"> </w:t>
      </w:r>
      <w:r>
        <w:t xml:space="preserve">offsetting costs. Increased compliance costs for small operators of</w:t>
      </w:r>
      <w:r>
        <w:t xml:space="preserve"> </w:t>
      </w:r>
      <w:r>
        <w:t xml:space="preserve">business jets. Enhanced market for sustainable aviation fuel due to</w:t>
      </w:r>
      <w:r>
        <w:t xml:space="preserve"> </w:t>
      </w:r>
      <w:r>
        <w:t xml:space="preserve">extended support [6.1.1.5]</w:t>
      </w:r>
      <w:r>
        <w:t xml:space="preserve"> </w:t>
      </w:r>
      <w:r>
        <w:t xml:space="preserve">Mixed impact in the maritime sector. Positive impact across the</w:t>
      </w:r>
      <w:r>
        <w:t xml:space="preserve"> </w:t>
      </w:r>
      <w:r>
        <w:t xml:space="preserve">maritime sector, by supporting sustainable fuels and clean propulsion</w:t>
      </w:r>
      <w:r>
        <w:t xml:space="preserve"> </w:t>
      </w:r>
      <w:r>
        <w:t xml:space="preserve">technologies, including for smaller vessels. Combined positive</w:t>
      </w:r>
      <w:r>
        <w:t xml:space="preserve"> </w:t>
      </w:r>
      <w:r>
        <w:t xml:space="preserve">economic impact from action to address further the risk of evasion by</w:t>
      </w:r>
      <w:r>
        <w:t xml:space="preserve"> </w:t>
      </w:r>
      <w:r>
        <w:t xml:space="preserve">containerships and offshore vessels as well as avoiding double</w:t>
      </w:r>
      <w:r>
        <w:t xml:space="preserve"> </w:t>
      </w:r>
      <w:r>
        <w:t xml:space="preserve">payment in case emissions are priced under a future IMO mid-term</w:t>
      </w:r>
      <w:r>
        <w:t xml:space="preserve"> </w:t>
      </w:r>
      <w:r>
        <w:t xml:space="preserve">measure. Increased compliance costs for smaller vessels [6.2.3.5]</w:t>
      </w:r>
      <w:r>
        <w:t xml:space="preserve"> </w:t>
      </w:r>
      <w:r>
        <w:t xml:space="preserve">Inclusion of waste sector, combined with accounting change for</w:t>
      </w:r>
      <w:r>
        <w:t xml:space="preserve"> </w:t>
      </w:r>
      <w:r>
        <w:t xml:space="preserve">carbon, capture and utilisation (CCU), can increase waste management</w:t>
      </w:r>
      <w:r>
        <w:t xml:space="preserve"> </w:t>
      </w:r>
      <w:r>
        <w:t xml:space="preserve">costs in the short-term while promoting new opportunities for circular</w:t>
      </w:r>
      <w:r>
        <w:t xml:space="preserve"> </w:t>
      </w:r>
      <w:r>
        <w:t xml:space="preserve">carbon products and biogenic carbon removals. [6.2.1.7, 6.2.1.8,</w:t>
      </w:r>
      <w:r>
        <w:t xml:space="preserve"> </w:t>
      </w:r>
      <w:r>
        <w:t xml:space="preserve">6.2.3.7]</w:t>
      </w:r>
      <w:r>
        <w:t xml:space="preserve"> </w:t>
      </w:r>
      <w:r>
        <w:t xml:space="preserve">Modelling indicates higher sectoral employment compared to baseline</w:t>
      </w:r>
      <w:r>
        <w:t xml:space="preserve"> </w:t>
      </w:r>
      <w:r>
        <w:t xml:space="preserve">for some industries. [6.3.1.6]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Benefits to cost &amp; price competitiveness above can be expected to</w:t>
      </w:r>
      <w:r>
        <w:t xml:space="preserve"> </w:t>
      </w:r>
      <w:r>
        <w:t xml:space="preserve">improve international competitiveness.</w:t>
      </w:r>
      <w:r>
        <w:t xml:space="preserve"> </w:t>
      </w:r>
      <w:r>
        <w:t xml:space="preserve">Economic modelling indicates higher exports and reduced imports in</w:t>
      </w:r>
      <w:r>
        <w:t xml:space="preserve"> </w:t>
      </w:r>
      <w:r>
        <w:t xml:space="preserve">the preferred option compared to the baseline [Annex 12, Section</w:t>
      </w:r>
      <w:r>
        <w:t xml:space="preserve"> </w:t>
      </w:r>
      <w:r>
        <w:t xml:space="preserve">1.4.2.4].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innovate</w:t>
      </w:r>
      <w:r>
        <w:t xml:space="preserve"> </w:t>
      </w:r>
      <w:r>
        <w:t xml:space="preserve">+</w:t>
      </w:r>
      <w:r>
        <w:t xml:space="preserve"> </w:t>
      </w:r>
      <w:r>
        <w:t xml:space="preserve">Positive impact expected due to a combination of financial support</w:t>
      </w:r>
      <w:r>
        <w:t xml:space="preserve"> </w:t>
      </w:r>
      <w:r>
        <w:t xml:space="preserve">measures to specific innovations (e.g. Industrial Decarbonisation Bank</w:t>
      </w:r>
      <w:r>
        <w:t xml:space="preserve"> </w:t>
      </w:r>
      <w:r>
        <w:t xml:space="preserve">calls, Sustainable Aviation and Marine Fuels and technologies) as well</w:t>
      </w:r>
      <w:r>
        <w:t xml:space="preserve"> </w:t>
      </w:r>
      <w:r>
        <w:t xml:space="preserve">as market-based incentives promoting other innovations (e.g. CCU,</w:t>
      </w:r>
      <w:r>
        <w:t xml:space="preserve"> </w:t>
      </w:r>
      <w:r>
        <w:t xml:space="preserve">carbon removal, waste) as well as enhanced energy-efficient solutions</w:t>
      </w:r>
      <w:r>
        <w:br/>
      </w:r>
      <w:r>
        <w:t xml:space="preserve">[6.2.3]</w:t>
      </w:r>
      <w:r>
        <w:t xml:space="preserve"> </w:t>
      </w:r>
      <w:r>
        <w:t xml:space="preserve">SME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Entities affected by the preferred option are mainly larger enterprises.</w:t>
      </w:r>
      <w:r>
        <w:t xml:space="preserve"> </w:t>
      </w:r>
      <w:r>
        <w:t xml:space="preserve">Fixed</w:t>
      </w:r>
      <w:r>
        <w:t xml:space="preserve"> </w:t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effort</w:t>
      </w:r>
      <w:r>
        <w:t xml:space="preserve"> </w:t>
      </w:r>
      <w:r>
        <w:t xml:space="preserve">affect</w:t>
      </w:r>
      <w:r>
        <w:t xml:space="preserve"> </w:t>
      </w:r>
      <w:r>
        <w:t xml:space="preserve">SMEs</w:t>
      </w:r>
      <w:r>
        <w:t xml:space="preserve"> </w:t>
      </w:r>
      <w:r>
        <w:t xml:space="preserve">disproportionately. Therefore, they will be particularly affected</w:t>
      </w:r>
      <w:r>
        <w:t xml:space="preserve"> </w:t>
      </w:r>
      <w:r>
        <w:t xml:space="preserve">positively by simplification measures in aviation, maritime and waste</w:t>
      </w:r>
      <w:r>
        <w:t xml:space="preserve"> </w:t>
      </w:r>
      <w:r>
        <w:t xml:space="preserve">[6.2.2.3, 6.2.2.4 &amp; 6.2.4.4] and by the streamlining of free allocation</w:t>
      </w:r>
      <w:r>
        <w:t xml:space="preserve"> </w:t>
      </w:r>
      <w:r>
        <w:t xml:space="preserve">[6.2.2.5]. On the other hand, they will be negatively affected by the</w:t>
      </w:r>
      <w:r>
        <w:t xml:space="preserve"> </w:t>
      </w:r>
      <w:r>
        <w:t xml:space="preserve">expanded conditionality in free allocation [6.2.1.6], and extension of</w:t>
      </w:r>
      <w:r>
        <w:t xml:space="preserve"> </w:t>
      </w:r>
      <w:r>
        <w:t xml:space="preserve">ETS maritime to smaller vessels [6.2.4.2].</w:t>
      </w:r>
      <w:r>
        <w:t xml:space="preserve"> </w:t>
      </w:r>
      <w:r>
        <w:t xml:space="preserve">Analysis in this impact assessment mostly assumes that operators with</w:t>
      </w:r>
      <w:r>
        <w:t xml:space="preserve"> </w:t>
      </w:r>
      <w:r>
        <w:t xml:space="preserve">low emissions (e.g. small stationary installations, or small maritime</w:t>
      </w:r>
      <w:r>
        <w:t xml:space="preserve"> </w:t>
      </w:r>
      <w:r>
        <w:t xml:space="preserve">vessels) are more likely to be SMEs than operators of larger</w:t>
      </w:r>
      <w:r>
        <w:t xml:space="preserve"> </w:t>
      </w:r>
      <w:r>
        <w:t xml:space="preserve">installations, vessels or fleets. Annex 6 contains analysis using the</w:t>
      </w:r>
      <w:r>
        <w:t xml:space="preserve"> </w:t>
      </w:r>
      <w:r>
        <w:t xml:space="preserve">standard definition of SME (related to corporate size).</w:t>
      </w:r>
      <w:r>
        <w:t xml:space="preserve"> </w:t>
      </w:r>
      <w:r>
        <w:t xml:space="preserve">2. SYNTHETIC ASSESSMENT</w:t>
      </w:r>
      <w:r>
        <w:t xml:space="preserve"> </w:t>
      </w:r>
      <w:r>
        <w:t xml:space="preserve">The preferred policy option is assessed as positive across all competitiveness dimensions. It</w:t>
      </w:r>
      <w:r>
        <w:t xml:space="preserve"> </w:t>
      </w:r>
      <w:r>
        <w:t xml:space="preserve">strengthens the carbon-pricing framework while maintaining transitional safeguards for</w:t>
      </w:r>
      <w:r>
        <w:t xml:space="preserve"> </w:t>
      </w:r>
      <w:r>
        <w:t xml:space="preserve">industry and providing clear incentives for investment in climate-neutral technologies.</w:t>
      </w:r>
      <w:r>
        <w:t xml:space="preserve"> </w:t>
      </w:r>
      <w:r>
        <w:t xml:space="preserve">2.1. Cost and price competitiveness</w:t>
      </w:r>
      <w:r>
        <w:t xml:space="preserve"> </w:t>
      </w:r>
      <w:r>
        <w:t xml:space="preserve">Macro-economic modelling (in Annex 12, Section 1.4.3.1) indicates that, compared to the</w:t>
      </w:r>
      <w:r>
        <w:t xml:space="preserve"> </w:t>
      </w:r>
      <w:r>
        <w:t xml:space="preserve">baseline, the preferred option is expected to have a positive impact on GDP, industrial</w:t>
      </w:r>
      <w:r>
        <w:t xml:space="preserve"> </w:t>
      </w:r>
      <w:r>
        <w:t xml:space="preserve">production and exports, as well as lowering unit costs of production.</w:t>
      </w:r>
      <w:r>
        <w:t xml:space="preserve"> </w:t>
      </w:r>
      <w:r>
        <w:t xml:space="preserve">The preferred option maintains cost stability for industrial operators by setting an emissions</w:t>
      </w:r>
      <w:r>
        <w:t xml:space="preserve"> </w:t>
      </w:r>
      <w:r>
        <w:t xml:space="preserve">reduction trajectory that is more gradual compared to the the baseline, while still representing</w:t>
      </w:r>
      <w:r>
        <w:t xml:space="preserve"> </w:t>
      </w:r>
      <w:r>
        <w:t xml:space="preserve">a fair contribution to the EU’s economy-wide climate target for 2040. The resulting cap on</w:t>
      </w:r>
      <w:r>
        <w:t xml:space="preserve"> </w:t>
      </w:r>
      <w:r>
        <w:t xml:space="preserve">emissions provides more emission space for industry, as well as it results in a higher free</w:t>
      </w:r>
      <w:r>
        <w:t xml:space="preserve"> </w:t>
      </w:r>
      <w:r>
        <w:t xml:space="preserve">allocation budget available compared to the baseline. Through a reformed system of free</w:t>
      </w:r>
      <w:r>
        <w:t xml:space="preserve"> </w:t>
      </w:r>
      <w:r>
        <w:t xml:space="preserve">allocation, firms in sectors exposed to international trade continue to receive transitional</w:t>
      </w:r>
      <w:r>
        <w:t xml:space="preserve"> </w:t>
      </w:r>
      <w:r>
        <w:t xml:space="preserve">protection from carbon leakage, but part of the free allocation is made conditional on</w:t>
      </w:r>
      <w:r>
        <w:t xml:space="preserve"> </w:t>
      </w:r>
      <w:r>
        <w:t xml:space="preserve">investments in decarbonistion. This approach keeps average compliance costs manageable,</w:t>
      </w:r>
      <w:r>
        <w:t xml:space="preserve"> </w:t>
      </w:r>
      <w:r>
        <w:t xml:space="preserve">while improving the efficiency of support and supporting further investments in European</w:t>
      </w:r>
      <w:r>
        <w:t xml:space="preserve"> </w:t>
      </w:r>
      <w:r>
        <w:t xml:space="preserve">industry. In addition, Industrial Decarbonisation Bank (IDB) will support the front-runner</w:t>
      </w:r>
      <w:r>
        <w:t xml:space="preserve"> </w:t>
      </w:r>
      <w:r>
        <w:t xml:space="preserve">projects implementing industrial decarbonisation projects.</w:t>
      </w:r>
      <w:r>
        <w:t xml:space="preserve"> </w:t>
      </w:r>
      <w:r>
        <w:t xml:space="preserve">Modelling results indicates that unit production costs decrease relative to the baseline thanks</w:t>
      </w:r>
      <w:r>
        <w:t xml:space="preserve"> </w:t>
      </w:r>
      <w:r>
        <w:t xml:space="preserve">to energy-efficiency gains and innovation uptake. Carbon-price predictability under the</w:t>
      </w:r>
      <w:r>
        <w:t xml:space="preserve"> </w:t>
      </w:r>
      <w:r>
        <w:t xml:space="preserve">reformed MSR further limits volatility and allows operators to plan investments effectively.</w:t>
      </w:r>
      <w:r>
        <w:t xml:space="preserve"> </w:t>
      </w:r>
      <w:r>
        <w:t xml:space="preserve">In aviation, modelling results indicate a modest increase in demand and employment, and a</w:t>
      </w:r>
      <w:r>
        <w:t xml:space="preserve"> </w:t>
      </w:r>
      <w:r>
        <w:t xml:space="preserve">decrease in prices compared to the baseline. There is no double-pricing of emissions, because</w:t>
      </w:r>
      <w:r>
        <w:t xml:space="preserve"> </w:t>
      </w:r>
      <w:r>
        <w:t xml:space="preserve">airlines can deduct costs for CORSIA offsetting.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For maritime transport, positive effects are expected mainly from two measures; the support to</w:t>
      </w:r>
      <w:r>
        <w:t xml:space="preserve"> </w:t>
      </w:r>
      <w:r>
        <w:t xml:space="preserve">shipping companies stemming from the recycling of part of the ETS revenues back to the</w:t>
      </w:r>
      <w:r>
        <w:t xml:space="preserve"> </w:t>
      </w:r>
      <w:r>
        <w:t xml:space="preserve">maritime sector through the Sustainable Maritime Alternative Propulsion mechanism and from</w:t>
      </w:r>
      <w:r>
        <w:t xml:space="preserve"> </w:t>
      </w:r>
      <w:r>
        <w:t xml:space="preserve">possible future cost savings for companies linked to the IMO deduction approach .</w:t>
      </w:r>
      <w:r>
        <w:br/>
      </w:r>
      <w:r>
        <w:t xml:space="preserve">Furthermore, lowering of the container transhipment incidence threshold is expected to further</w:t>
      </w:r>
      <w:r>
        <w:t xml:space="preserve"> </w:t>
      </w:r>
      <w:r>
        <w:t xml:space="preserve">mitigate the risk of carbon leakage to non-EU ports and mitigate possible negative effects on</w:t>
      </w:r>
      <w:r>
        <w:t xml:space="preserve"> </w:t>
      </w:r>
      <w:r>
        <w:t xml:space="preserve">e.g. employment and economic activity. Similar benefits apply when ensuring a level playing</w:t>
      </w:r>
      <w:r>
        <w:t xml:space="preserve"> </w:t>
      </w:r>
      <w:r>
        <w:t xml:space="preserve">field for operators of offshore vessels active in EU waters, mitigating against evasive behaviour</w:t>
      </w:r>
      <w:r>
        <w:t xml:space="preserve"> </w:t>
      </w:r>
      <w:r>
        <w:t xml:space="preserve">in this specialised sector. Limited economic impacts of expanding ETS scope to smaller vessels</w:t>
      </w:r>
      <w:r>
        <w:t xml:space="preserve"> </w:t>
      </w:r>
      <w:r>
        <w:t xml:space="preserve">when considering the whole sector, though slightly more significant in some Member States.</w:t>
      </w:r>
      <w:r>
        <w:br/>
      </w:r>
      <w:r>
        <w:t xml:space="preserve">2.2. International competitiveness</w:t>
      </w:r>
      <w:r>
        <w:t xml:space="preserve"> </w:t>
      </w:r>
      <w:r>
        <w:t xml:space="preserve">Model results show an increase in export volumes compared with the baseline, driven by</w:t>
      </w:r>
      <w:r>
        <w:t xml:space="preserve"> </w:t>
      </w:r>
      <w:r>
        <w:t xml:space="preserve">productivity improvements and stronger technological positioning in low-carbon products.</w:t>
      </w:r>
      <w:r>
        <w:t xml:space="preserve"> </w:t>
      </w:r>
      <w:r>
        <w:t xml:space="preserve">IDB support would help EU-based installations to apply decarbonisation technologies early on</w:t>
      </w:r>
      <w:r>
        <w:t xml:space="preserve"> </w:t>
      </w:r>
      <w:r>
        <w:t xml:space="preserve">and secure technological leadership and position on the global markets. Continued free</w:t>
      </w:r>
      <w:r>
        <w:t xml:space="preserve"> </w:t>
      </w:r>
      <w:r>
        <w:t xml:space="preserve">allocation for non-CBAM sectors preserves their global competitiveness during the transition</w:t>
      </w:r>
      <w:r>
        <w:t xml:space="preserve"> </w:t>
      </w:r>
      <w:r>
        <w:t xml:space="preserve">and prevents any carbon leakage, while alignment with CBAM ensures coherence and fairness</w:t>
      </w:r>
      <w:r>
        <w:t xml:space="preserve"> </w:t>
      </w:r>
      <w:r>
        <w:t xml:space="preserve">across sectors.</w:t>
      </w:r>
      <w:r>
        <w:t xml:space="preserve"> </w:t>
      </w:r>
      <w:r>
        <w:t xml:space="preserve">In aviation, the preferred option is expected to reduce passenger shift to non-EEA-based hubs,</w:t>
      </w:r>
      <w:r>
        <w:t xml:space="preserve"> </w:t>
      </w:r>
      <w:r>
        <w:t xml:space="preserve">compared to the baseline. In addition, carbon leakage risks for tourism are expected to be low.</w:t>
      </w:r>
      <w:r>
        <w:br/>
      </w:r>
      <w:r>
        <w:t xml:space="preserve">In maritime transport, the option to lower the container transhipment incidence threshold is</w:t>
      </w:r>
      <w:r>
        <w:t xml:space="preserve"> </w:t>
      </w:r>
      <w:r>
        <w:t xml:space="preserve">expected to help further address the risk of evasion and the loss of container transhipment</w:t>
      </w:r>
      <w:r>
        <w:t xml:space="preserve"> </w:t>
      </w:r>
      <w:r>
        <w:t xml:space="preserve">activity from EU ports to non-EU ports, where such loss might impact the surrounding EU</w:t>
      </w:r>
      <w:r>
        <w:t xml:space="preserve"> </w:t>
      </w:r>
      <w:r>
        <w:t xml:space="preserve">economy. Addressing risk of evasion in the offshore maritime sector will not only ensure a</w:t>
      </w:r>
      <w:r>
        <w:t xml:space="preserve"> </w:t>
      </w:r>
      <w:r>
        <w:t xml:space="preserve">level playing field between EU and non-EU offshore vessel operators but will also strengthen</w:t>
      </w:r>
      <w:r>
        <w:t xml:space="preserve"> </w:t>
      </w:r>
      <w:r>
        <w:t xml:space="preserve">a sector that provides crucial support for the EU’s energy and digital development. Similarly,</w:t>
      </w:r>
      <w:r>
        <w:t xml:space="preserve"> </w:t>
      </w:r>
      <w:r>
        <w:t xml:space="preserve">the deduction of emissions priced under a possible future IMO mid-term measure from EU</w:t>
      </w:r>
      <w:r>
        <w:t xml:space="preserve"> </w:t>
      </w:r>
      <w:r>
        <w:t xml:space="preserve">ETS will contribute towards level playing field for shipping companies operating to and from</w:t>
      </w:r>
      <w:r>
        <w:t xml:space="preserve"> </w:t>
      </w:r>
      <w:r>
        <w:t xml:space="preserve">EU ports and non-EU ports.</w:t>
      </w:r>
      <w:r>
        <w:br/>
      </w:r>
      <w:r>
        <w:t xml:space="preserve">2.3. Capacity to innovate</w:t>
      </w:r>
      <w:r>
        <w:t xml:space="preserve"> </w:t>
      </w:r>
      <w:r>
        <w:t xml:space="preserve">The preferred option maintains the capacity to innovate by supporting the business case for</w:t>
      </w:r>
      <w:r>
        <w:t xml:space="preserve"> </w:t>
      </w:r>
      <w:r>
        <w:t xml:space="preserve">low-carbon innovation. This involves striking an appropriate balance between a strong price</w:t>
      </w:r>
      <w:r>
        <w:t xml:space="preserve"> </w:t>
      </w:r>
      <w:r>
        <w:t xml:space="preserve">incentive (and therefore revenues to fund support measures), and a more gradual emissions</w:t>
      </w:r>
      <w:r>
        <w:t xml:space="preserve"> </w:t>
      </w:r>
      <w:r>
        <w:t xml:space="preserve">reduction trajectory and measures to addresses the risk of carbon leakage.</w:t>
      </w:r>
      <w:r>
        <w:br/>
      </w:r>
      <w:r>
        <w:t xml:space="preserve">For industry, linking free allocation to climate-neutral investment plans ensures that free</w:t>
      </w:r>
      <w:r>
        <w:t xml:space="preserve"> </w:t>
      </w:r>
      <w:r>
        <w:t xml:space="preserve">allocation acts more effectively as an active driver of industrial transformation. This</w:t>
      </w:r>
      <w:r>
        <w:t xml:space="preserve"> </w:t>
      </w:r>
      <w:r>
        <w:t xml:space="preserve">conditionality channels resources toward process innovation, electrification, and carbon-</w:t>
      </w:r>
      <w:r>
        <w:t xml:space="preserve"> </w:t>
      </w:r>
      <w:r>
        <w:t xml:space="preserve">capture technologies, improving the EU’s long-term productivity and technological leadership.</w:t>
      </w:r>
      <w:r>
        <w:t xml:space="preserve"> </w:t>
      </w:r>
      <w:r>
        <w:t xml:space="preserve">Stable carbon-price expectations and expanded EU-level financing (IDB but also continuation</w:t>
      </w:r>
      <w:r>
        <w:t xml:space="preserve"> </w:t>
      </w:r>
      <w:r>
        <w:t xml:space="preserve">of the Innovation Fund) reinforce these effects.</w:t>
      </w:r>
      <w:r>
        <w:t xml:space="preserve"> </w:t>
      </w:r>
      <w:r>
        <w:t xml:space="preserve">The preferred option also contains more specific measures that encourage innovation, including</w:t>
      </w:r>
      <w:r>
        <w:t xml:space="preserve"> </w:t>
      </w:r>
      <w:r>
        <w:t xml:space="preserve">extended financial support for uptake of sustainable aviation fuel (SAF), and a dedicated</w:t>
      </w:r>
      <w:r>
        <w:t xml:space="preserve"> </w:t>
      </w:r>
      <w:r>
        <w:t xml:space="preserve">decarbonisation support mechanism for maritime transport.</w:t>
      </w:r>
      <w:r>
        <w:br/>
      </w:r>
      <w:r>
        <w:t xml:space="preserve">Furthermore, innovation capacity is also enhanced by the preferred option’s proposed</w:t>
      </w:r>
      <w:r>
        <w:t xml:space="preserve"> </w:t>
      </w:r>
      <w:r>
        <w:t xml:space="preserve">expansion of the EU ETS scope to include non-permanent CCU, waste incineration and carbon</w:t>
      </w:r>
      <w:r>
        <w:t xml:space="preserve"> </w:t>
      </w:r>
      <w:r>
        <w:t xml:space="preserve">removal.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2.4. SME competitiveness</w:t>
      </w:r>
      <w:r>
        <w:t xml:space="preserve"> </w:t>
      </w:r>
      <w:r>
        <w:t xml:space="preserve">SMEs within scope face additional administrative requirements, notably on the preparation and</w:t>
      </w:r>
      <w:r>
        <w:t xml:space="preserve"> </w:t>
      </w:r>
      <w:r>
        <w:t xml:space="preserve">period verification of proportionate investment plans to access free allocation, MRV reporting</w:t>
      </w:r>
      <w:r>
        <w:t xml:space="preserve"> </w:t>
      </w:r>
      <w:r>
        <w:t xml:space="preserve">obligations, and possible supply chain implications of compliance. These burdens are</w:t>
      </w:r>
      <w:r>
        <w:t xml:space="preserve"> </w:t>
      </w:r>
      <w:r>
        <w:t xml:space="preserve">administrative rather than cost-price in nature, and are mitigated by proportionality measures</w:t>
      </w:r>
      <w:r>
        <w:t xml:space="preserve"> </w:t>
      </w:r>
      <w:r>
        <w:t xml:space="preserve">(maintained thresholds, simplified MRV), but do not amount to a net competitiveness loss or</w:t>
      </w:r>
      <w:r>
        <w:t xml:space="preserve"> </w:t>
      </w:r>
      <w:r>
        <w:t xml:space="preserve">gain.</w:t>
      </w:r>
      <w:r>
        <w:t xml:space="preserve"> </w:t>
      </w:r>
      <w:r>
        <w:t xml:space="preserve">Annex 6 contains more detail summarising how this Impact Assessment has considered SMEs.</w:t>
      </w:r>
      <w:r>
        <w:br/>
      </w:r>
      <w:r>
        <w:t xml:space="preserve">3. COMPETITIVE POSITION OF THE MOST AFFECTED SECTORS</w:t>
      </w:r>
      <w:r>
        <w:t xml:space="preserve"> </w:t>
      </w:r>
      <w:r>
        <w:t xml:space="preserve">3.1. Industry (stationary installations)</w:t>
      </w:r>
      <w:r>
        <w:t xml:space="preserve"> </w:t>
      </w:r>
      <w:r>
        <w:t xml:space="preserve">Overall, the industrial sector represented by large stationary installations represent the sectors</w:t>
      </w:r>
      <w:r>
        <w:t xml:space="preserve"> </w:t>
      </w:r>
      <w:r>
        <w:t xml:space="preserve">most affected by the revision of the EU ETS.</w:t>
      </w:r>
      <w:r>
        <w:br/>
      </w:r>
      <w:r>
        <w:t xml:space="preserve">Stakeholder consultations with industry highlighted the importance of continued free allocation</w:t>
      </w:r>
      <w:r>
        <w:t xml:space="preserve"> </w:t>
      </w:r>
      <w:r>
        <w:t xml:space="preserve">and investment support to maintain their competitive position and support their decarbonisation</w:t>
      </w:r>
      <w:r>
        <w:t xml:space="preserve"> </w:t>
      </w:r>
      <w:r>
        <w:t xml:space="preserve">efforts.</w:t>
      </w:r>
      <w:r>
        <w:br/>
      </w:r>
      <w:r>
        <w:t xml:space="preserve">Quantitative analysis provided in Annex 12, section 1.4.2.4 provides insights into how</w:t>
      </w:r>
      <w:r>
        <w:t xml:space="preserve"> </w:t>
      </w:r>
      <w:r>
        <w:t xml:space="preserve">alternative ETS design choices translate into heterogenous sectoral and macroeconomic</w:t>
      </w:r>
      <w:r>
        <w:t xml:space="preserve"> </w:t>
      </w:r>
      <w:r>
        <w:t xml:space="preserve">impacts, relative to the baseline scenario by taking into consideration key drivers within</w:t>
      </w:r>
      <w:r>
        <w:t xml:space="preserve"> </w:t>
      </w:r>
      <w:r>
        <w:t xml:space="preserve">scenario assumptions such as the different free allocation distributions across industry, as well</w:t>
      </w:r>
      <w:r>
        <w:t xml:space="preserve"> </w:t>
      </w:r>
      <w:r>
        <w:t xml:space="preserve">as the different ETS coverage and cap stringency and alternative revenue recycling. Changes</w:t>
      </w:r>
      <w:r>
        <w:t xml:space="preserve"> </w:t>
      </w:r>
      <w:r>
        <w:t xml:space="preserve">in the unit cost of production for selected sectors are presented in Tables 14 and 15 of Annex</w:t>
      </w:r>
      <w:r>
        <w:t xml:space="preserve"> </w:t>
      </w:r>
      <w:r>
        <w:t xml:space="preserve">12a. For example, chemical products, which receive the largest share of additional free</w:t>
      </w:r>
      <w:r>
        <w:t xml:space="preserve"> </w:t>
      </w:r>
      <w:r>
        <w:t xml:space="preserve">allocations (compared to the baseline), exhibit the steepest decline in unit production costs</w:t>
      </w:r>
      <w:r>
        <w:t xml:space="preserve"> </w:t>
      </w:r>
      <w:r>
        <w:t xml:space="preserve">under the policy measures. It is noteworthy that when free allocation is extended to both CBAM</w:t>
      </w:r>
      <w:r>
        <w:t xml:space="preserve"> </w:t>
      </w:r>
      <w:r>
        <w:t xml:space="preserve">and non-CBAM sectors, ferrous metals sector becomes more competitive compared to cases</w:t>
      </w:r>
      <w:r>
        <w:t xml:space="preserve"> </w:t>
      </w:r>
      <w:r>
        <w:t xml:space="preserve">when only non-CBAM sectors received free allocation. Production and exports respond</w:t>
      </w:r>
      <w:r>
        <w:t xml:space="preserve"> </w:t>
      </w:r>
      <w:r>
        <w:t xml:space="preserve">heterogeneously across policy options relative to the baseline scenario, reflecting differences</w:t>
      </w:r>
      <w:r>
        <w:t xml:space="preserve"> </w:t>
      </w:r>
      <w:r>
        <w:t xml:space="preserve">in free allocation, sectoral coverage, and revenue recycling (see Tables 16 -19 in Annex 12).</w:t>
      </w:r>
      <w:r>
        <w:t xml:space="preserve"> </w:t>
      </w:r>
      <w:r>
        <w:t xml:space="preserve">Chemical products and non-metallic minerals, which experience reductions in unit production</w:t>
      </w:r>
      <w:r>
        <w:t xml:space="preserve"> </w:t>
      </w:r>
      <w:r>
        <w:t xml:space="preserve">costs relative to the baseline, face higher domestic and external demand and therefore record</w:t>
      </w:r>
      <w:r>
        <w:t xml:space="preserve"> </w:t>
      </w:r>
      <w:r>
        <w:t xml:space="preserve">higher levels of both production and exports across the policy options. Non-ferrous metals,</w:t>
      </w:r>
      <w:r>
        <w:t xml:space="preserve"> </w:t>
      </w:r>
      <w:r>
        <w:t xml:space="preserve">chemical products, and non-metallic minerals display higher production and export levels due</w:t>
      </w:r>
      <w:r>
        <w:t xml:space="preserve"> </w:t>
      </w:r>
      <w:r>
        <w:t xml:space="preserve">to improved competitiveness under PO2 scenarios. On the contrary, ferrous metals become</w:t>
      </w:r>
      <w:r>
        <w:t xml:space="preserve"> </w:t>
      </w:r>
      <w:r>
        <w:t xml:space="preserve">competitive leading to higher production and exports only when free allocation is extended to</w:t>
      </w:r>
      <w:r>
        <w:t xml:space="preserve"> </w:t>
      </w:r>
      <w:r>
        <w:t xml:space="preserve">both CBAM and non-CBAM sectors. Overall, the impact on production and export across</w:t>
      </w:r>
      <w:r>
        <w:t xml:space="preserve"> </w:t>
      </w:r>
      <w:r>
        <w:t xml:space="preserve">policy measures and sectors relative to the baseline ranges from -0.56% to 1.61% for</w:t>
      </w:r>
      <w:r>
        <w:t xml:space="preserve"> </w:t>
      </w:r>
      <w:r>
        <w:t xml:space="preserve">production and -1.09% to 4.63% for exports.</w:t>
      </w:r>
      <w:r>
        <w:br/>
      </w:r>
      <w:r>
        <w:t xml:space="preserve">In all scenarios except those with alternative recycling schemes, an improvement in EU27</w:t>
      </w:r>
      <w:r>
        <w:t xml:space="preserve"> </w:t>
      </w:r>
      <w:r>
        <w:t xml:space="preserve">competitiveness is observed, reflected in higher exports. This outcome is driven by a higher</w:t>
      </w:r>
      <w:r>
        <w:t xml:space="preserve"> </w:t>
      </w:r>
      <w:r>
        <w:t xml:space="preserve">allocation of free allowances to EU ETS sectors (e.g. PO1), reductions in labour and capital</w:t>
      </w:r>
      <w:r>
        <w:t xml:space="preserve"> </w:t>
      </w:r>
      <w:r>
        <w:t xml:space="preserve">costs (e.g. PO2_50), and/or lower carbon prices required to meet the cap because of including</w:t>
      </w:r>
      <w:r>
        <w:t xml:space="preserve"> </w:t>
      </w:r>
      <w:r>
        <w:t xml:space="preserve">waste emissions in the EU ETS (e.g. PO3). In the recycling scenarios, private consumption is</w:t>
      </w:r>
      <w:r>
        <w:t xml:space="preserve"> </w:t>
      </w:r>
      <w:r>
        <w:t xml:space="preserve">the main driver of GDP growth, reflecting the lump-sum transfer of EU ETS revenues to</w:t>
      </w:r>
      <w:r>
        <w:t xml:space="preserve"> </w:t>
      </w:r>
      <w:r>
        <w:t xml:space="preserve">households. In these cases, exports decline due to higher labour and capital costs, which arise</w:t>
      </w:r>
      <w:r>
        <w:t xml:space="preserve"> </w:t>
      </w:r>
      <w:r>
        <w:t xml:space="preserve">from increased household demand and upward pressure on factor prices. In PO2 scenarios,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private consumption drops marginally as increasing electricity prices stemming from higher</w:t>
      </w:r>
      <w:r>
        <w:t xml:space="preserve"> </w:t>
      </w:r>
      <w:r>
        <w:t xml:space="preserve">waste incineration, put pressure to the remaining disposable income.</w:t>
      </w:r>
      <w:r>
        <w:t xml:space="preserve"> </w:t>
      </w:r>
      <w:r>
        <w:t xml:space="preserve">The competitive position of electro-intensive industries remains supported by the continuation</w:t>
      </w:r>
      <w:r>
        <w:t xml:space="preserve"> </w:t>
      </w:r>
      <w:r>
        <w:t xml:space="preserve">of the framework for compensation of indirect carbon costs (ICC). European Commission</w:t>
      </w:r>
      <w:r>
        <w:t xml:space="preserve"> </w:t>
      </w:r>
      <w:r>
        <w:t xml:space="preserve">analysis has indicated that carbon costs accounted for up to 11% of industrial energy prices in</w:t>
      </w:r>
      <w:r>
        <w:t xml:space="preserve"> </w:t>
      </w:r>
      <w:r>
        <w:t xml:space="preserve">the EU on average in 2025, with fuel costs, network charges and taxes each accounting for a</w:t>
      </w:r>
      <w:r>
        <w:t xml:space="preserve"> </w:t>
      </w:r>
      <w:r>
        <w:t xml:space="preserve">larger share. As shown in Annex 12 (Section 1.4.2.1.2) the impact of indirect cost could</w:t>
      </w:r>
      <w:r>
        <w:t xml:space="preserve"> </w:t>
      </w:r>
      <w:r>
        <w:t xml:space="preserve">diminish over time if the energy and industry sectors decarbonise and broader energy market</w:t>
      </w:r>
      <w:r>
        <w:t xml:space="preserve"> </w:t>
      </w:r>
      <w:r>
        <w:t xml:space="preserve">reforms reduce the influence of carbon cost on electricity prices. On the other hand, ICC</w:t>
      </w:r>
      <w:r>
        <w:t xml:space="preserve"> </w:t>
      </w:r>
      <w:r>
        <w:t xml:space="preserve">compensation may be needed at least in the short-term, and while direct emitting processes can</w:t>
      </w:r>
      <w:r>
        <w:t xml:space="preserve"> </w:t>
      </w:r>
      <w:r>
        <w:t xml:space="preserve">benefit from free allocation. In order to ensure that ICC aid contributes to decarbonisation or</w:t>
      </w:r>
      <w:r>
        <w:t xml:space="preserve"> </w:t>
      </w:r>
      <w:r>
        <w:t xml:space="preserve">other measures to reduce indirect carbon costs, the preferred option would amend the ETS</w:t>
      </w:r>
      <w:r>
        <w:t xml:space="preserve"> </w:t>
      </w:r>
      <w:r>
        <w:t xml:space="preserve">Directive to add conditionality and reporting provisions.</w:t>
      </w:r>
      <w:r>
        <w:br/>
      </w:r>
      <w:r>
        <w:t xml:space="preserve">3.2. Waste</w:t>
      </w:r>
      <w:r>
        <w:t xml:space="preserve"> </w:t>
      </w:r>
      <w:r>
        <w:t xml:space="preserve">By internalising the carbon footprint of waste disposal and promoting separate waste collection,</w:t>
      </w:r>
      <w:r>
        <w:t xml:space="preserve"> </w:t>
      </w:r>
      <w:r>
        <w:t xml:space="preserve">sorting and material and carbon recovery and recycling, inclusion of municipal waste</w:t>
      </w:r>
      <w:r>
        <w:t xml:space="preserve"> </w:t>
      </w:r>
      <w:r>
        <w:t xml:space="preserve">incineration is projected to foster the economic growth of the EU circular economy and</w:t>
      </w:r>
      <w:r>
        <w:t xml:space="preserve"> </w:t>
      </w:r>
      <w:r>
        <w:t xml:space="preserve">recycling sector, with circular economy activities already representing around 1-2% of EU</w:t>
      </w:r>
      <w:r>
        <w:t xml:space="preserve"> </w:t>
      </w:r>
      <w:r>
        <w:t xml:space="preserve">GDP 45 and generating almost 300 billion EUR in gross value added alongside 121.6 billion</w:t>
      </w:r>
      <w:r>
        <w:t xml:space="preserve"> </w:t>
      </w:r>
      <w:r>
        <w:t xml:space="preserve">EUR in private investment in 202146 (2021).</w:t>
      </w:r>
      <w:r>
        <w:br/>
      </w:r>
      <w:r>
        <w:t xml:space="preserve">It also offers considerable opportunities for biogenic carbon removal generation and enables</w:t>
      </w:r>
      <w:r>
        <w:t xml:space="preserve"> </w:t>
      </w:r>
      <w:r>
        <w:t xml:space="preserve">the consideration of alternatives for how to account the emissions that are captured and used in</w:t>
      </w:r>
      <w:r>
        <w:t xml:space="preserve"> </w:t>
      </w:r>
      <w:r>
        <w:t xml:space="preserve">non-permanent products, such as e-fuels and synthetic chemicals. Strengthening the recycling</w:t>
      </w:r>
      <w:r>
        <w:t xml:space="preserve"> </w:t>
      </w:r>
      <w:r>
        <w:t xml:space="preserve">sector also delivers increased economic security, added value, employment, and long-term</w:t>
      </w:r>
      <w:r>
        <w:t xml:space="preserve"> </w:t>
      </w:r>
      <w:r>
        <w:t xml:space="preserve">competitiveness potential for the EU economy by reducing reliance on imported virgin</w:t>
      </w:r>
      <w:r>
        <w:t xml:space="preserve"> </w:t>
      </w:r>
      <w:r>
        <w:t xml:space="preserve">materials and price volatility, improving resource productivity, and strengthening innovation.</w:t>
      </w:r>
      <w:r>
        <w:br/>
      </w:r>
      <w:r>
        <w:t xml:space="preserve">3.3. Aviation</w:t>
      </w:r>
      <w:r>
        <w:t xml:space="preserve"> </w:t>
      </w:r>
      <w:r>
        <w:t xml:space="preserve">The proposed changes to EU ETS affect the aviation industry in a number of different ways.</w:t>
      </w:r>
      <w:r>
        <w:br/>
      </w:r>
      <w:r>
        <w:t xml:space="preserve">Demand is expected to increase compared to the baseline in both passenger and freight sectors</w:t>
      </w:r>
      <w:r>
        <w:t xml:space="preserve"> </w:t>
      </w:r>
      <w:r>
        <w:t xml:space="preserve">(see Section 4 of Annex 10).</w:t>
      </w:r>
      <w:r>
        <w:t xml:space="preserve"> </w:t>
      </w:r>
      <w:r>
        <w:t xml:space="preserve">In terms of operating costs for airlines, the proposal is expected to increase fuel use (including</w:t>
      </w:r>
      <w:r>
        <w:t xml:space="preserve"> </w:t>
      </w:r>
      <w:r>
        <w:t xml:space="preserve">Sustainable Aviation Fuel – SAF in line with the ReFuelEU Aviation mandate) due to increased</w:t>
      </w:r>
      <w:r>
        <w:t xml:space="preserve"> </w:t>
      </w:r>
      <w:r>
        <w:t xml:space="preserve">demand and decrease in prices. Fuel use is expected to be 15% higher compared to the baseline.</w:t>
      </w:r>
      <w:r>
        <w:t xml:space="preserve"> </w:t>
      </w:r>
      <w:r>
        <w:t xml:space="preserve">However, carbon costs as a percentage of total operating costs are substantially lower than</w:t>
      </w:r>
      <w:r>
        <w:t xml:space="preserve"> </w:t>
      </w:r>
      <w:r>
        <w:t xml:space="preserve">in the baseline, though they are expected to increase over time due to the application of</w:t>
      </w:r>
      <w:r>
        <w:t xml:space="preserve"> </w:t>
      </w:r>
      <w:r>
        <w:t xml:space="preserve">CORSIA combined with EU ETS scope extension to departing flights (rising to 5.4% of</w:t>
      </w:r>
      <w:r>
        <w:t xml:space="preserve"> </w:t>
      </w:r>
      <w:r>
        <w:t xml:space="preserve">operating costs by 2030, compared to 10.8% in the baseline).</w:t>
      </w:r>
    </w:p>
    <w:p>
      <w:pPr>
        <w:pStyle w:val="BodyText"/>
      </w:pPr>
      <w:r>
        <w:t xml:space="preserve">45 OECD (2025). The Circular Economy in Cities and Regions of the European Union. Available at:</w:t>
      </w:r>
      <w:r>
        <w:t xml:space="preserve"> </w:t>
      </w:r>
      <w:r>
        <w:t xml:space="preserve">https://www.oecd.org/en/publications/the-circular-economy-in-cities-and-regions-of-the-european-</w:t>
      </w:r>
      <w:r>
        <w:t xml:space="preserve"> </w:t>
      </w:r>
      <w:r>
        <w:t xml:space="preserve">union_e09c21e2-en.html</w:t>
      </w:r>
      <w:r>
        <w:br/>
      </w:r>
      <w:r>
        <w:t xml:space="preserve">46 European Commission (2023) 306 final. Communication on a revised monitoring framework for the circular</w:t>
      </w:r>
      <w:r>
        <w:t xml:space="preserve"> </w:t>
      </w:r>
      <w:r>
        <w:t xml:space="preserve">economy.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https://www.europarl.europa.eu/RegData/docs_autres_institutions/commission_europeenne/com/2023/0306</w:t>
      </w:r>
      <w:r>
        <w:t xml:space="preserve"> </w:t>
      </w:r>
      <w:r>
        <w:t xml:space="preserve">/COM_COM%282023%290306_EN.pdf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Regarding competitive distortions, for airlines with a higher proportion of flights on routes</w:t>
      </w:r>
      <w:r>
        <w:t xml:space="preserve"> </w:t>
      </w:r>
      <w:r>
        <w:t xml:space="preserve">covered by the ETS, there is a risk that they are less able to cross-subsidise them from other</w:t>
      </w:r>
      <w:r>
        <w:t xml:space="preserve"> </w:t>
      </w:r>
      <w:r>
        <w:t xml:space="preserve">routes. Several studies nevertheless argue that such cross-subsidisation is minimal. Also, the</w:t>
      </w:r>
      <w:r>
        <w:t xml:space="preserve"> </w:t>
      </w:r>
      <w:r>
        <w:t xml:space="preserve">fact that SAF support is available for routes covered by the ETS channels more revenues back</w:t>
      </w:r>
      <w:r>
        <w:t xml:space="preserve"> </w:t>
      </w:r>
      <w:r>
        <w:t xml:space="preserve">to the relevant airlines. Where the EU ETS applies to departing flights, airlines are also able to</w:t>
      </w:r>
      <w:r>
        <w:t xml:space="preserve"> </w:t>
      </w:r>
      <w:r>
        <w:t xml:space="preserve">deduct any CORSIA offsetting costs.</w:t>
      </w:r>
      <w:r>
        <w:t xml:space="preserve"> </w:t>
      </w:r>
      <w:r>
        <w:t xml:space="preserve">3.4. Maritime</w:t>
      </w:r>
      <w:r>
        <w:t xml:space="preserve"> </w:t>
      </w:r>
      <w:r>
        <w:t xml:space="preserve">In relation to competitiveness impacts, the lowering of the container transshipment</w:t>
      </w:r>
      <w:r>
        <w:t xml:space="preserve"> </w:t>
      </w:r>
      <w:r>
        <w:t xml:space="preserve">incidence threshold from 65 % to 50% should lead to the identification of additional</w:t>
      </w:r>
      <w:r>
        <w:t xml:space="preserve"> </w:t>
      </w:r>
      <w:r>
        <w:t xml:space="preserve">“neighboring container transshipment ports”, protecting the competitiveness of EU ports and</w:t>
      </w:r>
      <w:r>
        <w:t xml:space="preserve"> </w:t>
      </w:r>
      <w:r>
        <w:t xml:space="preserve">helping avoid the negative impacts of relocation of container transshipment activities.</w:t>
      </w:r>
      <w:r>
        <w:br/>
      </w:r>
      <w:r>
        <w:t xml:space="preserve">Amendments to relevant EU MRV and ETS elements to address the specific nature of offshore</w:t>
      </w:r>
      <w:r>
        <w:t xml:space="preserve"> </w:t>
      </w:r>
      <w:r>
        <w:t xml:space="preserve">activities would ensure that all ships involved in offshore activities within EU Member States’</w:t>
      </w:r>
      <w:r>
        <w:t xml:space="preserve"> </w:t>
      </w:r>
      <w:r>
        <w:t xml:space="preserve">territorial waters or Exclusive Economic Zones are subject to emissions regulation, regardless</w:t>
      </w:r>
      <w:r>
        <w:t xml:space="preserve"> </w:t>
      </w:r>
      <w:r>
        <w:t xml:space="preserve">of their flag or port of origin. Consequently, it would promote a fairer and more level playing</w:t>
      </w:r>
      <w:r>
        <w:t xml:space="preserve"> </w:t>
      </w:r>
      <w:r>
        <w:t xml:space="preserve">field for EU offshore shipping companies. However, it could slightly increase the</w:t>
      </w:r>
      <w:r>
        <w:t xml:space="preserve"> </w:t>
      </w:r>
      <w:r>
        <w:t xml:space="preserve">administrative burden for both shipowners and regulators, due to the need for more detailed</w:t>
      </w:r>
      <w:r>
        <w:t xml:space="preserve"> </w:t>
      </w:r>
      <w:r>
        <w:t xml:space="preserve">reporting and verification.</w:t>
      </w:r>
      <w:r>
        <w:br/>
      </w:r>
      <w:r>
        <w:t xml:space="preserve">Additional compliance costs for smaller vessels are expected to be passed on to shippers and</w:t>
      </w:r>
      <w:r>
        <w:t xml:space="preserve"> </w:t>
      </w:r>
      <w:r>
        <w:t xml:space="preserve">voyagers, which may have indirect impacts on trade patterns and macroeconomic</w:t>
      </w:r>
      <w:r>
        <w:t xml:space="preserve"> </w:t>
      </w:r>
      <w:r>
        <w:t xml:space="preserve">indicators. Modelling of impacts of maritime policy options in GEM-E3 found that, for EU27</w:t>
      </w:r>
      <w:r>
        <w:t xml:space="preserve"> </w:t>
      </w:r>
      <w:r>
        <w:t xml:space="preserve">countries, GDP would drop by 0.001% in 2040 under both PO2 and PO3, which means that</w:t>
      </w:r>
      <w:r>
        <w:t xml:space="preserve"> </w:t>
      </w:r>
      <w:r>
        <w:t xml:space="preserve">macroeconomic impacts are expected to be marginal on average. These effects are expected to</w:t>
      </w:r>
      <w:r>
        <w:t xml:space="preserve"> </w:t>
      </w:r>
      <w:r>
        <w:t xml:space="preserve">be slightly more significant in FI, EL, SE, DK, due to higher dependency on transport provided</w:t>
      </w:r>
      <w:r>
        <w:t xml:space="preserve"> </w:t>
      </w:r>
      <w:r>
        <w:t xml:space="preserve">by smaller vessels. Impacts on third countries are expected to be negligible, on average, with a</w:t>
      </w:r>
      <w:r>
        <w:t xml:space="preserve"> </w:t>
      </w:r>
      <w:r>
        <w:t xml:space="preserve">drop in GDP estimated at 0.0003% in 2040.</w:t>
      </w:r>
      <w:r>
        <w:br/>
      </w:r>
      <w:r>
        <w:t xml:space="preserve">4. OVERALL CONCLUSION</w:t>
      </w:r>
      <w:r>
        <w:t xml:space="preserve"> </w:t>
      </w:r>
      <w:r>
        <w:t xml:space="preserve">The competitiveness assessment finds that the preferred option delivers a balanced outcome.</w:t>
      </w:r>
      <w:r>
        <w:t xml:space="preserve"> </w:t>
      </w:r>
      <w:r>
        <w:t xml:space="preserve">Combined to the baseline, it delivers a generally positive economic outcome due to its more</w:t>
      </w:r>
      <w:r>
        <w:t xml:space="preserve"> </w:t>
      </w:r>
      <w:r>
        <w:t xml:space="preserve">gradual pace of reduction (in line with the economy-wide 2040 target) and continuation of</w:t>
      </w:r>
      <w:r>
        <w:t xml:space="preserve"> </w:t>
      </w:r>
      <w:r>
        <w:t xml:space="preserve">carbon leakage protection measures.</w:t>
      </w:r>
      <w:r>
        <w:t xml:space="preserve"> </w:t>
      </w:r>
      <w:r>
        <w:t xml:space="preserve">At the same time, it contains dedicated measures to enhance industrial competitiveness,</w:t>
      </w:r>
      <w:r>
        <w:t xml:space="preserve"> </w:t>
      </w:r>
      <w:r>
        <w:t xml:space="preserve">encourage cost-effective decarbonisation, strengthen innovation capacity, and ensure that small</w:t>
      </w:r>
      <w:r>
        <w:t xml:space="preserve"> </w:t>
      </w:r>
      <w:r>
        <w:t xml:space="preserve">operators are protected from disproportionate burdens.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ANNEX 6: THE SME TEST</w:t>
      </w:r>
      <w:r>
        <w:t xml:space="preserve"> </w:t>
      </w:r>
      <w:r>
        <w:t xml:space="preserve">1. 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This initiative is relevant for SMEs, despite most EU ETS installations belonging to large enterprises</w:t>
      </w:r>
      <w:r>
        <w:t xml:space="preserve"> </w:t>
      </w:r>
      <w:r>
        <w:t xml:space="preserve">(more than 250 employees and turnover larger than EUR 50 million, and/or balance sheet exceeding</w:t>
      </w:r>
      <w:r>
        <w:t xml:space="preserve"> </w:t>
      </w:r>
      <w:r>
        <w:t xml:space="preserve">EUR 43 million)47.</w:t>
      </w:r>
      <w:r>
        <w:br/>
      </w:r>
      <w:r>
        <w:t xml:space="preserve">Based on corporate size (the standard definition of an SME) 88% of aviation operators covered by EU</w:t>
      </w:r>
      <w:r>
        <w:t xml:space="preserve"> </w:t>
      </w:r>
      <w:r>
        <w:t xml:space="preserve">ETS belong to a large enterprise, and 74% of stationary installations. Since these are the largest firms,</w:t>
      </w:r>
      <w:r>
        <w:t xml:space="preserve"> </w:t>
      </w:r>
      <w:r>
        <w:t xml:space="preserve">they represent an even larger share of employment and emissions.</w:t>
      </w:r>
      <w:r>
        <w:br/>
      </w:r>
      <w:r>
        <w:t xml:space="preserve">Apart from the corporate size measure, the EU ETS Directive, and measures considered in this Impact</w:t>
      </w:r>
      <w:r>
        <w:t xml:space="preserve"> </w:t>
      </w:r>
      <w:r>
        <w:t xml:space="preserve">Assessment, also consider a more flexible treatment of small stationary installations and waste</w:t>
      </w:r>
      <w:r>
        <w:t xml:space="preserve"> </w:t>
      </w:r>
      <w:r>
        <w:t xml:space="preserve">installations (typically as measured by thermal capacity), smaller ships (by gross tonnage), and aircraft</w:t>
      </w:r>
      <w:r>
        <w:t xml:space="preserve"> </w:t>
      </w:r>
      <w:r>
        <w:t xml:space="preserve">operators (lower emissions).</w:t>
      </w:r>
      <w:r>
        <w:t xml:space="preserve"> </w:t>
      </w:r>
      <w:r>
        <w:t xml:space="preserve">The maritime sector covered by EU ETS has a higher prevalence of SMEs with the previous impact</w:t>
      </w:r>
      <w:r>
        <w:t xml:space="preserve"> </w:t>
      </w:r>
      <w:r>
        <w:t xml:space="preserve">assessment for the extension of the EU ETS to maritime transport finding that SMEs represents 95% of</w:t>
      </w:r>
      <w:r>
        <w:t xml:space="preserve"> </w:t>
      </w:r>
      <w:r>
        <w:t xml:space="preserve">bulk carrier companies, 76% of oil tanker companies and 56% of containerships companies (European</w:t>
      </w:r>
      <w:r>
        <w:t xml:space="preserve"> </w:t>
      </w:r>
      <w:r>
        <w:t xml:space="preserve">Commission, 2021), a share likely to be even higher for companies operating smaller vessels (between</w:t>
      </w:r>
      <w:r>
        <w:t xml:space="preserve"> </w:t>
      </w:r>
      <w:r>
        <w:t xml:space="preserve">400 and 5,000 GT). Using the number of vessels per company as a proxy of the company size, the recent</w:t>
      </w:r>
      <w:r>
        <w:t xml:space="preserve"> </w:t>
      </w:r>
      <w:r>
        <w:t xml:space="preserve">report on the possible extension of the MRV Regulation to smaller vessels (European Commission, 2025)</w:t>
      </w:r>
      <w:r>
        <w:t xml:space="preserve"> </w:t>
      </w:r>
      <w:r>
        <w:t xml:space="preserve">found that companies currently reporting under MRV are responsible for 2.6 vessels on average,</w:t>
      </w:r>
      <w:r>
        <w:t xml:space="preserve"> </w:t>
      </w:r>
      <w:r>
        <w:t xml:space="preserve">compared to an average of 1.6 for companies managing smaller vessels.</w:t>
      </w:r>
    </w:p>
    <w:p>
      <w:pPr>
        <w:pStyle w:val="Compact"/>
        <w:numPr>
          <w:ilvl w:val="0"/>
          <w:numId w:val="1002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(Yes/No) In which sectors?</w:t>
      </w:r>
      <w:r>
        <w:t xml:space="preserve"> </w:t>
      </w:r>
      <w:r>
        <w:t xml:space="preserve">As per Annex 3, Section 2.2.1, provisions are conceived to offer proportional treatment to smaller</w:t>
      </w:r>
      <w:r>
        <w:t xml:space="preserve"> </w:t>
      </w:r>
      <w:r>
        <w:t xml:space="preserve">installations and operators.</w:t>
      </w:r>
      <w:r>
        <w:br/>
      </w:r>
      <w:r>
        <w:t xml:space="preserve">Above these thresholds, SMEs will be subject to the same policy provisions as other firms. In other</w:t>
      </w:r>
      <w:r>
        <w:t xml:space="preserve"> </w:t>
      </w:r>
      <w:r>
        <w:t xml:space="preserve">words, employee numbers and turnover are not typically used as differentiating elements in EU ETS.</w:t>
      </w:r>
      <w:r>
        <w:t xml:space="preserve"> </w:t>
      </w:r>
      <w:r>
        <w:t xml:space="preserve">However, the ETS framework provides simplified monitoring, reporting and verification rules for small</w:t>
      </w:r>
      <w:r>
        <w:t xml:space="preserve"> </w:t>
      </w:r>
      <w:r>
        <w:t xml:space="preserve">emitters.</w:t>
      </w:r>
      <w:r>
        <w:br/>
      </w:r>
      <w:r>
        <w:t xml:space="preserve">Nevertheless, the potential impact on thousands of small installations is avoided through the proposal not</w:t>
      </w:r>
      <w:r>
        <w:t xml:space="preserve"> </w:t>
      </w:r>
      <w:r>
        <w:t xml:space="preserve">to lower the 20 MW exemption threshold for stationary installations (see Annex 12, Section 2). Other</w:t>
      </w:r>
      <w:r>
        <w:t xml:space="preserve"> </w:t>
      </w:r>
      <w:r>
        <w:t xml:space="preserve">ETS activities listed in Annex I of the Directive also include activity thresholds, preventing the inclusion</w:t>
      </w:r>
      <w:r>
        <w:t xml:space="preserve"> </w:t>
      </w:r>
      <w:r>
        <w:t xml:space="preserve">in the ETS of the smallest installations. Furthermore, Member States have the possibility to request the</w:t>
      </w:r>
      <w:r>
        <w:t xml:space="preserve"> </w:t>
      </w:r>
      <w:r>
        <w:t xml:space="preserve">opt-out of small emitters from the ETS under the provisions of Article 27 and 27a of the ETS Directive.</w:t>
      </w:r>
      <w:r>
        <w:t xml:space="preserve"> </w:t>
      </w:r>
      <w:r>
        <w:t xml:space="preserve">Considering the high share of SMEs in the maritime transport sector, the implementation of the EU ETS</w:t>
      </w:r>
      <w:r>
        <w:t xml:space="preserve"> </w:t>
      </w:r>
      <w:r>
        <w:t xml:space="preserve">in the sector has a direct impact on SMEs. However, very small maritime operators are expected to</w:t>
      </w:r>
      <w:r>
        <w:t xml:space="preserve"> </w:t>
      </w:r>
      <w:r>
        <w:t xml:space="preserve">remain largely outside the ETS scope, as all policy options do not foresee the inclusion of any type of</w:t>
      </w:r>
      <w:r>
        <w:t xml:space="preserve"> </w:t>
      </w:r>
      <w:r>
        <w:t xml:space="preserve">vessel below 400 gross tonnage.</w:t>
      </w:r>
    </w:p>
    <w:p>
      <w:pPr>
        <w:pStyle w:val="FirstParagraph"/>
      </w:pPr>
      <w:r>
        <w:t xml:space="preserve">47 Commission Recommendation of 6 May 2003 concerning the definition of micro, small and medium-sized</w:t>
      </w:r>
      <w:r>
        <w:t xml:space="preserve"> </w:t>
      </w:r>
      <w:r>
        <w:t xml:space="preserve">enterprises (Text with EEA relevance) (notified under document number C(2003) 1422)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Estimated number of directly affected SMEs</w:t>
      </w:r>
      <w:r>
        <w:t xml:space="preserve"> </w:t>
      </w:r>
      <w:r>
        <w:t xml:space="preserve">The share of SMEs among firms covered by EU ETS was estimated using the Orbis database (a</w:t>
      </w:r>
      <w:r>
        <w:t xml:space="preserve"> </w:t>
      </w:r>
      <w:r>
        <w:t xml:space="preserve">commercial database of corporate information). This was possible thanks to a dedicated mapping tool</w:t>
      </w:r>
      <w:r>
        <w:t xml:space="preserve"> </w:t>
      </w:r>
      <w:r>
        <w:t xml:space="preserve">developed and maintained by the European Commission48. For this purpose, SMEs were defined as firms</w:t>
      </w:r>
      <w:r>
        <w:t xml:space="preserve"> </w:t>
      </w:r>
      <w:r>
        <w:t xml:space="preserve">with fewer than 250 employees, and a turnover not exceeding EUR 50 million or a balance sheet not</w:t>
      </w:r>
      <w:r>
        <w:t xml:space="preserve"> </w:t>
      </w:r>
      <w:r>
        <w:t xml:space="preserve">exceeding EUR 43 million.</w:t>
      </w:r>
      <w:r>
        <w:t xml:space="preserve"> </w:t>
      </w:r>
      <w:r>
        <w:t xml:space="preserve">Due to data limitations, this analysis was only possible for stationary installations and aircraft operators.</w:t>
      </w:r>
      <w:r>
        <w:t xml:space="preserve"> </w:t>
      </w:r>
      <w:r>
        <w:t xml:space="preserve">Even in these sectors, the results should be interpreted with caution due to known caveats concerning the</w:t>
      </w:r>
      <w:r>
        <w:t xml:space="preserve"> </w:t>
      </w:r>
      <w:r>
        <w:t xml:space="preserve">Orbis database. In particular, the database, which itself relies on national statistics, tends to</w:t>
      </w:r>
      <w:r>
        <w:t xml:space="preserve"> </w:t>
      </w:r>
      <w:r>
        <w:t xml:space="preserve">underrepresent small firms. Also, the level of coverage varies across countries.</w:t>
      </w:r>
      <w:r>
        <w:t xml:space="preserve"> </w:t>
      </w:r>
      <w:r>
        <w:t xml:space="preserve">The shares of medium, small and micro enterprises in ETS are shown in Figure 1 below. It is not possible</w:t>
      </w:r>
      <w:r>
        <w:t xml:space="preserve"> </w:t>
      </w:r>
      <w:r>
        <w:t xml:space="preserve">to give an absolute figure since only a subset of firms were identifiable in the database. For comparison,</w:t>
      </w:r>
      <w:r>
        <w:t xml:space="preserve"> </w:t>
      </w:r>
      <w:r>
        <w:t xml:space="preserve">in 2024 the EU ETS covered 8,704 stationary installations (noting that an installation is not equivalent</w:t>
      </w:r>
      <w:r>
        <w:t xml:space="preserve"> </w:t>
      </w:r>
      <w:r>
        <w:t xml:space="preserve">to a firm), 393 aircraft operators and 3,313 shipping companies.</w:t>
      </w:r>
      <w:r>
        <w:t xml:space="preserve"> </w:t>
      </w:r>
      <w:r>
        <w:t xml:space="preserve">Figure 1:</w:t>
      </w:r>
      <w:r>
        <w:t xml:space="preserve"> </w:t>
      </w:r>
      <w:r>
        <w:t xml:space="preserve">Share of SMEs in firms covered by EU ETS that are identified in the Orbis database</w:t>
      </w:r>
    </w:p>
    <w:p>
      <w:pPr>
        <w:pStyle w:val="BodyText"/>
      </w:pPr>
      <w:r>
        <w:t xml:space="preserve">It was not possible to include maritime and waste sector emissions in the Orbis analysis due to data</w:t>
      </w:r>
      <w:r>
        <w:t xml:space="preserve"> </w:t>
      </w:r>
      <w:r>
        <w:t xml:space="preserve">limitations. However, for maritime, it is assumed that most of the entities responsible for the</w:t>
      </w:r>
      <w:r>
        <w:t xml:space="preserve"> </w:t>
      </w:r>
      <w:r>
        <w:t xml:space="preserve">implementation of the ETS are SMEs. According to the previous impact assessment on the extension of</w:t>
      </w:r>
      <w:r>
        <w:t xml:space="preserve"> </w:t>
      </w:r>
      <w:r>
        <w:t xml:space="preserve">the EU ETS to maritime transport, 76% of freight companies and 86% of passenger transport companies</w:t>
      </w:r>
      <w:r>
        <w:t xml:space="preserve"> </w:t>
      </w:r>
      <w:r>
        <w:t xml:space="preserve">having fewer than 10 employees.</w:t>
      </w:r>
      <w:r>
        <w:t xml:space="preserve"> </w:t>
      </w:r>
      <w:r>
        <w:t xml:space="preserve">Each thematic annex considers how small emitters should be treated but uses metrics other than the</w:t>
      </w:r>
      <w:r>
        <w:t xml:space="preserve"> </w:t>
      </w:r>
      <w:r>
        <w:t xml:space="preserve">employment and turnover dimensions related to the official definition of SMEs. (Annex 10 for aviation,</w:t>
      </w:r>
      <w:r>
        <w:t xml:space="preserve"> </w:t>
      </w:r>
      <w:r>
        <w:t xml:space="preserve">Annex 11 for maritime, Annex 12 for stationary installations, Annex 13 for waste).</w:t>
      </w:r>
      <w:r>
        <w:br/>
      </w:r>
      <w:r>
        <w:t xml:space="preserve">Estimated number of employees in directly affected SMEs</w:t>
      </w:r>
      <w:r>
        <w:t xml:space="preserve"> </w:t>
      </w:r>
      <w:r>
        <w:t xml:space="preserve">Macroeconomic modelling was used to assess employment impacts of the policy options considered. See</w:t>
      </w:r>
      <w:r>
        <w:t xml:space="preserve"> </w:t>
      </w:r>
      <w:r>
        <w:t xml:space="preserve">Section 6.3.1. This concluded that all policy options should increase employment relative to the baseline</w:t>
      </w:r>
      <w:r>
        <w:t xml:space="preserve"> </w:t>
      </w:r>
      <w:r>
        <w:t xml:space="preserve">when it comes to carbon leakage and aviation. In the maritime transport sector, the modelling did not</w:t>
      </w:r>
      <w:r>
        <w:t xml:space="preserve"> </w:t>
      </w:r>
      <w:r>
        <w:t xml:space="preserve">indicate a large effect. Small operators may be negatively affected by lowering of the tonnage threshold</w:t>
      </w:r>
      <w:r>
        <w:t xml:space="preserve"> </w:t>
      </w:r>
      <w:r>
        <w:t xml:space="preserve">bringing them into the scope of EU ETS. On the other hand, the economy of EU ports should be positively</w:t>
      </w:r>
      <w:r>
        <w:t xml:space="preserve"> </w:t>
      </w:r>
      <w:r>
        <w:t xml:space="preserve">affected by measures to address transshipment relocation risks. However, this analysis is not specific to</w:t>
      </w:r>
      <w:r>
        <w:t xml:space="preserve"> </w:t>
      </w:r>
      <w:r>
        <w:t xml:space="preserve">SMEs. According to the Orbis analysis for stationary installations, out of the identified 7,685 operators</w:t>
      </w:r>
      <w:r>
        <w:t xml:space="preserve"> </w:t>
      </w:r>
      <w:r>
        <w:t xml:space="preserve">of stationary ETS installations and found that 26% of these were SMEs. Most of these were medium-</w:t>
      </w:r>
      <w:r>
        <w:t xml:space="preserve"> </w:t>
      </w:r>
      <w:r>
        <w:t xml:space="preserve">sized enterprises (19%) rather than small (6%) or micro (2%). It also found that the ceramics sector had</w:t>
      </w:r>
      <w:r>
        <w:t xml:space="preserve"> </w:t>
      </w:r>
      <w:r>
        <w:t xml:space="preserve">the highest proportion of SMEs, in particular micro and small enterprises. Across all sectors, SMEs</w:t>
      </w:r>
    </w:p>
    <w:p>
      <w:pPr>
        <w:pStyle w:val="BodyText"/>
      </w:pPr>
      <w:r>
        <w:t xml:space="preserve">48</w:t>
      </w:r>
      <w:r>
        <w:br/>
      </w:r>
      <w:r>
        <w:t xml:space="preserve">European Commission, DG GROW Chief Economist Team (2025): EUTL-Orbis matching dataset.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accounted for 2% of emissions, 1% of employment and less than 1% of turnover of the identified ETS</w:t>
      </w:r>
      <w:r>
        <w:t xml:space="preserve"> </w:t>
      </w:r>
      <w:r>
        <w:t xml:space="preserve">installations.</w:t>
      </w:r>
      <w:r>
        <w:t xml:space="preserve"> </w:t>
      </w:r>
      <w:r>
        <w:t xml:space="preserve">Are SMEs indirectly affected? (Yes/No) In which sectors? What is the estimated number of</w:t>
      </w:r>
      <w:r>
        <w:t xml:space="preserve"> </w:t>
      </w:r>
      <w:r>
        <w:t xml:space="preserve">indirectly affected SMEs and employees?</w:t>
      </w:r>
      <w:r>
        <w:t xml:space="preserve"> </w:t>
      </w:r>
      <w:r>
        <w:t xml:space="preserve">Indirect effects from EU ETS predominantly consist of the passthrough of the carbon price to consumers.</w:t>
      </w:r>
      <w:r>
        <w:t xml:space="preserve"> </w:t>
      </w:r>
      <w:r>
        <w:t xml:space="preserve">This is expected to be highest for consumers that are closest in the value chain to the priced carbon. The</w:t>
      </w:r>
      <w:r>
        <w:t xml:space="preserve"> </w:t>
      </w:r>
      <w:r>
        <w:t xml:space="preserve">clearest examples of this are the indirect carbon cost faced by electro-intensive industries (specific</w:t>
      </w:r>
      <w:r>
        <w:t xml:space="preserve"> </w:t>
      </w:r>
      <w:r>
        <w:t xml:space="preserve">compensation for this is addressed in Annex 12) and the impact of carbon pricing in the aviation and</w:t>
      </w:r>
      <w:r>
        <w:t xml:space="preserve"> </w:t>
      </w:r>
      <w:r>
        <w:t xml:space="preserve">shipping sectors.</w:t>
      </w:r>
    </w:p>
    <w:p>
      <w:pPr>
        <w:numPr>
          <w:ilvl w:val="0"/>
          <w:numId w:val="1003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As per 6.2.4.4 of the Impact Assessment, SME stakeholders were represented by their sector associations</w:t>
      </w:r>
      <w:r>
        <w:t xml:space="preserve"> </w:t>
      </w:r>
      <w:r>
        <w:t xml:space="preserve">in the stakeholder interviews and had the opportunity to submit their views within the OPC (where 36%</w:t>
      </w:r>
      <w:r>
        <w:t xml:space="preserve"> </w:t>
      </w:r>
      <w:r>
        <w:t xml:space="preserve">of respondents in the company/business category were SMEs).</w:t>
      </w:r>
      <w:r>
        <w:t xml:space="preserve"> </w:t>
      </w:r>
      <w:r>
        <w:t xml:space="preserve">Are SMEs’ views different from those of large businesses? (Yes/No)</w:t>
      </w:r>
      <w:r>
        <w:t xml:space="preserve"> </w:t>
      </w:r>
      <w:r>
        <w:t xml:space="preserve">SMEs have stronger views on administrative burden and regulatory costs of the ETS Directive (see</w:t>
      </w:r>
      <w:r>
        <w:t xml:space="preserve"> </w:t>
      </w:r>
      <w:r>
        <w:t xml:space="preserve">Annex 2, point 2.2.4) than large businesses, and thus request reduced procedural burdens and reduction</w:t>
      </w:r>
      <w:r>
        <w:t xml:space="preserve"> </w:t>
      </w:r>
      <w:r>
        <w:t xml:space="preserve">and standardization of administrative fees and verification costs across Member States. SMEs are also</w:t>
      </w:r>
      <w:r>
        <w:t xml:space="preserve"> </w:t>
      </w:r>
      <w:r>
        <w:t xml:space="preserve">advocates for simplification and harmonisation of MRV rules, with several SMEs from the waste sector</w:t>
      </w:r>
      <w:r>
        <w:t xml:space="preserve"> </w:t>
      </w:r>
      <w:r>
        <w:t xml:space="preserve">suggesting updating MRV rules with regards to MWI installations.</w:t>
      </w:r>
    </w:p>
    <w:p>
      <w:pPr>
        <w:numPr>
          <w:ilvl w:val="0"/>
          <w:numId w:val="1003"/>
        </w:numPr>
      </w:pPr>
      <w:r>
        <w:t xml:space="preserve">Assessment of impacts on SMEs</w:t>
      </w:r>
      <w:r>
        <w:t xml:space="preserve"> </w:t>
      </w:r>
      <w:r>
        <w:t xml:space="preserve">What are the estimated direct costs for SMEs of the preferred policy option? (Fill in only if step 1</w:t>
      </w:r>
      <w:r>
        <w:t xml:space="preserve"> </w:t>
      </w:r>
      <w:r>
        <w:t xml:space="preserve">flags direct impacts)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A net increase administrative costs is expected due to:</w:t>
      </w:r>
    </w:p>
    <w:p>
      <w:pPr>
        <w:pStyle w:val="Compact"/>
        <w:numPr>
          <w:ilvl w:val="0"/>
          <w:numId w:val="1004"/>
        </w:numPr>
      </w:pPr>
      <w:r>
        <w:t xml:space="preserve">Preparation and verification of climate-neutral investment plans to access conditional free</w:t>
      </w:r>
      <w:r>
        <w:t xml:space="preserve"> </w:t>
      </w:r>
      <w:r>
        <w:t xml:space="preserve">allocation (among operators already participating in existing administration related to free</w:t>
      </w:r>
      <w:r>
        <w:t xml:space="preserve"> </w:t>
      </w:r>
      <w:r>
        <w:t xml:space="preserve">allocation)</w:t>
      </w:r>
    </w:p>
    <w:p>
      <w:pPr>
        <w:pStyle w:val="Compact"/>
        <w:numPr>
          <w:ilvl w:val="0"/>
          <w:numId w:val="1004"/>
        </w:numPr>
      </w:pPr>
      <w:r>
        <w:t xml:space="preserve">MRV related to expansion of ETS scope: waste, maritime, CCU, carbon removal.</w:t>
      </w:r>
      <w:r>
        <w:t xml:space="preserve"> </w:t>
      </w:r>
      <w:r>
        <w:t xml:space="preserve">However, a number of mitigating factors exist including the proposal not to lower the thresholds for</w:t>
      </w:r>
      <w:r>
        <w:t xml:space="preserve"> </w:t>
      </w:r>
      <w:r>
        <w:t xml:space="preserve">ETS inclusion, i.e. the 20 MW threshold. The possibility for opting out small emitters under Articles 27</w:t>
      </w:r>
      <w:r>
        <w:t xml:space="preserve"> </w:t>
      </w:r>
      <w:r>
        <w:t xml:space="preserve">and 27a of the ETS Directive will be streamlined.</w:t>
      </w:r>
      <w:r>
        <w:t xml:space="preserve"> </w:t>
      </w:r>
      <w:r>
        <w:t xml:space="preserve">In addition, the MRVA evaluation (see Annex 15, section 8.4) makes a number of recommendations</w:t>
      </w:r>
      <w:r>
        <w:t xml:space="preserve"> </w:t>
      </w:r>
      <w:r>
        <w:t xml:space="preserve">for simplification, which will be addressed in the revision of the relevant secondary legislation.</w:t>
      </w:r>
      <w:r>
        <w:br/>
      </w:r>
      <w:r>
        <w:t xml:space="preserve">The possible extension of the ETS to smaller vessels would be expected to primarily affect SMEs.</w:t>
      </w:r>
      <w:r>
        <w:t xml:space="preserve"> </w:t>
      </w:r>
      <w:r>
        <w:t xml:space="preserve">Most of these SMEs managing smaller vessels would be new to the MRV and ETS system and would</w:t>
      </w:r>
      <w:r>
        <w:t xml:space="preserve"> </w:t>
      </w:r>
      <w:r>
        <w:t xml:space="preserve">need to set up and familiarise themselves with MRV and ETS processes. A key disadvantage</w:t>
      </w:r>
    </w:p>
    <w:p>
      <w:pPr>
        <w:pStyle w:val="FirstParagraph"/>
      </w:pPr>
      <w:r>
        <w:t xml:space="preserve">95</w:t>
      </w:r>
      <w:r>
        <w:t xml:space="preserve"> </w:t>
      </w:r>
      <w:r>
        <w:t xml:space="preserve">for SMEs is their more limited capacity to absorb additional administrative costs. While some</w:t>
      </w:r>
      <w:r>
        <w:t xml:space="preserve"> </w:t>
      </w:r>
      <w:r>
        <w:t xml:space="preserve">administrative costs borne by shipping companies are dependent on fleet size, other costs are fixed. As</w:t>
      </w:r>
      <w:r>
        <w:t xml:space="preserve"> </w:t>
      </w:r>
      <w:r>
        <w:t xml:space="preserve">such, administrative burden is likely to be higher for smaller businesses who do not benefit from</w:t>
      </w:r>
      <w:r>
        <w:t xml:space="preserve"> </w:t>
      </w:r>
      <w:r>
        <w:t xml:space="preserve">significant economies of scale. SMEs in the maritime sector are expected to sell or buy allowances via</w:t>
      </w:r>
      <w:r>
        <w:t xml:space="preserve"> </w:t>
      </w:r>
      <w:r>
        <w:t xml:space="preserve">intermediary traders mainly from the financial sector instead of participating directly in the</w:t>
      </w:r>
      <w:r>
        <w:t xml:space="preserve"> </w:t>
      </w:r>
      <w:r>
        <w:t xml:space="preserve">primary or secondary markets. Another key disadvantage for SMEs is their limited ability to access</w:t>
      </w:r>
      <w:r>
        <w:t xml:space="preserve"> </w:t>
      </w:r>
      <w:r>
        <w:t xml:space="preserve">financing for capital investments in low-carbon technologies (e.g., alternative propulsion systems or</w:t>
      </w:r>
      <w:r>
        <w:t xml:space="preserve"> </w:t>
      </w:r>
      <w:r>
        <w:t xml:space="preserve">onboard carbon capture). This constraint may reduce the range of greenhouse gas abatement options</w:t>
      </w:r>
      <w:r>
        <w:t xml:space="preserve"> </w:t>
      </w:r>
      <w:r>
        <w:t xml:space="preserve">available to them, potentially increasing their exposure to ETS-related costs in the short term.</w:t>
      </w:r>
      <w:r>
        <w:br/>
      </w:r>
      <w:r>
        <w:t xml:space="preserve">Quantitative assessment</w:t>
      </w:r>
      <w:r>
        <w:t xml:space="preserve"> </w:t>
      </w:r>
      <w:r>
        <w:t xml:space="preserve">N/A</w:t>
      </w:r>
      <w:r>
        <w:t xml:space="preserve"> </w:t>
      </w:r>
      <w:r>
        <w:t xml:space="preserve">What are the estimated direct benefits/cost savings for SMEs of the preferred policy option?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The main benefit to SMEs is the positive economic impact of the policy options compared to the</w:t>
      </w:r>
      <w:r>
        <w:t xml:space="preserve"> </w:t>
      </w:r>
      <w:r>
        <w:t xml:space="preserve">baseline. However, there are no direct monetary benefits specific to SMEs.</w:t>
      </w:r>
      <w:r>
        <w:br/>
      </w:r>
      <w:r>
        <w:t xml:space="preserve">The main indirect benefit is the continued exclusion of small combustion installations through the 20</w:t>
      </w:r>
      <w:r>
        <w:t xml:space="preserve"> </w:t>
      </w:r>
      <w:r>
        <w:t xml:space="preserve">MW threshold, which avoids new ETS obligations for thousands of small emitters. For covered SMEs,</w:t>
      </w:r>
      <w:r>
        <w:t xml:space="preserve"> </w:t>
      </w:r>
      <w:r>
        <w:t xml:space="preserve">the design of simplified MRV templates and guidance reduces complexity and moderates</w:t>
      </w:r>
      <w:r>
        <w:t xml:space="preserve"> </w:t>
      </w:r>
      <w:r>
        <w:t xml:space="preserve">administrative burden compared with large operators. For maritime, SMEs could benefit from the</w:t>
      </w:r>
      <w:r>
        <w:t xml:space="preserve"> </w:t>
      </w:r>
      <w:r>
        <w:t xml:space="preserve">mechanism to support the uptake of sustainable renewable and low-carbon fuels and alternative</w:t>
      </w:r>
      <w:r>
        <w:t xml:space="preserve"> </w:t>
      </w:r>
      <w:r>
        <w:t xml:space="preserve">propulsion technologies.</w:t>
      </w:r>
      <w:r>
        <w:br/>
      </w:r>
      <w:r>
        <w:t xml:space="preserve">Quantitative assessment</w:t>
      </w:r>
      <w:r>
        <w:t xml:space="preserve"> </w:t>
      </w:r>
      <w:r>
        <w:t xml:space="preserve">N/A</w:t>
      </w:r>
      <w:r>
        <w:t xml:space="preserve"> </w:t>
      </w:r>
      <w:r>
        <w:t xml:space="preserve">What are the indirect impacts of this initiative on SMEs? (Fill in only if step 1 flags indirect</w:t>
      </w:r>
      <w:r>
        <w:t xml:space="preserve"> </w:t>
      </w:r>
      <w:r>
        <w:t xml:space="preserve">impacts)</w:t>
      </w:r>
      <w:r>
        <w:t xml:space="preserve"> </w:t>
      </w:r>
      <w:r>
        <w:t xml:space="preserve">SMEs not directly covered by the ETS might be affected indirectly through changes in carbon cost</w:t>
      </w:r>
      <w:r>
        <w:t xml:space="preserve"> </w:t>
      </w:r>
      <w:r>
        <w:t xml:space="preserve">passed through from suppliers of energy or emission-intensive products. Annex 12 analyses the</w:t>
      </w:r>
      <w:r>
        <w:t xml:space="preserve"> </w:t>
      </w:r>
      <w:r>
        <w:t xml:space="preserve">macroeconomic impact of post-2030 options phaseout regarding carbon leakage prevention, including</w:t>
      </w:r>
      <w:r>
        <w:t xml:space="preserve"> </w:t>
      </w:r>
      <w:r>
        <w:t xml:space="preserve">for small installations.</w:t>
      </w:r>
    </w:p>
    <w:p>
      <w:pPr>
        <w:pStyle w:val="Compact"/>
        <w:numPr>
          <w:ilvl w:val="0"/>
          <w:numId w:val="1005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(Yes/No)</w:t>
      </w:r>
      <w:r>
        <w:t xml:space="preserve"> </w:t>
      </w:r>
      <w:r>
        <w:t xml:space="preserve">If yes, are there any specific subgroups of SMEs more exposed than others?</w:t>
      </w:r>
      <w:r>
        <w:t xml:space="preserve"> </w:t>
      </w:r>
      <w:r>
        <w:t xml:space="preserve">SMEs are not disproportionately affected since they are generally less exposed to the scope of the ETS.</w:t>
      </w:r>
      <w:r>
        <w:br/>
      </w:r>
      <w:r>
        <w:t xml:space="preserve">SMEs covered by the EU ETS, operating in energy-intensive industrial sectors, face higher compliance</w:t>
      </w:r>
      <w:r>
        <w:t xml:space="preserve"> </w:t>
      </w:r>
      <w:r>
        <w:t xml:space="preserve">effort relative to output, but these are not exacerbated by the options considered. Furthermore, the EU</w:t>
      </w:r>
      <w:r>
        <w:t xml:space="preserve"> </w:t>
      </w:r>
      <w:r>
        <w:t xml:space="preserve">ETS contains a number of provisions aimed at small emitters which are retained in this initiative, such</w:t>
      </w:r>
      <w:r>
        <w:t xml:space="preserve"> </w:t>
      </w:r>
      <w:r>
        <w:t xml:space="preserve">as the 20 MW exemption threshold, the possibility for Member States to exclude small installations</w:t>
      </w:r>
      <w:r>
        <w:t xml:space="preserve"> </w:t>
      </w:r>
      <w:r>
        <w:t xml:space="preserve">subject to equivalent national measures, and simplified MRV templates and guidance.</w:t>
      </w:r>
    </w:p>
    <w:p>
      <w:pPr>
        <w:pStyle w:val="FirstParagraph"/>
      </w:pPr>
      <w:r>
        <w:t xml:space="preserve">96</w:t>
      </w:r>
      <w:r>
        <w:t xml:space="preserve"> </w:t>
      </w:r>
      <w:r>
        <w:t xml:space="preserve">Have mitigating measures been included in the preferred option/proposal? (Yes/No)</w:t>
      </w:r>
      <w:r>
        <w:br/>
      </w:r>
      <w:r>
        <w:t xml:space="preserve">Yes. Key measures include:</w:t>
      </w:r>
      <w:r>
        <w:t xml:space="preserve"> </w:t>
      </w:r>
      <w:r>
        <w:t xml:space="preserve">-</w:t>
      </w:r>
      <w:r>
        <w:t xml:space="preserve"> </w:t>
      </w:r>
      <w:r>
        <w:t xml:space="preserve">Maintaining the 20MW threshold</w:t>
      </w:r>
      <w:r>
        <w:t xml:space="preserve"> </w:t>
      </w:r>
      <w:r>
        <w:t xml:space="preserve">-</w:t>
      </w:r>
      <w:r>
        <w:t xml:space="preserve"> </w:t>
      </w:r>
      <w:r>
        <w:t xml:space="preserve">Streamlined and simplified MRV requirements (benefitting mainly smaller operators), such</w:t>
      </w:r>
      <w:r>
        <w:t xml:space="preserve"> </w:t>
      </w:r>
      <w:r>
        <w:t xml:space="preserve">as</w:t>
      </w:r>
      <w:r>
        <w:t xml:space="preserve"> </w:t>
      </w:r>
      <w:r>
        <w:t xml:space="preserve">o The implementation of digital tools, such as the Commission reporting tool ERT</w:t>
      </w:r>
      <w:r>
        <w:t xml:space="preserve"> </w:t>
      </w:r>
      <w:r>
        <w:t xml:space="preserve">o Streamline approval processes with national Competent Authorities, such as which type</w:t>
      </w:r>
      <w:r>
        <w:t xml:space="preserve"> </w:t>
      </w:r>
      <w:r>
        <w:t xml:space="preserve">of modifications of the Monitoring Plan require approvals.</w:t>
      </w:r>
      <w:r>
        <w:t xml:space="preserve"> </w:t>
      </w:r>
      <w:r>
        <w:t xml:space="preserve">o Changes of requirements for site visits</w:t>
      </w:r>
      <w:r>
        <w:t xml:space="preserve"> </w:t>
      </w:r>
      <w:r>
        <w:t xml:space="preserve">o Relaxing monitoring accuracy requirements</w:t>
      </w:r>
      <w:r>
        <w:t xml:space="preserve"> </w:t>
      </w:r>
      <w:r>
        <w:t xml:space="preserve">o Further simplifications for small installations (or small source streams), such as increase</w:t>
      </w:r>
      <w:r>
        <w:t xml:space="preserve"> </w:t>
      </w:r>
      <w:r>
        <w:t xml:space="preserve">of standard or default values</w:t>
      </w:r>
      <w:r>
        <w:t xml:space="preserve"> </w:t>
      </w:r>
      <w:r>
        <w:t xml:space="preserve">-</w:t>
      </w:r>
      <w:r>
        <w:t xml:space="preserve"> </w:t>
      </w:r>
      <w:r>
        <w:t xml:space="preserve">The simplification measures proposed in the maritime transport sector should help shipping</w:t>
      </w:r>
      <w:r>
        <w:t xml:space="preserve"> </w:t>
      </w:r>
      <w:r>
        <w:t xml:space="preserve">companies exploit synergies across different regulatory frameworks, minimise undue</w:t>
      </w:r>
      <w:r>
        <w:t xml:space="preserve"> </w:t>
      </w:r>
      <w:r>
        <w:t xml:space="preserve">burden, and ultimately reduce administrative compliance costs. According to conservative</w:t>
      </w:r>
      <w:r>
        <w:t xml:space="preserve"> </w:t>
      </w:r>
      <w:r>
        <w:t xml:space="preserve">estimates, these measures have the potential to reduce current annual MRV compliance costs</w:t>
      </w:r>
      <w:r>
        <w:t xml:space="preserve"> </w:t>
      </w:r>
      <w:r>
        <w:t xml:space="preserve">by 10% - 20%.</w:t>
      </w:r>
    </w:p>
    <w:p>
      <w:pPr>
        <w:pStyle w:val="BodyText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 target for SMEs?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ANNEX 7: PROBLEM DEFINITION, DETAILED BASELINE AND POLICY</w:t>
      </w:r>
      <w:r>
        <w:br/>
      </w:r>
      <w:r>
        <w:t xml:space="preserve">MEASURES</w:t>
      </w:r>
      <w:r>
        <w:t xml:space="preserve"> </w:t>
      </w:r>
      <w:r>
        <w:t xml:space="preserve">LIST OF TABLES</w:t>
      </w:r>
      <w:r>
        <w:t xml:space="preserve"> </w:t>
      </w:r>
      <w:r>
        <w:t xml:space="preserve">Table 1:</w:t>
      </w:r>
      <w:r>
        <w:t xml:space="preserve"> </w:t>
      </w:r>
      <w:r>
        <w:t xml:space="preserve">Baseline cap trajectory. ……………………………………………………………………….. 105</w:t>
      </w:r>
      <w:r>
        <w:t xml:space="preserve"> </w:t>
      </w:r>
      <w:r>
        <w:t xml:space="preserve">Table 2:</w:t>
      </w:r>
      <w:r>
        <w:t xml:space="preserve"> </w:t>
      </w:r>
      <w:r>
        <w:t xml:space="preserve">Policy measures for carbon removals …………………………………………………….. 111</w:t>
      </w:r>
      <w:r>
        <w:t xml:space="preserve"> </w:t>
      </w:r>
      <w:r>
        <w:t xml:space="preserve">Table 3:</w:t>
      </w:r>
      <w:r>
        <w:t xml:space="preserve"> </w:t>
      </w:r>
      <w:r>
        <w:t xml:space="preserve">Policy measures for MSR …………………………………………………………………….. 112</w:t>
      </w:r>
      <w:r>
        <w:t xml:space="preserve"> </w:t>
      </w:r>
      <w:r>
        <w:t xml:space="preserve">Table 4:</w:t>
      </w:r>
      <w:r>
        <w:t xml:space="preserve"> </w:t>
      </w:r>
      <w:r>
        <w:t xml:space="preserve">Policy measures for IDB allocation mechanism ……………………………………… 114</w:t>
      </w:r>
      <w:r>
        <w:t xml:space="preserve"> </w:t>
      </w:r>
      <w:r>
        <w:t xml:space="preserve">Table 5:</w:t>
      </w:r>
      <w:r>
        <w:t xml:space="preserve"> </w:t>
      </w:r>
      <w:r>
        <w:t xml:space="preserve">Policy measures for IDB type of support ……………………………………………….. 114</w:t>
      </w:r>
      <w:r>
        <w:t xml:space="preserve"> </w:t>
      </w:r>
      <w:r>
        <w:t xml:space="preserve">Table 6:</w:t>
      </w:r>
      <w:r>
        <w:t xml:space="preserve"> </w:t>
      </w:r>
      <w:r>
        <w:t xml:space="preserve">Policy measures for IDB geographical distribution …………………………………. 114</w:t>
      </w:r>
      <w:r>
        <w:t xml:space="preserve"> </w:t>
      </w:r>
      <w:r>
        <w:t xml:space="preserve">Table 7:</w:t>
      </w:r>
      <w:r>
        <w:t xml:space="preserve"> </w:t>
      </w:r>
      <w:r>
        <w:t xml:space="preserve">Policy measures for IDB in the policy options ……………………………………….. 115</w:t>
      </w:r>
      <w:r>
        <w:t xml:space="preserve"> </w:t>
      </w:r>
      <w:r>
        <w:t xml:space="preserve">Table 8:</w:t>
      </w:r>
      <w:r>
        <w:t xml:space="preserve"> </w:t>
      </w:r>
      <w:r>
        <w:t xml:space="preserve">Policy measures for Modernisation Fund ……………………………………………….. 116</w:t>
      </w:r>
      <w:r>
        <w:t xml:space="preserve"> </w:t>
      </w:r>
      <w:r>
        <w:t xml:space="preserve">Table 9:</w:t>
      </w:r>
      <w:r>
        <w:t xml:space="preserve"> </w:t>
      </w:r>
      <w:r>
        <w:t xml:space="preserve">Policy measures for aviation ………………………………………………………………… 118</w:t>
      </w:r>
      <w:r>
        <w:t xml:space="preserve"> </w:t>
      </w:r>
      <w:r>
        <w:t xml:space="preserve">Table 10:</w:t>
      </w:r>
      <w:r>
        <w:t xml:space="preserve"> </w:t>
      </w:r>
      <w:r>
        <w:t xml:space="preserve">Policy measures for maritime ……………………………………………………………… 120</w:t>
      </w:r>
      <w:r>
        <w:t xml:space="preserve"> </w:t>
      </w:r>
      <w:r>
        <w:t xml:space="preserve">Table 11:</w:t>
      </w:r>
      <w:r>
        <w:t xml:space="preserve"> </w:t>
      </w:r>
      <w:r>
        <w:t xml:space="preserve">Policy measures for carbon leakage prevention …………………………………….. 122</w:t>
      </w:r>
      <w:r>
        <w:t xml:space="preserve"> </w:t>
      </w:r>
      <w:r>
        <w:t xml:space="preserve">Table 12:</w:t>
      </w:r>
      <w:r>
        <w:t xml:space="preserve"> </w:t>
      </w:r>
      <w:r>
        <w:t xml:space="preserve">Policy measures for indirect cost compensation ……………………………………. 123</w:t>
      </w:r>
      <w:r>
        <w:t xml:space="preserve"> </w:t>
      </w:r>
      <w:r>
        <w:t xml:space="preserve">Table 13:</w:t>
      </w:r>
      <w:r>
        <w:t xml:space="preserve"> </w:t>
      </w:r>
      <w:r>
        <w:t xml:space="preserve">Policy measures for waste ………………………………………………………………….. 125</w:t>
      </w:r>
      <w:r>
        <w:t xml:space="preserve"> </w:t>
      </w:r>
      <w:r>
        <w:t xml:space="preserve">Table 14:</w:t>
      </w:r>
      <w:r>
        <w:t xml:space="preserve"> </w:t>
      </w:r>
      <w:r>
        <w:t xml:space="preserve">Policy measures for CCU …………………………………………………………………… 126</w:t>
      </w:r>
    </w:p>
    <w:p>
      <w:pPr>
        <w:pStyle w:val="BodyText"/>
      </w:pPr>
      <w:r>
        <w:t xml:space="preserve">LIST OF FIGURES</w:t>
      </w:r>
    </w:p>
    <w:p>
      <w:pPr>
        <w:pStyle w:val="BodyText"/>
      </w:pPr>
      <w:r>
        <w:t xml:space="preserve">Figure 1:</w:t>
      </w:r>
      <w:r>
        <w:t xml:space="preserve"> </w:t>
      </w:r>
      <w:r>
        <w:t xml:space="preserve">Scope of the Industrial Decarbonisation Bank and Innovation Fund ………… 113</w:t>
      </w:r>
    </w:p>
    <w:p>
      <w:pPr>
        <w:pStyle w:val="BodyText"/>
      </w:pPr>
      <w:r>
        <w:t xml:space="preserve">98</w:t>
      </w:r>
    </w:p>
    <w:p>
      <w:pPr>
        <w:pStyle w:val="Compact"/>
        <w:numPr>
          <w:ilvl w:val="0"/>
          <w:numId w:val="1006"/>
        </w:numPr>
      </w:pPr>
      <w:r>
        <w:t xml:space="preserve">PROBLEM DEFINITION</w:t>
      </w:r>
      <w:r>
        <w:t xml:space="preserve"> </w:t>
      </w:r>
      <w:r>
        <w:t xml:space="preserve">1.1. Problem drivers</w:t>
      </w:r>
      <w:r>
        <w:t xml:space="preserve"> </w:t>
      </w:r>
      <w:r>
        <w:t xml:space="preserve">Problem drivers associated with Problem 1:</w:t>
      </w:r>
      <w:r>
        <w:br/>
      </w:r>
      <w:r>
        <w:t xml:space="preserve">• D1 Residual emissions inconsistent with ETS cap trajectory: The climate neutrality</w:t>
      </w:r>
      <w:r>
        <w:t xml:space="preserve"> </w:t>
      </w:r>
      <w:r>
        <w:t xml:space="preserve">objective is at the heart of the European Green Deal and is a legally binding objective</w:t>
      </w:r>
      <w:r>
        <w:t xml:space="preserve"> </w:t>
      </w:r>
      <w:r>
        <w:t xml:space="preserve">set out in the European Climate Law (ECL). The 2040 climate target is the EU’s next</w:t>
      </w:r>
      <w:r>
        <w:t xml:space="preserve"> </w:t>
      </w:r>
      <w:r>
        <w:t xml:space="preserve">intermediate step on the path to climate neutrality. In December 2025, the European</w:t>
      </w:r>
      <w:r>
        <w:t xml:space="preserve"> </w:t>
      </w:r>
      <w:r>
        <w:t xml:space="preserve">Parliament and the Council reached agreement on amending the European Climate Law,</w:t>
      </w:r>
      <w:r>
        <w:t xml:space="preserve"> </w:t>
      </w:r>
      <w:r>
        <w:t xml:space="preserve">introducing a binding intermediate climate target for 2040 of a 90% reduction in net</w:t>
      </w:r>
      <w:r>
        <w:t xml:space="preserve"> </w:t>
      </w:r>
      <w:r>
        <w:t xml:space="preserve">greenhouse gas (GHG) emissions compared to 1990 levels. The agreement also sets out</w:t>
      </w:r>
      <w:r>
        <w:t xml:space="preserve"> </w:t>
      </w:r>
      <w:r>
        <w:t xml:space="preserve">certain areas of flexibility to support the achievement of the 2040 target including on</w:t>
      </w:r>
      <w:r>
        <w:t xml:space="preserve"> </w:t>
      </w:r>
      <w:r>
        <w:t xml:space="preserve">the contribution of high-quality international carbon credits to the target. However, there</w:t>
      </w:r>
      <w:r>
        <w:t xml:space="preserve"> </w:t>
      </w:r>
      <w:r>
        <w:t xml:space="preserve">will still be residual emissions in industry, aviation and maritime that need to be abated</w:t>
      </w:r>
      <w:r>
        <w:t xml:space="preserve"> </w:t>
      </w:r>
      <w:r>
        <w:t xml:space="preserve">in order to respect the carbon budget and target that are given by the cap trajectory.</w:t>
      </w:r>
      <w:r>
        <w:t xml:space="preserve"> </w:t>
      </w:r>
      <w:r>
        <w:t xml:space="preserve">• The following sub-driver has been identified:</w:t>
      </w:r>
      <w:r>
        <w:t xml:space="preserve"> </w:t>
      </w:r>
      <w:r>
        <w:t xml:space="preserve">o D1.1 (P9+10) CO2 generation is currently unavoidable for certain activities</w:t>
      </w:r>
      <w:r>
        <w:t xml:space="preserve"> </w:t>
      </w:r>
      <w:r>
        <w:t xml:space="preserve">Certain activities do not currently have technological viable alternatives</w:t>
      </w:r>
      <w:r>
        <w:t xml:space="preserve"> </w:t>
      </w:r>
      <w:r>
        <w:t xml:space="preserve">allowing them to continue without generating CO2 emissions49.</w:t>
      </w:r>
      <w:r>
        <w:br/>
      </w:r>
      <w:r>
        <w:t xml:space="preserve">o D1.2 (P1) Lack of funding mechanisms of sufficient duration and magnitude to</w:t>
      </w:r>
      <w:r>
        <w:t xml:space="preserve"> </w:t>
      </w:r>
      <w:r>
        <w:t xml:space="preserve">support the business case for industrial decarbonisations and thus investments50.</w:t>
      </w:r>
      <w:r>
        <w:t xml:space="preserve"> </w:t>
      </w:r>
      <w:r>
        <w:t xml:space="preserve">In this case, ETS risks leading to GHG emissions reductions mainly through a</w:t>
      </w:r>
      <w:r>
        <w:t xml:space="preserve"> </w:t>
      </w:r>
      <w:r>
        <w:t xml:space="preserve">decrease in production levels rather than by a decrease in carbon emissions</w:t>
      </w:r>
      <w:r>
        <w:t xml:space="preserve"> </w:t>
      </w:r>
      <w:r>
        <w:t xml:space="preserve">intensity of industrial activities.</w:t>
      </w:r>
      <w:r>
        <w:br/>
      </w:r>
      <w:r>
        <w:t xml:space="preserve">Today and in the near future, the carbon price signal and regulatory measures</w:t>
      </w:r>
      <w:r>
        <w:t xml:space="preserve"> </w:t>
      </w:r>
      <w:r>
        <w:t xml:space="preserve">are perceived as not sufficient on their own to firmly enable the business case</w:t>
      </w:r>
      <w:r>
        <w:t xml:space="preserve"> </w:t>
      </w:r>
      <w:r>
        <w:t xml:space="preserve">for investments in decarbonisation technologies for industries. In the absence of</w:t>
      </w:r>
      <w:r>
        <w:t xml:space="preserve"> </w:t>
      </w:r>
      <w:r>
        <w:t xml:space="preserve">large (in terms of budget and duration) funding mechanism driven by the public</w:t>
      </w:r>
      <w:r>
        <w:t xml:space="preserve"> </w:t>
      </w:r>
      <w:r>
        <w:t xml:space="preserve">sector, private investments alone will not deliver the industrial decarbonisation</w:t>
      </w:r>
    </w:p>
    <w:p>
      <w:pPr>
        <w:pStyle w:val="FirstParagraph"/>
      </w:pPr>
      <w:r>
        <w:t xml:space="preserve">49 We can distinguish three main cases:</w:t>
      </w:r>
      <w:r>
        <w:t xml:space="preserve"> </w:t>
      </w:r>
      <w:r>
        <w:t xml:space="preserve">▪</w:t>
      </w:r>
      <w:r>
        <w:t xml:space="preserve"> </w:t>
      </w:r>
      <w:r>
        <w:t xml:space="preserve">Industrial process emissions where the chemical reactions of the process generate CO2, such as in the</w:t>
      </w:r>
      <w:r>
        <w:t xml:space="preserve"> </w:t>
      </w:r>
      <w:r>
        <w:t xml:space="preserve">calcination of limestone (a carbonate) to produce clinker, which is the basis of cement. Emissions will need</w:t>
      </w:r>
      <w:r>
        <w:t xml:space="preserve"> </w:t>
      </w:r>
      <w:r>
        <w:t xml:space="preserve">to be captured either for reuse in products (CCU) or to be permanently stored (CCS).</w:t>
      </w:r>
      <w:r>
        <w:t xml:space="preserve"> </w:t>
      </w:r>
      <w:r>
        <w:t xml:space="preserve">▪</w:t>
      </w:r>
      <w:r>
        <w:t xml:space="preserve"> </w:t>
      </w:r>
      <w:r>
        <w:t xml:space="preserve">Production of organic chemicals, which cannot be decarbonised because they are carbon-based. Fossil-derived</w:t>
      </w:r>
      <w:r>
        <w:t xml:space="preserve"> </w:t>
      </w:r>
      <w:r>
        <w:t xml:space="preserve">feedstocks will need to be replaced with alternative sources of carbon (from biomass, recycling or captured</w:t>
      </w:r>
      <w:r>
        <w:t xml:space="preserve"> </w:t>
      </w:r>
      <w:r>
        <w:t xml:space="preserve">carbon) to produce these chemicals, both to reduce process emissions in their production and at avoid fossil</w:t>
      </w:r>
      <w:r>
        <w:t xml:space="preserve"> </w:t>
      </w:r>
      <w:r>
        <w:t xml:space="preserve">emissions from the use or end-of-life treatment of such products.</w:t>
      </w:r>
      <w:r>
        <w:br/>
      </w:r>
      <w:r>
        <w:t xml:space="preserve">▪</w:t>
      </w:r>
      <w:r>
        <w:t xml:space="preserve"> </w:t>
      </w:r>
      <w:r>
        <w:t xml:space="preserve">Processes where fossil energy cannot currently be replaced by electricity (e.g. long-haul aviation or certain</w:t>
      </w:r>
      <w:r>
        <w:t xml:space="preserve"> </w:t>
      </w:r>
      <w:r>
        <w:t xml:space="preserve">high-heat industrial processes) and will therefore continue to rely on the combustion of fuels. Where no</w:t>
      </w:r>
      <w:r>
        <w:t xml:space="preserve"> </w:t>
      </w:r>
      <w:r>
        <w:t xml:space="preserve">alternative modes of transport (e.g. train instead of flight) or replacement products are possible (e.g. wood</w:t>
      </w:r>
      <w:r>
        <w:t xml:space="preserve"> </w:t>
      </w:r>
      <w:r>
        <w:t xml:space="preserve">construction materials instead concrete or steel), fossil fuel combustion will need to be replaced with</w:t>
      </w:r>
      <w:r>
        <w:t xml:space="preserve"> </w:t>
      </w:r>
      <w:r>
        <w:t xml:space="preserve">alternative fuels, such as renewable fuels of non-biological origin (RFNBOs).</w:t>
      </w:r>
      <w:r>
        <w:t xml:space="preserve"> </w:t>
      </w:r>
      <w:r>
        <w:t xml:space="preserve">▪</w:t>
      </w:r>
      <w:r>
        <w:t xml:space="preserve"> </w:t>
      </w:r>
      <w:r>
        <w:t xml:space="preserve">Processes where fossil energy cannot currently be replaced by electricity (e.g. long-haul aviation or certain</w:t>
      </w:r>
      <w:r>
        <w:t xml:space="preserve"> </w:t>
      </w:r>
      <w:r>
        <w:t xml:space="preserve">high-heat industrial processes) and will therefore continue to rely on the combustion of fuels. Where no</w:t>
      </w:r>
      <w:r>
        <w:t xml:space="preserve"> </w:t>
      </w:r>
      <w:r>
        <w:t xml:space="preserve">alternative modes of transport (e.g. train instead of flight) or replacement products are possible (e.g. wood</w:t>
      </w:r>
      <w:r>
        <w:t xml:space="preserve"> </w:t>
      </w:r>
      <w:r>
        <w:t xml:space="preserve">construction materials instead concrete or steel), fossil fuel combustion will need to be replaced with</w:t>
      </w:r>
      <w:r>
        <w:t xml:space="preserve"> </w:t>
      </w:r>
      <w:r>
        <w:t xml:space="preserve">alternative fuels, such as renewable fuels of non-biological origin (RFNBOs).</w:t>
      </w:r>
      <w:r>
        <w:t xml:space="preserve"> </w:t>
      </w:r>
      <w:r>
        <w:t xml:space="preserve">50 In scenarios for reaching the 2040 climate target, investment needs are estimated at approximately EUR 30-</w:t>
      </w:r>
      <w:r>
        <w:t xml:space="preserve"> </w:t>
      </w:r>
      <w:r>
        <w:t xml:space="preserve">50 billion annually between 2031 and 2040 for industry (around EUR 25-40 bn for energy-intensive</w:t>
      </w:r>
      <w:r>
        <w:t xml:space="preserve"> </w:t>
      </w:r>
      <w:r>
        <w:t xml:space="preserve">industries).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at the scale and within the time needed for achieving climate neutrality by 2050.</w:t>
      </w:r>
      <w:r>
        <w:t xml:space="preserve"> </w:t>
      </w:r>
      <w:r>
        <w:t xml:space="preserve">Different State aid support mechanism are addressing this problem on the</w:t>
      </w:r>
      <w:r>
        <w:t xml:space="preserve"> </w:t>
      </w:r>
      <w:r>
        <w:t xml:space="preserve">national level but not sufficiently. Ideally, the funding mechanism needs to</w:t>
      </w:r>
      <w:r>
        <w:t xml:space="preserve"> </w:t>
      </w:r>
      <w:r>
        <w:t xml:space="preserve">operate on the EU level to avoid the risk of fragmented investments amongst the</w:t>
      </w:r>
      <w:r>
        <w:t xml:space="preserve"> </w:t>
      </w:r>
      <w:r>
        <w:t xml:space="preserve">Member States.</w:t>
      </w:r>
      <w:r>
        <w:br/>
      </w:r>
      <w:r>
        <w:t xml:space="preserve">Lack of or delayed investments in industrial decarbonisation would put the</w:t>
      </w:r>
      <w:r>
        <w:t xml:space="preserve"> </w:t>
      </w:r>
      <w:r>
        <w:t xml:space="preserve">decarbonisation pathway in peril and lead to EU industry falling behind global</w:t>
      </w:r>
      <w:r>
        <w:t xml:space="preserve"> </w:t>
      </w:r>
      <w:r>
        <w:t xml:space="preserve">competitors who can be faster in adopting cleaner technologies. Beyond losing</w:t>
      </w:r>
      <w:r>
        <w:t xml:space="preserve"> </w:t>
      </w:r>
      <w:r>
        <w:t xml:space="preserve">the current market shares, a technological lag could result in European industries</w:t>
      </w:r>
      <w:r>
        <w:t xml:space="preserve"> </w:t>
      </w:r>
      <w:r>
        <w:t xml:space="preserve">being less adaptable to future disruptions and demands and on macro-economic</w:t>
      </w:r>
      <w:r>
        <w:t xml:space="preserve"> </w:t>
      </w:r>
      <w:r>
        <w:t xml:space="preserve">level and make the EU lose out on opportunities for growth and leadership in</w:t>
      </w:r>
      <w:r>
        <w:t xml:space="preserve"> </w:t>
      </w:r>
      <w:r>
        <w:t xml:space="preserve">nascent markets and emerging sectors of the economy.</w:t>
      </w:r>
      <w:r>
        <w:br/>
      </w:r>
      <w:r>
        <w:t xml:space="preserve">In addition, there is lack of funding for the roll-out of mature low-carbon</w:t>
      </w:r>
      <w:r>
        <w:t xml:space="preserve"> </w:t>
      </w:r>
      <w:r>
        <w:t xml:space="preserve">technologies in low-income Member States. These are usually more carbon-</w:t>
      </w:r>
      <w:r>
        <w:t xml:space="preserve"> </w:t>
      </w:r>
      <w:r>
        <w:t xml:space="preserve">intensive, with energy mixes still largely relying on fossil fuel.</w:t>
      </w:r>
      <w:r>
        <w:t xml:space="preserve"> </w:t>
      </w:r>
      <w:r>
        <w:t xml:space="preserve">o D1.3 (P2) For some ETS activities, such as the refining of fuels or the production</w:t>
      </w:r>
      <w:r>
        <w:t xml:space="preserve"> </w:t>
      </w:r>
      <w:r>
        <w:t xml:space="preserve">of bulk organic chemicals, the ETS requires the surrender of allowances only</w:t>
      </w:r>
      <w:r>
        <w:t xml:space="preserve"> </w:t>
      </w:r>
      <w:r>
        <w:t xml:space="preserve">for the energy and process (scope 1) emissions and not for the carbon content of</w:t>
      </w:r>
      <w:r>
        <w:t xml:space="preserve"> </w:t>
      </w:r>
      <w:r>
        <w:t xml:space="preserve">the chemicals, plastics, or fuels produced. However, under the current rules,</w:t>
      </w:r>
      <w:r>
        <w:t xml:space="preserve"> </w:t>
      </w:r>
      <w:r>
        <w:t xml:space="preserve">CCU requires the payment for the emissions captured and embedded in any</w:t>
      </w:r>
      <w:r>
        <w:t xml:space="preserve"> </w:t>
      </w:r>
      <w:r>
        <w:t xml:space="preserve">product that does not meet the permanence criteria. This situation leads to a lack</w:t>
      </w:r>
      <w:r>
        <w:t xml:space="preserve"> </w:t>
      </w:r>
      <w:r>
        <w:t xml:space="preserve">of level playing field between the traditional petrochemicals and alternative</w:t>
      </w:r>
      <w:r>
        <w:t xml:space="preserve"> </w:t>
      </w:r>
      <w:r>
        <w:t xml:space="preserve">chemicals and materials based on captured carbon.</w:t>
      </w:r>
      <w:r>
        <w:br/>
      </w:r>
      <w:r>
        <w:t xml:space="preserve">With the integration of waste incineration into the ETS, the embedded fossil</w:t>
      </w:r>
      <w:r>
        <w:t xml:space="preserve"> </w:t>
      </w:r>
      <w:r>
        <w:t xml:space="preserve">feedstock in chemicals and materials would also be subject to carbon pricing at</w:t>
      </w:r>
      <w:r>
        <w:t xml:space="preserve"> </w:t>
      </w:r>
      <w:r>
        <w:t xml:space="preserve">the point when that carbon is released from the product at the point incineration.</w:t>
      </w:r>
      <w:r>
        <w:t xml:space="preserve"> </w:t>
      </w:r>
      <w:r>
        <w:t xml:space="preserve">However, without a change in the CCU rules, the emissions embedded in non-</w:t>
      </w:r>
      <w:r>
        <w:t xml:space="preserve"> </w:t>
      </w:r>
      <w:r>
        <w:t xml:space="preserve">permanent products would be paid twice: once when captured (unless they meet</w:t>
      </w:r>
      <w:r>
        <w:t xml:space="preserve"> </w:t>
      </w:r>
      <w:r>
        <w:t xml:space="preserve">the permanence requirement) and a second time at the end of life when</w:t>
      </w:r>
      <w:r>
        <w:t xml:space="preserve"> </w:t>
      </w:r>
      <w:r>
        <w:t xml:space="preserve">incinerated. This leads to a double counting/pricing of emissions, which results</w:t>
      </w:r>
      <w:r>
        <w:t xml:space="preserve"> </w:t>
      </w:r>
      <w:r>
        <w:t xml:space="preserve">an inefficient reduction of emissions.</w:t>
      </w:r>
      <w:r>
        <w:t xml:space="preserve"> </w:t>
      </w:r>
      <w:r>
        <w:t xml:space="preserve">• D2: Lack of internalisation of the climate impact (insufficient carbon price signal).</w:t>
      </w:r>
      <w:r>
        <w:t xml:space="preserve"> </w:t>
      </w:r>
      <w:r>
        <w:t xml:space="preserve">The reason for putting a price on carbon emissions is to trigger a behavioural and</w:t>
      </w:r>
      <w:r>
        <w:t xml:space="preserve"> </w:t>
      </w:r>
      <w:r>
        <w:t xml:space="preserve">investment change that should result in reduced emissions in line with the climate</w:t>
      </w:r>
      <w:r>
        <w:t xml:space="preserve"> </w:t>
      </w:r>
      <w:r>
        <w:t xml:space="preserve">change mitigation pathway. The price signal of the EU ETS adds to the cost of activities</w:t>
      </w:r>
      <w:r>
        <w:t xml:space="preserve"> </w:t>
      </w:r>
      <w:r>
        <w:t xml:space="preserve">that generate greenhouse gases,</w:t>
      </w:r>
      <w:r>
        <w:t xml:space="preserve"> </w:t>
      </w:r>
      <w:r>
        <w:t xml:space="preserve">‘internalising’</w:t>
      </w:r>
      <w:r>
        <w:t xml:space="preserve"> </w:t>
      </w:r>
      <w:r>
        <w:t xml:space="preserve">the harmful effect on the environment,</w:t>
      </w:r>
      <w:r>
        <w:t xml:space="preserve"> </w:t>
      </w:r>
      <w:r>
        <w:t xml:space="preserve">known as</w:t>
      </w:r>
      <w:r>
        <w:t xml:space="preserve"> </w:t>
      </w:r>
      <w:r>
        <w:t xml:space="preserve">‘negative externalities’</w:t>
      </w:r>
      <w:r>
        <w:t xml:space="preserve">, in accordance with the</w:t>
      </w:r>
      <w:r>
        <w:t xml:space="preserve"> </w:t>
      </w:r>
      <w:r>
        <w:t xml:space="preserve">‘polluter pays’</w:t>
      </w:r>
      <w:r>
        <w:t xml:space="preserve"> </w:t>
      </w:r>
      <w:r>
        <w:t xml:space="preserve">principle. As</w:t>
      </w:r>
      <w:r>
        <w:t xml:space="preserve"> </w:t>
      </w:r>
      <w:r>
        <w:t xml:space="preserve">shown in the Evaluation Report (see Annex 15, section 4.2.1.2), the ETS price has</w:t>
      </w:r>
      <w:r>
        <w:t xml:space="preserve"> </w:t>
      </w:r>
      <w:r>
        <w:t xml:space="preserve">resulted in the internalisation of a significant share of the external climate costs, in</w:t>
      </w:r>
      <w:r>
        <w:t xml:space="preserve"> </w:t>
      </w:r>
      <w:r>
        <w:t xml:space="preserve">particular for the power sector, reflecting the early phase out of free allocation the the</w:t>
      </w:r>
      <w:r>
        <w:t xml:space="preserve"> </w:t>
      </w:r>
      <w:r>
        <w:t xml:space="preserve">cost pass-through to the electricity price. When the EU ETS does not cover certain</w:t>
      </w:r>
      <w:r>
        <w:t xml:space="preserve"> </w:t>
      </w:r>
      <w:r>
        <w:t xml:space="preserve">activities, it does not play a role in the internalisation of their carbon cost. As a result,</w:t>
      </w:r>
      <w:r>
        <w:t xml:space="preserve"> </w:t>
      </w:r>
      <w:r>
        <w:t xml:space="preserve">they may lack the incentive to reduce their emissions, unless other regulatory measures</w:t>
      </w:r>
      <w:r>
        <w:t xml:space="preserve"> </w:t>
      </w:r>
      <w:r>
        <w:t xml:space="preserve">require the reductions (targets or prohibitions). In the case of municipal waste</w:t>
      </w:r>
      <w:r>
        <w:t xml:space="preserve"> </w:t>
      </w:r>
      <w:r>
        <w:t xml:space="preserve">incineration, GHG emissions have continuously increased by approximately 300%</w:t>
      </w:r>
      <w:r>
        <w:t xml:space="preserve"> </w:t>
      </w:r>
      <w:r>
        <w:t xml:space="preserve">since 1990. Despite being covered under the Effort Sharing Regulation since 2021, few</w:t>
      </w:r>
      <w:r>
        <w:t xml:space="preserve"> </w:t>
      </w:r>
      <w:r>
        <w:t xml:space="preserve">Member States have implemented decarbonisation measures, and the sector is not on</w:t>
      </w:r>
      <w:r>
        <w:t xml:space="preserve"> </w:t>
      </w:r>
      <w:r>
        <w:t xml:space="preserve">track to contribute to the Union’s economy-wide decarbonisation targets in 2040 and</w:t>
      </w:r>
      <w:r>
        <w:t xml:space="preserve"> </w:t>
      </w:r>
      <w:r>
        <w:t xml:space="preserve">2050. Similarly, measures to address carbon leakage (assigning allowances free of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charge and allowing compensation for indirect emission costs) can also dampen the</w:t>
      </w:r>
      <w:r>
        <w:t xml:space="preserve"> </w:t>
      </w:r>
      <w:r>
        <w:t xml:space="preserve">carbon price signal and reduce incentives to decarbonise, as approximately 80-90% of</w:t>
      </w:r>
      <w:r>
        <w:t xml:space="preserve"> </w:t>
      </w:r>
      <w:r>
        <w:t xml:space="preserve">the verified emissions of industry have remained covered by free allocation during the</w:t>
      </w:r>
      <w:r>
        <w:t xml:space="preserve"> </w:t>
      </w:r>
      <w:r>
        <w:t xml:space="preserve">first part of Phase IV of the EU ETS. This is confirmed by the findings of the evaluation,</w:t>
      </w:r>
      <w:r>
        <w:t xml:space="preserve"> </w:t>
      </w:r>
      <w:r>
        <w:t xml:space="preserve">which indicates, based on literature review, that the effect of the EU ETS prices on</w:t>
      </w:r>
      <w:r>
        <w:t xml:space="preserve"> </w:t>
      </w:r>
      <w:r>
        <w:t xml:space="preserve">carbon efficiency and emissions reduction is more pronounced for sectors transitioning</w:t>
      </w:r>
      <w:r>
        <w:t xml:space="preserve"> </w:t>
      </w:r>
      <w:r>
        <w:t xml:space="preserve">away from free allocation and into auctioning. This suggests that when sectors bear the</w:t>
      </w:r>
      <w:r>
        <w:t xml:space="preserve"> </w:t>
      </w:r>
      <w:r>
        <w:t xml:space="preserve">direct cost of their emissions, the incentives for them to reduce emissions is higher and</w:t>
      </w:r>
      <w:r>
        <w:t xml:space="preserve"> </w:t>
      </w:r>
      <w:r>
        <w:t xml:space="preserve">that a 1% increase in ETS prices leads to an improvement of carbon efficiency by 0.04%</w:t>
      </w:r>
      <w:r>
        <w:t xml:space="preserve"> </w:t>
      </w:r>
      <w:r>
        <w:t xml:space="preserve">and a decrease in emissions of 0.05% in regulated sectors51 (see Annex 15, section</w:t>
      </w:r>
      <w:r>
        <w:t xml:space="preserve"> </w:t>
      </w:r>
      <w:r>
        <w:t xml:space="preserve">4.1.1.1.2.).</w:t>
      </w:r>
      <w:r>
        <w:t xml:space="preserve"> </w:t>
      </w:r>
      <w:r>
        <w:t xml:space="preserve">The following sub-drivers have been identified:</w:t>
      </w:r>
      <w:r>
        <w:t xml:space="preserve"> </w:t>
      </w:r>
      <w:r>
        <w:t xml:space="preserve">o D2.1 (P3) Free allocation and compensation for indirect carbon costs</w:t>
      </w:r>
      <w:r>
        <w:t xml:space="preserve"> </w:t>
      </w:r>
      <w:r>
        <w:t xml:space="preserve">(ICC)dampen the carbon price signal.</w:t>
      </w:r>
      <w:r>
        <w:br/>
      </w:r>
      <w:r>
        <w:t xml:space="preserve">Free allocation to specific sectors is based on performance benchmarks and</w:t>
      </w:r>
      <w:r>
        <w:t xml:space="preserve"> </w:t>
      </w:r>
      <w:r>
        <w:t xml:space="preserve">activity levels. Benchmarks are reduced incrementally to encourage companies</w:t>
      </w:r>
      <w:r>
        <w:t xml:space="preserve"> </w:t>
      </w:r>
      <w:r>
        <w:t xml:space="preserve">in each sector to decarbonise and advance innovation. Installations that are</w:t>
      </w:r>
      <w:r>
        <w:t xml:space="preserve"> </w:t>
      </w:r>
      <w:r>
        <w:t xml:space="preserve">below their benchmarks will receive more allowances than required for</w:t>
      </w:r>
      <w:r>
        <w:t xml:space="preserve"> </w:t>
      </w:r>
      <w:r>
        <w:t xml:space="preserve">compliance, which can be monetised on the carbon market. Therefore, the use</w:t>
      </w:r>
      <w:r>
        <w:t xml:space="preserve"> </w:t>
      </w:r>
      <w:r>
        <w:t xml:space="preserve">of benchmarks therefore incentivises innovation to lower emissions intensity</w:t>
      </w:r>
      <w:r>
        <w:t xml:space="preserve"> </w:t>
      </w:r>
      <w:r>
        <w:t xml:space="preserve">production. Nevertheless, free allocation that covers a significant share of the</w:t>
      </w:r>
      <w:r>
        <w:t xml:space="preserve"> </w:t>
      </w:r>
      <w:r>
        <w:t xml:space="preserve">emissions of the respective allocation dampens the carbon price signal to a</w:t>
      </w:r>
      <w:r>
        <w:t xml:space="preserve"> </w:t>
      </w:r>
      <w:r>
        <w:t xml:space="preserve">degree. This factor, combined with high abatement costs for industrial sectors in</w:t>
      </w:r>
      <w:r>
        <w:t xml:space="preserve"> </w:t>
      </w:r>
      <w:r>
        <w:t xml:space="preserve">the order hundreds of euro per tonne of abated CO2 reduces the incentives for</w:t>
      </w:r>
      <w:r>
        <w:t xml:space="preserve"> </w:t>
      </w:r>
      <w:r>
        <w:t xml:space="preserve">emission abatement in the respective sectors.</w:t>
      </w:r>
      <w:r>
        <w:t xml:space="preserve"> </w:t>
      </w:r>
      <w:r>
        <w:t xml:space="preserve">While ICC compensation also dampens the price signal, electro-intensive</w:t>
      </w:r>
      <w:r>
        <w:t xml:space="preserve"> </w:t>
      </w:r>
      <w:r>
        <w:t xml:space="preserve">industries cannot necessarily influence the associated emissions cost themselves</w:t>
      </w:r>
      <w:r>
        <w:t xml:space="preserve"> </w:t>
      </w:r>
      <w:r>
        <w:t xml:space="preserve">since it is passed on indirectly through electricity bills. The pass through of this</w:t>
      </w:r>
      <w:r>
        <w:t xml:space="preserve"> </w:t>
      </w:r>
      <w:r>
        <w:t xml:space="preserve">price signal can also disincentivise industrial electrification, especially when</w:t>
      </w:r>
      <w:r>
        <w:t xml:space="preserve"> </w:t>
      </w:r>
      <w:r>
        <w:t xml:space="preserve">free allocation is available to non-electrified processes.</w:t>
      </w:r>
      <w:r>
        <w:br/>
      </w:r>
      <w:r>
        <w:t xml:space="preserve">o D2.2 (P8) Current regulations exempt small installations under 20MW</w:t>
      </w:r>
      <w:r>
        <w:t xml:space="preserve"> </w:t>
      </w:r>
      <w:r>
        <w:t xml:space="preserve">The thresholds for activities in Annex I, especially the 20 MW rated thermal</w:t>
      </w:r>
      <w:r>
        <w:t xml:space="preserve"> </w:t>
      </w:r>
      <w:r>
        <w:t xml:space="preserve">input capacity for combustion of fuels, were established considering the</w:t>
      </w:r>
      <w:r>
        <w:t xml:space="preserve"> </w:t>
      </w:r>
      <w:r>
        <w:t xml:space="preserve">relatively high compliance costs for smaller installations, such as monitoring,</w:t>
      </w:r>
      <w:r>
        <w:t xml:space="preserve"> </w:t>
      </w:r>
      <w:r>
        <w:t xml:space="preserve">verification, registry fees, and administrative burden, which can outweigh the</w:t>
      </w:r>
      <w:r>
        <w:t xml:space="preserve"> </w:t>
      </w:r>
      <w:r>
        <w:t xml:space="preserve">environmental benefits of participating in ETS.</w:t>
      </w:r>
      <w:r>
        <w:br/>
      </w:r>
      <w:r>
        <w:t xml:space="preserve">In 2027, the ETS2 applies and small emitters that are not under the EU ETS will</w:t>
      </w:r>
      <w:r>
        <w:t xml:space="preserve"> </w:t>
      </w:r>
      <w:r>
        <w:t xml:space="preserve">pay the carbon costs of their fuel use. However, process emissions of small</w:t>
      </w:r>
      <w:r>
        <w:t xml:space="preserve"> </w:t>
      </w:r>
      <w:r>
        <w:t xml:space="preserve">industry will not be covered. It is therefore legitimate to consider the</w:t>
      </w:r>
      <w:r>
        <w:t xml:space="preserve"> </w:t>
      </w:r>
      <w:r>
        <w:t xml:space="preserve">environmental impact of those exclusions, the case for maintaining simple rules,</w:t>
      </w:r>
      <w:r>
        <w:t xml:space="preserve"> </w:t>
      </w:r>
      <w:r>
        <w:t xml:space="preserve">and the administrative burden for all parties involved in the compliance cycle;</w:t>
      </w:r>
      <w:r>
        <w:t xml:space="preserve"> </w:t>
      </w:r>
      <w:r>
        <w:t xml:space="preserve">operators, Member States and Commission.</w:t>
      </w:r>
    </w:p>
    <w:p>
      <w:pPr>
        <w:pStyle w:val="BodyText"/>
      </w:pPr>
      <w:r>
        <w:t xml:space="preserve">51 Jan Eric Hagendorna , Benjamin Hattemerb , Fotios Kalantzis, EIB, 2024.“A positive trade-off: Emissions</w:t>
      </w:r>
      <w:r>
        <w:t xml:space="preserve"> </w:t>
      </w:r>
      <w:r>
        <w:t xml:space="preserve">reduction and costs under Phase IV of the Emissions Trading System”,</w:t>
      </w:r>
      <w:r>
        <w:t xml:space="preserve"> </w:t>
      </w:r>
      <w:r>
        <w:t xml:space="preserve">https://www.eib.org/attachments/lucalli/20240297_economics_working_paper_2024_05_en.pdf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o D2.3 (P4) Lack of equivalent GHG pricing signal for maritime emissions in</w:t>
      </w:r>
      <w:r>
        <w:t xml:space="preserve"> </w:t>
      </w:r>
      <w:r>
        <w:t xml:space="preserve">neighbouring non-EU countries leading to a possible risk of evasion (including</w:t>
      </w:r>
      <w:r>
        <w:t xml:space="preserve"> </w:t>
      </w:r>
      <w:r>
        <w:t xml:space="preserve">via relocation of transhipment activities).</w:t>
      </w:r>
      <w:r>
        <w:t xml:space="preserve"> </w:t>
      </w:r>
      <w:r>
        <w:t xml:space="preserve">Evasive behaviours could undermine the overall environmental integrity of the</w:t>
      </w:r>
      <w:r>
        <w:t xml:space="preserve"> </w:t>
      </w:r>
      <w:r>
        <w:t xml:space="preserve">ETS as shipping companies engaged in such circumvention strategies would</w:t>
      </w:r>
      <w:r>
        <w:t xml:space="preserve"> </w:t>
      </w:r>
      <w:r>
        <w:t xml:space="preserve">surrender fewer allowances, while not actually reducing their emissions. In some</w:t>
      </w:r>
      <w:r>
        <w:t xml:space="preserve"> </w:t>
      </w:r>
      <w:r>
        <w:t xml:space="preserve">cases, these operational adjustments could also reduce the traffic and</w:t>
      </w:r>
      <w:r>
        <w:t xml:space="preserve"> </w:t>
      </w:r>
      <w:r>
        <w:t xml:space="preserve">connectivity of certain EU ports (e.g. container transhipment hubs, offshore</w:t>
      </w:r>
      <w:r>
        <w:t xml:space="preserve"> </w:t>
      </w:r>
      <w:r>
        <w:t xml:space="preserve">operations) leading to possibly broader negative wider macroeconomic</w:t>
      </w:r>
      <w:r>
        <w:t xml:space="preserve"> </w:t>
      </w:r>
      <w:r>
        <w:t xml:space="preserve">implications. Due to the end of the phase-in approach in 2026 and the absence</w:t>
      </w:r>
      <w:r>
        <w:t xml:space="preserve"> </w:t>
      </w:r>
      <w:r>
        <w:t xml:space="preserve">of any global measure, the risk of evasion is expected to remain in the short-</w:t>
      </w:r>
      <w:r>
        <w:t xml:space="preserve"> </w:t>
      </w:r>
      <w:r>
        <w:t xml:space="preserve">term.</w:t>
      </w:r>
      <w:r>
        <w:t xml:space="preserve"> </w:t>
      </w:r>
      <w:r>
        <w:t xml:space="preserve">o D2.4 (P6/7/8) Limited scope of aviation and maritime</w:t>
      </w:r>
      <w:r>
        <w:t xml:space="preserve"> </w:t>
      </w:r>
      <w:r>
        <w:t xml:space="preserve">For aviation, the EU ETS geographical scope is limited until January 2027 to</w:t>
      </w:r>
      <w:r>
        <w:t xml:space="preserve"> </w:t>
      </w:r>
      <w:r>
        <w:t xml:space="preserve">only intra-EEA flights and departing flights to Switzerland and the UK. The</w:t>
      </w:r>
      <w:r>
        <w:t xml:space="preserve"> </w:t>
      </w:r>
      <w:r>
        <w:t xml:space="preserve">internalisation of the climate impact is driven by the quality and implementation</w:t>
      </w:r>
      <w:r>
        <w:t xml:space="preserve"> </w:t>
      </w:r>
      <w:r>
        <w:t xml:space="preserve">of international measures, or alternatively by applying an effective carbon price</w:t>
      </w:r>
      <w:r>
        <w:t xml:space="preserve"> </w:t>
      </w:r>
      <w:r>
        <w:t xml:space="preserve">to the EU’s fair share of these emissions.</w:t>
      </w:r>
      <w:r>
        <w:br/>
      </w:r>
      <w:r>
        <w:t xml:space="preserve">The aviation EU ETS also currently exempts certain operators as defined in</w:t>
      </w:r>
      <w:r>
        <w:t xml:space="preserve"> </w:t>
      </w:r>
      <w:r>
        <w:t xml:space="preserve">Annex 1, (h) and (k) of the Directive with low aviation activity, however these</w:t>
      </w:r>
      <w:r>
        <w:t xml:space="preserve"> </w:t>
      </w:r>
      <w:r>
        <w:t xml:space="preserve">exemptions cover mostly private or business jets, meaning there is currently no</w:t>
      </w:r>
      <w:r>
        <w:t xml:space="preserve"> </w:t>
      </w:r>
      <w:r>
        <w:t xml:space="preserve">carbon price signal for those flights. The reason for these provisions is the</w:t>
      </w:r>
      <w:r>
        <w:t xml:space="preserve"> </w:t>
      </w:r>
      <w:r>
        <w:t xml:space="preserve">compliance cost for monitoring, verification, and registry fees, which can</w:t>
      </w:r>
      <w:r>
        <w:t xml:space="preserve"> </w:t>
      </w:r>
      <w:r>
        <w:t xml:space="preserve">outweigh the environmental benefits of participating in ETS. In 2027, the ETS2</w:t>
      </w:r>
      <w:r>
        <w:t xml:space="preserve"> </w:t>
      </w:r>
      <w:r>
        <w:t xml:space="preserve">will apply essentially covering citizens by EU ETS, this underlines the need for</w:t>
      </w:r>
      <w:r>
        <w:t xml:space="preserve"> </w:t>
      </w:r>
      <w:r>
        <w:t xml:space="preserve">inclusion of private and business aviation who should pay their fair share. The</w:t>
      </w:r>
      <w:r>
        <w:t xml:space="preserve"> </w:t>
      </w:r>
      <w:r>
        <w:t xml:space="preserve">administrative burden for all parties involved in the compliance cycle would be</w:t>
      </w:r>
      <w:r>
        <w:t xml:space="preserve"> </w:t>
      </w:r>
      <w:r>
        <w:t xml:space="preserve">minimized by simplification measures.</w:t>
      </w:r>
      <w:r>
        <w:br/>
      </w:r>
      <w:r>
        <w:t xml:space="preserve">For maritime, small ships, including offshore vessels, with a gross tonnage</w:t>
      </w:r>
      <w:r>
        <w:t xml:space="preserve"> </w:t>
      </w:r>
      <w:r>
        <w:t xml:space="preserve">between 400 and 4 999 gross tonnage, are not covered under the ETS and do not</w:t>
      </w:r>
      <w:r>
        <w:t xml:space="preserve"> </w:t>
      </w:r>
      <w:r>
        <w:t xml:space="preserve">internalise the harmful effect of their EU-related emissions on the environment.</w:t>
      </w:r>
      <w:r>
        <w:t xml:space="preserve"> </w:t>
      </w:r>
      <w:r>
        <w:t xml:space="preserve">As a result, they lack economic incentives to reduce their emissions.</w:t>
      </w:r>
      <w:r>
        <w:br/>
      </w:r>
      <w:r>
        <w:t xml:space="preserve">o D2.4(P5) No coverage of waste emissions</w:t>
      </w:r>
      <w:r>
        <w:t xml:space="preserve"> </w:t>
      </w:r>
      <w:r>
        <w:t xml:space="preserve">Emissions from waste management are subject to the national emission</w:t>
      </w:r>
      <w:r>
        <w:t xml:space="preserve"> </w:t>
      </w:r>
      <w:r>
        <w:t xml:space="preserve">reduction targets under the Effort Sharing Regulation, with incineration</w:t>
      </w:r>
      <w:r>
        <w:t xml:space="preserve"> </w:t>
      </w:r>
      <w:r>
        <w:t xml:space="preserve">(with/without energy recovery and landfilling being the main sources).</w:t>
      </w:r>
      <w:r>
        <w:t xml:space="preserve"> </w:t>
      </w:r>
      <w:r>
        <w:t xml:space="preserve">Measures to reduce emissions and promote circularity vary widely between</w:t>
      </w:r>
      <w:r>
        <w:t xml:space="preserve"> </w:t>
      </w:r>
      <w:r>
        <w:t xml:space="preserve">Member States, which results in an uneven application of the polluter pays</w:t>
      </w:r>
      <w:r>
        <w:t xml:space="preserve"> </w:t>
      </w:r>
      <w:r>
        <w:t xml:space="preserve">principle and a limited progress towards emission reductions but also circularity.</w:t>
      </w:r>
      <w:r>
        <w:br/>
      </w:r>
      <w:r>
        <w:t xml:space="preserve">• D3: International carbon pricing measures in transport. In terms of interaction</w:t>
      </w:r>
      <w:r>
        <w:t xml:space="preserve"> </w:t>
      </w:r>
      <w:r>
        <w:t xml:space="preserve">between the implementation of the ETS and the implementation of global measures to</w:t>
      </w:r>
      <w:r>
        <w:t xml:space="preserve"> </w:t>
      </w:r>
      <w:r>
        <w:t xml:space="preserve">reduce emissions from aviation , the following sub-driver has been identified:</w:t>
      </w:r>
      <w:r>
        <w:t xml:space="preserve"> </w:t>
      </w:r>
      <w:r>
        <w:t xml:space="preserve">o D3.1 (P6) Possible non-implementation of CORSIA by third countries</w:t>
      </w:r>
      <w:r>
        <w:t xml:space="preserve"> </w:t>
      </w:r>
      <w:r>
        <w:t xml:space="preserve">To address carbon emissions from international aviation, the EU has supported</w:t>
      </w:r>
      <w:r>
        <w:t xml:space="preserve"> </w:t>
      </w:r>
      <w:r>
        <w:t xml:space="preserve">the creation and implementation of CORSIA. A key aspect for CORSIA to</w:t>
      </w:r>
      <w:r>
        <w:t xml:space="preserve"> </w:t>
      </w:r>
      <w:r>
        <w:t xml:space="preserve">work is that third countries have to implement the scheme in their national laws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and have to apply it effectively52, and whether the EU’s fair share of aviation</w:t>
      </w:r>
      <w:r>
        <w:t xml:space="preserve"> </w:t>
      </w:r>
      <w:r>
        <w:t xml:space="preserve">emissions is covered by an effective carbon price.</w:t>
      </w:r>
      <w:r>
        <w:t xml:space="preserve"> </w:t>
      </w:r>
      <w:r>
        <w:t xml:space="preserve">D3.2 (P7) Potential lack of coherence between the ETS implementation and the</w:t>
      </w:r>
      <w:r>
        <w:t xml:space="preserve"> </w:t>
      </w:r>
      <w:r>
        <w:t xml:space="preserve">implementation of IMO mid-term measures in the future: In order to address</w:t>
      </w:r>
      <w:r>
        <w:t xml:space="preserve"> </w:t>
      </w:r>
      <w:r>
        <w:t xml:space="preserve">GHG emissions from international maritime activities globally, the EU has</w:t>
      </w:r>
      <w:r>
        <w:t xml:space="preserve"> </w:t>
      </w:r>
      <w:r>
        <w:t xml:space="preserve">actively supported the adoption of the revised IMO 2023 Strategy as well as of</w:t>
      </w:r>
      <w:r>
        <w:t xml:space="preserve"> </w:t>
      </w:r>
      <w:r>
        <w:t xml:space="preserve">IMO mid-term measures, in particular the Net Zero Framework, which was</w:t>
      </w:r>
      <w:r>
        <w:t xml:space="preserve"> </w:t>
      </w:r>
      <w:r>
        <w:t xml:space="preserve">agreed in April 2025 and for which the adoption decision has been adjourned</w:t>
      </w:r>
      <w:r>
        <w:t xml:space="preserve"> </w:t>
      </w:r>
      <w:r>
        <w:t xml:space="preserve">until autumn 2026. This global measure would mark a significant step towards</w:t>
      </w:r>
      <w:r>
        <w:t xml:space="preserve"> </w:t>
      </w:r>
      <w:r>
        <w:t xml:space="preserve">reducing the environmental impact of the shipping industry on a global scale</w:t>
      </w:r>
      <w:r>
        <w:t xml:space="preserve"> </w:t>
      </w:r>
      <w:r>
        <w:t xml:space="preserve">and is a strong example of multilateralism at work. However the adoption of</w:t>
      </w:r>
      <w:r>
        <w:t xml:space="preserve"> </w:t>
      </w:r>
      <w:r>
        <w:t xml:space="preserve">the IMO Net Zero Framework has been adjourned and there remains a number</w:t>
      </w:r>
      <w:r>
        <w:t xml:space="preserve"> </w:t>
      </w:r>
      <w:r>
        <w:t xml:space="preserve">of uncertainties regarding its adoption and actual implementation. In the</w:t>
      </w:r>
      <w:r>
        <w:t xml:space="preserve"> </w:t>
      </w:r>
      <w:r>
        <w:t xml:space="preserve">meantime, the EU ETS provides a stable and predictable regulatory framework</w:t>
      </w:r>
      <w:r>
        <w:t xml:space="preserve"> </w:t>
      </w:r>
      <w:r>
        <w:t xml:space="preserve">to support the decarbonisation of shipping, e.g. by making renewable and low-</w:t>
      </w:r>
      <w:r>
        <w:t xml:space="preserve"> </w:t>
      </w:r>
      <w:r>
        <w:t xml:space="preserve">carbon fuels or energy efficiency solutions more economically attractive, and</w:t>
      </w:r>
      <w:r>
        <w:t xml:space="preserve"> </w:t>
      </w:r>
      <w:r>
        <w:t xml:space="preserve">ensures that maritime transport effectively contributes to EU’s climate targets.</w:t>
      </w:r>
      <w:r>
        <w:t xml:space="preserve"> </w:t>
      </w:r>
      <w:r>
        <w:t xml:space="preserve">However, the combined implementation of a future IMO mid-term measure</w:t>
      </w:r>
      <w:r>
        <w:t xml:space="preserve"> </w:t>
      </w:r>
      <w:r>
        <w:t xml:space="preserve">and EU ETS could also lead to some inefficiencies, including:</w:t>
      </w:r>
      <w:r>
        <w:br/>
      </w:r>
      <w:r>
        <w:t xml:space="preserve">• Potential double pricing and double payment in case maritime</w:t>
      </w:r>
      <w:r>
        <w:t xml:space="preserve"> </w:t>
      </w:r>
      <w:r>
        <w:t xml:space="preserve">emissions are subject to GHG pricing under both the ETS and a future</w:t>
      </w:r>
      <w:r>
        <w:t xml:space="preserve"> </w:t>
      </w:r>
      <w:r>
        <w:t xml:space="preserve">IMO mid-term measure. The extent of the inefficiencies would depend</w:t>
      </w:r>
      <w:r>
        <w:t xml:space="preserve"> </w:t>
      </w:r>
      <w:r>
        <w:t xml:space="preserve">on various factors such as the GHG price formation at global level,</w:t>
      </w:r>
      <w:r>
        <w:t xml:space="preserve"> </w:t>
      </w:r>
      <w:r>
        <w:t xml:space="preserve">price scope, emissions covered, or timing.</w:t>
      </w:r>
      <w:r>
        <w:t xml:space="preserve"> </w:t>
      </w:r>
      <w:r>
        <w:t xml:space="preserve">Associated with Problem 2:</w:t>
      </w:r>
      <w:r>
        <w:t xml:space="preserve"> </w:t>
      </w:r>
      <w:r>
        <w:t xml:space="preserve">• D4: Decreasing market size. The decreasing market size can have a negative impact</w:t>
      </w:r>
      <w:r>
        <w:t xml:space="preserve"> </w:t>
      </w:r>
      <w:r>
        <w:t xml:space="preserve">on trading. This is because a low market size entails the risk of thin or illiquid trading53,</w:t>
      </w:r>
      <w:r>
        <w:t xml:space="preserve"> </w:t>
      </w:r>
      <w:r>
        <w:t xml:space="preserve">which would in turn cause price volatility and uncertainty.</w:t>
      </w:r>
      <w:r>
        <w:t xml:space="preserve"> </w:t>
      </w:r>
      <w:r>
        <w:t xml:space="preserve">The following sub-driver has been identified:</w:t>
      </w:r>
      <w:r>
        <w:t xml:space="preserve"> </w:t>
      </w:r>
      <w:r>
        <w:t xml:space="preserve">o D4.1 (P10/11) Intrinsic functioning of the EU ETS: The design of the EU ETS</w:t>
      </w:r>
      <w:r>
        <w:t xml:space="preserve"> </w:t>
      </w:r>
      <w:r>
        <w:t xml:space="preserve">as a cap-and-trade system to decrease EU emissions over time works on the</w:t>
      </w:r>
      <w:r>
        <w:t xml:space="preserve"> </w:t>
      </w:r>
      <w:r>
        <w:t xml:space="preserve">principle that the cap is reduced annually in line with the EU’s climate target.</w:t>
      </w:r>
      <w:r>
        <w:t xml:space="preserve"> </w:t>
      </w:r>
      <w:r>
        <w:t xml:space="preserve">As the cap decreases, so does the supply of allowances to the EU carbon market.</w:t>
      </w:r>
      <w:r>
        <w:t xml:space="preserve"> </w:t>
      </w:r>
      <w:r>
        <w:t xml:space="preserve">Therefore, as the cap approaches zero (or very low levels), the size of the market</w:t>
      </w:r>
      <w:r>
        <w:t xml:space="preserve"> </w:t>
      </w:r>
      <w:r>
        <w:t xml:space="preserve">will also reduce over time. A smaller market size increases the risks of trading</w:t>
      </w:r>
      <w:r>
        <w:t xml:space="preserve"> </w:t>
      </w:r>
      <w:r>
        <w:t xml:space="preserve">frictions.</w:t>
      </w:r>
      <w:r>
        <w:br/>
      </w:r>
      <w:r>
        <w:t xml:space="preserve">1.2. Specific objectives</w:t>
      </w:r>
      <w:r>
        <w:t xml:space="preserve"> </w:t>
      </w:r>
      <w:r>
        <w:t xml:space="preserve">The general objectives set out above to address the identified problems can be broken down</w:t>
      </w:r>
      <w:r>
        <w:t xml:space="preserve"> </w:t>
      </w:r>
      <w:r>
        <w:t xml:space="preserve">into a number of specific objectives.</w:t>
      </w:r>
    </w:p>
    <w:p>
      <w:pPr>
        <w:pStyle w:val="BodyText"/>
      </w:pPr>
      <w:r>
        <w:t xml:space="preserve">52 The home country is responsible for ensuring that its airlines comply with CORSIA requirements. This is</w:t>
      </w:r>
      <w:r>
        <w:t xml:space="preserve"> </w:t>
      </w:r>
      <w:r>
        <w:t xml:space="preserve">meant to be an obligation even if the country itself is not participating in CORSIA, as long as its airlines</w:t>
      </w:r>
      <w:r>
        <w:t xml:space="preserve"> </w:t>
      </w:r>
      <w:r>
        <w:t xml:space="preserve">operate on routes covered by the scheme.</w:t>
      </w:r>
      <w:r>
        <w:t xml:space="preserve"> </w:t>
      </w:r>
      <w:r>
        <w:t xml:space="preserve">53 Note that the concept of liquidity of the market, referring to the amount of allowances available for trading,</w:t>
      </w:r>
      <w:r>
        <w:t xml:space="preserve"> </w:t>
      </w:r>
      <w:r>
        <w:t xml:space="preserve">should be differentiated from the concept of market tightness, which can occur regardless of the market size</w:t>
      </w:r>
      <w:r>
        <w:t xml:space="preserve"> </w:t>
      </w:r>
      <w:r>
        <w:t xml:space="preserve">if the supply of allowances is very tight in relation to the demand of allowances (i.e. actual emissions).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For the general objective O1.1 of incentivising emission reductions, the following specific</w:t>
      </w:r>
      <w:r>
        <w:t xml:space="preserve"> </w:t>
      </w:r>
      <w:r>
        <w:t xml:space="preserve">objectives have been identified:</w:t>
      </w:r>
      <w:r>
        <w:t xml:space="preserve"> </w:t>
      </w:r>
      <w:r>
        <w:t xml:space="preserve">• SO1.1.1 Enable investments in the decarbonisation technologies (both innovative ones</w:t>
      </w:r>
      <w:r>
        <w:t xml:space="preserve"> </w:t>
      </w:r>
      <w:r>
        <w:t xml:space="preserve">and those ready for scale-up/roll-out) that currently do not yet have the business case</w:t>
      </w:r>
      <w:r>
        <w:t xml:space="preserve"> </w:t>
      </w:r>
      <w:r>
        <w:t xml:space="preserve">(i.e. most of the technologies needed to address the emissions in the energy intensive</w:t>
      </w:r>
      <w:r>
        <w:t xml:space="preserve"> </w:t>
      </w:r>
      <w:r>
        <w:t xml:space="preserve">industries, and in particular investments in mature decarbonisation technologies in</w:t>
      </w:r>
      <w:r>
        <w:t xml:space="preserve"> </w:t>
      </w:r>
      <w:r>
        <w:t xml:space="preserve">carbon-intensive, low-income Member States). Those technologies need to address the</w:t>
      </w:r>
      <w:r>
        <w:t xml:space="preserve"> </w:t>
      </w:r>
      <w:r>
        <w:t xml:space="preserve">‘hard to abate’ emissions identified under D.1.1, for example, direct iron reduction for</w:t>
      </w:r>
      <w:r>
        <w:t xml:space="preserve"> </w:t>
      </w:r>
      <w:r>
        <w:t xml:space="preserve">green steel, electrified steam and industrial heat production, electro-chemical processes,</w:t>
      </w:r>
      <w:r>
        <w:t xml:space="preserve"> </w:t>
      </w:r>
      <w:r>
        <w:t xml:space="preserve">carbon capture in industry, renewable low-carbon marine and aviation fuels. To enable</w:t>
      </w:r>
      <w:r>
        <w:t xml:space="preserve"> </w:t>
      </w:r>
      <w:r>
        <w:t xml:space="preserve">these investments the objective is to create the business case for private investment in</w:t>
      </w:r>
      <w:r>
        <w:t xml:space="preserve"> </w:t>
      </w:r>
      <w:r>
        <w:t xml:space="preserve">the EU. with public funding instruments, or through recycling a part of ETS revenues</w:t>
      </w:r>
      <w:r>
        <w:t xml:space="preserve"> </w:t>
      </w:r>
      <w:r>
        <w:t xml:space="preserve">in a simple and flexible way to provide appropriate investment certainty while</w:t>
      </w:r>
      <w:r>
        <w:t xml:space="preserve"> </w:t>
      </w:r>
      <w:r>
        <w:t xml:space="preserve">minimising the administrative burden for the Commission, national competent</w:t>
      </w:r>
      <w:r>
        <w:t xml:space="preserve"> </w:t>
      </w:r>
      <w:r>
        <w:t xml:space="preserve">authorities and private operators.</w:t>
      </w:r>
      <w:r>
        <w:br/>
      </w:r>
      <w:r>
        <w:t xml:space="preserve">• SO1.1.2 Ensure full carbon price signal is applied to emissions sources which are</w:t>
      </w:r>
      <w:r>
        <w:t xml:space="preserve"> </w:t>
      </w:r>
      <w:r>
        <w:t xml:space="preserve">currently not in the scope of the EU ETS but would be well suited for its coverage54,</w:t>
      </w:r>
      <w:r>
        <w:t xml:space="preserve"> </w:t>
      </w:r>
      <w:r>
        <w:t xml:space="preserve">and to sectors where currently dampened, to the degree possible while protecting against</w:t>
      </w:r>
      <w:r>
        <w:t xml:space="preserve"> </w:t>
      </w:r>
      <w:r>
        <w:t xml:space="preserve">carbon leakage, maintaining territorial continuity and ensuring fulfilment of public</w:t>
      </w:r>
      <w:r>
        <w:t xml:space="preserve"> </w:t>
      </w:r>
      <w:r>
        <w:t xml:space="preserve">service obligations;</w:t>
      </w:r>
      <w:r>
        <w:t xml:space="preserve"> </w:t>
      </w:r>
      <w:r>
        <w:t xml:space="preserve">• SO1.1.3 Address risk of carbon leakage: leakage is measured by estimating how much</w:t>
      </w:r>
      <w:r>
        <w:t xml:space="preserve"> </w:t>
      </w:r>
      <w:r>
        <w:t xml:space="preserve">overall greenhouse gas emissions would be added to the atmosphere due to the shift of</w:t>
      </w:r>
      <w:r>
        <w:t xml:space="preserve"> </w:t>
      </w:r>
      <w:r>
        <w:t xml:space="preserve">certain activities from the EU (region with stricter climate policies) to regions with</w:t>
      </w:r>
      <w:r>
        <w:t xml:space="preserve"> </w:t>
      </w:r>
      <w:r>
        <w:t xml:space="preserve">weaker policies. To assess the risk of this leakage materialising, it is necessary to</w:t>
      </w:r>
      <w:r>
        <w:t xml:space="preserve"> </w:t>
      </w:r>
      <w:r>
        <w:t xml:space="preserve">examine the role of free allocation for stationary installations in non-CBAM sectors as</w:t>
      </w:r>
      <w:r>
        <w:t xml:space="preserve"> </w:t>
      </w:r>
      <w:r>
        <w:t xml:space="preserve">a continuation of measures to protect against carbon leakage due to carbon costs, as well</w:t>
      </w:r>
      <w:r>
        <w:t xml:space="preserve"> </w:t>
      </w:r>
      <w:r>
        <w:t xml:space="preserve">as the case for making such support conditional on installations’ investments in</w:t>
      </w:r>
      <w:r>
        <w:t xml:space="preserve"> </w:t>
      </w:r>
      <w:r>
        <w:t xml:space="preserve">emissions reductions. Industries’ exposure to carbon leakage is assessed based on two</w:t>
      </w:r>
      <w:r>
        <w:t xml:space="preserve"> </w:t>
      </w:r>
      <w:r>
        <w:t xml:space="preserve">key criteria: trade and emissions intensity. For aviation, it is necessary to examine the</w:t>
      </w:r>
      <w:r>
        <w:t xml:space="preserve"> </w:t>
      </w:r>
      <w:r>
        <w:t xml:space="preserve">risk of hub carbon leakage, i.e. carbon leakage which occurs through an airport hub, and</w:t>
      </w:r>
      <w:r>
        <w:t xml:space="preserve"> </w:t>
      </w:r>
      <w:r>
        <w:t xml:space="preserve">if needed, ways to mitigate this risk. Annex 10 and the support study contain relevant</w:t>
      </w:r>
      <w:r>
        <w:t xml:space="preserve"> </w:t>
      </w:r>
      <w:r>
        <w:t xml:space="preserve">case studies. For maritime, it is necessary to examine the risk evasion by containerships</w:t>
      </w:r>
      <w:r>
        <w:t xml:space="preserve"> </w:t>
      </w:r>
      <w:r>
        <w:t xml:space="preserve">and the risk of relocation of container transhipment activities to neighbouring non-EU</w:t>
      </w:r>
      <w:r>
        <w:t xml:space="preserve"> </w:t>
      </w:r>
      <w:r>
        <w:t xml:space="preserve">ports, as well as the risk of evasion in relation to offshore services provided by ships.</w:t>
      </w:r>
    </w:p>
    <w:p>
      <w:pPr>
        <w:pStyle w:val="BodyText"/>
      </w:pPr>
      <w:r>
        <w:t xml:space="preserve">54 A sector is generally well suited for ETS coverage when several conditions are present. The core idea is that</w:t>
      </w:r>
      <w:r>
        <w:t xml:space="preserve"> </w:t>
      </w:r>
      <w:r>
        <w:t xml:space="preserve">emissions can be measured reliably reduced effectively by the influence of the carbon price. Key</w:t>
      </w:r>
      <w:r>
        <w:t xml:space="preserve"> </w:t>
      </w:r>
      <w:r>
        <w:t xml:space="preserve">characteristics include:</w:t>
      </w:r>
      <w:r>
        <w:t xml:space="preserve"> </w:t>
      </w:r>
      <w:r>
        <w:t xml:space="preserve">1. Monitoring, reporting, and verification (MRV) can be done accurately and at reasonable cost.</w:t>
      </w:r>
      <w:r>
        <w:t xml:space="preserve"> </w:t>
      </w:r>
      <w:r>
        <w:t xml:space="preserve">2. There are relatively few large emitters: ETSs work best when emissions come from a manageable number of</w:t>
      </w:r>
      <w:r>
        <w:t xml:space="preserve"> </w:t>
      </w:r>
      <w:r>
        <w:t xml:space="preserve">regulated entities as administrative costs stay lower.</w:t>
      </w:r>
      <w:r>
        <w:t xml:space="preserve"> </w:t>
      </w:r>
      <w:r>
        <w:t xml:space="preserve">3. There are viable technological or operational alternatives: Firms need realistic pathways to reduce emissions</w:t>
      </w:r>
      <w:r>
        <w:t xml:space="preserve"> </w:t>
      </w:r>
      <w:r>
        <w:t xml:space="preserve">in response to carbon prices.</w:t>
      </w:r>
      <w:r>
        <w:t xml:space="preserve"> </w:t>
      </w:r>
      <w:r>
        <w:t xml:space="preserve">4. Demand is not perfectly inelastic: Carbon pricing can influence production, investment, or consumption</w:t>
      </w:r>
      <w:r>
        <w:t xml:space="preserve"> </w:t>
      </w:r>
      <w:r>
        <w:t xml:space="preserve">decisions. If firms and consumers cannot respond at all, the ETS has weaker effects.</w:t>
      </w:r>
      <w:r>
        <w:t xml:space="preserve"> </w:t>
      </w:r>
      <w:r>
        <w:t xml:space="preserve">5. The sector is economically significant: high-emitting sectors provide larger emissions reductions per unit of</w:t>
      </w:r>
      <w:r>
        <w:t xml:space="preserve"> </w:t>
      </w:r>
      <w:r>
        <w:t xml:space="preserve">regulatory effort.</w:t>
      </w:r>
      <w:r>
        <w:t xml:space="preserve"> </w:t>
      </w:r>
      <w:r>
        <w:t xml:space="preserve">6. Leakage and competitiveness risks are manageable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For the general objective O1.2 reach a pre-set emissions reduction target provided by the 2040</w:t>
      </w:r>
      <w:r>
        <w:t xml:space="preserve"> </w:t>
      </w:r>
      <w:r>
        <w:t xml:space="preserve">policy package and with a net emissions calculation, the following specific objectives have been</w:t>
      </w:r>
      <w:r>
        <w:t xml:space="preserve"> </w:t>
      </w:r>
      <w:r>
        <w:t xml:space="preserve">identified:</w:t>
      </w:r>
      <w:r>
        <w:t xml:space="preserve"> </w:t>
      </w:r>
      <w:r>
        <w:t xml:space="preserve">• SO1.2.1 Consider if carbon removals can be integrated in the ETS with sufficient</w:t>
      </w:r>
      <w:r>
        <w:t xml:space="preserve"> </w:t>
      </w:r>
      <w:r>
        <w:t xml:space="preserve">environmental safeguards while preserving cost efficiency in achieving the ETS/EU</w:t>
      </w:r>
      <w:r>
        <w:t xml:space="preserve"> </w:t>
      </w:r>
      <w:r>
        <w:t xml:space="preserve">climate objectives before 2040: to integrate removals in such a way that they</w:t>
      </w:r>
      <w:r>
        <w:t xml:space="preserve"> </w:t>
      </w:r>
      <w:r>
        <w:t xml:space="preserve">counterbalance a certain number of emissions remaining in the system toward the ETS’s</w:t>
      </w:r>
      <w:r>
        <w:t xml:space="preserve"> </w:t>
      </w:r>
      <w:r>
        <w:t xml:space="preserve">contribution to the 2040 climate target, while the market keeps functioning well and</w:t>
      </w:r>
      <w:r>
        <w:t xml:space="preserve"> </w:t>
      </w:r>
      <w:r>
        <w:t xml:space="preserve">avoiding that companies postpone or defer crucial emission reductions.</w:t>
      </w:r>
      <w:r>
        <w:t xml:space="preserve"> </w:t>
      </w:r>
      <w:r>
        <w:t xml:space="preserve">• SO1.2.2 Adjust ETS cap in line with pre-set climate target for 2040: The EU ETS</w:t>
      </w:r>
      <w:r>
        <w:t xml:space="preserve"> </w:t>
      </w:r>
      <w:r>
        <w:t xml:space="preserve">sectors will contribute to the economy-wide emissions reductions in line with the</w:t>
      </w:r>
      <w:r>
        <w:t xml:space="preserve"> </w:t>
      </w:r>
      <w:r>
        <w:t xml:space="preserve">intermediate 2040-target. The cap trajectory of the EU ETS therefore should be aligned</w:t>
      </w:r>
      <w:r>
        <w:t xml:space="preserve"> </w:t>
      </w:r>
      <w:r>
        <w:t xml:space="preserve">with this intermediate target.</w:t>
      </w:r>
      <w:r>
        <w:t xml:space="preserve"> </w:t>
      </w:r>
      <w:r>
        <w:t xml:space="preserve">For the general objective of O1.3 ensuring effectiveness of EU climate action on international</w:t>
      </w:r>
      <w:r>
        <w:t xml:space="preserve"> </w:t>
      </w:r>
      <w:r>
        <w:t xml:space="preserve">transport while avoiding duplicative pricing, the following specific objective has been</w:t>
      </w:r>
      <w:r>
        <w:t xml:space="preserve"> </w:t>
      </w:r>
      <w:r>
        <w:t xml:space="preserve">identified:</w:t>
      </w:r>
      <w:r>
        <w:t xml:space="preserve"> </w:t>
      </w:r>
      <w:r>
        <w:t xml:space="preserve">• SO1.3.1 Ensure effective action on EU’s fair share of aviation emissions in the period</w:t>
      </w:r>
      <w:r>
        <w:t xml:space="preserve"> </w:t>
      </w:r>
      <w:r>
        <w:t xml:space="preserve">2031-2040 and adjust the scope of application of the EU ETS, if needed to ensure</w:t>
      </w:r>
      <w:r>
        <w:t xml:space="preserve"> </w:t>
      </w:r>
      <w:r>
        <w:t xml:space="preserve">effective carbon pricing of the EU’s fair share of aviation emissions, taking into account</w:t>
      </w:r>
      <w:r>
        <w:t xml:space="preserve"> </w:t>
      </w:r>
      <w:r>
        <w:t xml:space="preserve">other existing carbon pricing measures for international aviation.</w:t>
      </w:r>
      <w:r>
        <w:t xml:space="preserve"> </w:t>
      </w:r>
      <w:r>
        <w:t xml:space="preserve">• SO1.3.2 Preserve the effectiveness of the implementation of the EU ETS extension to</w:t>
      </w:r>
      <w:r>
        <w:t xml:space="preserve"> </w:t>
      </w:r>
      <w:r>
        <w:t xml:space="preserve">maritime transport and maximise the regulatory efficiency of the EU ETS and IMO mid-</w:t>
      </w:r>
      <w:r>
        <w:t xml:space="preserve"> </w:t>
      </w:r>
      <w:r>
        <w:t xml:space="preserve">term measures once adopted, notably by avoiding duplicative pricing of emissions</w:t>
      </w:r>
      <w:r>
        <w:t xml:space="preserve"> </w:t>
      </w:r>
      <w:r>
        <w:t xml:space="preserve">leading to any significant double burden for shipping companies, while preserving the</w:t>
      </w:r>
      <w:r>
        <w:t xml:space="preserve"> </w:t>
      </w:r>
      <w:r>
        <w:t xml:space="preserve">environmental integrity of the EU ETS, the EU climate goals and its international</w:t>
      </w:r>
      <w:r>
        <w:t xml:space="preserve"> </w:t>
      </w:r>
      <w:r>
        <w:t xml:space="preserve">commitments.</w:t>
      </w:r>
      <w:r>
        <w:br/>
      </w:r>
      <w:r>
        <w:t xml:space="preserve">For the general objective O2.1 of ensuring efficient market functioning, the following</w:t>
      </w:r>
      <w:r>
        <w:t xml:space="preserve"> </w:t>
      </w:r>
      <w:r>
        <w:t xml:space="preserve">specific objectives have been identified:</w:t>
      </w:r>
      <w:r>
        <w:t xml:space="preserve"> </w:t>
      </w:r>
      <w:r>
        <w:t xml:space="preserve">• SO2.1.1 Increase size of the market until 2040: to achieve a higher liquidity to directly</w:t>
      </w:r>
      <w:r>
        <w:t xml:space="preserve"> </w:t>
      </w:r>
      <w:r>
        <w:t xml:space="preserve">reduce the risk of market inefficiencies stemming from a small market size (see Problem</w:t>
      </w:r>
      <w:r>
        <w:t xml:space="preserve"> </w:t>
      </w:r>
      <w:r>
        <w:t xml:space="preserve">2 description).</w:t>
      </w:r>
      <w:r>
        <w:br/>
      </w:r>
      <w:r>
        <w:t xml:space="preserve">• SO2.1.2 Adjust MSR parameters to ensure a healthy supply-demand balance55 until</w:t>
      </w:r>
      <w:r>
        <w:t xml:space="preserve"> </w:t>
      </w:r>
      <w:r>
        <w:t xml:space="preserve">2040: in particular by designing the market stability reserve in such a way that (i) the</w:t>
      </w:r>
    </w:p>
    <w:bookmarkEnd w:id="10"/>
    <w:bookmarkStart w:id="11" w:name="X246a006e3052e65321025df6736f8b257c2f08b"/>
    <w:p>
      <w:pPr>
        <w:pStyle w:val="Heading2"/>
      </w:pPr>
      <w:r>
        <w:t xml:space="preserve">55 An MSR that ensures a healthy supply-demand balance out to 2040 would be one that:</w:t>
      </w:r>
    </w:p>
    <w:p>
      <w:pPr>
        <w:pStyle w:val="FirstParagraph"/>
      </w:pPr>
      <w:r>
        <w:t xml:space="preserve">Ensures adequate liquidity (adequate allowance availability for compliance, hedging and banking) – Liquidity</w:t>
      </w:r>
      <w:r>
        <w:t xml:space="preserve"> </w:t>
      </w:r>
      <w:r>
        <w:t xml:space="preserve">is assessed through several indicators: TNAC levels and trajectories in relation to the upper and lower</w:t>
      </w:r>
      <w:r>
        <w:t xml:space="preserve"> </w:t>
      </w:r>
      <w:r>
        <w:t xml:space="preserve">thresholds and buffer zones; the evolution of the stock of allowances in the MSR indicating capacity for future</w:t>
      </w:r>
      <w:r>
        <w:t xml:space="preserve"> </w:t>
      </w:r>
      <w:r>
        <w:t xml:space="preserve">interventions; the TNAC-to-emissions ratio spread which is a proxy for liquidity consistency relative to</w:t>
      </w:r>
      <w:r>
        <w:t xml:space="preserve"> </w:t>
      </w:r>
      <w:r>
        <w:t xml:space="preserve">compliance needs; and the timing and volume of MSR releases.</w:t>
      </w:r>
      <w:r>
        <w:br/>
      </w:r>
      <w:r>
        <w:t xml:space="preserve">-</w:t>
      </w:r>
      <w:r>
        <w:t xml:space="preserve"> </w:t>
      </w:r>
      <w:r>
        <w:t xml:space="preserve">Maximises price predictability (stable signals for decarbonisation investment)– Rather than formal statistical</w:t>
      </w:r>
      <w:r>
        <w:t xml:space="preserve"> </w:t>
      </w:r>
      <w:r>
        <w:t xml:space="preserve">volatility metrics, the assessment relies on graphical analysis of price trajectories and their evolution under</w:t>
      </w:r>
      <w:r>
        <w:t xml:space="preserve"> </w:t>
      </w:r>
      <w:r>
        <w:t xml:space="preserve">baseline and shock scenarios.</w:t>
      </w:r>
      <w:r>
        <w:t xml:space="preserve"> </w:t>
      </w:r>
      <w:r>
        <w:t xml:space="preserve">-</w:t>
      </w:r>
      <w:r>
        <w:t xml:space="preserve"> </w:t>
      </w:r>
      <w:r>
        <w:t xml:space="preserve">Enhances regulated entities’ operational decision-making– assessed qualitatively based on market conditions</w:t>
      </w:r>
      <w:r>
        <w:t xml:space="preserve"> </w:t>
      </w:r>
      <w:r>
        <w:t xml:space="preserve">that enable effective risk management, and mechanism predictability that supports credible price expectations.</w:t>
      </w:r>
      <w:r>
        <w:t xml:space="preserve"> </w:t>
      </w:r>
      <w:r>
        <w:t xml:space="preserve">-</w:t>
      </w:r>
      <w:r>
        <w:t xml:space="preserve"> </w:t>
      </w:r>
      <w:r>
        <w:t xml:space="preserve">Strikes the right balance on cumulative emissions – assessed based on cumulative emissions, considering the</w:t>
      </w:r>
      <w:r>
        <w:t xml:space="preserve"> </w:t>
      </w:r>
      <w:r>
        <w:t xml:space="preserve">trade-off between designs that release earlier and more forcefully raise cumulative emissions and designs that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rules for intakes and releases of allowances are adjusted to the cap trajectory (decreasing</w:t>
      </w:r>
      <w:r>
        <w:t xml:space="preserve"> </w:t>
      </w:r>
      <w:r>
        <w:t xml:space="preserve">cap, but potentially at a different pace and with a wider scope), and (ii) the rule for</w:t>
      </w:r>
      <w:r>
        <w:t xml:space="preserve"> </w:t>
      </w:r>
      <w:r>
        <w:t xml:space="preserve">invalidation of allowances is revised in view of the future market conditions, with the</w:t>
      </w:r>
      <w:r>
        <w:t xml:space="preserve"> </w:t>
      </w:r>
      <w:r>
        <w:t xml:space="preserve">overall aim to ensure sufficient liquidity in the market; a secondary aim would be to</w:t>
      </w:r>
      <w:r>
        <w:t xml:space="preserve"> </w:t>
      </w:r>
      <w:r>
        <w:t xml:space="preserve">ensure that liquidity is proportional to future demand, for a good balance of the market.</w:t>
      </w:r>
      <w:r>
        <w:t xml:space="preserve"> </w:t>
      </w:r>
      <w:r>
        <w:t xml:space="preserve">1.3. Baseline</w:t>
      </w:r>
      <w:r>
        <w:t xml:space="preserve"> </w:t>
      </w:r>
      <w:r>
        <w:t xml:space="preserve">The ambition of the system is determined by the continuation of the linear reduction factor</w:t>
      </w:r>
      <w:r>
        <w:t xml:space="preserve"> </w:t>
      </w:r>
      <w:r>
        <w:t xml:space="preserve">established in Article 9 of the ETS Directive, of 4,4 % from 2028 onwards, which applies to all</w:t>
      </w:r>
      <w:r>
        <w:t xml:space="preserve"> </w:t>
      </w:r>
      <w:r>
        <w:t xml:space="preserve">EU ETS sectors. In the current legislative framework, the system neither recognises the</w:t>
      </w:r>
      <w:r>
        <w:t xml:space="preserve"> </w:t>
      </w:r>
      <w:r>
        <w:t xml:space="preserve">generation of carbon removals nor allows surrendering of carbon removals instead of</w:t>
      </w:r>
      <w:r>
        <w:t xml:space="preserve"> </w:t>
      </w:r>
      <w:r>
        <w:t xml:space="preserve">allowances. The MSR continues to operate based on the surplus indicator defined as Total</w:t>
      </w:r>
      <w:r>
        <w:t xml:space="preserve"> </w:t>
      </w:r>
      <w:r>
        <w:t xml:space="preserve">Number of Allowances in Circulation (TNAC) and its current parameters: intake rate of 24%</w:t>
      </w:r>
      <w:r>
        <w:t xml:space="preserve"> </w:t>
      </w:r>
      <w:r>
        <w:t xml:space="preserve">(reverting to 12% as of 2031) of the TNAC when this is above 1096 million, intake rate of the</w:t>
      </w:r>
      <w:r>
        <w:t xml:space="preserve"> </w:t>
      </w:r>
      <w:r>
        <w:t xml:space="preserve">difference between the TNAC and 833 million when the TNAC is between 833 million and 1</w:t>
      </w:r>
      <w:r>
        <w:t xml:space="preserve"> </w:t>
      </w:r>
      <w:r>
        <w:t xml:space="preserve">096 million; release of 100 million allowances when the TNAC falls below 400 million; the</w:t>
      </w:r>
      <w:r>
        <w:t xml:space="preserve"> </w:t>
      </w:r>
      <w:r>
        <w:t xml:space="preserve">invalidation of allowances in the reserve above 400 million allowances.</w:t>
      </w:r>
      <w:r>
        <w:t xml:space="preserve"> </w:t>
      </w:r>
      <w:r>
        <w:t xml:space="preserve">The cap trajectory of the baseline is described in the below table:</w:t>
      </w:r>
      <w:r>
        <w:t xml:space="preserve"> </w:t>
      </w:r>
      <w:r>
        <w:t xml:space="preserve">Table 9:</w:t>
      </w:r>
      <w:r>
        <w:t xml:space="preserve"> </w:t>
      </w:r>
      <w:r>
        <w:t xml:space="preserve">Baseline cap trajectory.</w:t>
      </w:r>
      <w:r>
        <w:t xml:space="preserve"> </w:t>
      </w:r>
      <w:r>
        <w:t xml:space="preserve">EEA</w:t>
      </w:r>
      <w:r>
        <w:t xml:space="preserve"> </w:t>
      </w:r>
      <w:r>
        <w:t xml:space="preserve">Cap 2030 (Mt)</w:t>
      </w:r>
      <w:r>
        <w:t xml:space="preserve"> </w:t>
      </w:r>
      <w:r>
        <w:t xml:space="preserve">Cap 2035 (Mt)</w:t>
      </w:r>
      <w:r>
        <w:t xml:space="preserve"> </w:t>
      </w:r>
      <w:r>
        <w:t xml:space="preserve">Cap 2040 (Mt)</w:t>
      </w:r>
      <w:r>
        <w:t xml:space="preserve"> </w:t>
      </w:r>
      <w:r>
        <w:t xml:space="preserve">LRF</w:t>
      </w:r>
      <w:r>
        <w:t xml:space="preserve"> </w:t>
      </w:r>
      <w:r>
        <w:t xml:space="preserve">Budget 2031-2040</w:t>
      </w:r>
      <w:r>
        <w:t xml:space="preserve"> </w:t>
      </w:r>
      <w:r>
        <w:t xml:space="preserve">(Mt)</w:t>
      </w:r>
      <w:r>
        <w:t xml:space="preserve"> </w:t>
      </w:r>
      <w:r>
        <w:t xml:space="preserve">Baseline</w:t>
      </w:r>
      <w:r>
        <w:t xml:space="preserve"> </w:t>
      </w:r>
      <w:r>
        <w:t xml:space="preserve">975</w:t>
      </w:r>
      <w:r>
        <w:t xml:space="preserve"> </w:t>
      </w:r>
      <w:r>
        <w:t xml:space="preserve">485</w:t>
      </w:r>
      <w:r>
        <w:t xml:space="preserve"> </w:t>
      </w:r>
      <w:r>
        <w:t xml:space="preserve">69</w:t>
      </w:r>
      <w:r>
        <w:t xml:space="preserve"> </w:t>
      </w:r>
      <w:r>
        <w:t xml:space="preserve">-4.4%</w:t>
      </w:r>
      <w:r>
        <w:t xml:space="preserve"> </w:t>
      </w:r>
      <w:r>
        <w:t xml:space="preserve">4436</w:t>
      </w:r>
      <w:r>
        <w:t xml:space="preserve"> </w:t>
      </w:r>
      <w:r>
        <w:t xml:space="preserve">The currently legislated cap trajectory and MSR design are the result of the latest revision of</w:t>
      </w:r>
      <w:r>
        <w:t xml:space="preserve"> </w:t>
      </w:r>
      <w:r>
        <w:t xml:space="preserve">the ETS, which constituted an interim revision necessary to set the ETS in line with the</w:t>
      </w:r>
      <w:r>
        <w:t xml:space="preserve"> </w:t>
      </w:r>
      <w:r>
        <w:t xml:space="preserve">increased 2030 ambition. While appropriate in the short term, continuing on this path is</w:t>
      </w:r>
      <w:r>
        <w:t xml:space="preserve"> </w:t>
      </w:r>
      <w:r>
        <w:t xml:space="preserve">untenable in the long term and could lead to a vastly over-constrained system in the 2030s.</w:t>
      </w:r>
      <w:r>
        <w:br/>
      </w:r>
      <w:r>
        <w:t xml:space="preserve">Strictly speaking, the baseline would reduce the cap to 69Mt by 2040 in its extended scope.</w:t>
      </w:r>
      <w:r>
        <w:t xml:space="preserve"> </w:t>
      </w:r>
      <w:r>
        <w:t xml:space="preserve">However, taking all available technical options in the PRIMES modelling, the emissions would</w:t>
      </w:r>
      <w:r>
        <w:t xml:space="preserve"> </w:t>
      </w:r>
      <w:r>
        <w:t xml:space="preserve">be some 147Mt in the EU scope and likely somewhat higher in the EEA scope, to reach some</w:t>
      </w:r>
      <w:r>
        <w:t xml:space="preserve"> </w:t>
      </w:r>
      <w:r>
        <w:t xml:space="preserve">150Mt (the ‘Modelling Baseline’ result).</w:t>
      </w:r>
      <w:r>
        <w:br/>
      </w:r>
      <w:r>
        <w:t xml:space="preserve">This is significantly lower than the attained reductions and carbon budget in cost-effective</w:t>
      </w:r>
      <w:r>
        <w:t xml:space="preserve"> </w:t>
      </w:r>
      <w:r>
        <w:t xml:space="preserve">scenario modelling which attains the 85% target for domestic economy-wide emissions</w:t>
      </w:r>
      <w:r>
        <w:t xml:space="preserve"> </w:t>
      </w:r>
      <w:r>
        <w:t xml:space="preserve">reductions. As a result, economy-wide investments and costs will be higher in the baseline than</w:t>
      </w:r>
      <w:r>
        <w:t xml:space="preserve"> </w:t>
      </w:r>
      <w:r>
        <w:t xml:space="preserve">the cost-effective case. In that sense, the baseline does not match the ETS trajectory</w:t>
      </w:r>
      <w:r>
        <w:t xml:space="preserve"> </w:t>
      </w:r>
      <w:r>
        <w:t xml:space="preserve">appropriately to the cost-efficient domestic 2040 target. In addition, the technological risks that</w:t>
      </w:r>
      <w:r>
        <w:t xml:space="preserve"> </w:t>
      </w:r>
      <w:r>
        <w:t xml:space="preserve">the reductions in the model will not be achieved are also higher, given the need to exhaust</w:t>
      </w:r>
      <w:r>
        <w:t xml:space="preserve"> </w:t>
      </w:r>
      <w:r>
        <w:t xml:space="preserve">technical options, leaving little room for error.</w:t>
      </w:r>
      <w:r>
        <w:t xml:space="preserve"> </w:t>
      </w:r>
      <w:r>
        <w:t xml:space="preserve">The baseline scenario was also simulated for the MSR with the POLES-Enerdata model, using</w:t>
      </w:r>
      <w:r>
        <w:t xml:space="preserve"> </w:t>
      </w:r>
      <w:r>
        <w:t xml:space="preserve">the legal default cap for the supply and the legal default emissions scenario from PRIMES for</w:t>
      </w:r>
      <w:r>
        <w:t xml:space="preserve"> </w:t>
      </w:r>
      <w:r>
        <w:t xml:space="preserve">the demand. The modelling results show how the cap trajectory and MSR design could lead to</w:t>
      </w:r>
      <w:r>
        <w:t xml:space="preserve"> </w:t>
      </w:r>
      <w:r>
        <w:t xml:space="preserve">a vastly over-constrained system in the 2030s. As a consequence, the ETS a price signal could</w:t>
      </w:r>
    </w:p>
    <w:p>
      <w:pPr>
        <w:pStyle w:val="BodyText"/>
      </w:pPr>
      <w:r>
        <w:t xml:space="preserve">keep scarcity high reduce cumulative emissions but risk compromising market functioning if reserves become</w:t>
      </w:r>
      <w:r>
        <w:t xml:space="preserve"> </w:t>
      </w:r>
      <w:r>
        <w:t xml:space="preserve">inaccessible.</w:t>
      </w:r>
      <w:r>
        <w:t xml:space="preserve"> </w:t>
      </w:r>
      <w:r>
        <w:t xml:space="preserve">-</w:t>
      </w:r>
      <w:r>
        <w:t xml:space="preserve"> </w:t>
      </w:r>
      <w:r>
        <w:t xml:space="preserve">Performs best in a sensitivity analysis – measured based on (i) TNAC converging back to the no-shock</w:t>
      </w:r>
      <w:r>
        <w:t xml:space="preserve"> </w:t>
      </w:r>
      <w:r>
        <w:t xml:space="preserve">trajectory; (ii) emissions converging back to the no-shock trajectory; (iii) TNAC-to-Emission ratio spread</w:t>
      </w:r>
      <w:r>
        <w:t xml:space="preserve"> </w:t>
      </w:r>
      <w:r>
        <w:t xml:space="preserve">over 2027-2040; (iv) EUA price spread in 2040 (€2023/EUA).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have a steep increase in the period 2030-2032, after which prices stabilise until 2036 and then</w:t>
      </w:r>
      <w:r>
        <w:t xml:space="preserve"> </w:t>
      </w:r>
      <w:r>
        <w:t xml:space="preserve">takes off again with steep increase until 2040. The analysis in Annex 8 further outlines that the</w:t>
      </w:r>
      <w:r>
        <w:t xml:space="preserve"> </w:t>
      </w:r>
      <w:r>
        <w:t xml:space="preserve">legal default option the currently legislated is therefore not well suited to be used as a starting</w:t>
      </w:r>
      <w:r>
        <w:t xml:space="preserve"> </w:t>
      </w:r>
      <w:r>
        <w:t xml:space="preserve">point in the MSR measure-level assessment. To that end an adjusted baseline is constructure</w:t>
      </w:r>
      <w:r>
        <w:t xml:space="preserve"> </w:t>
      </w:r>
      <w:r>
        <w:t xml:space="preserve">that provides a more realistic evolution of market conditions.</w:t>
      </w:r>
      <w:r>
        <w:t xml:space="preserve"> </w:t>
      </w:r>
      <w:r>
        <w:t xml:space="preserve">In the baseline, in terms of instruments to support investments continuation of the Innovation</w:t>
      </w:r>
      <w:r>
        <w:t xml:space="preserve"> </w:t>
      </w:r>
      <w:r>
        <w:t xml:space="preserve">Fund (IF) is assumed as already foreseen in the ETS Directive using existing instruments</w:t>
      </w:r>
      <w:r>
        <w:t xml:space="preserve"> </w:t>
      </w:r>
      <w:r>
        <w:t xml:space="preserve">(‘regular’ grants and, to lesser extent, auctions and financial instruments) to address technology</w:t>
      </w:r>
      <w:r>
        <w:t xml:space="preserve"> </w:t>
      </w:r>
      <w:r>
        <w:t xml:space="preserve">and early commercialisation risks across innovative decarbonisation technologies in ETS</w:t>
      </w:r>
      <w:r>
        <w:t xml:space="preserve"> </w:t>
      </w:r>
      <w:r>
        <w:t xml:space="preserve">covered sectors, alongside the establishment of the Industrial Decarbonisation Bank (IDB) with</w:t>
      </w:r>
      <w:r>
        <w:t xml:space="preserve"> </w:t>
      </w:r>
      <w:r>
        <w:t xml:space="preserve">a EUR 100 billion envelope as announced under the Clean Industrial Deal to address</w:t>
      </w:r>
      <w:r>
        <w:t xml:space="preserve"> </w:t>
      </w:r>
      <w:r>
        <w:t xml:space="preserve">commercialisation risks for scale-up and roll-out of decarbonisation technologies in Energy</w:t>
      </w:r>
      <w:r>
        <w:t xml:space="preserve"> </w:t>
      </w:r>
      <w:r>
        <w:t xml:space="preserve">Intensive Industries.</w:t>
      </w:r>
      <w:r>
        <w:t xml:space="preserve"> </w:t>
      </w:r>
      <w:r>
        <w:t xml:space="preserve">For aviation, the EU ETS would apply to departing and arriving flights from the EEA to around</w:t>
      </w:r>
      <w:r>
        <w:t xml:space="preserve"> </w:t>
      </w:r>
      <w:r>
        <w:t xml:space="preserve">90 countries from the start of 2027, if no amendment to the ETS Directive were adopted before</w:t>
      </w:r>
      <w:r>
        <w:t xml:space="preserve"> </w:t>
      </w:r>
      <w:r>
        <w:t xml:space="preserve">surrender requirements for emissions released in 2027 are due. Currently, incoming flights from</w:t>
      </w:r>
      <w:r>
        <w:t xml:space="preserve"> </w:t>
      </w:r>
      <w:r>
        <w:t xml:space="preserve">Switzerland and the UK are already exempted as those are covered by the Swiss and UK ETS</w:t>
      </w:r>
      <w:r>
        <w:t xml:space="preserve"> </w:t>
      </w:r>
      <w:r>
        <w:t xml:space="preserve">respectively. Other incoming flights could also be exempted if this is considered optimal</w:t>
      </w:r>
      <w:r>
        <w:t xml:space="preserve"> </w:t>
      </w:r>
      <w:r>
        <w:t xml:space="preserve">interaction. This is not assumed in the baseline, but it would reflect the EU’s fair share of</w:t>
      </w:r>
      <w:r>
        <w:t xml:space="preserve"> </w:t>
      </w:r>
      <w:r>
        <w:t xml:space="preserve">emissions while maintaining equal treatment of aircraft operators on routes, with the EU</w:t>
      </w:r>
      <w:r>
        <w:t xml:space="preserve"> </w:t>
      </w:r>
      <w:r>
        <w:t xml:space="preserve">regulating departing flights, while other countries would be responsible for flights to the EEA.</w:t>
      </w:r>
      <w:r>
        <w:t xml:space="preserve"> </w:t>
      </w:r>
      <w:r>
        <w:t xml:space="preserve">PO2 acts as such a variation. The ETS Directive reserves 20 million allowances from January</w:t>
      </w:r>
      <w:r>
        <w:t xml:space="preserve"> </w:t>
      </w:r>
      <w:r>
        <w:t xml:space="preserve">2024 until 31 December 2030 for covering up to 100% of the cost-difference for using eligible</w:t>
      </w:r>
      <w:r>
        <w:t xml:space="preserve"> </w:t>
      </w:r>
      <w:r>
        <w:t xml:space="preserve">fuels on routes covered by the ETS carbon price (Article 3c(6)). Without action by the European</w:t>
      </w:r>
      <w:r>
        <w:t xml:space="preserve"> </w:t>
      </w:r>
      <w:r>
        <w:t xml:space="preserve">Parliament and the Council, this support expires or runs out.</w:t>
      </w:r>
      <w:r>
        <w:br/>
      </w:r>
      <w:r>
        <w:t xml:space="preserve">When accounting for the increasing use of SAF as mandated by ReFuelEU aviation and global</w:t>
      </w:r>
      <w:r>
        <w:t xml:space="preserve"> </w:t>
      </w:r>
      <w:r>
        <w:t xml:space="preserve">SAF uptake projections by ICAO, in the baseline global56 aviation CO2 emissions should</w:t>
      </w:r>
      <w:r>
        <w:t xml:space="preserve"> </w:t>
      </w:r>
      <w:r>
        <w:t xml:space="preserve">decrease to 590Mt CO2 in 2040. Without accounting for the use of SAF, these emissions would</w:t>
      </w:r>
      <w:r>
        <w:t xml:space="preserve"> </w:t>
      </w:r>
      <w:r>
        <w:t xml:space="preserve">increase from 690 Mt CO2 in 2024 to 763Mt CO2 in 2040. See table 2 in Annex 10. When</w:t>
      </w:r>
      <w:r>
        <w:t xml:space="preserve"> </w:t>
      </w:r>
      <w:r>
        <w:t xml:space="preserve">looking at out-of-sector abatement, under the baseline in 2035, 28.5% of global international</w:t>
      </w:r>
      <w:r>
        <w:t xml:space="preserve"> </w:t>
      </w:r>
      <w:r>
        <w:t xml:space="preserve">aviation emissions are covered by the EU ETS compliance obligation, and 10.4% by CORSIA</w:t>
      </w:r>
      <w:r>
        <w:t xml:space="preserve"> </w:t>
      </w:r>
      <w:r>
        <w:t xml:space="preserve">offsets (see table 3 in the main body). In 2040, the baseline covers 26.1% of global international</w:t>
      </w:r>
      <w:r>
        <w:t xml:space="preserve"> </w:t>
      </w:r>
      <w:r>
        <w:t xml:space="preserve">aviation emissions and CORSIA covers 0% (as it is set to end in 2035).</w:t>
      </w:r>
      <w:r>
        <w:t xml:space="preserve"> </w:t>
      </w:r>
      <w:r>
        <w:t xml:space="preserve">Regarding economic impacts, between 2023 and 2040, under the baseline demand increases</w:t>
      </w:r>
      <w:r>
        <w:t xml:space="preserve"> </w:t>
      </w:r>
      <w:r>
        <w:t xml:space="preserve">across all market segments despite an increase in price for most segments (except cargo).</w:t>
      </w:r>
      <w:r>
        <w:t xml:space="preserve"> </w:t>
      </w:r>
      <w:r>
        <w:t xml:space="preserve">Passenger demand for global international flights (those within Europe, as well as international</w:t>
      </w:r>
      <w:r>
        <w:t xml:space="preserve"> </w:t>
      </w:r>
      <w:r>
        <w:t xml:space="preserve">flights outside Europe but not domestic flights outside Europe) increases: for first/ business</w:t>
      </w:r>
      <w:r>
        <w:t xml:space="preserve"> </w:t>
      </w:r>
      <w:r>
        <w:t xml:space="preserve">class by 63%, for economy class by 49%, for low-cost by 30%, and for cargo by 43%. Average</w:t>
      </w:r>
      <w:r>
        <w:t xml:space="preserve"> </w:t>
      </w:r>
      <w:r>
        <w:t xml:space="preserve">ticket prices are expected to increase between 2023 and 2040 under the baseline: for first/</w:t>
      </w:r>
      <w:r>
        <w:t xml:space="preserve"> </w:t>
      </w:r>
      <w:r>
        <w:t xml:space="preserve">business class by 20%, for economy class by 19%, for low-cost by 37%, and 0% (no change)</w:t>
      </w:r>
      <w:r>
        <w:t xml:space="preserve"> </w:t>
      </w:r>
      <w:r>
        <w:t xml:space="preserve">for cargo. For other economic impacts of the baseline, including on the carbon cost as a share</w:t>
      </w:r>
      <w:r>
        <w:t xml:space="preserve"> </w:t>
      </w:r>
      <w:r>
        <w:t xml:space="preserve">of the fuel cost or of total operating costs, risks of competitive distortions for airlines, risks of</w:t>
      </w:r>
      <w:r>
        <w:t xml:space="preserve"> </w:t>
      </w:r>
      <w:r>
        <w:t xml:space="preserve">passenger shift and carbon leakage at airport hubs, or impacts on tourist destinations, please</w:t>
      </w:r>
      <w:r>
        <w:t xml:space="preserve"> </w:t>
      </w:r>
      <w:r>
        <w:t xml:space="preserve">refer to the respective sections on the impacts of the policy options.</w:t>
      </w:r>
    </w:p>
    <w:p>
      <w:pPr>
        <w:pStyle w:val="BodyText"/>
      </w:pPr>
      <w:r>
        <w:t xml:space="preserve">56 Inside Europe: domestic and non-domestic and departing flights to Switzerland and the UK, outside Europe:</w:t>
      </w:r>
      <w:r>
        <w:t xml:space="preserve"> </w:t>
      </w:r>
      <w:r>
        <w:t xml:space="preserve">non-domestic only.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Auction revenues from aviation in the baseline are estimated at EUR 24bn in 2035 and EUR</w:t>
      </w:r>
      <w:r>
        <w:t xml:space="preserve"> </w:t>
      </w:r>
      <w:r>
        <w:t xml:space="preserve">38bn in 204057. Under the baseline, there would be no CORSIA costs. It is important to note</w:t>
      </w:r>
      <w:r>
        <w:t xml:space="preserve"> </w:t>
      </w:r>
      <w:r>
        <w:t xml:space="preserve">that the ETS mobilises significant support for decarbonisation, including for aviation.</w:t>
      </w:r>
      <w:r>
        <w:t xml:space="preserve"> </w:t>
      </w:r>
      <w:r>
        <w:t xml:space="preserve">Additional support is available under the Innovation Fund. The Innovation Fund has supported</w:t>
      </w:r>
      <w:r>
        <w:t xml:space="preserve"> </w:t>
      </w:r>
      <w:r>
        <w:t xml:space="preserve">68 projects related to decarbonising the transport sector with EUR 3.89 billion. Between 2020-</w:t>
      </w:r>
      <w:r>
        <w:t xml:space="preserve"> </w:t>
      </w:r>
      <w:r>
        <w:t xml:space="preserve">2024, the Innovation Fund has awarded more than EUR 286 million to three projects producing</w:t>
      </w:r>
      <w:r>
        <w:t xml:space="preserve"> </w:t>
      </w:r>
      <w:r>
        <w:t xml:space="preserve">sustainable aviation fuels, one focusing on synthetic aviation fuel production. As part of the</w:t>
      </w:r>
      <w:r>
        <w:t xml:space="preserve"> </w:t>
      </w:r>
      <w:r>
        <w:t xml:space="preserve">2024 Innovation Fund Call implementation, the Commission is awarding EUR 153 million to</w:t>
      </w:r>
      <w:r>
        <w:t xml:space="preserve"> </w:t>
      </w:r>
      <w:r>
        <w:t xml:space="preserve">four eSAF projects. In addition, 11 aviation projects that scored above the Innovation Fund</w:t>
      </w:r>
      <w:r>
        <w:t xml:space="preserve"> </w:t>
      </w:r>
      <w:r>
        <w:t xml:space="preserve">evaluation thresholds are awarded the STEP Seal. In 2025, the Commission opened another</w:t>
      </w:r>
      <w:r>
        <w:t xml:space="preserve"> </w:t>
      </w:r>
      <w:r>
        <w:t xml:space="preserve">European Hydrogen Bank auction with a dedicated budget of EUR 300 million for the</w:t>
      </w:r>
      <w:r>
        <w:t xml:space="preserve"> </w:t>
      </w:r>
      <w:r>
        <w:t xml:space="preserve">production of renewable hydrogen with off-takers in the aviation and maritime sectors. The</w:t>
      </w:r>
      <w:r>
        <w:t xml:space="preserve"> </w:t>
      </w:r>
      <w:r>
        <w:t xml:space="preserve">Innovation Fund is funded through ETS revenues. In 2025, the Commission opened another</w:t>
      </w:r>
      <w:r>
        <w:t xml:space="preserve"> </w:t>
      </w:r>
      <w:r>
        <w:t xml:space="preserve">European Hydrogen Bank auction with a dedicated budget of EUR 300 million for the</w:t>
      </w:r>
      <w:r>
        <w:t xml:space="preserve"> </w:t>
      </w:r>
      <w:r>
        <w:t xml:space="preserve">production of renewable hydrogen with off-takers in the aviation and maritime sectors. The</w:t>
      </w:r>
      <w:r>
        <w:t xml:space="preserve"> </w:t>
      </w:r>
      <w:r>
        <w:t xml:space="preserve">Innovation Fund is funded through ETS revenues.</w:t>
      </w:r>
      <w:r>
        <w:br/>
      </w:r>
      <w:r>
        <w:t xml:space="preserve">For maritime, the ETS Directive applies to ships of or above 5 000 gross tonnage and</w:t>
      </w:r>
      <w:r>
        <w:t xml:space="preserve"> </w:t>
      </w:r>
      <w:r>
        <w:t xml:space="preserve">surrendering of allowances is phased in gradually (40% of 2024 emissions, 70% of 2025</w:t>
      </w:r>
      <w:r>
        <w:t xml:space="preserve"> </w:t>
      </w:r>
      <w:r>
        <w:t xml:space="preserve">emissions and 100% of 2026 emissions). All emissions of voyages between EU ports, as well</w:t>
      </w:r>
      <w:r>
        <w:t xml:space="preserve"> </w:t>
      </w:r>
      <w:r>
        <w:t xml:space="preserve">as emissions within EU ports are covered but only 50% of emissions of voyages between EU</w:t>
      </w:r>
      <w:r>
        <w:t xml:space="preserve"> </w:t>
      </w:r>
      <w:r>
        <w:t xml:space="preserve">and non-EU ports. Temporary derogations apply in some specific cases until end of 2030, such</w:t>
      </w:r>
      <w:r>
        <w:t xml:space="preserve"> </w:t>
      </w:r>
      <w:r>
        <w:t xml:space="preserve">as for certain ice-class ships, voyages between ports in outermost regions and ports within the</w:t>
      </w:r>
      <w:r>
        <w:t xml:space="preserve"> </w:t>
      </w:r>
      <w:r>
        <w:t xml:space="preserve">same Member State, certain small islands, and some routes for which a public service obligation</w:t>
      </w:r>
      <w:r>
        <w:t xml:space="preserve"> </w:t>
      </w:r>
      <w:r>
        <w:t xml:space="preserve">or contract has been declared. Methane and nitrous oxide emissions from maritime transport</w:t>
      </w:r>
      <w:r>
        <w:t xml:space="preserve"> </w:t>
      </w:r>
      <w:r>
        <w:t xml:space="preserve">are covered under the EU ETS as from 2026 and emissions from large offshore vessels will be</w:t>
      </w:r>
      <w:r>
        <w:t xml:space="preserve"> </w:t>
      </w:r>
      <w:r>
        <w:t xml:space="preserve">covered as from 2027. The Baseline contains also full application of FuelEU Regulation and</w:t>
      </w:r>
      <w:r>
        <w:t xml:space="preserve"> </w:t>
      </w:r>
      <w:r>
        <w:t xml:space="preserve">other relevant EU and international legislation adopted to date.</w:t>
      </w:r>
      <w:r>
        <w:br/>
      </w:r>
      <w:r>
        <w:t xml:space="preserve">The baseline contemplates the fulfilment of the IMO GHG 2023 Strategy by reflecting the key</w:t>
      </w:r>
      <w:r>
        <w:t xml:space="preserve"> </w:t>
      </w:r>
      <w:r>
        <w:t xml:space="preserve">design elements of the IMO mid-term measure as agreed in April 2025 (IMO Net Zero</w:t>
      </w:r>
      <w:r>
        <w:t xml:space="preserve"> </w:t>
      </w:r>
      <w:r>
        <w:t xml:space="preserve">Framework)58.</w:t>
      </w:r>
      <w:r>
        <w:br/>
      </w:r>
      <w:r>
        <w:t xml:space="preserve">Under the Baseline, tank-to-wake (TTW) GHG emissions from all large ships under the ETS</w:t>
      </w:r>
      <w:r>
        <w:t xml:space="preserve"> </w:t>
      </w:r>
      <w:r>
        <w:t xml:space="preserve">scope follow a decreasing trajectory driven by regulatory pressures coming from current EU</w:t>
      </w:r>
      <w:r>
        <w:t xml:space="preserve"> </w:t>
      </w:r>
      <w:r>
        <w:t xml:space="preserve">legislations, including the EU ETS and Fuel EU applied to the full extent and working together</w:t>
      </w:r>
      <w:r>
        <w:t xml:space="preserve"> </w:t>
      </w:r>
      <w:r>
        <w:t xml:space="preserve">with IMO strategies and future policies. This trajectory leads to 20 MtCO2e of residual</w:t>
      </w:r>
      <w:r>
        <w:t xml:space="preserve"> </w:t>
      </w:r>
      <w:r>
        <w:t xml:space="preserve">emissions by 2050. Emissions from smaller vessels (between 400 and 4 999 gross tonnage)</w:t>
      </w:r>
      <w:r>
        <w:t xml:space="preserve"> </w:t>
      </w:r>
      <w:r>
        <w:t xml:space="preserve">represent, in absence of regulation, the majority of these residual emissions of shipping. While</w:t>
      </w:r>
      <w:r>
        <w:t xml:space="preserve"> </w:t>
      </w:r>
      <w:r>
        <w:t xml:space="preserve">not covered by current EU or global climate policies to reduce shipping emissions, GHG</w:t>
      </w:r>
      <w:r>
        <w:t xml:space="preserve"> </w:t>
      </w:r>
      <w:r>
        <w:t xml:space="preserve">emissions from smaller vessels slightly decrease over the period 2030-2050, mostly driven by</w:t>
      </w:r>
      <w:r>
        <w:t xml:space="preserve"> </w:t>
      </w:r>
      <w:r>
        <w:t xml:space="preserve">energy efficiency improvements.</w:t>
      </w:r>
      <w:r>
        <w:br/>
      </w:r>
      <w:r>
        <w:t xml:space="preserve">Beyond in-sector GHG emission reductions, the participation of maritime transport in the EU</w:t>
      </w:r>
      <w:r>
        <w:t xml:space="preserve"> </w:t>
      </w:r>
      <w:r>
        <w:t xml:space="preserve">ETS may also lead to out-of-sector abatement. This would occur in the event that maritime</w:t>
      </w:r>
      <w:r>
        <w:t xml:space="preserve"> </w:t>
      </w:r>
      <w:r>
        <w:t xml:space="preserve">emissions (subject to EU ETS) decrease at a slower pace than the overall ETS cap reduction</w:t>
      </w:r>
      <w:r>
        <w:t xml:space="preserve"> </w:t>
      </w:r>
      <w:r>
        <w:t xml:space="preserve">trajectory, leading to a scenario where shipping companies would need to acquire more</w:t>
      </w:r>
    </w:p>
    <w:p>
      <w:pPr>
        <w:pStyle w:val="BodyText"/>
      </w:pPr>
      <w:r>
        <w:t xml:space="preserve">57 Using carbon pice projections as per PRIMES 87p_var3_v3</w:t>
      </w:r>
      <w:r>
        <w:t xml:space="preserve"> </w:t>
      </w:r>
      <w:r>
        <w:t xml:space="preserve">58 Reduction of the GHG intensity of fuels (GFI) by at least a “Base target” of 8% in 2030, 30% in 2035 and</w:t>
      </w:r>
      <w:r>
        <w:t xml:space="preserve"> </w:t>
      </w:r>
      <w:r>
        <w:t xml:space="preserve">65% in 2040 and a more ambitious “Direct compliance target” of 21% GFI reduction in 2030 and 43% in</w:t>
      </w:r>
      <w:r>
        <w:t xml:space="preserve"> </w:t>
      </w:r>
      <w:r>
        <w:t xml:space="preserve">2035.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allowances from other ETS sectors. Under the Baseline, such a situation occurs from 2025 to</w:t>
      </w:r>
      <w:r>
        <w:t xml:space="preserve"> </w:t>
      </w:r>
      <w:r>
        <w:t xml:space="preserve">2040.</w:t>
      </w:r>
      <w:r>
        <w:br/>
      </w:r>
      <w:r>
        <w:t xml:space="preserve">The non continuation of the derogations for outermost regions, small islands and ice-class ships</w:t>
      </w:r>
      <w:r>
        <w:t xml:space="preserve"> </w:t>
      </w:r>
      <w:r>
        <w:t xml:space="preserve">under the EU ETS would also contribute to incentivise emissions reductions in the sector and</w:t>
      </w:r>
      <w:r>
        <w:t xml:space="preserve"> </w:t>
      </w:r>
      <w:r>
        <w:t xml:space="preserve">avoid delaying green investments in vessels and port infrastructures.</w:t>
      </w:r>
      <w:r>
        <w:br/>
      </w:r>
      <w:r>
        <w:t xml:space="preserve">International maritime shipping is an important contributor to poor air quality in the EU due</w:t>
      </w:r>
      <w:r>
        <w:t xml:space="preserve"> </w:t>
      </w:r>
      <w:r>
        <w:t xml:space="preserve">to emissions of PM2.5/PM10, NOx, SOx, CO and NMVOC. It has particularly large impacts</w:t>
      </w:r>
      <w:r>
        <w:t xml:space="preserve"> </w:t>
      </w:r>
      <w:r>
        <w:t xml:space="preserve">in port cities and coastal locations and due to long-range transport of pollutants it also</w:t>
      </w:r>
      <w:r>
        <w:t xml:space="preserve"> </w:t>
      </w:r>
      <w:r>
        <w:t xml:space="preserve">deteriorates inland air quality. The major impact of air quality degradation is on human health,</w:t>
      </w:r>
      <w:r>
        <w:t xml:space="preserve"> </w:t>
      </w:r>
      <w:r>
        <w:t xml:space="preserve">with smaller impacts to other areas such as crops, ocean acidification or degradation of</w:t>
      </w:r>
      <w:r>
        <w:t xml:space="preserve"> </w:t>
      </w:r>
      <w:r>
        <w:t xml:space="preserve">buildings. The effects of air pollution under the Baseline are estimated for the period 2030-</w:t>
      </w:r>
      <w:r>
        <w:t xml:space="preserve"> </w:t>
      </w:r>
      <w:r>
        <w:t xml:space="preserve">2050 at 112,997 MEUR of total external damage costs, which aggregate health effects, crop</w:t>
      </w:r>
      <w:r>
        <w:t xml:space="preserve"> </w:t>
      </w:r>
      <w:r>
        <w:t xml:space="preserve">loss, biodiversity loss and material damage, as per the Handbook of the external costs of</w:t>
      </w:r>
      <w:r>
        <w:t xml:space="preserve"> </w:t>
      </w:r>
      <w:r>
        <w:t xml:space="preserve">transport.</w:t>
      </w:r>
      <w:r>
        <w:t xml:space="preserve"> </w:t>
      </w:r>
      <w:r>
        <w:t xml:space="preserve">The assessment of impacts on compliance costs includes payments under EU ETS, fuel costs,</w:t>
      </w:r>
      <w:r>
        <w:t xml:space="preserve"> </w:t>
      </w:r>
      <w:r>
        <w:t xml:space="preserve">operating costs and capital expenditures from shipping companies. Under the Baseline, total</w:t>
      </w:r>
      <w:r>
        <w:t xml:space="preserve"> </w:t>
      </w:r>
      <w:r>
        <w:t xml:space="preserve">shipping costs are expected to grow over the period 2030-2050 from 105 billion EUR to 163</w:t>
      </w:r>
      <w:r>
        <w:t xml:space="preserve"> </w:t>
      </w:r>
      <w:r>
        <w:t xml:space="preserve">billion EUR. Total cost increases are largely driven by higher fuel costs following the gradual</w:t>
      </w:r>
      <w:r>
        <w:t xml:space="preserve"> </w:t>
      </w:r>
      <w:r>
        <w:t xml:space="preserve">uptake of more expensive low carbon and renewable fuels (reaching 7% of the energy mix in</w:t>
      </w:r>
      <w:r>
        <w:t xml:space="preserve"> </w:t>
      </w:r>
      <w:r>
        <w:t xml:space="preserve">2030, 63% in 2040 and 87% in 2050) and, to a lower extent, by growing capital expenditure</w:t>
      </w:r>
      <w:r>
        <w:t xml:space="preserve"> </w:t>
      </w:r>
      <w:r>
        <w:t xml:space="preserve">also linked to decarbonisation measures within the maritime sector.</w:t>
      </w:r>
      <w:r>
        <w:br/>
      </w:r>
      <w:r>
        <w:t xml:space="preserve">In terms of social impacts for maritime, the non-continuation of the derogations for outermost</w:t>
      </w:r>
      <w:r>
        <w:t xml:space="preserve"> </w:t>
      </w:r>
      <w:r>
        <w:t xml:space="preserve">regions and small islands under the EU ETS would increase the cost of maritime journeys to</w:t>
      </w:r>
      <w:r>
        <w:t xml:space="preserve"> </w:t>
      </w:r>
      <w:r>
        <w:t xml:space="preserve">and from these areas. Considering that maritime transport is the main mode for freight transport</w:t>
      </w:r>
      <w:r>
        <w:t xml:space="preserve"> </w:t>
      </w:r>
      <w:r>
        <w:t xml:space="preserve">in these territories and often key for connectivity, higher transport costs could reduce the</w:t>
      </w:r>
      <w:r>
        <w:t xml:space="preserve"> </w:t>
      </w:r>
      <w:r>
        <w:t xml:space="preserve">affordability and frequency of maritime connections, which could potentially affect essential</w:t>
      </w:r>
      <w:r>
        <w:t xml:space="preserve"> </w:t>
      </w:r>
      <w:r>
        <w:t xml:space="preserve">supply chains and access to goods, services, and economic opportunities. Furthermore,</w:t>
      </w:r>
      <w:r>
        <w:t xml:space="preserve"> </w:t>
      </w:r>
      <w:r>
        <w:t xml:space="preserve">increased travel costs could possibly undermine the competitiveness of these regions as tourist</w:t>
      </w:r>
      <w:r>
        <w:t xml:space="preserve"> </w:t>
      </w:r>
      <w:r>
        <w:t xml:space="preserve">destinations and reduce the economic benefits derived from tourism.</w:t>
      </w:r>
      <w:r>
        <w:t xml:space="preserve"> </w:t>
      </w:r>
      <w:r>
        <w:t xml:space="preserve">For stationary installations, the baseline for free allocation for sectors not covered by CBAM</w:t>
      </w:r>
      <w:r>
        <w:t xml:space="preserve"> </w:t>
      </w:r>
      <w:r>
        <w:t xml:space="preserve">results from the continuation of the current rules post-2030, based on the provisions set out in</w:t>
      </w:r>
      <w:r>
        <w:t xml:space="preserve"> </w:t>
      </w:r>
      <w:r>
        <w:t xml:space="preserve">Article 10a of the ETS Directive. This does not correspond to the legal default, as the provisions</w:t>
      </w:r>
      <w:r>
        <w:t xml:space="preserve"> </w:t>
      </w:r>
      <w:r>
        <w:t xml:space="preserve">of Article 10a of the ETS Directive apply only until 2030. However, assuming a baseline of</w:t>
      </w:r>
      <w:r>
        <w:t xml:space="preserve"> </w:t>
      </w:r>
      <w:r>
        <w:t xml:space="preserve">continued free allocation post-2030 allows for a more meaningful analysis of the proposed</w:t>
      </w:r>
      <w:r>
        <w:t xml:space="preserve"> </w:t>
      </w:r>
      <w:r>
        <w:t xml:space="preserve">measures. For the sectors covered by CBAM, free allocation is phased out up to 2034 in parallel</w:t>
      </w:r>
      <w:r>
        <w:t xml:space="preserve"> </w:t>
      </w:r>
      <w:r>
        <w:t xml:space="preserve">with the gradual phase-on of CBAM. The quantity of allowances available for free allocation</w:t>
      </w:r>
      <w:r>
        <w:t xml:space="preserve"> </w:t>
      </w:r>
      <w:r>
        <w:t xml:space="preserve">is based on 43% share of the baseline cap trajectory , resulting from the provision in Article 10</w:t>
      </w:r>
      <w:r>
        <w:t xml:space="preserve"> </w:t>
      </w:r>
      <w:r>
        <w:t xml:space="preserve">of the ETS Directive that 57% will be allocated via auctioning.</w:t>
      </w:r>
      <w:r>
        <w:br/>
      </w:r>
      <w:r>
        <w:t xml:space="preserve">For small stationary installations, the 20MW threshold continues to apply, together with the</w:t>
      </w:r>
      <w:r>
        <w:t xml:space="preserve"> </w:t>
      </w:r>
      <w:r>
        <w:t xml:space="preserve">provisions on the exclusion of small installations subject to equivalent national measures, and</w:t>
      </w:r>
      <w:r>
        <w:t xml:space="preserve"> </w:t>
      </w:r>
      <w:r>
        <w:t xml:space="preserve">of very small installations (Article 27 and 27a respectively).</w:t>
      </w:r>
      <w:r>
        <w:t xml:space="preserve"> </w:t>
      </w:r>
      <w:r>
        <w:t xml:space="preserve">Accounting of emissions that are captured in the EU ETS installations for utilisation in</w:t>
      </w:r>
      <w:r>
        <w:t xml:space="preserve"> </w:t>
      </w:r>
      <w:r>
        <w:t xml:space="preserve">products, or for CCU, takes place upstream. This means emissions can only be deducted by</w:t>
      </w:r>
      <w:r>
        <w:t xml:space="preserve"> </w:t>
      </w:r>
      <w:r>
        <w:t xml:space="preserve">the installations when captured and transferred to another installation if they are captured for</w:t>
      </w:r>
      <w:r>
        <w:t xml:space="preserve"> </w:t>
      </w:r>
      <w:r>
        <w:t xml:space="preserve">permanent storage in accordance with Article 12(3a) of the ETS Directive or for permanent use</w:t>
      </w:r>
      <w:r>
        <w:t xml:space="preserve"> </w:t>
      </w:r>
      <w:r>
        <w:t xml:space="preserve">in a product in accordance with Article 12(3b) of the ETS Directive.</w:t>
      </w:r>
      <w:r>
        <w:t xml:space="preserve"> </w:t>
      </w:r>
      <w:r>
        <w:t xml:space="preserve">Finally, installations for the incineration of municipal or hazardous waste are generally</w:t>
      </w:r>
      <w:r>
        <w:t xml:space="preserve"> </w:t>
      </w:r>
      <w:r>
        <w:t xml:space="preserve">excluded from the full scope of the EU ETS (with co-incineration in industrial installations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under the EU ETS, however, fully covered in line with Commission Guidance Document 059).</w:t>
      </w:r>
      <w:r>
        <w:t xml:space="preserve"> </w:t>
      </w:r>
      <w:r>
        <w:t xml:space="preserve">Denmark, Sweden and Lithuania have installations for the incineration of municipal waste fully</w:t>
      </w:r>
      <w:r>
        <w:t xml:space="preserve"> </w:t>
      </w:r>
      <w:r>
        <w:t xml:space="preserve">covered by the EU ETS60. Since 1 January 2024, installations for the incineration of municipal</w:t>
      </w:r>
      <w:r>
        <w:t xml:space="preserve"> </w:t>
      </w:r>
      <w:r>
        <w:t xml:space="preserve">waste monitor and report their emissions under the EU ETS.</w:t>
      </w:r>
      <w:r>
        <w:t xml:space="preserve"> </w:t>
      </w:r>
      <w:r>
        <w:t xml:space="preserve">2. OVERVIEW OF POLICY MEASURES</w:t>
      </w:r>
      <w:r>
        <w:t xml:space="preserve"> </w:t>
      </w:r>
      <w:r>
        <w:t xml:space="preserve">Three policy options have been developed that ensure that the ETS contributes cost-effectively</w:t>
      </w:r>
      <w:r>
        <w:t xml:space="preserve"> </w:t>
      </w:r>
      <w:r>
        <w:t xml:space="preserve">to the EU emissions reduction target in line with climate neutrality and the 2040 target and to</w:t>
      </w:r>
      <w:r>
        <w:t xml:space="preserve"> </w:t>
      </w:r>
      <w:r>
        <w:t xml:space="preserve">addressing the EU’s fair share of international emissions. The options differ in the degree of</w:t>
      </w:r>
      <w:r>
        <w:t xml:space="preserve"> </w:t>
      </w:r>
      <w:r>
        <w:t xml:space="preserve">change that they entail to the current system. Policy option 1 Aligning ambition and improving</w:t>
      </w:r>
      <w:r>
        <w:t xml:space="preserve"> </w:t>
      </w:r>
      <w:r>
        <w:t xml:space="preserve">incentives includes the measures that, overall, lead to least change compared to policies in place</w:t>
      </w:r>
      <w:r>
        <w:t xml:space="preserve"> </w:t>
      </w:r>
      <w:r>
        <w:t xml:space="preserve">in 2026. Policy option 2 Aligning ambition and extending scope and corresponding incentives</w:t>
      </w:r>
      <w:r>
        <w:t xml:space="preserve"> </w:t>
      </w:r>
      <w:r>
        <w:t xml:space="preserve">includes measures that introduce moderate innovations or changes to the system. Policy option</w:t>
      </w:r>
      <w:r>
        <w:t xml:space="preserve"> </w:t>
      </w:r>
      <w:r>
        <w:t xml:space="preserve">3 Aligning ambition and extending scope and incentives comprehensively alters most</w:t>
      </w:r>
      <w:r>
        <w:t xml:space="preserve"> </w:t>
      </w:r>
      <w:r>
        <w:t xml:space="preserve">substantially how the system works. The policy measures selected for each topic area are</w:t>
      </w:r>
      <w:r>
        <w:t xml:space="preserve"> </w:t>
      </w:r>
      <w:r>
        <w:t xml:space="preserve">described individually in Annexes 8 to 13 to this report, to enable different approaches to</w:t>
      </w:r>
      <w:r>
        <w:t xml:space="preserve"> </w:t>
      </w:r>
      <w:r>
        <w:t xml:space="preserve">building policy options. While those annexes include an in-depth assessment of a wider range</w:t>
      </w:r>
      <w:r>
        <w:t xml:space="preserve"> </w:t>
      </w:r>
      <w:r>
        <w:t xml:space="preserve">of measures, the measures presented in the main body of the reports are those selected for the</w:t>
      </w:r>
      <w:r>
        <w:t xml:space="preserve"> </w:t>
      </w:r>
      <w:r>
        <w:t xml:space="preserve">three policy options because they were assessed as addressing the relevant specific objectives</w:t>
      </w:r>
      <w:r>
        <w:t xml:space="preserve"> </w:t>
      </w:r>
      <w:r>
        <w:t xml:space="preserve">with the best environmental, economic, and social impacts. Concretely, the following measures</w:t>
      </w:r>
      <w:r>
        <w:t xml:space="preserve"> </w:t>
      </w:r>
      <w:r>
        <w:t xml:space="preserve">were considered in terms of each specific objective:</w:t>
      </w:r>
      <w:r>
        <w:t xml:space="preserve"> </w:t>
      </w:r>
      <w:r>
        <w:t xml:space="preserve">2.1. Ambition</w:t>
      </w:r>
      <w:r>
        <w:t xml:space="preserve"> </w:t>
      </w:r>
      <w:r>
        <w:t xml:space="preserve">The ambition of the EU ETS is primarily defined by the domestic EU-wide target considering</w:t>
      </w:r>
      <w:r>
        <w:t xml:space="preserve"> </w:t>
      </w:r>
      <w:r>
        <w:t xml:space="preserve">international credits for net emissions reductions. However, the ambition of the ETS will</w:t>
      </w:r>
      <w:r>
        <w:t xml:space="preserve"> </w:t>
      </w:r>
      <w:r>
        <w:t xml:space="preserve">depend on whether and how removals will be integrated. The cap itself can be set at the level</w:t>
      </w:r>
      <w:r>
        <w:t xml:space="preserve"> </w:t>
      </w:r>
      <w:r>
        <w:t xml:space="preserve">of the gross emissions objective, or the net emissions objective. This differs per policy option</w:t>
      </w:r>
      <w:r>
        <w:t xml:space="preserve"> </w:t>
      </w:r>
      <w:r>
        <w:t xml:space="preserve">and will be explained below.</w:t>
      </w:r>
      <w:r>
        <w:t xml:space="preserve"> </w:t>
      </w:r>
      <w:r>
        <w:t xml:space="preserve">2.1.1. Cap</w:t>
      </w:r>
      <w:r>
        <w:t xml:space="preserve"> </w:t>
      </w:r>
      <w:r>
        <w:t xml:space="preserve">Annex 8 describes the measures for different trajectories towards the 2040 point target in more</w:t>
      </w:r>
      <w:r>
        <w:t xml:space="preserve"> </w:t>
      </w:r>
      <w:r>
        <w:t xml:space="preserve">detail:</w:t>
      </w:r>
      <w:r>
        <w:t xml:space="preserve"> </w:t>
      </w:r>
      <w:r>
        <w:t xml:space="preserve">•</w:t>
      </w:r>
      <w:r>
        <w:t xml:space="preserve"> </w:t>
      </w:r>
      <w:r>
        <w:t xml:space="preserve">CAP1: In this “Linear” measure, the cap follows a linear trajectory from 2030 to 2040</w:t>
      </w:r>
      <w:r>
        <w:t xml:space="preserve"> </w:t>
      </w:r>
      <w:r>
        <w:t xml:space="preserve">towards an 85% consistent target in 2040.</w:t>
      </w:r>
      <w:r>
        <w:br/>
      </w:r>
      <w:r>
        <w:t xml:space="preserve">•</w:t>
      </w:r>
      <w:r>
        <w:t xml:space="preserve"> </w:t>
      </w:r>
      <w:r>
        <w:t xml:space="preserve">CAP2: In this “Modelled/cost-effective” measure, towards an 85% consistent target, the</w:t>
      </w:r>
      <w:r>
        <w:t xml:space="preserve"> </w:t>
      </w:r>
      <w:r>
        <w:t xml:space="preserve">cap linearly follows modelled estimates from the 2030 legal cap estimate to the 2035</w:t>
      </w:r>
      <w:r>
        <w:t xml:space="preserve"> </w:t>
      </w:r>
      <w:r>
        <w:t xml:space="preserve">modelled emissions estimate, and from 2035 to the 2040 modelled estimate.</w:t>
      </w:r>
      <w:r>
        <w:br/>
      </w:r>
      <w:r>
        <w:t xml:space="preserve">•</w:t>
      </w:r>
      <w:r>
        <w:t xml:space="preserve"> </w:t>
      </w:r>
      <w:r>
        <w:t xml:space="preserve">CAP3: In this “90 – 85 pathway” measure, until 2035 the cap follows a trajectory</w:t>
      </w:r>
      <w:r>
        <w:t xml:space="preserve"> </w:t>
      </w:r>
      <w:r>
        <w:t xml:space="preserve">towards the estimated cost-effective contribution of the EU ETS to the 90% target</w:t>
      </w:r>
      <w:r>
        <w:t xml:space="preserve"> </w:t>
      </w:r>
      <w:r>
        <w:t xml:space="preserve">and then flattens to move towards the estimated cost-effective contribution of the EU</w:t>
      </w:r>
      <w:r>
        <w:t xml:space="preserve"> </w:t>
      </w:r>
      <w:r>
        <w:t xml:space="preserve">ETS to an 85% consistent target in 2040. This reflects the fact that international credits</w:t>
      </w:r>
      <w:r>
        <w:t xml:space="preserve"> </w:t>
      </w:r>
      <w:r>
        <w:t xml:space="preserve">will start contributing to the EU-target from 2036. A specific economy-wide modelling</w:t>
      </w:r>
      <w:r>
        <w:t xml:space="preserve"> </w:t>
      </w:r>
      <w:r>
        <w:t xml:space="preserve">run was performed for the estimate of the EU ETS contribution to such</w:t>
      </w:r>
      <w:r>
        <w:t xml:space="preserve"> </w:t>
      </w:r>
      <w:r>
        <w:t xml:space="preserve">a trajectory, hence it ends at a slightly different end point.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CAP4: An accelerated version of CAP3, comparable to a non-linear pathway towards</w:t>
      </w:r>
      <w:r>
        <w:t xml:space="preserve"> </w:t>
      </w:r>
      <w:r>
        <w:t xml:space="preserve">the 90% target in the first five years, then flattening to be compatible with an 85% target</w:t>
      </w:r>
      <w:r>
        <w:t xml:space="preserve"> </w:t>
      </w:r>
      <w:r>
        <w:t xml:space="preserve">in 2040.</w:t>
      </w:r>
      <w:r>
        <w:t xml:space="preserve"> </w:t>
      </w:r>
      <w:r>
        <w:t xml:space="preserve">•</w:t>
      </w:r>
      <w:r>
        <w:t xml:space="preserve"> </w:t>
      </w:r>
      <w:r>
        <w:t xml:space="preserve">CAP5: Maintains the 4.4% LRF from the legal default as an LRF for net emissions until</w:t>
      </w:r>
      <w:r>
        <w:t xml:space="preserve"> </w:t>
      </w:r>
      <w:r>
        <w:t xml:space="preserve">2035, then aims at a target compatible with 90% domestic reductions in 2040.</w:t>
      </w:r>
      <w:r>
        <w:t xml:space="preserve"> </w:t>
      </w:r>
      <w:r>
        <w:t xml:space="preserve">CAP2 was included in all the policy options. As a result, the further modelling-based analysis</w:t>
      </w:r>
      <w:r>
        <w:t xml:space="preserve"> </w:t>
      </w:r>
      <w:r>
        <w:t xml:space="preserve">examined in the impact assessment is based on the cost-effective trajectory. PRIMES was used</w:t>
      </w:r>
      <w:r>
        <w:t xml:space="preserve"> </w:t>
      </w:r>
      <w:r>
        <w:t xml:space="preserve">to model the variants PO1, PO2 and PO3, and the cost-effective trajectory is the</w:t>
      </w:r>
      <w:r>
        <w:t xml:space="preserve"> </w:t>
      </w:r>
      <w:r>
        <w:t xml:space="preserve">most optimal economy wide to reach an 85% target in this model.</w:t>
      </w:r>
      <w:r>
        <w:br/>
      </w:r>
      <w:r>
        <w:t xml:space="preserve">The conclusions drawn on the basis of this modelling about other measures should however be</w:t>
      </w:r>
      <w:r>
        <w:t xml:space="preserve"> </w:t>
      </w:r>
      <w:r>
        <w:t xml:space="preserve">robust to changes in ambition level, if it were decided to follow a more stringent trajectory over</w:t>
      </w:r>
      <w:r>
        <w:t xml:space="preserve"> </w:t>
      </w:r>
      <w:r>
        <w:t xml:space="preserve">this period, either CAP3, CAP4, or a scenario in which fewer international credits were</w:t>
      </w:r>
      <w:r>
        <w:t xml:space="preserve"> </w:t>
      </w:r>
      <w:r>
        <w:t xml:space="preserve">purchased and domestic reductions were more limited, such as CAP5.</w:t>
      </w:r>
      <w:r>
        <w:br/>
      </w:r>
      <w:r>
        <w:t xml:space="preserve">2.1.2. Carbon removals</w:t>
      </w:r>
      <w:r>
        <w:t xml:space="preserve"> </w:t>
      </w:r>
      <w:r>
        <w:t xml:space="preserve">Regarding the inclusion of removals (P9), the measures explored vary across three key</w:t>
      </w:r>
      <w:r>
        <w:t xml:space="preserve"> </w:t>
      </w:r>
      <w:r>
        <w:t xml:space="preserve">dimensions explained below. Other elements were fixed as design elements for all measures,</w:t>
      </w:r>
      <w:r>
        <w:t xml:space="preserve"> </w:t>
      </w:r>
      <w:r>
        <w:t xml:space="preserve">including the inclusion of CCS-based permanent carbon removals certified under the CRCF</w:t>
      </w:r>
      <w:r>
        <w:t xml:space="preserve"> </w:t>
      </w:r>
      <w:r>
        <w:t xml:space="preserve">(BioCCS and DACCS) generated inside or outside the EU ETS. Detailed descriptions on the</w:t>
      </w:r>
      <w:r>
        <w:t xml:space="preserve"> </w:t>
      </w:r>
      <w:r>
        <w:t xml:space="preserve">measures are available in Annex 8 - Part II.</w:t>
      </w:r>
      <w:r>
        <w:t xml:space="preserve"> </w:t>
      </w:r>
      <w:r>
        <w:t xml:space="preserve">The assessment carried out in Annex 8 - Part II, concluded that CR1, CR3, and CR4 provide</w:t>
      </w:r>
      <w:r>
        <w:t xml:space="preserve"> </w:t>
      </w:r>
      <w:r>
        <w:t xml:space="preserve">the best balance in terms of increasing the size of the market (SO2.1.1.) to ensure efficient</w:t>
      </w:r>
      <w:r>
        <w:t xml:space="preserve"> </w:t>
      </w:r>
      <w:r>
        <w:t xml:space="preserve">market functioning (O2.1), at the lowest cost, while providing most certainty in reaching the</w:t>
      </w:r>
      <w:r>
        <w:t xml:space="preserve"> </w:t>
      </w:r>
      <w:r>
        <w:t xml:space="preserve">pre-set emissions reduction target (O1.2)61.</w:t>
      </w:r>
      <w:r>
        <w:br/>
      </w:r>
      <w:r>
        <w:t xml:space="preserve">CR4 provides the lowest cost of compliance as it guarantees the gross emissions (matched only</w:t>
      </w:r>
      <w:r>
        <w:t xml:space="preserve"> </w:t>
      </w:r>
      <w:r>
        <w:t xml:space="preserve">by CR3), thus is best at avoiding carbon leakage and increasing liquidity, with the smoothest</w:t>
      </w:r>
      <w:r>
        <w:t xml:space="preserve"> </w:t>
      </w:r>
      <w:r>
        <w:t xml:space="preserve">market dynamics and without transaction cost for businesses, who operate in the ETS market</w:t>
      </w:r>
      <w:r>
        <w:t xml:space="preserve"> </w:t>
      </w:r>
      <w:r>
        <w:t xml:space="preserve">as usual purchasing only conventional allowances. At the same time, net emissions are</w:t>
      </w:r>
      <w:r>
        <w:t xml:space="preserve"> </w:t>
      </w:r>
      <w:r>
        <w:t xml:space="preserve">guaranteed (conditional on sufficient budget for the public authority), and abatement deterrence</w:t>
      </w:r>
      <w:r>
        <w:t xml:space="preserve"> </w:t>
      </w:r>
      <w:r>
        <w:t xml:space="preserve">is only lower in CR5. While the most important downside of CR4 is the public cost, the apparent</w:t>
      </w:r>
      <w:r>
        <w:t xml:space="preserve"> </w:t>
      </w:r>
      <w:r>
        <w:t xml:space="preserve">‘cost savings’ for the regulator from CR1, CR2 and CR3 (notably from not having to invest into</w:t>
      </w:r>
      <w:r>
        <w:t xml:space="preserve"> </w:t>
      </w:r>
      <w:r>
        <w:t xml:space="preserve">the purchase of removal units) entail risk transfers to the private sector that could materialize</w:t>
      </w:r>
      <w:r>
        <w:t xml:space="preserve"> </w:t>
      </w:r>
      <w:r>
        <w:t xml:space="preserve">as higher costs for the regulator later on, e.g. if CDR technologies do not scale as required in</w:t>
      </w:r>
      <w:r>
        <w:t xml:space="preserve"> </w:t>
      </w:r>
      <w:r>
        <w:t xml:space="preserve">time for target achievement, and especially if the regulator is left with little time to react to a</w:t>
      </w:r>
      <w:r>
        <w:t xml:space="preserve"> </w:t>
      </w:r>
      <w:r>
        <w:t xml:space="preserve">CDR supply shortfall. And while CR4 would likely entail significant administrative costs for</w:t>
      </w:r>
      <w:r>
        <w:t xml:space="preserve"> </w:t>
      </w:r>
      <w:r>
        <w:t xml:space="preserve">the regulator in e.g. the procurement of removal units, it seems possible that procurement</w:t>
      </w:r>
      <w:r>
        <w:t xml:space="preserve"> </w:t>
      </w:r>
      <w:r>
        <w:t xml:space="preserve">methods such as reverse auctions could yield lower overall transaction costs than if purchases</w:t>
      </w:r>
      <w:r>
        <w:t xml:space="preserve"> </w:t>
      </w:r>
      <w:r>
        <w:t xml:space="preserve">were done by individual regulated entities in the primary CDR market, and the administrative</w:t>
      </w:r>
      <w:r>
        <w:t xml:space="preserve"> </w:t>
      </w:r>
      <w:r>
        <w:t xml:space="preserve">cost would need to be compared with the administrative cost of complementary support</w:t>
      </w:r>
      <w:r>
        <w:t xml:space="preserve"> </w:t>
      </w:r>
      <w:r>
        <w:t xml:space="preserve">measures needed under CR1 and CR2 (e.g. CCfDs).</w:t>
      </w:r>
      <w:r>
        <w:br/>
      </w:r>
      <w:r>
        <w:t xml:space="preserve">Compared to CR5, measure CR4 has the advantage of the predictability of the regulator in</w:t>
      </w:r>
      <w:r>
        <w:t xml:space="preserve"> </w:t>
      </w:r>
      <w:r>
        <w:t xml:space="preserve">recouping some of the CDR purchase costs by auctioning allowances in the market. The higher</w:t>
      </w:r>
      <w:r>
        <w:t xml:space="preserve"> </w:t>
      </w:r>
      <w:r>
        <w:t xml:space="preserve">fiscal cost of CR5 and higher carbon leakage risk resulting from the uncertainty in release of</w:t>
      </w:r>
      <w:r>
        <w:t xml:space="preserve"> </w:t>
      </w:r>
      <w:r>
        <w:t xml:space="preserve">removal units seems, combined with the high fiscal cost, seems only acceptable if the priority</w:t>
      </w:r>
      <w:r>
        <w:t xml:space="preserve"> </w:t>
      </w:r>
      <w:r>
        <w:t xml:space="preserve">is to pursue the option with lowest abatement deterrence. However, it should be considered if</w:t>
      </w:r>
      <w:r>
        <w:t xml:space="preserve"> </w:t>
      </w:r>
      <w:r>
        <w:t xml:space="preserve">avoiding abatement deterrence will have, overall, a worse environmental impact than the loss</w:t>
      </w:r>
    </w:p>
    <w:p>
      <w:pPr>
        <w:pStyle w:val="BodyText"/>
      </w:pPr>
      <w:r>
        <w:t xml:space="preserve">61 SO1.2.1 is linked to P9, to consider if carbon removals can be integrated in the ETS as sub-objective of O1.2.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in public budget and increased carbon leakage risk, or the over dependence on biomass as</w:t>
      </w:r>
      <w:r>
        <w:t xml:space="preserve"> </w:t>
      </w:r>
      <w:r>
        <w:t xml:space="preserve">alternative abatement option. Both CR4 and CR5 have an equally positive impact in providing</w:t>
      </w:r>
      <w:r>
        <w:t xml:space="preserve"> </w:t>
      </w:r>
      <w:r>
        <w:t xml:space="preserve">a certain source of demand for CDR.</w:t>
      </w:r>
      <w:r>
        <w:t xml:space="preserve"> </w:t>
      </w:r>
      <w:r>
        <w:t xml:space="preserve">Regarding the measures with private sector integration of removals, the main choice appears to</w:t>
      </w:r>
      <w:r>
        <w:t xml:space="preserve"> </w:t>
      </w:r>
      <w:r>
        <w:t xml:space="preserve">be between prioritising (a) achieving EU targets at the price of putting the risk from CDR</w:t>
      </w:r>
      <w:r>
        <w:t xml:space="preserve"> </w:t>
      </w:r>
      <w:r>
        <w:t xml:space="preserve">technologies (e.g. under-delivery, price risk) on operators (net cap options CR1-CR2) or (b)</w:t>
      </w:r>
      <w:r>
        <w:t xml:space="preserve"> </w:t>
      </w:r>
      <w:r>
        <w:t xml:space="preserve">ensuring the extra ‘space’ for residual emissions in the EU ETS to enable cost-efficient</w:t>
      </w:r>
      <w:r>
        <w:t xml:space="preserve"> </w:t>
      </w:r>
      <w:r>
        <w:t xml:space="preserve">abatement while mitigating carbon leakage, at the risk that the EU doesn’t ETS reaches its net</w:t>
      </w:r>
      <w:r>
        <w:t xml:space="preserve"> </w:t>
      </w:r>
      <w:r>
        <w:t xml:space="preserve">contribution (gross cap option CR3). To avoid facing this choice and ensure both the</w:t>
      </w:r>
      <w:r>
        <w:t xml:space="preserve"> </w:t>
      </w:r>
      <w:r>
        <w:t xml:space="preserve">environmental impact and protect the EU’s competitiveness, removals would need to be</w:t>
      </w:r>
      <w:r>
        <w:t xml:space="preserve"> </w:t>
      </w:r>
      <w:r>
        <w:t xml:space="preserve">financially supported outside the ETS in measures CR1-CR3. Although the net target</w:t>
      </w:r>
      <w:r>
        <w:t xml:space="preserve"> </w:t>
      </w:r>
      <w:r>
        <w:t xml:space="preserve">achievement is certain, the abatement deterrence risk is highest among all options assessed in</w:t>
      </w:r>
      <w:r>
        <w:t xml:space="preserve"> </w:t>
      </w:r>
      <w:r>
        <w:t xml:space="preserve">CR2. The abatement deterrence is lower in CR1 and CR3 as a result of the limit, which in turn</w:t>
      </w:r>
      <w:r>
        <w:t xml:space="preserve"> </w:t>
      </w:r>
      <w:r>
        <w:t xml:space="preserve">leads to a loss of cost-effectiveness when the limit becomes binding. However, the limit is</w:t>
      </w:r>
      <w:r>
        <w:t xml:space="preserve"> </w:t>
      </w:r>
      <w:r>
        <w:t xml:space="preserve">expected to be binding if at all, late in the period. All three options incentivise CDR only when</w:t>
      </w:r>
      <w:r>
        <w:t xml:space="preserve"> </w:t>
      </w:r>
      <w:r>
        <w:t xml:space="preserve">price competitive with the ETS, so early incentivisation will depend on public support outside</w:t>
      </w:r>
      <w:r>
        <w:t xml:space="preserve"> </w:t>
      </w:r>
      <w:r>
        <w:t xml:space="preserve">the ETS. CR3 will have a slightly lower incentivisation as ETS prices would lower in view of</w:t>
      </w:r>
      <w:r>
        <w:t xml:space="preserve"> </w:t>
      </w:r>
      <w:r>
        <w:t xml:space="preserve">the increased cap.</w:t>
      </w:r>
      <w:r>
        <w:br/>
      </w:r>
      <w:r>
        <w:t xml:space="preserve">CR4 is included in policy option 1 ‘Aligning ambition and improving incentives’, as it allows</w:t>
      </w:r>
      <w:r>
        <w:t xml:space="preserve"> </w:t>
      </w:r>
      <w:r>
        <w:t xml:space="preserve">the public authority to determine and manage the inflow of allowances in the system, leading</w:t>
      </w:r>
      <w:r>
        <w:t xml:space="preserve"> </w:t>
      </w:r>
      <w:r>
        <w:t xml:space="preserve">to least changes for operators’ engagement in the system (operators will not need to trade in</w:t>
      </w:r>
      <w:r>
        <w:t xml:space="preserve"> </w:t>
      </w:r>
      <w:r>
        <w:t xml:space="preserve">removals or depend for their emissions space on these units) and ensuring the achievement of</w:t>
      </w:r>
      <w:r>
        <w:t xml:space="preserve"> </w:t>
      </w:r>
      <w:r>
        <w:t xml:space="preserve">the EU ETS net target (achieving both O2.1 and O1.2). CR1 is considered for policy option 2</w:t>
      </w:r>
      <w:r>
        <w:t xml:space="preserve"> </w:t>
      </w:r>
      <w:r>
        <w:t xml:space="preserve">‘Aligning ambition and extending scope and corresponding incentives’, as it allows the use of</w:t>
      </w:r>
      <w:r>
        <w:t xml:space="preserve"> </w:t>
      </w:r>
      <w:r>
        <w:t xml:space="preserve">removals within a limit on top of the cap, ensuring the net target is reached and abatement</w:t>
      </w:r>
      <w:r>
        <w:t xml:space="preserve"> </w:t>
      </w:r>
      <w:r>
        <w:t xml:space="preserve">deterrence is lowest, while still allowing the increase of market size and liquidity (O2.1).</w:t>
      </w:r>
      <w:r>
        <w:t xml:space="preserve"> </w:t>
      </w:r>
      <w:r>
        <w:t xml:space="preserve">Finally, CR3 is included in the ‘Aligning ambition and extending scope and incentives</w:t>
      </w:r>
      <w:r>
        <w:t xml:space="preserve"> </w:t>
      </w:r>
      <w:r>
        <w:t xml:space="preserve">comprehensively’ option as it does not ensure the net target is reached, which is an essential</w:t>
      </w:r>
      <w:r>
        <w:t xml:space="preserve"> </w:t>
      </w:r>
      <w:r>
        <w:t xml:space="preserve">objective of the system (O1.2) and it adds most complexity due to the cancellation of allowances</w:t>
      </w:r>
      <w:r>
        <w:t xml:space="preserve"> </w:t>
      </w:r>
      <w:r>
        <w:t xml:space="preserve">for the removals used.</w:t>
      </w:r>
      <w:r>
        <w:br/>
      </w:r>
      <w:r>
        <w:t xml:space="preserve">A very broad majority of respondents in the open public consultation (83%) supported the</w:t>
      </w:r>
      <w:r>
        <w:t xml:space="preserve"> </w:t>
      </w:r>
      <w:r>
        <w:t xml:space="preserve">integration of permanent CRCF removal units in the EU ETS, arguing that this is essential to</w:t>
      </w:r>
      <w:r>
        <w:t xml:space="preserve"> </w:t>
      </w:r>
      <w:r>
        <w:t xml:space="preserve">expand operators’ options to achieve the long-term climate ambition, to support the uptake of</w:t>
      </w:r>
      <w:r>
        <w:t xml:space="preserve"> </w:t>
      </w:r>
      <w:r>
        <w:t xml:space="preserve">such technologies and to enhance liquidity in the market. This assessment was corroborated in</w:t>
      </w:r>
      <w:r>
        <w:t xml:space="preserve"> </w:t>
      </w:r>
      <w:r>
        <w:t xml:space="preserve">stakeholder interviews and position papers. The complete assessment is set out in Annex 8.</w:t>
      </w:r>
      <w:r>
        <w:t xml:space="preserve"> </w:t>
      </w:r>
      <w:r>
        <w:t xml:space="preserve">Table 10: Policy measures for carbon removals</w:t>
      </w:r>
      <w:r>
        <w:t xml:space="preserve"> </w:t>
      </w:r>
      <w:r>
        <w:t xml:space="preserve">Policy measure</w:t>
      </w:r>
      <w:r>
        <w:br/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CR0: No integration</w:t>
      </w:r>
    </w:p>
    <w:p>
      <w:pPr>
        <w:pStyle w:val="BodyText"/>
      </w:pPr>
      <w:r>
        <w:t xml:space="preserve">CR1 ‘Limited operator integration on top of the cap’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CR2 ‘Unlimited operator integration on top of the cap’</w:t>
      </w:r>
    </w:p>
    <w:p>
      <w:pPr>
        <w:pStyle w:val="BodyText"/>
      </w:pPr>
      <w:r>
        <w:t xml:space="preserve">CR3 ‘Limited operator integration under the cap (one-</w:t>
      </w:r>
      <w:r>
        <w:t xml:space="preserve"> </w:t>
      </w:r>
      <w:r>
        <w:t xml:space="preserve">in-one-out)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CR4 ‘Public authority integration through regular</w:t>
      </w:r>
      <w:r>
        <w:t xml:space="preserve"> </w:t>
      </w:r>
      <w:r>
        <w:t xml:space="preserve">auctions under the cap’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CR5 ‘Public authority integration through MSR on top</w:t>
      </w:r>
      <w:r>
        <w:t xml:space="preserve"> </w:t>
      </w:r>
      <w:r>
        <w:t xml:space="preserve">of the cap’</w:t>
      </w:r>
    </w:p>
    <w:p>
      <w:pPr>
        <w:pStyle w:val="BodyText"/>
      </w:pPr>
      <w:r>
        <w:t xml:space="preserve">2.1.3. Market Stability Reserve (MSR)</w:t>
      </w:r>
      <w:r>
        <w:br/>
      </w:r>
      <w:r>
        <w:t xml:space="preserve">For the policy options of the MSR a number of parameter changes have been determined based</w:t>
      </w:r>
      <w:r>
        <w:t xml:space="preserve"> </w:t>
      </w:r>
      <w:r>
        <w:t xml:space="preserve">on the measure level analysis described in Annex 8. These parameters include the upper and</w:t>
      </w:r>
      <w:r>
        <w:t xml:space="preserve"> </w:t>
      </w:r>
      <w:r>
        <w:t xml:space="preserve">lower threshold, the introduction of lower buffer, the intake and release rate, the invalidation</w:t>
      </w:r>
      <w:r>
        <w:t xml:space="preserve"> </w:t>
      </w:r>
      <w:r>
        <w:t xml:space="preserve">mechanism as well some technical changes for the calculation of the TNAC.</w:t>
      </w:r>
      <w:r>
        <w:br/>
      </w:r>
      <w:r>
        <w:t xml:space="preserve">For the policy options, a distinction is made between PO1 which applies the static parameter</w:t>
      </w:r>
      <w:r>
        <w:t xml:space="preserve"> </w:t>
      </w:r>
      <w:r>
        <w:t xml:space="preserve">changes from the MSR1 level measure assessment while PO 2 and PO 3 applies dynamic</w:t>
      </w:r>
      <w:r>
        <w:t xml:space="preserve"> </w:t>
      </w:r>
      <w:r>
        <w:t xml:space="preserve">parameters derived from MSR3 in the level measure assessment.</w:t>
      </w:r>
      <w:r>
        <w:br/>
      </w:r>
      <w:r>
        <w:t xml:space="preserve">For PO1, the upper and lower threshold are respectively adjusted to 650 Mt and 310 Mt which</w:t>
      </w:r>
      <w:r>
        <w:t xml:space="preserve"> </w:t>
      </w:r>
      <w:r>
        <w:t xml:space="preserve">remain static as from 2028. Furthermore, a lower buffer is introduced to address risk of a</w:t>
      </w:r>
      <w:r>
        <w:t xml:space="preserve"> </w:t>
      </w:r>
      <w:r>
        <w:t xml:space="preserve">threshold effect close to the lower threshold. The intake rate is set at 24% constant over time</w:t>
      </w:r>
      <w:r>
        <w:t xml:space="preserve"> </w:t>
      </w:r>
      <w:r>
        <w:t xml:space="preserve">and the release rate is maintained constant at 100 Mt and the invalidation mechanism is dropped</w:t>
      </w:r>
      <w:r>
        <w:t xml:space="preserve"> </w:t>
      </w:r>
      <w:r>
        <w:t xml:space="preserve">after 2027 allowing more allowances to be held in the reserve. Some technical corrections are</w:t>
      </w:r>
      <w:r>
        <w:t xml:space="preserve"> </w:t>
      </w:r>
      <w:r>
        <w:t xml:space="preserve">applied to the TNAC calculation.</w:t>
      </w:r>
      <w:r>
        <w:t xml:space="preserve"> </w:t>
      </w:r>
      <w:r>
        <w:t xml:space="preserve">For PO2 and PO2, the upper and lower thresholds are maintained at 833Mt and at 400 Mt in</w:t>
      </w:r>
      <w:r>
        <w:t xml:space="preserve"> </w:t>
      </w:r>
      <w:r>
        <w:t xml:space="preserve">2028 respectively. The options also include the introduction of the lower buffer, changing the</w:t>
      </w:r>
      <w:r>
        <w:t xml:space="preserve"> </w:t>
      </w:r>
      <w:r>
        <w:t xml:space="preserve">intake rate at 12% from 2028 and dropping the invalidation mechanism from 2027 and the</w:t>
      </w:r>
      <w:r>
        <w:t xml:space="preserve"> </w:t>
      </w:r>
      <w:r>
        <w:t xml:space="preserve">introduction of technical corrections for the TNAC calculation. Furthermore, the key</w:t>
      </w:r>
      <w:r>
        <w:t xml:space="preserve"> </w:t>
      </w:r>
      <w:r>
        <w:t xml:space="preserve">parameters are adjusted and decrease with 4% as from 2028 to reflect the shrinking market of</w:t>
      </w:r>
      <w:r>
        <w:t xml:space="preserve"> </w:t>
      </w:r>
      <w:r>
        <w:t xml:space="preserve">allowances.</w:t>
      </w:r>
      <w:r>
        <w:br/>
      </w:r>
      <w:r>
        <w:t xml:space="preserve">For all PO regarding the MSR, it should be noted that greater number of allowances to remain</w:t>
      </w:r>
      <w:r>
        <w:t xml:space="preserve"> </w:t>
      </w:r>
      <w:r>
        <w:t xml:space="preserve">in the MSR rather than invalidating them could provide an essential liquidity buffer to manage</w:t>
      </w:r>
      <w:r>
        <w:t xml:space="preserve"> </w:t>
      </w:r>
      <w:r>
        <w:t xml:space="preserve">future market tightness in the mid-2030s and beyond. For this reason, the invalidation of</w:t>
      </w:r>
      <w:r>
        <w:t xml:space="preserve"> </w:t>
      </w:r>
      <w:r>
        <w:t xml:space="preserve">allowances in the reserve should be stopped in the short term to allow for a larger number of</w:t>
      </w:r>
      <w:r>
        <w:t xml:space="preserve"> </w:t>
      </w:r>
      <w:r>
        <w:t xml:space="preserve">allowances to remain in the reserve. This will increase the firepower of the Market Stability</w:t>
      </w:r>
      <w:r>
        <w:t xml:space="preserve"> </w:t>
      </w:r>
      <w:r>
        <w:t xml:space="preserve">Reserve for future releases in the next decade to balance the market.</w:t>
      </w:r>
      <w:r>
        <w:br/>
      </w:r>
      <w:r>
        <w:t xml:space="preserve">Table 11: Policy measures for MSR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PO2/PO3</w:t>
      </w:r>
      <w:r>
        <w:t xml:space="preserve"> </w:t>
      </w:r>
      <w:r>
        <w:t xml:space="preserve">UB: upper buffer</w:t>
      </w:r>
      <w:r>
        <w:t xml:space="preserve"> </w:t>
      </w:r>
      <w:r>
        <w:t xml:space="preserve">Implied by UT and IR: 𝑈𝐵(𝑦) =</w:t>
      </w:r>
      <w:r>
        <w:t xml:space="preserve"> </w:t>
      </w:r>
      <w:r>
        <w:t xml:space="preserve">𝑈𝑇(𝑦)</w:t>
      </w:r>
      <w:r>
        <w:t xml:space="preserve"> </w:t>
      </w:r>
      <w:r>
        <w:t xml:space="preserve">1−𝐼𝑅(𝑦)</w:t>
      </w:r>
      <w:r>
        <w:t xml:space="preserve"> </w:t>
      </w:r>
      <w:r>
        <w:t xml:space="preserve">UT: upper threshold</w:t>
      </w:r>
      <w:r>
        <w:t xml:space="preserve"> </w:t>
      </w:r>
      <w:r>
        <w:t xml:space="preserve">650 Mt constant from 2028</w:t>
      </w:r>
      <w:r>
        <w:t xml:space="preserve"> </w:t>
      </w:r>
      <w:r>
        <w:t xml:space="preserve">833 Mt in 2028</w:t>
      </w:r>
      <w:r>
        <w:t xml:space="preserve"> </w:t>
      </w:r>
      <w:r>
        <w:t xml:space="preserve">Decreases at 4.0%/year after</w:t>
      </w:r>
      <w:r>
        <w:t xml:space="preserve"> </w:t>
      </w:r>
      <w:r>
        <w:t xml:space="preserve">IR: intake rate</w:t>
      </w:r>
      <w:r>
        <w:t xml:space="preserve"> </w:t>
      </w:r>
      <w:r>
        <w:t xml:space="preserve">24% constant</w:t>
      </w:r>
      <w:r>
        <w:t xml:space="preserve"> </w:t>
      </w:r>
      <w:r>
        <w:t xml:space="preserve">12% constant from 2028</w:t>
      </w:r>
      <w:r>
        <w:t xml:space="preserve"> </w:t>
      </w:r>
      <w:r>
        <w:t xml:space="preserve">LT: Lower threshold</w:t>
      </w:r>
      <w:r>
        <w:t xml:space="preserve"> </w:t>
      </w:r>
      <w:r>
        <w:t xml:space="preserve">310 Mt constant from 2028</w:t>
      </w:r>
      <w:r>
        <w:t xml:space="preserve"> </w:t>
      </w:r>
      <w:r>
        <w:t xml:space="preserve">400 Mt in 2028</w:t>
      </w:r>
      <w:r>
        <w:t xml:space="preserve"> </w:t>
      </w:r>
      <w:r>
        <w:t xml:space="preserve">Decreases at 4.0%/year after</w:t>
      </w:r>
      <w:r>
        <w:t xml:space="preserve"> </w:t>
      </w:r>
      <w:r>
        <w:t xml:space="preserve">LB: Lower buffer</w:t>
      </w:r>
      <w:r>
        <w:t xml:space="preserve"> </w:t>
      </w:r>
      <w:r>
        <w:t xml:space="preserve">Implied by LT and RR: 𝐿𝐵(𝑦) = 𝐿𝑇(𝑦) −𝑅𝑅(𝑦)</w:t>
      </w:r>
      <w:r>
        <w:t xml:space="preserve"> </w:t>
      </w:r>
      <w:r>
        <w:t xml:space="preserve">RR: Release rate</w:t>
      </w:r>
      <w:r>
        <w:t xml:space="preserve"> </w:t>
      </w:r>
      <w:r>
        <w:t xml:space="preserve">100 Mt constant</w:t>
      </w:r>
      <w:r>
        <w:t xml:space="preserve"> </w:t>
      </w:r>
      <w:r>
        <w:t xml:space="preserve">100 Mt in 2028</w:t>
      </w:r>
      <w:r>
        <w:t xml:space="preserve"> </w:t>
      </w:r>
      <w:r>
        <w:t xml:space="preserve">Decreases with 4.0%/ year after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PO2/PO3</w:t>
      </w:r>
      <w:r>
        <w:t xml:space="preserve"> </w:t>
      </w:r>
      <w:r>
        <w:t xml:space="preserve">Invalidation mechanism</w:t>
      </w:r>
      <w:r>
        <w:t xml:space="preserve"> </w:t>
      </w:r>
      <w:r>
        <w:t xml:space="preserve">Dropped after 2027</w:t>
      </w:r>
      <w:r>
        <w:t xml:space="preserve"> </w:t>
      </w:r>
      <w:r>
        <w:t xml:space="preserve">TNAC calculation</w:t>
      </w:r>
      <w:r>
        <w:t xml:space="preserve"> </w:t>
      </w:r>
      <w:r>
        <w:t xml:space="preserve">Technical correction for 2027 TNAC</w:t>
      </w:r>
      <w:r>
        <w:t xml:space="preserve"> </w:t>
      </w:r>
      <w:r>
        <w:t xml:space="preserve">2.2. Instruments to support investments</w:t>
      </w:r>
      <w:r>
        <w:t xml:space="preserve"> </w:t>
      </w:r>
      <w:r>
        <w:t xml:space="preserve">2.2.1. Industrial Decarbonisation Bank</w:t>
      </w:r>
      <w:r>
        <w:t xml:space="preserve"> </w:t>
      </w:r>
      <w:r>
        <w:t xml:space="preserve">The Clean Industrial Deal announced the Industrial Decarbonisation Bank (IDB), with a budget</w:t>
      </w:r>
      <w:r>
        <w:t xml:space="preserve"> </w:t>
      </w:r>
      <w:r>
        <w:t xml:space="preserve">of EUR 100 bn ‘based on funds in the Innovation Fund, additional revenues resulting from parts</w:t>
      </w:r>
      <w:r>
        <w:t xml:space="preserve"> </w:t>
      </w:r>
      <w:r>
        <w:t xml:space="preserve">of the ETS as well as the revision of InvestEU.’ The objective of the IDB is to make a sizable</w:t>
      </w:r>
      <w:r>
        <w:t xml:space="preserve"> </w:t>
      </w:r>
      <w:r>
        <w:t xml:space="preserve">impact on the industrial decarbonisation of the EIIs. Additionally, the Innovation Fund (IF) is</w:t>
      </w:r>
      <w:r>
        <w:t xml:space="preserve"> </w:t>
      </w:r>
      <w:r>
        <w:t xml:space="preserve">set to be continued for the period 2031-40 using the existing instruments (‘regular’ grants and</w:t>
      </w:r>
      <w:r>
        <w:t xml:space="preserve"> </w:t>
      </w:r>
      <w:r>
        <w:t xml:space="preserve">auctions62) and providing existing type of support (‘classic grants’ with lump sum payments or</w:t>
      </w:r>
      <w:r>
        <w:t xml:space="preserve"> </w:t>
      </w:r>
      <w:r>
        <w:t xml:space="preserve">fixed premium linked to the low-carbon product output and, to smaller extent, financial</w:t>
      </w:r>
      <w:r>
        <w:t xml:space="preserve"> </w:t>
      </w:r>
      <w:r>
        <w:t xml:space="preserve">instruments) to a board range of innovative decarbonisation technologies in all sectors covered</w:t>
      </w:r>
      <w:r>
        <w:t xml:space="preserve"> </w:t>
      </w:r>
      <w:r>
        <w:t xml:space="preserve">by the EU ETS, including ETS 2.</w:t>
      </w:r>
      <w:r>
        <w:br/>
      </w:r>
      <w:r>
        <w:t xml:space="preserve">The IDB should focus on addressing the scale-up and roll-out of decarbonisation technologies</w:t>
      </w:r>
      <w:r>
        <w:t xml:space="preserve"> </w:t>
      </w:r>
      <w:r>
        <w:t xml:space="preserve">in the EIIs while the IF would continue to focus on addressing technical and early commercial</w:t>
      </w:r>
      <w:r>
        <w:t xml:space="preserve"> </w:t>
      </w:r>
      <w:r>
        <w:t xml:space="preserve">risks of innovative technologies. The Bank will be placed within the governance of the future</w:t>
      </w:r>
      <w:r>
        <w:t xml:space="preserve"> </w:t>
      </w:r>
      <w:r>
        <w:t xml:space="preserve">Competitiveness Fund. The different scopes of the IDB and IF are proposed in the figure below.</w:t>
      </w:r>
      <w:r>
        <w:br/>
      </w:r>
      <w:r>
        <w:t xml:space="preserve">Figure 2:</w:t>
      </w:r>
      <w:r>
        <w:t xml:space="preserve"> </w:t>
      </w:r>
      <w:r>
        <w:t xml:space="preserve">Scope of the Industrial Decarbonisation Bank and Innovation Fund</w:t>
      </w:r>
    </w:p>
    <w:p>
      <w:pPr>
        <w:pStyle w:val="BodyText"/>
      </w:pPr>
      <w:r>
        <w:t xml:space="preserve">The policy measures assessed in this Impact Assessment, examine the possible approaches for</w:t>
      </w:r>
      <w:r>
        <w:t xml:space="preserve"> </w:t>
      </w:r>
      <w:r>
        <w:t xml:space="preserve">allocating support through the IDB, the different forms that such support could take, and the</w:t>
      </w:r>
      <w:r>
        <w:t xml:space="preserve"> </w:t>
      </w:r>
      <w:r>
        <w:t xml:space="preserve">mechanisms available to ensure geographical balance in its distribution.</w:t>
      </w:r>
    </w:p>
    <w:p>
      <w:pPr>
        <w:pStyle w:val="BodyText"/>
      </w:pPr>
      <w:r>
        <w:t xml:space="preserve">62 IF can provide support via (1) ‘regular’ grants based on the evaluation of multiple award criteria and in form</w:t>
      </w:r>
      <w:r>
        <w:t xml:space="preserve"> </w:t>
      </w:r>
      <w:r>
        <w:t xml:space="preserve">of the lump sum payments linked to reaching project’s milestones as early as of Financial Close and (2)</w:t>
      </w:r>
      <w:r>
        <w:t xml:space="preserve"> </w:t>
      </w:r>
      <w:r>
        <w:t xml:space="preserve">auctions based on the price-only competition and in the form of unit cost contribution as of Entry into</w:t>
      </w:r>
      <w:r>
        <w:t xml:space="preserve"> </w:t>
      </w:r>
      <w:r>
        <w:t xml:space="preserve">Operation and (3) financial instruments.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Options on how the support should be allocated (allocation mechanism)</w:t>
      </w:r>
      <w:r>
        <w:t xml:space="preserve"> </w:t>
      </w:r>
      <w:r>
        <w:t xml:space="preserve">There is a number of allocation mechanisms that can be deployed, and in most of the cases</w:t>
      </w:r>
      <w:r>
        <w:t xml:space="preserve"> </w:t>
      </w:r>
      <w:r>
        <w:t xml:space="preserve">these can be selected independently of type of support being provided. The options presented</w:t>
      </w:r>
      <w:r>
        <w:t xml:space="preserve"> </w:t>
      </w:r>
      <w:r>
        <w:t xml:space="preserve">below reflect the most commonly used instruments, based on the experience from the</w:t>
      </w:r>
      <w:r>
        <w:t xml:space="preserve"> </w:t>
      </w:r>
      <w:r>
        <w:t xml:space="preserve">Innovation Fund, and national support schemes for the industrial decarbonisation. These</w:t>
      </w:r>
      <w:r>
        <w:t xml:space="preserve"> </w:t>
      </w:r>
      <w:r>
        <w:t xml:space="preserve">allocation mechanisms are not necessarily mutually exclusive, for example auctions may be</w:t>
      </w:r>
      <w:r>
        <w:t xml:space="preserve"> </w:t>
      </w:r>
      <w:r>
        <w:t xml:space="preserve">designed as very similar to multicriteria processes (i.e. by including non-price criteria).</w:t>
      </w:r>
      <w:r>
        <w:t xml:space="preserve"> </w:t>
      </w:r>
      <w:r>
        <w:t xml:space="preserve">Table 12: Policy measures for IDB allocation mechanism</w:t>
      </w:r>
      <w:r>
        <w:t xml:space="preserve"> </w:t>
      </w:r>
      <w:r>
        <w:t xml:space="preserve">AM.1</w:t>
      </w:r>
      <w:r>
        <w:t xml:space="preserve"> </w:t>
      </w:r>
      <w:r>
        <w:t xml:space="preserve">Multi-criteria call for proposals</w:t>
      </w:r>
      <w:r>
        <w:br/>
      </w:r>
      <w:r>
        <w:t xml:space="preserve">AM.2</w:t>
      </w:r>
      <w:r>
        <w:t xml:space="preserve"> </w:t>
      </w:r>
      <w:r>
        <w:t xml:space="preserve">Auctions</w:t>
      </w:r>
      <w:r>
        <w:br/>
      </w:r>
      <w:r>
        <w:t xml:space="preserve">AM.3</w:t>
      </w:r>
      <w:r>
        <w:t xml:space="preserve"> </w:t>
      </w:r>
      <w:r>
        <w:t xml:space="preserve">First-in, first served administrative schemes</w:t>
      </w:r>
      <w:r>
        <w:br/>
      </w:r>
      <w:r>
        <w:t xml:space="preserve">Measures on what form the support should take</w:t>
      </w:r>
      <w:r>
        <w:t xml:space="preserve"> </w:t>
      </w:r>
      <w:r>
        <w:t xml:space="preserve">Public support can take a number of forms and, in most cases, the choice of support can be</w:t>
      </w:r>
      <w:r>
        <w:t xml:space="preserve"> </w:t>
      </w:r>
      <w:r>
        <w:t xml:space="preserve">made independently of the allocation mechanism. The options presented are not exhaustive but</w:t>
      </w:r>
      <w:r>
        <w:t xml:space="preserve"> </w:t>
      </w:r>
      <w:r>
        <w:t xml:space="preserve">represent the most common types of support, reflecting the experience from the Innovation</w:t>
      </w:r>
      <w:r>
        <w:t xml:space="preserve"> </w:t>
      </w:r>
      <w:r>
        <w:t xml:space="preserve">Fund and national support schemes for the industrial decarbonisation.</w:t>
      </w:r>
      <w:r>
        <w:t xml:space="preserve"> </w:t>
      </w:r>
      <w:r>
        <w:t xml:space="preserve">Table 13: Policy measures for IDB type of support</w:t>
      </w:r>
      <w:r>
        <w:t xml:space="preserve"> </w:t>
      </w:r>
      <w:r>
        <w:t xml:space="preserve">FS.1</w:t>
      </w:r>
      <w:r>
        <w:t xml:space="preserve"> </w:t>
      </w:r>
      <w:r>
        <w:t xml:space="preserve">Regular’ grants covering the funding gap</w:t>
      </w:r>
      <w:r>
        <w:br/>
      </w:r>
      <w:r>
        <w:t xml:space="preserve">FS.2</w:t>
      </w:r>
      <w:r>
        <w:t xml:space="preserve"> </w:t>
      </w:r>
      <w:r>
        <w:t xml:space="preserve">Carbon Fixed Premium (CFP)</w:t>
      </w:r>
      <w:r>
        <w:t xml:space="preserve"> </w:t>
      </w:r>
      <w:r>
        <w:t xml:space="preserve">FS.3</w:t>
      </w:r>
      <w:r>
        <w:t xml:space="preserve"> </w:t>
      </w:r>
      <w:r>
        <w:t xml:space="preserve">Carbon Contracts for Difference (CCfD)</w:t>
      </w:r>
      <w:r>
        <w:t xml:space="preserve"> </w:t>
      </w:r>
      <w:r>
        <w:t xml:space="preserve">Measures on ensuring geographical balance in IDB</w:t>
      </w:r>
      <w:r>
        <w:br/>
      </w:r>
      <w:r>
        <w:t xml:space="preserve">The IDB design requires balancing between two partially conflicting objectives: directing EU-</w:t>
      </w:r>
      <w:r>
        <w:t xml:space="preserve"> </w:t>
      </w:r>
      <w:r>
        <w:t xml:space="preserve">funding to the most cost-effective projects (typically low-risk, mature ones, located in the</w:t>
      </w:r>
      <w:r>
        <w:t xml:space="preserve"> </w:t>
      </w:r>
      <w:r>
        <w:t xml:space="preserve">optimal locations of the EU); and, supporting industry decarbonisation across all Member States</w:t>
      </w:r>
      <w:r>
        <w:t xml:space="preserve"> </w:t>
      </w:r>
      <w:r>
        <w:t xml:space="preserve">to ensure that all MS decarbonise their industrial base, benefit from spillover effects and, in the</w:t>
      </w:r>
      <w:r>
        <w:t xml:space="preserve"> </w:t>
      </w:r>
      <w:r>
        <w:t xml:space="preserve">long-term no opportunities are missed (countries/regions that are not successful in the EU-level</w:t>
      </w:r>
      <w:r>
        <w:t xml:space="preserve"> </w:t>
      </w:r>
      <w:r>
        <w:t xml:space="preserve">competition might be hampered by lack of administrative capacity/lack of innovation</w:t>
      </w:r>
      <w:r>
        <w:t xml:space="preserve"> </w:t>
      </w:r>
      <w:r>
        <w:t xml:space="preserve">ecosystem rather than structural factors of their industry/economy). .</w:t>
      </w:r>
      <w:r>
        <w:br/>
      </w:r>
      <w:r>
        <w:t xml:space="preserve">The Clean Industrial Deal highlights a fair geographical distribution of support needs to be</w:t>
      </w:r>
      <w:r>
        <w:t xml:space="preserve"> </w:t>
      </w:r>
      <w:r>
        <w:t xml:space="preserve">ensured. Several options to achieve this balance:</w:t>
      </w:r>
      <w:r>
        <w:br/>
      </w:r>
      <w:r>
        <w:t xml:space="preserve">Table 14: Policy measures for IDB geographical distribution</w:t>
      </w:r>
      <w:r>
        <w:t xml:space="preserve"> </w:t>
      </w:r>
      <w:r>
        <w:t xml:space="preserve">GB.1</w:t>
      </w:r>
      <w:r>
        <w:t xml:space="preserve"> </w:t>
      </w:r>
      <w:r>
        <w:t xml:space="preserve">EU-level competition, no geographical balance measures</w:t>
      </w:r>
      <w:r>
        <w:t xml:space="preserve"> </w:t>
      </w:r>
      <w:r>
        <w:t xml:space="preserve">GB.2</w:t>
      </w:r>
      <w:r>
        <w:t xml:space="preserve"> </w:t>
      </w:r>
      <w:r>
        <w:t xml:space="preserve">National allocations earmarked for MS</w:t>
      </w:r>
      <w:r>
        <w:br/>
      </w:r>
      <w:r>
        <w:t xml:space="preserve">GB.3</w:t>
      </w:r>
      <w:r>
        <w:t xml:space="preserve"> </w:t>
      </w:r>
      <w:r>
        <w:t xml:space="preserve">Combing EU-level competition with national allocations</w:t>
      </w:r>
      <w:r>
        <w:br/>
      </w:r>
      <w:r>
        <w:t xml:space="preserve">The measures are grouped into policy packages reflecting different degrees of change compared</w:t>
      </w:r>
      <w:r>
        <w:t xml:space="preserve"> </w:t>
      </w:r>
      <w:r>
        <w:t xml:space="preserve">to the current ways to allocate the support provided under the Innovation Fund, with:</w:t>
      </w:r>
      <w:r>
        <w:t xml:space="preserve"> </w:t>
      </w:r>
      <w:r>
        <w:t xml:space="preserve">-</w:t>
      </w:r>
      <w:r>
        <w:t xml:space="preserve"> </w:t>
      </w:r>
      <w:r>
        <w:t xml:space="preserve">PO1 replicating the current forms of support in the Innovation Fund,</w:t>
      </w:r>
    </w:p>
    <w:p>
      <w:pPr>
        <w:pStyle w:val="BodyText"/>
      </w:pPr>
      <w:r>
        <w:t xml:space="preserve">115</w:t>
      </w:r>
    </w:p>
    <w:p>
      <w:pPr>
        <w:pStyle w:val="Compact"/>
        <w:numPr>
          <w:ilvl w:val="0"/>
          <w:numId w:val="1007"/>
        </w:numPr>
      </w:pPr>
      <w:r>
        <w:t xml:space="preserve">PO3 focusing primarily on novel forms of support that would work well with mature</w:t>
      </w:r>
      <w:r>
        <w:t xml:space="preserve"> </w:t>
      </w:r>
      <w:r>
        <w:t xml:space="preserve">regulatory framework and strong carbon price signal and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PO2 being a combination of the current and new ways of support.</w:t>
      </w:r>
      <w:r>
        <w:t xml:space="preserve"> </w:t>
      </w:r>
      <w:r>
        <w:t xml:space="preserve">Table 15: Policy measures for IDB in the policy options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How the support should be</w:t>
      </w:r>
      <w:r>
        <w:t xml:space="preserve"> </w:t>
      </w:r>
      <w:r>
        <w:t xml:space="preserve">allocated (allocation</w:t>
      </w:r>
      <w:r>
        <w:t xml:space="preserve"> </w:t>
      </w:r>
      <w:r>
        <w:t xml:space="preserve">mechanism)</w:t>
      </w:r>
      <w:r>
        <w:br/>
      </w:r>
      <w:r>
        <w:t xml:space="preserve">AM1: Multi-criteria call for proposals</w:t>
      </w:r>
      <w:r>
        <w:t xml:space="preserve"> </w:t>
      </w:r>
      <w:r>
        <w:t xml:space="preserve">X</w:t>
      </w:r>
    </w:p>
    <w:p>
      <w:pPr>
        <w:pStyle w:val="FirstParagraph"/>
      </w:pPr>
      <w:r>
        <w:t xml:space="preserve">AM2: Auctions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AM3:</w:t>
      </w:r>
      <w:r>
        <w:t xml:space="preserve"> </w:t>
      </w:r>
      <w:r>
        <w:t xml:space="preserve">First-in,</w:t>
      </w:r>
      <w:r>
        <w:t xml:space="preserve"> </w:t>
      </w:r>
      <w:r>
        <w:t xml:space="preserve">first</w:t>
      </w:r>
      <w:r>
        <w:t xml:space="preserve"> </w:t>
      </w:r>
      <w:r>
        <w:t xml:space="preserve">served</w:t>
      </w:r>
      <w:r>
        <w:t xml:space="preserve"> </w:t>
      </w:r>
      <w:r>
        <w:t xml:space="preserve">administrative schemes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What form the support should</w:t>
      </w:r>
      <w:r>
        <w:t xml:space="preserve"> </w:t>
      </w:r>
      <w:r>
        <w:t xml:space="preserve">take</w:t>
      </w:r>
      <w:r>
        <w:t xml:space="preserve"> </w:t>
      </w:r>
      <w:r>
        <w:t xml:space="preserve">FS1: Regular’ grants covering the</w:t>
      </w:r>
      <w:r>
        <w:t xml:space="preserve"> </w:t>
      </w:r>
      <w:r>
        <w:t xml:space="preserve">funding gap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FS2: Carbon Fixed Premium (CFP)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FS3: Carbon Contracts for Difference</w:t>
      </w:r>
      <w:r>
        <w:t xml:space="preserve"> </w:t>
      </w:r>
      <w:r>
        <w:t xml:space="preserve">(CCfD)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Ensuring geographical balance</w:t>
      </w:r>
      <w:r>
        <w:t xml:space="preserve"> </w:t>
      </w:r>
      <w:r>
        <w:t xml:space="preserve">in IDB</w:t>
      </w:r>
      <w:r>
        <w:br/>
      </w:r>
      <w:r>
        <w:t xml:space="preserve">GB1:</w:t>
      </w:r>
      <w:r>
        <w:t xml:space="preserve"> </w:t>
      </w:r>
      <w:r>
        <w:t xml:space="preserve">EU-level</w:t>
      </w:r>
      <w:r>
        <w:t xml:space="preserve"> </w:t>
      </w:r>
      <w:r>
        <w:t xml:space="preserve">competition,</w:t>
      </w:r>
      <w:r>
        <w:t xml:space="preserve"> </w:t>
      </w:r>
      <w:r>
        <w:t xml:space="preserve">no</w:t>
      </w:r>
      <w:r>
        <w:t xml:space="preserve"> </w:t>
      </w:r>
      <w:r>
        <w:t xml:space="preserve">geographical balance measures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GB2: National allocations earmarked for</w:t>
      </w:r>
      <w:r>
        <w:t xml:space="preserve"> </w:t>
      </w:r>
      <w:r>
        <w:t xml:space="preserve">MS</w:t>
      </w:r>
      <w:r>
        <w:t xml:space="preserve"> </w:t>
      </w:r>
      <w:r>
        <w:t xml:space="preserve">1.1.1.1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GB3: Combing EU-level competition</w:t>
      </w:r>
      <w:r>
        <w:t xml:space="preserve"> </w:t>
      </w:r>
      <w:r>
        <w:t xml:space="preserve">with national allocations</w:t>
      </w:r>
      <w:r>
        <w:t xml:space="preserve"> </w:t>
      </w:r>
      <w:r>
        <w:t xml:space="preserve">1.1.1.1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Stable design elements across</w:t>
      </w:r>
      <w:r>
        <w:t xml:space="preserve"> </w:t>
      </w:r>
      <w:r>
        <w:t xml:space="preserve">measures</w:t>
      </w:r>
      <w:r>
        <w:t xml:space="preserve"> </w:t>
      </w:r>
      <w:r>
        <w:t xml:space="preserve">•</w:t>
      </w:r>
      <w:r>
        <w:t xml:space="preserve"> </w:t>
      </w:r>
      <w:r>
        <w:t xml:space="preserve">IDB budget of EUR 100 bn as announced in the Clean</w:t>
      </w:r>
      <w:r>
        <w:t xml:space="preserve"> </w:t>
      </w:r>
      <w:r>
        <w:t xml:space="preserve">Industrial Deal</w:t>
      </w:r>
      <w:r>
        <w:t xml:space="preserve"> </w:t>
      </w:r>
      <w:r>
        <w:t xml:space="preserve">•</w:t>
      </w:r>
      <w:r>
        <w:t xml:space="preserve"> </w:t>
      </w:r>
      <w:r>
        <w:t xml:space="preserve">IDB scope on scale-up and roll-out of decarbonisation</w:t>
      </w:r>
      <w:r>
        <w:t xml:space="preserve"> </w:t>
      </w:r>
      <w:r>
        <w:t xml:space="preserve">technologies in the EIIs</w:t>
      </w:r>
      <w:r>
        <w:t xml:space="preserve"> </w:t>
      </w:r>
      <w:r>
        <w:t xml:space="preserve">•</w:t>
      </w:r>
      <w:r>
        <w:t xml:space="preserve"> </w:t>
      </w:r>
      <w:r>
        <w:t xml:space="preserve">IF to be continued using the existing instruments</w:t>
      </w:r>
      <w:r>
        <w:t xml:space="preserve"> </w:t>
      </w:r>
      <w:r>
        <w:t xml:space="preserve">(‘regular’ calls for proposals and ‘regular’ grants)</w:t>
      </w:r>
      <w:r>
        <w:t xml:space="preserve"> </w:t>
      </w:r>
      <w:r>
        <w:t xml:space="preserve">2.2.2. Modernisation Fund</w:t>
      </w:r>
      <w:r>
        <w:t xml:space="preserve"> </w:t>
      </w:r>
      <w:r>
        <w:t xml:space="preserve">As evidenced in the evaluation on its operating rules, the Fund demonstrates a degree of</w:t>
      </w:r>
      <w:r>
        <w:t xml:space="preserve"> </w:t>
      </w:r>
      <w:r>
        <w:t xml:space="preserve">relevance, effectiveness, efficiency and EU added value which warrant its continuation after</w:t>
      </w:r>
      <w:r>
        <w:t xml:space="preserve"> </w:t>
      </w:r>
      <w:r>
        <w:t xml:space="preserve">2030, in volumes comparable with current situation so as to continue supporting lower income</w:t>
      </w:r>
      <w:r>
        <w:t xml:space="preserve"> </w:t>
      </w:r>
      <w:r>
        <w:t xml:space="preserve">Member States in reaching EU climate and energy objectives. All policy measures presented</w:t>
      </w:r>
      <w:r>
        <w:t xml:space="preserve"> </w:t>
      </w:r>
      <w:r>
        <w:t xml:space="preserve">below therefore maintain the Funde.</w:t>
      </w:r>
      <w:r>
        <w:t xml:space="preserve"> </w:t>
      </w:r>
      <w:r>
        <w:t xml:space="preserve">Coherence of the Fund with EU climate and energy objectives, and in particular the 2050</w:t>
      </w:r>
      <w:r>
        <w:t xml:space="preserve"> </w:t>
      </w:r>
      <w:r>
        <w:t xml:space="preserve">carbon neutrality objective can however be better addressed through increased climate ambition</w:t>
      </w:r>
      <w:r>
        <w:t xml:space="preserve"> </w:t>
      </w:r>
      <w:r>
        <w:t xml:space="preserve">of the Fund, through better targeting of investments. In this context, all measures presented</w:t>
      </w:r>
      <w:r>
        <w:t xml:space="preserve"> </w:t>
      </w:r>
      <w:r>
        <w:t xml:space="preserve">open the scope of priority investments (PI) to technologies relevant for industrial decarbonation</w:t>
      </w:r>
      <w:r>
        <w:t xml:space="preserve"> </w:t>
      </w:r>
      <w:r>
        <w:t xml:space="preserve">such as CCS and direct electrification of industry, while making support to gas and waste-to-</w:t>
      </w:r>
      <w:r>
        <w:t xml:space="preserve"> </w:t>
      </w:r>
      <w:r>
        <w:t xml:space="preserve">energy ineligible under PI.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In addition, three different measures are explored, related to 1) the eligibility of investments</w:t>
      </w:r>
      <w:r>
        <w:t xml:space="preserve"> </w:t>
      </w:r>
      <w:r>
        <w:t xml:space="preserve">involving gas and waste-to-energy; 2) the share dedicated to priority investments and 3)</w:t>
      </w:r>
      <w:r>
        <w:t xml:space="preserve"> </w:t>
      </w:r>
      <w:r>
        <w:t xml:space="preserve">governance of the priority investment confirmation process.</w:t>
      </w:r>
      <w:r>
        <w:t xml:space="preserve"> </w:t>
      </w:r>
      <w:r>
        <w:t xml:space="preserve">The Policy Option (PO1) maintains the status quo with regards to the eligibility of gas and</w:t>
      </w:r>
      <w:r>
        <w:t xml:space="preserve"> </w:t>
      </w:r>
      <w:r>
        <w:t xml:space="preserve">waste-to-energy as non-priority investments. It also brings the share of non-priority investments</w:t>
      </w:r>
      <w:r>
        <w:t xml:space="preserve"> </w:t>
      </w:r>
      <w:r>
        <w:t xml:space="preserve">to 10% across all three pots of money making up the Fund, down from the current 10% or 20%</w:t>
      </w:r>
      <w:r>
        <w:t xml:space="preserve"> </w:t>
      </w:r>
      <w:r>
        <w:t xml:space="preserve">depending on the pot. This simplifies the current set-up while also recognizing the low resort</w:t>
      </w:r>
      <w:r>
        <w:t xml:space="preserve"> </w:t>
      </w:r>
      <w:r>
        <w:t xml:space="preserve">to non-priority investments on the side of Member States (de facto less than 10% of supported</w:t>
      </w:r>
      <w:r>
        <w:t xml:space="preserve"> </w:t>
      </w:r>
      <w:r>
        <w:t xml:space="preserve">investments currently). In terms of governance, this option opens up the possibility for</w:t>
      </w:r>
      <w:r>
        <w:t xml:space="preserve"> </w:t>
      </w:r>
      <w:r>
        <w:t xml:space="preserve">confirmation of priority investments by the European Investment Bank on a rolling basis,</w:t>
      </w:r>
      <w:r>
        <w:t xml:space="preserve"> </w:t>
      </w:r>
      <w:r>
        <w:t xml:space="preserve">without cut-off date (without any link to the timing of Investment Committee meetings). The</w:t>
      </w:r>
      <w:r>
        <w:t xml:space="preserve"> </w:t>
      </w:r>
      <w:r>
        <w:t xml:space="preserve">actual disbursement of funds to the Member States would however remain limited to two</w:t>
      </w:r>
      <w:r>
        <w:t xml:space="preserve"> </w:t>
      </w:r>
      <w:r>
        <w:t xml:space="preserve">disbursements decisions per year.</w:t>
      </w:r>
      <w:r>
        <w:t xml:space="preserve"> </w:t>
      </w:r>
      <w:r>
        <w:t xml:space="preserve">The Policy Option (PO2) limits the eligibility of non-priority investments of gas to energy</w:t>
      </w:r>
      <w:r>
        <w:t xml:space="preserve"> </w:t>
      </w:r>
      <w:r>
        <w:t xml:space="preserve">efficiency-type investments (fuel switch from coal/lignite to gas) while excluding gas</w:t>
      </w:r>
      <w:r>
        <w:t xml:space="preserve"> </w:t>
      </w:r>
      <w:r>
        <w:t xml:space="preserve">infrastructure. In a similar vein, non-priority investments may only support waste-to-energy in</w:t>
      </w:r>
      <w:r>
        <w:t xml:space="preserve"> </w:t>
      </w:r>
      <w:r>
        <w:t xml:space="preserve">the conditions of high efficiency co-generation of heat and power and would concern only</w:t>
      </w:r>
      <w:r>
        <w:t xml:space="preserve"> </w:t>
      </w:r>
      <w:r>
        <w:t xml:space="preserve">residual, non-recyclable waste. Concomitantly, the share of NPI would be brought down to 5%</w:t>
      </w:r>
      <w:r>
        <w:t xml:space="preserve"> </w:t>
      </w:r>
      <w:r>
        <w:t xml:space="preserve">across all pots of Modernisation Fund allowances. Governance would maintain its status quo.</w:t>
      </w:r>
      <w:r>
        <w:br/>
      </w:r>
      <w:r>
        <w:t xml:space="preserve">The Policy Option (PO3) excludes any support to gas or waste-to-energy, including as non-</w:t>
      </w:r>
      <w:r>
        <w:t xml:space="preserve"> </w:t>
      </w:r>
      <w:r>
        <w:t xml:space="preserve">priority investment. The share of non-priority investment is brought down to 0. Approval</w:t>
      </w:r>
      <w:r>
        <w:t xml:space="preserve"> </w:t>
      </w:r>
      <w:r>
        <w:t xml:space="preserve">process of priority investments becomes more stringent through the Investment Committee</w:t>
      </w:r>
      <w:r>
        <w:t xml:space="preserve"> </w:t>
      </w:r>
      <w:r>
        <w:t xml:space="preserve">acquiring a vetting power over them.</w:t>
      </w:r>
      <w:r>
        <w:t xml:space="preserve"> </w:t>
      </w:r>
      <w:r>
        <w:t xml:space="preserve">Table 16: Policy measures for Modernisation Fund</w:t>
      </w:r>
      <w:r>
        <w:t xml:space="preserve"> </w:t>
      </w:r>
      <w:r>
        <w:t xml:space="preserve">Policy measure</w:t>
      </w:r>
      <w:r>
        <w:br/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Eligibility of Gas /</w:t>
      </w:r>
      <w:r>
        <w:t xml:space="preserve"> </w:t>
      </w:r>
      <w:r>
        <w:t xml:space="preserve">Waste-to-energy</w:t>
      </w:r>
      <w:r>
        <w:t xml:space="preserve"> </w:t>
      </w:r>
      <w:r>
        <w:t xml:space="preserve">GAS/WtE1: PI: Exclusion. NPI:</w:t>
      </w:r>
      <w:r>
        <w:t xml:space="preserve"> </w:t>
      </w:r>
      <w:r>
        <w:t xml:space="preserve">status quo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GAS/WtE2: PI: Exclusion. NPI:</w:t>
      </w:r>
      <w:r>
        <w:t xml:space="preserve"> </w:t>
      </w:r>
      <w:r>
        <w:t xml:space="preserve">Allowed under conditions</w:t>
      </w:r>
      <w:r>
        <w:br/>
      </w:r>
      <w:r>
        <w:t xml:space="preserve">X</w:t>
      </w:r>
    </w:p>
    <w:p>
      <w:pPr>
        <w:pStyle w:val="BodyText"/>
      </w:pPr>
      <w:r>
        <w:t xml:space="preserve">GAS/WtE3: PI/NPI: Exclusion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Respective shares of</w:t>
      </w:r>
      <w:r>
        <w:t xml:space="preserve"> </w:t>
      </w:r>
      <w:r>
        <w:t xml:space="preserve">Priority / Non-</w:t>
      </w:r>
      <w:r>
        <w:t xml:space="preserve"> </w:t>
      </w:r>
      <w:r>
        <w:t xml:space="preserve">Priority</w:t>
      </w:r>
      <w:r>
        <w:t xml:space="preserve"> </w:t>
      </w:r>
      <w:r>
        <w:t xml:space="preserve">Investments</w:t>
      </w:r>
      <w:r>
        <w:br/>
      </w:r>
      <w:r>
        <w:t xml:space="preserve">PI/NPI0: NPI share = 10%</w:t>
      </w:r>
      <w:r>
        <w:br/>
      </w:r>
      <w:r>
        <w:t xml:space="preserve">X</w:t>
      </w:r>
    </w:p>
    <w:p>
      <w:pPr>
        <w:pStyle w:val="BodyText"/>
      </w:pPr>
      <w:r>
        <w:t xml:space="preserve">PI/NPI1: NPI share = 5%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PI/NPI2: No NPI</w:t>
      </w:r>
    </w:p>
    <w:p>
      <w:pPr>
        <w:pStyle w:val="BodyText"/>
      </w:pPr>
      <w:r>
        <w:t xml:space="preserve">X</w:t>
      </w:r>
      <w:r>
        <w:br/>
      </w:r>
      <w:r>
        <w:t xml:space="preserve">Governance of the</w:t>
      </w:r>
      <w:r>
        <w:t xml:space="preserve"> </w:t>
      </w:r>
      <w:r>
        <w:t xml:space="preserve">confirmation</w:t>
      </w:r>
      <w:r>
        <w:t xml:space="preserve"> </w:t>
      </w:r>
      <w:r>
        <w:t xml:space="preserve">process of PI</w:t>
      </w:r>
      <w:r>
        <w:t xml:space="preserve"> </w:t>
      </w:r>
      <w:r>
        <w:t xml:space="preserve">investments</w:t>
      </w:r>
      <w:r>
        <w:br/>
      </w:r>
      <w:r>
        <w:t xml:space="preserve">GOV0: on rolling basis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GOV1: Status quo (as in current MF)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GOV2: vetting by Investment</w:t>
      </w:r>
      <w:r>
        <w:t xml:space="preserve"> </w:t>
      </w:r>
      <w:r>
        <w:t xml:space="preserve">Committee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Stable design</w:t>
      </w:r>
      <w:r>
        <w:t xml:space="preserve"> </w:t>
      </w:r>
      <w:r>
        <w:t xml:space="preserve">elements across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•</w:t>
      </w:r>
      <w:r>
        <w:t xml:space="preserve"> </w:t>
      </w:r>
      <w:r>
        <w:t xml:space="preserve">MF is maintained;</w:t>
      </w:r>
      <w:r>
        <w:t xml:space="preserve"> </w:t>
      </w:r>
      <w:r>
        <w:t xml:space="preserve">•</w:t>
      </w:r>
      <w:r>
        <w:t xml:space="preserve"> </w:t>
      </w:r>
      <w:r>
        <w:t xml:space="preserve">The scope of priority investments is enlarged to include CCS and</w:t>
      </w:r>
      <w:r>
        <w:t xml:space="preserve"> </w:t>
      </w:r>
      <w:r>
        <w:t xml:space="preserve">direct electrification for industry;</w:t>
      </w:r>
      <w:r>
        <w:t xml:space="preserve"> </w:t>
      </w:r>
      <w:r>
        <w:t xml:space="preserve">•</w:t>
      </w:r>
      <w:r>
        <w:t xml:space="preserve"> </w:t>
      </w:r>
      <w:r>
        <w:t xml:space="preserve">Gas and waste-to-energy are ineligible as priority investments;</w:t>
      </w:r>
      <w:r>
        <w:t xml:space="preserve"> </w:t>
      </w:r>
      <w:r>
        <w:t xml:space="preserve">•</w:t>
      </w:r>
      <w:r>
        <w:t xml:space="preserve"> </w:t>
      </w:r>
      <w:r>
        <w:t xml:space="preserve">Two disbursement decisions per year.</w:t>
      </w:r>
      <w:r>
        <w:t xml:space="preserve"> </w:t>
      </w:r>
      <w:r>
        <w:t xml:space="preserve">2.3. Aviation</w:t>
      </w:r>
      <w:r>
        <w:t xml:space="preserve"> </w:t>
      </w:r>
      <w:r>
        <w:t xml:space="preserve">The measures for aviation addressing the above problems and drivers are set out in Table 8</w:t>
      </w:r>
      <w:r>
        <w:t xml:space="preserve"> </w:t>
      </w:r>
      <w:r>
        <w:t xml:space="preserve">below and in more detail in Annex 10. In addition, there are several elements which apply in a</w:t>
      </w:r>
      <w:r>
        <w:t xml:space="preserve"> </w:t>
      </w:r>
      <w:r>
        <w:t xml:space="preserve">uniform manner across all options. On geographic scope of the EU ETS, the Directive as in</w:t>
      </w:r>
      <w:r>
        <w:t xml:space="preserve"> </w:t>
      </w:r>
      <w:r>
        <w:t xml:space="preserve">force since 2023 permanently exempts flights to and from around 75 Least Developed</w:t>
      </w:r>
      <w:r>
        <w:t xml:space="preserve"> </w:t>
      </w:r>
      <w:r>
        <w:t xml:space="preserve">Countries and Small Island Developing States63. This exemption is maintained across all</w:t>
      </w:r>
      <w:r>
        <w:t xml:space="preserve"> </w:t>
      </w:r>
      <w:r>
        <w:t xml:space="preserve">measures. To ensure appropriate internalisation of the climate impacts (D2) of private and</w:t>
      </w:r>
      <w:r>
        <w:t xml:space="preserve"> </w:t>
      </w:r>
      <w:r>
        <w:t xml:space="preserve">business aviation, all options include lowering the emissions threshold for all aircraft operators</w:t>
      </w:r>
      <w:r>
        <w:t xml:space="preserve"> </w:t>
      </w:r>
      <w:r>
        <w:t xml:space="preserve">to 500t CO2 to increase the reach of carbon pricing. This would bring the majority of private</w:t>
      </w:r>
      <w:r>
        <w:t xml:space="preserve"> </w:t>
      </w:r>
      <w:r>
        <w:t xml:space="preserve">and business aviation into the ETS scope. All private and business jet flights departing EEA</w:t>
      </w:r>
      <w:r>
        <w:t xml:space="preserve"> </w:t>
      </w:r>
      <w:r>
        <w:t xml:space="preserve">countries also come into the ETS. This element is accompanied by a simplification for</w:t>
      </w:r>
      <w:r>
        <w:t xml:space="preserve"> </w:t>
      </w:r>
      <w:r>
        <w:t xml:space="preserve">monitoring, reporting and verification rules for all aviation small emitters limiting any increase</w:t>
      </w:r>
      <w:r>
        <w:t xml:space="preserve"> </w:t>
      </w:r>
      <w:r>
        <w:t xml:space="preserve">in administrative effort for operators, Competent Authorities and the Commission (see Annex</w:t>
      </w:r>
      <w:r>
        <w:t xml:space="preserve"> </w:t>
      </w:r>
      <w:r>
        <w:t xml:space="preserve">10, section 7). In specific cases of hub carbon leakage, the ETS price would apply in both</w:t>
      </w:r>
      <w:r>
        <w:t xml:space="preserve"> </w:t>
      </w:r>
      <w:r>
        <w:t xml:space="preserve">directions, on an equal-treatment-on-routes basis64 to help level the playing field. In addition,</w:t>
      </w:r>
      <w:r>
        <w:t xml:space="preserve"> </w:t>
      </w:r>
      <w:r>
        <w:t xml:space="preserve">the EU could provide “ETS-as-a-service” to interested third countries, which could receive a</w:t>
      </w:r>
      <w:r>
        <w:t xml:space="preserve"> </w:t>
      </w:r>
      <w:r>
        <w:t xml:space="preserve">share of the revenues for climate purposes. However, this is not included in the modelling.</w:t>
      </w:r>
      <w:r>
        <w:t xml:space="preserve"> </w:t>
      </w:r>
      <w:r>
        <w:t xml:space="preserve">Policy Option 1 (PO1): The geographic scope of application of the EU ETS depends on the</w:t>
      </w:r>
      <w:r>
        <w:t xml:space="preserve"> </w:t>
      </w:r>
      <w:r>
        <w:t xml:space="preserve">required assessment of CORSIA65. PO1 assumes this assessment is positive and States continue</w:t>
      </w:r>
      <w:r>
        <w:t xml:space="preserve"> </w:t>
      </w:r>
      <w:r>
        <w:t xml:space="preserve">to effectively apply CORSIA. This assessment would be in line with SO1.3.1, ensuring</w:t>
      </w:r>
      <w:r>
        <w:t xml:space="preserve"> </w:t>
      </w:r>
      <w:r>
        <w:t xml:space="preserve">effective action on the EU’s fair share of international aviation emissions because departing</w:t>
      </w:r>
      <w:r>
        <w:t xml:space="preserve"> </w:t>
      </w:r>
      <w:r>
        <w:t xml:space="preserve">flights would be covered by a meaningful carbon price. This means that the EU ETS carbon</w:t>
      </w:r>
      <w:r>
        <w:t xml:space="preserve"> </w:t>
      </w:r>
      <w:r>
        <w:t xml:space="preserve">price would apply to flights within and between EEA States, as well as to departing flights to</w:t>
      </w:r>
      <w:r>
        <w:t xml:space="preserve"> </w:t>
      </w:r>
      <w:r>
        <w:t xml:space="preserve">Switzerland and the UK. For countries that should be implementing CORSIA offsetting but are</w:t>
      </w:r>
      <w:r>
        <w:t xml:space="preserve"> </w:t>
      </w:r>
      <w:r>
        <w:t xml:space="preserve">not doing so, the EU ETS would apply in both directions. CORSIA would apply to remaining</w:t>
      </w:r>
      <w:r>
        <w:t xml:space="preserve"> </w:t>
      </w:r>
      <w:r>
        <w:t xml:space="preserve">flights between participating countries. Emissions between some countries would not be</w:t>
      </w:r>
      <w:r>
        <w:t xml:space="preserve"> </w:t>
      </w:r>
      <w:r>
        <w:t xml:space="preserve">covered by a carbon price66. States would continue to apply CORSIA so that airlines offset</w:t>
      </w:r>
      <w:r>
        <w:t xml:space="preserve"> </w:t>
      </w:r>
      <w:r>
        <w:t xml:space="preserve">emissions above the negotiated baseline67 until 2035 when CORSIA is set to end. In advance</w:t>
      </w:r>
      <w:r>
        <w:t xml:space="preserve"> </w:t>
      </w:r>
      <w:r>
        <w:t xml:space="preserve">of CORSIA’s sunset clause, a new solution to ensure meaningful carbon pricing of international</w:t>
      </w:r>
    </w:p>
    <w:p>
      <w:pPr>
        <w:pStyle w:val="BodyText"/>
      </w:pPr>
      <w:r>
        <w:t xml:space="preserve">63 As defined by the United Nations, except for those States with a GDP per capita equal or exceeding Union</w:t>
      </w:r>
      <w:r>
        <w:t xml:space="preserve"> </w:t>
      </w:r>
      <w:r>
        <w:t xml:space="preserve">average.</w:t>
      </w:r>
      <w:r>
        <w:t xml:space="preserve"> </w:t>
      </w:r>
      <w:r>
        <w:t xml:space="preserve">64 The EU ETS carbon price would apply to any airline flying on that route.</w:t>
      </w:r>
      <w:r>
        <w:t xml:space="preserve"> </w:t>
      </w:r>
      <w:r>
        <w:t xml:space="preserve">65 The Commission assessment checks whether CORSIA has been implemented in national law by third</w:t>
      </w:r>
      <w:r>
        <w:t xml:space="preserve"> </w:t>
      </w:r>
      <w:r>
        <w:t xml:space="preserve">countries, and whether it has been strengthened. See detail in the Annex 10, section 5.</w:t>
      </w:r>
      <w:r>
        <w:t xml:space="preserve"> </w:t>
      </w:r>
      <w:r>
        <w:t xml:space="preserve">66 Both CORSIA and the EU ETS exempt flights involving Least Developed Countries and Small Island</w:t>
      </w:r>
      <w:r>
        <w:t xml:space="preserve"> </w:t>
      </w:r>
      <w:r>
        <w:t xml:space="preserve">Developing States. From January 2027, CORSIA should become mandatory for flights between 34 countries</w:t>
      </w:r>
      <w:r>
        <w:t xml:space="preserve"> </w:t>
      </w:r>
      <w:r>
        <w:t xml:space="preserve">(resulting in offsetting above the baseline). Unless they voluntarily participate, flights involving other</w:t>
      </w:r>
      <w:r>
        <w:t xml:space="preserve"> </w:t>
      </w:r>
      <w:r>
        <w:t xml:space="preserve">countries are not covered by CORSIA. As of 2025 and the latest list applicable for 2026, 130 countries</w:t>
      </w:r>
      <w:r>
        <w:t xml:space="preserve"> </w:t>
      </w:r>
      <w:r>
        <w:t xml:space="preserve">voluntarily participate in CORSIA, accounting for 51% of 2024 emissions from international aviation.</w:t>
      </w:r>
      <w:r>
        <w:t xml:space="preserve"> </w:t>
      </w:r>
      <w:r>
        <w:t xml:space="preserve">67 As of 2024, the CORSIA baseline is 85% of 2019 CO2 emissions, amounting to at least 516 million tonnes</w:t>
      </w:r>
      <w:r>
        <w:t xml:space="preserve"> </w:t>
      </w:r>
      <w:r>
        <w:t xml:space="preserve">CO2 of international aviation emissions each year that are not addressed by CORSIA. Source: ICAO, CORSIA</w:t>
      </w:r>
      <w:r>
        <w:t xml:space="preserve"> </w:t>
      </w:r>
      <w:r>
        <w:t xml:space="preserve">Central Registry (CCR): Information and Data for Transparency, Part II: Total CO2 emissions for 2019</w:t>
      </w:r>
      <w:r>
        <w:t xml:space="preserve"> </w:t>
      </w:r>
      <w:r>
        <w:t xml:space="preserve">Aggregated for all Aeroplane Operators on each State Pair, 2022.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aviation emissions would need to be put into effect. The Commission would report on the</w:t>
      </w:r>
      <w:r>
        <w:t xml:space="preserve"> </w:t>
      </w:r>
      <w:r>
        <w:t xml:space="preserve">application of CORSIA and changes in emissions coverage in its annual Carbon Market Report.</w:t>
      </w:r>
      <w:r>
        <w:t xml:space="preserve"> </w:t>
      </w:r>
      <w:r>
        <w:t xml:space="preserve">On SAF support, in line with the unchanged ETS scope, support would expire at the end of</w:t>
      </w:r>
      <w:r>
        <w:t xml:space="preserve"> </w:t>
      </w:r>
      <w:r>
        <w:t xml:space="preserve">2030, and it would be allocated in the same manner as today (ETS Directive as in force since</w:t>
      </w:r>
      <w:r>
        <w:t xml:space="preserve"> </w:t>
      </w:r>
      <w:r>
        <w:t xml:space="preserve">2023). PO1 aviation measures require no adjustments to the ETS cap.</w:t>
      </w:r>
      <w:r>
        <w:t xml:space="preserve"> </w:t>
      </w:r>
      <w:r>
        <w:t xml:space="preserve">Policy Option 2 (PO2): Under PO2, the Commission assessment of CORSIA is negative: there</w:t>
      </w:r>
      <w:r>
        <w:t xml:space="preserve"> </w:t>
      </w:r>
      <w:r>
        <w:t xml:space="preserve">would be exemption so that the EU ETS would not apply to flights arriving in the EEA from a</w:t>
      </w:r>
      <w:r>
        <w:t xml:space="preserve"> </w:t>
      </w:r>
      <w:r>
        <w:t xml:space="preserve">country outside the EEA. The EU ETS would apply to departing flights from the EEA to less</w:t>
      </w:r>
      <w:r>
        <w:t xml:space="preserve"> </w:t>
      </w:r>
      <w:r>
        <w:t xml:space="preserve">than about 90 destination countries68. Where the ETS carbon price applies and the country</w:t>
      </w:r>
      <w:r>
        <w:t xml:space="preserve"> </w:t>
      </w:r>
      <w:r>
        <w:t xml:space="preserve">participates in CORSIA, airlines can deduct CORSIA offsetting costs to avoid double charging.</w:t>
      </w:r>
      <w:r>
        <w:t xml:space="preserve"> </w:t>
      </w:r>
      <w:r>
        <w:t xml:space="preserve">This approach is in line with SO1.3.1, ensuring effective action on the EU’s fair share of</w:t>
      </w:r>
      <w:r>
        <w:t xml:space="preserve"> </w:t>
      </w:r>
      <w:r>
        <w:t xml:space="preserve">international aviation emissions because it ensures that departing flights are covered by a</w:t>
      </w:r>
      <w:r>
        <w:t xml:space="preserve"> </w:t>
      </w:r>
      <w:r>
        <w:t xml:space="preserve">meaningful carbon price. The geographic scope is expected to result in increased ETS revenues,</w:t>
      </w:r>
      <w:r>
        <w:t xml:space="preserve"> </w:t>
      </w:r>
      <w:r>
        <w:t xml:space="preserve">part of which would be used to extend support for SAF uplift by an additional amount of</w:t>
      </w:r>
      <w:r>
        <w:t xml:space="preserve"> </w:t>
      </w:r>
      <w:r>
        <w:t xml:space="preserve">allowances69. In line with Objective SO1.1.1, enabling investments, this support is coupled with</w:t>
      </w:r>
      <w:r>
        <w:t xml:space="preserve"> </w:t>
      </w:r>
      <w:r>
        <w:t xml:space="preserve">conditionalities such as having a longer term off-take contract agreement in place. PO2 would</w:t>
      </w:r>
      <w:r>
        <w:t xml:space="preserve"> </w:t>
      </w:r>
      <w:r>
        <w:t xml:space="preserve">entail cap adjustments proportionate to the extension in scope of the ETS carbon price. To</w:t>
      </w:r>
      <w:r>
        <w:t xml:space="preserve"> </w:t>
      </w:r>
      <w:r>
        <w:t xml:space="preserve">preserve the environmental integrity of the ETS, the deduction would be accompanied by the</w:t>
      </w:r>
      <w:r>
        <w:t xml:space="preserve"> </w:t>
      </w:r>
      <w:r>
        <w:t xml:space="preserve">cancellation of an equivalent amount of EU ETS allowances.</w:t>
      </w:r>
      <w:r>
        <w:t xml:space="preserve"> </w:t>
      </w:r>
      <w:r>
        <w:t xml:space="preserve">Policy Option 3 (PO3): The geographic scope of application would be the same as under PO2,</w:t>
      </w:r>
      <w:r>
        <w:t xml:space="preserve"> </w:t>
      </w:r>
      <w:r>
        <w:t xml:space="preserve">because larger geographic coverage would go beyond SO1.3.1 (ensuring effective action on the</w:t>
      </w:r>
      <w:r>
        <w:t xml:space="preserve"> </w:t>
      </w:r>
      <w:r>
        <w:t xml:space="preserve">EU’s fair share of international aviation emissions). The geographic scope is expected to result</w:t>
      </w:r>
      <w:r>
        <w:t xml:space="preserve"> </w:t>
      </w:r>
      <w:r>
        <w:t xml:space="preserve">in increased ETS revenues, of which a larger part (compared to PO2) would be used to extend</w:t>
      </w:r>
      <w:r>
        <w:t xml:space="preserve"> </w:t>
      </w:r>
      <w:r>
        <w:t xml:space="preserve">support for SAF uplift until the end of 2035, with the same conditionalities as in PO2. PO3</w:t>
      </w:r>
      <w:r>
        <w:t xml:space="preserve"> </w:t>
      </w:r>
      <w:r>
        <w:t xml:space="preserve">would entail the same cap adjustments as PO2.</w:t>
      </w:r>
      <w:r>
        <w:t xml:space="preserve"> </w:t>
      </w:r>
      <w:r>
        <w:t xml:space="preserve">Table 17: Policy measures for aviation</w:t>
      </w:r>
      <w:r>
        <w:br/>
      </w:r>
      <w:r>
        <w:t xml:space="preserve">Review element</w:t>
      </w:r>
      <w:r>
        <w:br/>
      </w:r>
      <w:r>
        <w:t xml:space="preserve">Policy measure</w:t>
      </w:r>
      <w:r>
        <w:br/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Geographic</w:t>
      </w:r>
      <w:r>
        <w:t xml:space="preserve"> </w:t>
      </w:r>
      <w:r>
        <w:t xml:space="preserve">scope</w:t>
      </w:r>
      <w:r>
        <w:t xml:space="preserve"> </w:t>
      </w:r>
      <w:r>
        <w:t xml:space="preserve">AS1: clean cut</w:t>
      </w:r>
      <w:r>
        <w:t xml:space="preserve"> </w:t>
      </w:r>
      <w:r>
        <w:t xml:space="preserve">X</w:t>
      </w:r>
      <w:r>
        <w:t xml:space="preserve"> </w:t>
      </w:r>
      <w:r>
        <w:t xml:space="preserve">AS2: departing flights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Financial</w:t>
      </w:r>
      <w:r>
        <w:t xml:space="preserve"> </w:t>
      </w:r>
      <w:r>
        <w:t xml:space="preserve">support for SAF</w:t>
      </w:r>
      <w:r>
        <w:t xml:space="preserve"> </w:t>
      </w:r>
      <w:r>
        <w:t xml:space="preserve">uptake</w:t>
      </w:r>
      <w:r>
        <w:br/>
      </w:r>
      <w:r>
        <w:t xml:space="preserve">SAF0: status quo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SAF1: medium extension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SAF2: larger extension</w:t>
      </w:r>
      <w:r>
        <w:t xml:space="preserve"> </w:t>
      </w:r>
      <w:r>
        <w:t xml:space="preserve">X</w:t>
      </w:r>
      <w:r>
        <w:t xml:space="preserve"> </w:t>
      </w:r>
      <w:r>
        <w:t xml:space="preserve">Design elements:</w:t>
      </w:r>
      <w:r>
        <w:t xml:space="preserve"> </w:t>
      </w:r>
      <w:r>
        <w:t xml:space="preserve">stable across all</w:t>
      </w:r>
      <w:r>
        <w:t xml:space="preserve"> </w:t>
      </w:r>
      <w:r>
        <w:t xml:space="preserve">options</w:t>
      </w:r>
      <w:r>
        <w:t xml:space="preserve"> </w:t>
      </w:r>
      <w:r>
        <w:t xml:space="preserve">Socially progressive: Private &amp; business jets inclusion</w:t>
      </w:r>
      <w:r>
        <w:t xml:space="preserve"> </w:t>
      </w:r>
      <w:r>
        <w:t xml:space="preserve">Automatic phase-in: Outermost Regions participation</w:t>
      </w:r>
      <w:r>
        <w:t xml:space="preserve"> </w:t>
      </w:r>
      <w:r>
        <w:t xml:space="preserve">Automatic exemption: LDCs and SIDS exemption</w:t>
      </w:r>
    </w:p>
    <w:p>
      <w:pPr>
        <w:pStyle w:val="BodyText"/>
      </w:pPr>
      <w:r>
        <w:t xml:space="preserve">68 The ETS would not apply if the destination is one of around 75 Least Developed Countries or Small Island</w:t>
      </w:r>
      <w:r>
        <w:t xml:space="preserve"> </w:t>
      </w:r>
      <w:r>
        <w:t xml:space="preserve">Developing States (see footnote 15), countries where the ETS currently applies are not counted (EU27, EEA,</w:t>
      </w:r>
      <w:r>
        <w:t xml:space="preserve"> </w:t>
      </w:r>
      <w:r>
        <w:t xml:space="preserve">flights to Switzerland).</w:t>
      </w:r>
      <w:r>
        <w:t xml:space="preserve"> </w:t>
      </w:r>
      <w:r>
        <w:t xml:space="preserve">69 As foreseen by the ETS Directive Article 3c(6), penultimate paragraph.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2.4. Maritime</w:t>
      </w:r>
      <w:r>
        <w:t xml:space="preserve"> </w:t>
      </w:r>
      <w:r>
        <w:t xml:space="preserve">Regarding maritime, different measures are explored to address the various problems and</w:t>
      </w:r>
      <w:r>
        <w:t xml:space="preserve"> </w:t>
      </w:r>
      <w:r>
        <w:t xml:space="preserve">drivers faced by the sector:</w:t>
      </w:r>
      <w:r>
        <w:t xml:space="preserve"> </w:t>
      </w:r>
      <w:r>
        <w:t xml:space="preserve">• LCF: support for emission reduction in the shipping sector and enable investments in</w:t>
      </w:r>
      <w:r>
        <w:t xml:space="preserve"> </w:t>
      </w:r>
      <w:r>
        <w:t xml:space="preserve">line with the specific objective set in SO1.1.1.</w:t>
      </w:r>
      <w:r>
        <w:t xml:space="preserve"> </w:t>
      </w:r>
      <w:r>
        <w:t xml:space="preserve">• RE: Additional safeguards against the risk of evasion, linked to the specific objective</w:t>
      </w:r>
      <w:r>
        <w:t xml:space="preserve"> </w:t>
      </w:r>
      <w:r>
        <w:t xml:space="preserve">defined in SO1.1.3:</w:t>
      </w:r>
      <w:r>
        <w:t xml:space="preserve"> </w:t>
      </w:r>
      <w:r>
        <w:t xml:space="preserve">• SI: Simplification, and targeted enhancement measures70</w:t>
      </w:r>
      <w:r>
        <w:t xml:space="preserve"> </w:t>
      </w:r>
      <w:r>
        <w:t xml:space="preserve">• DE: Derogations and exemptions for outermost regions, ice-class ships, small islands</w:t>
      </w:r>
      <w:r>
        <w:t xml:space="preserve"> </w:t>
      </w:r>
      <w:r>
        <w:t xml:space="preserve">and transnational public service contract or obligation.</w:t>
      </w:r>
      <w:r>
        <w:t xml:space="preserve"> </w:t>
      </w:r>
      <w:r>
        <w:t xml:space="preserve">• IMO: Deduction from the ETS surrendering obligations of emissions priced under IMO</w:t>
      </w:r>
      <w:r>
        <w:t xml:space="preserve"> </w:t>
      </w:r>
      <w:r>
        <w:t xml:space="preserve">GHG mid-term measures, to ensure coherence between the EU ETS and the IMO</w:t>
      </w:r>
      <w:r>
        <w:t xml:space="preserve"> </w:t>
      </w:r>
      <w:r>
        <w:t xml:space="preserve">measure once adopted and implemented, in line with the specific objective set in</w:t>
      </w:r>
      <w:r>
        <w:t xml:space="preserve"> </w:t>
      </w:r>
      <w:r>
        <w:t xml:space="preserve">SO1.3.2;</w:t>
      </w:r>
      <w:r>
        <w:t xml:space="preserve"> </w:t>
      </w:r>
      <w:r>
        <w:t xml:space="preserve">• MSS: Extension of the EU ETS to cover emissions from smaller ships (i.e. ships below</w:t>
      </w:r>
      <w:r>
        <w:t xml:space="preserve"> </w:t>
      </w:r>
      <w:r>
        <w:t xml:space="preserve">5 000 gross tonnage but not below 400 gross tonnage) in line with the specific objective</w:t>
      </w:r>
      <w:r>
        <w:t xml:space="preserve"> </w:t>
      </w:r>
      <w:r>
        <w:t xml:space="preserve">SO1.1.2;</w:t>
      </w:r>
      <w:r>
        <w:t xml:space="preserve"> </w:t>
      </w:r>
      <w:r>
        <w:t xml:space="preserve">Different variants and combination of these measures are considered across the three policy</w:t>
      </w:r>
      <w:r>
        <w:t xml:space="preserve"> </w:t>
      </w:r>
      <w:r>
        <w:t xml:space="preserve">options.</w:t>
      </w:r>
      <w:r>
        <w:br/>
      </w:r>
      <w:r>
        <w:t xml:space="preserve">The policy option PO1 focuses on the introduction of simplification and targeted</w:t>
      </w:r>
      <w:r>
        <w:t xml:space="preserve"> </w:t>
      </w:r>
      <w:r>
        <w:t xml:space="preserve">enhancement measures with the objective to lessen administrative burden and enhance the</w:t>
      </w:r>
      <w:r>
        <w:t xml:space="preserve"> </w:t>
      </w:r>
      <w:r>
        <w:t xml:space="preserve">effectiveness and robustness in the implementation of the system, both for shipping companies</w:t>
      </w:r>
      <w:r>
        <w:t xml:space="preserve"> </w:t>
      </w:r>
      <w:r>
        <w:t xml:space="preserve">and the administering authorities of Member States. These measures are particularly important</w:t>
      </w:r>
      <w:r>
        <w:t xml:space="preserve"> </w:t>
      </w:r>
      <w:r>
        <w:t xml:space="preserve">for small and medium-sized enterprises (SMEs), which often face higher administrative and</w:t>
      </w:r>
      <w:r>
        <w:t xml:space="preserve"> </w:t>
      </w:r>
      <w:r>
        <w:t xml:space="preserve">compliance costs relative to larger operators. These are the only significant changes in</w:t>
      </w:r>
      <w:r>
        <w:t xml:space="preserve"> </w:t>
      </w:r>
      <w:r>
        <w:t xml:space="preserve">comparison to the Baseline. However, no changes to the anti-evasion measure would be</w:t>
      </w:r>
      <w:r>
        <w:t xml:space="preserve"> </w:t>
      </w:r>
      <w:r>
        <w:t xml:space="preserve">introduced and the existing scope of the ETS in terms of ship categories and sizes would</w:t>
      </w:r>
      <w:r>
        <w:t xml:space="preserve"> </w:t>
      </w:r>
      <w:r>
        <w:t xml:space="preserve">remain unchanged. In addition, no additional support mechanism for maritime from ETS</w:t>
      </w:r>
      <w:r>
        <w:t xml:space="preserve"> </w:t>
      </w:r>
      <w:r>
        <w:t xml:space="preserve">revenues would be introduced at EU level, beyond the support already provided through the</w:t>
      </w:r>
      <w:r>
        <w:t xml:space="preserve"> </w:t>
      </w:r>
      <w:r>
        <w:t xml:space="preserve">Innovation Fund. In line with the current legislation, derogations would stop as from 2031.</w:t>
      </w:r>
      <w:r>
        <w:t xml:space="preserve"> </w:t>
      </w:r>
      <w:r>
        <w:t xml:space="preserve">For maritime, the policy option PO2 includes a dedicated support mechanism (SMAP) that</w:t>
      </w:r>
      <w:r>
        <w:t xml:space="preserve"> </w:t>
      </w:r>
      <w:r>
        <w:t xml:space="preserve">would be introduced for vessels to contribute to close the gap between the costs of mitigation</w:t>
      </w:r>
      <w:r>
        <w:t xml:space="preserve"> </w:t>
      </w:r>
      <w:r>
        <w:t xml:space="preserve">solutions and the costs of fossil fuels, therefore accelerating the decarbonisation of the sector</w:t>
      </w:r>
      <w:r>
        <w:t xml:space="preserve"> </w:t>
      </w:r>
      <w:r>
        <w:t xml:space="preserve">(assuming that in total 50% of ETS revenues generated by the ETS extension to maritime are</w:t>
      </w:r>
      <w:r>
        <w:t xml:space="preserve"> </w:t>
      </w:r>
      <w:r>
        <w:t xml:space="preserve">recycled in the sector through EU mechanisms and national schemes).</w:t>
      </w:r>
      <w:r>
        <w:br/>
      </w:r>
      <w:r>
        <w:t xml:space="preserve">Further, the option PO2 would strengthen the existing anti-evasion measure by including more</w:t>
      </w:r>
      <w:r>
        <w:t xml:space="preserve"> </w:t>
      </w:r>
      <w:r>
        <w:t xml:space="preserve">ports in the list of neighbouring container transhipment ports (through lowering the annual</w:t>
      </w:r>
      <w:r>
        <w:t xml:space="preserve"> </w:t>
      </w:r>
      <w:r>
        <w:t xml:space="preserve">average transhipment share threshold from 65% to 50%). Moreover, elements of the legislation</w:t>
      </w:r>
      <w:r>
        <w:t xml:space="preserve"> </w:t>
      </w:r>
      <w:r>
        <w:t xml:space="preserve">that are also relevant to offshore activities would be adjusted to ensure that all ships providing</w:t>
      </w:r>
      <w:r>
        <w:t xml:space="preserve"> </w:t>
      </w:r>
      <w:r>
        <w:t xml:space="preserve">relevant offshore services in EU waters are subject to the ETS, independently of their flag or</w:t>
      </w:r>
      <w:r>
        <w:t xml:space="preserve"> </w:t>
      </w:r>
      <w:r>
        <w:t xml:space="preserve">from where they come from or where they go to after concluding the activity.</w:t>
      </w:r>
      <w:r>
        <w:t xml:space="preserve"> </w:t>
      </w:r>
      <w:r>
        <w:t xml:space="preserve">The existing derogations (islands, OMR, PSO/PSCs, and ice class ships) would be extended for</w:t>
      </w:r>
      <w:r>
        <w:t xml:space="preserve"> </w:t>
      </w:r>
      <w:r>
        <w:t xml:space="preserve">limited time. The Simplifications and targeted enhancement measures for shipping</w:t>
      </w:r>
    </w:p>
    <w:p>
      <w:pPr>
        <w:pStyle w:val="BodyText"/>
      </w:pPr>
      <w:r>
        <w:t xml:space="preserve">70 Policy measure SI1 applies horizontally across the different policy options.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companies and administrative authorities foreseen under policy option PO1 would be</w:t>
      </w:r>
      <w:r>
        <w:t xml:space="preserve"> </w:t>
      </w:r>
      <w:r>
        <w:t xml:space="preserve">maintained also under PO2 .</w:t>
      </w:r>
      <w:r>
        <w:br/>
      </w:r>
      <w:r>
        <w:t xml:space="preserve">The option PO2 would introduce a deduction for emissions that are both covered by the ETS</w:t>
      </w:r>
      <w:r>
        <w:t xml:space="preserve"> </w:t>
      </w:r>
      <w:r>
        <w:t xml:space="preserve">and subject to regulation and pricing under a future IMO mid-term measure, once adopted. This</w:t>
      </w:r>
      <w:r>
        <w:t xml:space="preserve"> </w:t>
      </w:r>
      <w:r>
        <w:t xml:space="preserve">deduction would apply in full as long as the carbon price set by the IMO mid-term measure</w:t>
      </w:r>
      <w:r>
        <w:t xml:space="preserve"> </w:t>
      </w:r>
      <w:r>
        <w:t xml:space="preserve">stays above ETS prices. In the opposite case, a correction factor would apply to reduce</w:t>
      </w:r>
      <w:r>
        <w:t xml:space="preserve"> </w:t>
      </w:r>
      <w:r>
        <w:t xml:space="preserve">proportionally the amount of emissions to be deducted from the ETS obligations. This approach</w:t>
      </w:r>
      <w:r>
        <w:t xml:space="preserve"> </w:t>
      </w:r>
      <w:r>
        <w:t xml:space="preserve">prevents double payment for the same emissions, while ensuring that emissions excluded from</w:t>
      </w:r>
      <w:r>
        <w:t xml:space="preserve"> </w:t>
      </w:r>
      <w:r>
        <w:t xml:space="preserve">the ETS are priced at a level at least equivalent to that of the ETS. To preserve the environmental</w:t>
      </w:r>
      <w:r>
        <w:t xml:space="preserve"> </w:t>
      </w:r>
      <w:r>
        <w:t xml:space="preserve">integrity of the ETS, the deduction would be accompanied by the cancellation of an equivalent</w:t>
      </w:r>
      <w:r>
        <w:t xml:space="preserve"> </w:t>
      </w:r>
      <w:r>
        <w:t xml:space="preserve">amount of allowances.</w:t>
      </w:r>
      <w:r>
        <w:br/>
      </w:r>
      <w:r>
        <w:t xml:space="preserve">This policy option would also extend the ETS scope to emissions from small ships categories</w:t>
      </w:r>
      <w:r>
        <w:t xml:space="preserve"> </w:t>
      </w:r>
      <w:r>
        <w:t xml:space="preserve">emitting the most among small ships with gross tonnage bigger than 400 gross tonnage but</w:t>
      </w:r>
      <w:r>
        <w:t xml:space="preserve"> </w:t>
      </w:r>
      <w:r>
        <w:t xml:space="preserve">below 5 000 gross tonnage.</w:t>
      </w:r>
      <w:r>
        <w:br/>
      </w:r>
      <w:r>
        <w:t xml:space="preserve">Option PO3 includes the same approach as in option PO2 in relation to the dedicated support</w:t>
      </w:r>
      <w:r>
        <w:t xml:space="preserve"> </w:t>
      </w:r>
      <w:r>
        <w:t xml:space="preserve">mechanism (SMAP), the IMO deduction, simplification and targeted enhancements for</w:t>
      </w:r>
      <w:r>
        <w:t xml:space="preserve"> </w:t>
      </w:r>
      <w:r>
        <w:t xml:space="preserve">shipping companies and administrative authorities, derogations and measures to address</w:t>
      </w:r>
      <w:r>
        <w:t xml:space="preserve"> </w:t>
      </w:r>
      <w:r>
        <w:t xml:space="preserve">evasion risks. However, compared to PO2, this option considers extending the scope of the ETS</w:t>
      </w:r>
      <w:r>
        <w:t xml:space="preserve"> </w:t>
      </w:r>
      <w:r>
        <w:t xml:space="preserve">to a larger fleet of small vessels, namely all categories of small vessels already covered under</w:t>
      </w:r>
      <w:r>
        <w:t xml:space="preserve"> </w:t>
      </w:r>
      <w:r>
        <w:t xml:space="preserve">the EU maritime MRV, non-commercial yachts, and fishing vessels.</w:t>
      </w:r>
      <w:r>
        <w:br/>
      </w:r>
      <w:r>
        <w:t xml:space="preserve">Table 18: Policy measures for maritime</w:t>
      </w:r>
      <w:r>
        <w:t xml:space="preserve"> </w:t>
      </w:r>
      <w:r>
        <w:t xml:space="preserve">Topic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Maritime</w:t>
      </w:r>
      <w:r>
        <w:t xml:space="preserve"> </w:t>
      </w:r>
      <w:r>
        <w:t xml:space="preserve">-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 in the</w:t>
      </w:r>
      <w:r>
        <w:t xml:space="preserve"> </w:t>
      </w:r>
      <w:r>
        <w:t xml:space="preserve">shipping sector</w:t>
      </w:r>
      <w:r>
        <w:t xml:space="preserve"> </w:t>
      </w:r>
      <w:r>
        <w:t xml:space="preserve">LCF0:</w:t>
      </w:r>
      <w:r>
        <w:t xml:space="preserve"> </w:t>
      </w:r>
      <w:r>
        <w:t xml:space="preserve">No</w:t>
      </w:r>
      <w:r>
        <w:t xml:space="preserve"> </w:t>
      </w:r>
      <w:r>
        <w:t xml:space="preserve">dedicated</w:t>
      </w:r>
      <w:r>
        <w:t xml:space="preserve"> </w:t>
      </w:r>
      <w:r>
        <w:t xml:space="preserve">ETS</w:t>
      </w:r>
      <w:r>
        <w:t xml:space="preserve"> </w:t>
      </w:r>
      <w:r>
        <w:t xml:space="preserve">support</w:t>
      </w:r>
      <w:r>
        <w:t xml:space="preserve"> </w:t>
      </w:r>
      <w:r>
        <w:t xml:space="preserve">mechanism</w:t>
      </w:r>
      <w:r>
        <w:t xml:space="preserve"> </w:t>
      </w:r>
      <w:r>
        <w:t xml:space="preserve">X</w:t>
      </w:r>
      <w:r>
        <w:t xml:space="preserve"> </w:t>
      </w:r>
      <w:r>
        <w:t xml:space="preserve">LCF1: EU ETS support mechanism 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Maritime</w:t>
      </w:r>
      <w:r>
        <w:t xml:space="preserve"> </w:t>
      </w:r>
      <w:r>
        <w:t xml:space="preserve">Alternative</w:t>
      </w:r>
      <w:r>
        <w:t xml:space="preserve"> </w:t>
      </w:r>
      <w:r>
        <w:t xml:space="preserve">Propulsion (SMAP)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Maritime</w:t>
      </w:r>
      <w:r>
        <w:t xml:space="preserve"> </w:t>
      </w:r>
      <w:r>
        <w:t xml:space="preserve">-</w:t>
      </w:r>
      <w:r>
        <w:t xml:space="preserve"> </w:t>
      </w:r>
      <w:r>
        <w:t xml:space="preserve">Evasion Risk</w:t>
      </w:r>
      <w:r>
        <w:t xml:space="preserve"> </w:t>
      </w:r>
      <w:r>
        <w:t xml:space="preserve">RΕ0: Current measures on evasion</w:t>
      </w:r>
      <w:r>
        <w:br/>
      </w:r>
      <w:r>
        <w:t xml:space="preserve">X</w:t>
      </w:r>
      <w:r>
        <w:t xml:space="preserve"> </w:t>
      </w:r>
      <w:r>
        <w:t xml:space="preserve">RE1: Revise the list of neighbouring</w:t>
      </w:r>
      <w:r>
        <w:t xml:space="preserve"> </w:t>
      </w:r>
      <w:r>
        <w:t xml:space="preserve">container transshipment ports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RE2: Ensure that offshore activities by</w:t>
      </w:r>
      <w:r>
        <w:t xml:space="preserve"> </w:t>
      </w:r>
      <w:r>
        <w:t xml:space="preserve">ships operating in EU waters are covered,</w:t>
      </w:r>
      <w:r>
        <w:t xml:space="preserve"> </w:t>
      </w:r>
      <w:r>
        <w:t xml:space="preserve">independently from their port of origin.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in Maritime</w:t>
      </w:r>
      <w:r>
        <w:br/>
      </w:r>
      <w:r>
        <w:t xml:space="preserve">SI1:</w:t>
      </w:r>
      <w:r>
        <w:t xml:space="preserve"> </w:t>
      </w:r>
      <w:r>
        <w:t xml:space="preserve">Simplification,</w:t>
      </w:r>
      <w:r>
        <w:t xml:space="preserve"> </w:t>
      </w:r>
      <w:r>
        <w:t xml:space="preserve">and</w:t>
      </w:r>
      <w:r>
        <w:t xml:space="preserve"> </w:t>
      </w:r>
      <w:r>
        <w:t xml:space="preserve">targeted</w:t>
      </w:r>
      <w:r>
        <w:t xml:space="preserve"> </w:t>
      </w:r>
      <w:r>
        <w:t xml:space="preserve">enhancement measures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Maritime</w:t>
      </w:r>
      <w:r>
        <w:t xml:space="preserve"> </w:t>
      </w:r>
      <w:r>
        <w:t xml:space="preserve">-</w:t>
      </w:r>
      <w:r>
        <w:t xml:space="preserve"> </w:t>
      </w:r>
      <w:r>
        <w:t xml:space="preserve">Derogations</w:t>
      </w:r>
      <w:r>
        <w:br/>
      </w:r>
      <w:r>
        <w:t xml:space="preserve">DE0: no extension of derogations</w:t>
      </w:r>
      <w:r>
        <w:br/>
      </w:r>
      <w:r>
        <w:t xml:space="preserve">X</w:t>
      </w:r>
      <w:r>
        <w:t xml:space="preserve"> </w:t>
      </w:r>
      <w:r>
        <w:t xml:space="preserve">DE1: Extension of derogations for limited</w:t>
      </w:r>
      <w:r>
        <w:t xml:space="preserve"> </w:t>
      </w:r>
      <w:r>
        <w:t xml:space="preserve">time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IMO0: No IMO deduction</w:t>
      </w:r>
      <w:r>
        <w:br/>
      </w:r>
      <w:r>
        <w:t xml:space="preserve">X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Maritime</w:t>
      </w:r>
      <w:r>
        <w:t xml:space="preserve"> </w:t>
      </w:r>
      <w:r>
        <w:t xml:space="preserve">–</w:t>
      </w:r>
      <w:r>
        <w:t xml:space="preserve"> </w:t>
      </w:r>
      <w:r>
        <w:t xml:space="preserve">IMO deduction</w:t>
      </w:r>
      <w:r>
        <w:t xml:space="preserve"> </w:t>
      </w:r>
      <w:r>
        <w:t xml:space="preserve">mechanism</w:t>
      </w:r>
      <w:r>
        <w:br/>
      </w:r>
      <w:r>
        <w:t xml:space="preserve">IMO1:</w:t>
      </w:r>
      <w:r>
        <w:t xml:space="preserve"> </w:t>
      </w:r>
      <w:r>
        <w:t xml:space="preserve">Deduction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ETS</w:t>
      </w:r>
      <w:r>
        <w:t xml:space="preserve"> </w:t>
      </w:r>
      <w:r>
        <w:t xml:space="preserve">surrendering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of</w:t>
      </w:r>
      <w:r>
        <w:t xml:space="preserve"> </w:t>
      </w:r>
      <w:r>
        <w:t xml:space="preserve">emissions subject to pricing by IMO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Maritime</w:t>
      </w:r>
      <w:r>
        <w:t xml:space="preserve"> </w:t>
      </w:r>
      <w:r>
        <w:t xml:space="preserve">-</w:t>
      </w:r>
      <w:r>
        <w:t xml:space="preserve"> </w:t>
      </w:r>
      <w:r>
        <w:t xml:space="preserve">Smaller Ships</w:t>
      </w:r>
      <w:r>
        <w:t xml:space="preserve"> </w:t>
      </w:r>
      <w:r>
        <w:t xml:space="preserve">MSS0: The existing scope in terms of ship</w:t>
      </w:r>
      <w:r>
        <w:t xml:space="preserve"> </w:t>
      </w:r>
      <w:r>
        <w:t xml:space="preserve">categories and sizes remains unchanged</w:t>
      </w:r>
      <w:r>
        <w:t xml:space="preserve"> </w:t>
      </w:r>
      <w:r>
        <w:t xml:space="preserve">X</w:t>
      </w:r>
      <w:r>
        <w:t xml:space="preserve"> </w:t>
      </w:r>
      <w:r>
        <w:t xml:space="preserve">MSS1: Targeted extension of the scope of</w:t>
      </w:r>
      <w:r>
        <w:t xml:space="preserve"> </w:t>
      </w:r>
      <w:r>
        <w:t xml:space="preserve">the EU ETS to smaller ships by including</w:t>
      </w:r>
      <w:r>
        <w:t xml:space="preserve"> </w:t>
      </w:r>
      <w:r>
        <w:t xml:space="preserve">ship categories emitting the most among</w:t>
      </w:r>
      <w:r>
        <w:t xml:space="preserve"> </w:t>
      </w:r>
      <w:r>
        <w:t xml:space="preserve">small ship categories</w:t>
      </w:r>
      <w:r>
        <w:t xml:space="preserve"> </w:t>
      </w:r>
      <w:r>
        <w:t xml:space="preserve">X</w:t>
      </w:r>
      <w:r>
        <w:t xml:space="preserve"> </w:t>
      </w:r>
      <w:r>
        <w:t xml:space="preserve">MSS2: Extension of the scope of the EU</w:t>
      </w:r>
      <w:r>
        <w:t xml:space="preserve"> </w:t>
      </w:r>
      <w:r>
        <w:t xml:space="preserve">ETS to all smaller vessels (from categories</w:t>
      </w:r>
      <w:r>
        <w:t xml:space="preserve"> </w:t>
      </w:r>
      <w:r>
        <w:t xml:space="preserve">non-exempt from MRV, plus fishing</w:t>
      </w:r>
      <w:r>
        <w:t xml:space="preserve"> </w:t>
      </w:r>
      <w:r>
        <w:t xml:space="preserve">vessels and non-commercial yachts)</w:t>
      </w:r>
      <w:r>
        <w:br/>
      </w:r>
      <w:r>
        <w:t xml:space="preserve">X</w:t>
      </w:r>
      <w:r>
        <w:t xml:space="preserve"> </w:t>
      </w:r>
      <w:r>
        <w:t xml:space="preserve">The possibility to offer EU ETS as a service to third countries (e.g. candidate countries) is also</w:t>
      </w:r>
      <w:r>
        <w:t xml:space="preserve"> </w:t>
      </w:r>
      <w:r>
        <w:t xml:space="preserve">considered. It could promote the adoption of consistent carbon pricing mechanisms in non-EU</w:t>
      </w:r>
      <w:r>
        <w:t xml:space="preserve"> </w:t>
      </w:r>
      <w:r>
        <w:t xml:space="preserve">countries and help drive global climate action in the maritime sector, especially in the event an</w:t>
      </w:r>
      <w:r>
        <w:t xml:space="preserve"> </w:t>
      </w:r>
      <w:r>
        <w:t xml:space="preserve">IMO market-based measure is not applied. However, the possibility to support a future IMO</w:t>
      </w:r>
      <w:r>
        <w:t xml:space="preserve"> </w:t>
      </w:r>
      <w:r>
        <w:t xml:space="preserve">Fund with payments from selling of ETS allowances could not be analysed considering that the</w:t>
      </w:r>
      <w:r>
        <w:t xml:space="preserve"> </w:t>
      </w:r>
      <w:r>
        <w:t xml:space="preserve">IMO adjourned its decision regarding the adoption of the IMO Net Zero Framework. This issue</w:t>
      </w:r>
      <w:r>
        <w:t xml:space="preserve"> </w:t>
      </w:r>
      <w:r>
        <w:t xml:space="preserve">will need to be re-assessed once (and if) a Fund is established at IMO.</w:t>
      </w:r>
      <w:r>
        <w:br/>
      </w:r>
      <w:r>
        <w:t xml:space="preserve">2.5. Stationary installations</w:t>
      </w:r>
      <w:r>
        <w:t xml:space="preserve"> </w:t>
      </w:r>
      <w:r>
        <w:t xml:space="preserve">2.5.1. Carbon leakage prevention measures for direct emissions</w:t>
      </w:r>
      <w:r>
        <w:t xml:space="preserve"> </w:t>
      </w:r>
      <w:r>
        <w:t xml:space="preserve">Establishing a carbon pricing mechanism brings the risk of carbon leakage, which occurs if</w:t>
      </w:r>
      <w:r>
        <w:t xml:space="preserve"> </w:t>
      </w:r>
      <w:r>
        <w:t xml:space="preserve">industrial production relocates from the EU to jurisdictions with less stringent environmental</w:t>
      </w:r>
      <w:r>
        <w:t xml:space="preserve"> </w:t>
      </w:r>
      <w:r>
        <w:t xml:space="preserve">standards. For ETS sectors outside of the scope of the CBAM regulation, the provision of free</w:t>
      </w:r>
      <w:r>
        <w:t xml:space="preserve"> </w:t>
      </w:r>
      <w:r>
        <w:t xml:space="preserve">allocation (P3) remains the main tool to address this risk. Some of the carbon leakage measures</w:t>
      </w:r>
      <w:r>
        <w:t xml:space="preserve"> </w:t>
      </w:r>
      <w:r>
        <w:t xml:space="preserve">analysed are primarily developed as improvements and simplifications to the current free</w:t>
      </w:r>
      <w:r>
        <w:t xml:space="preserve"> </w:t>
      </w:r>
      <w:r>
        <w:t xml:space="preserve">allocation rules (CL1) or as an expansion of the current limited application of conditionality to</w:t>
      </w:r>
      <w:r>
        <w:t xml:space="preserve"> </w:t>
      </w:r>
      <w:r>
        <w:t xml:space="preserve">all installations (CL2). The other measure (CL3) provides an alternative approach for carbon</w:t>
      </w:r>
      <w:r>
        <w:t xml:space="preserve"> </w:t>
      </w:r>
      <w:r>
        <w:t xml:space="preserve">leakage, under which installations do not receive allowances for free, but rather must surrender</w:t>
      </w:r>
      <w:r>
        <w:t xml:space="preserve"> </w:t>
      </w:r>
      <w:r>
        <w:t xml:space="preserve">allowances only for part of the reported emissions, which is set to progressively increase to a</w:t>
      </w:r>
      <w:r>
        <w:t xml:space="preserve"> </w:t>
      </w:r>
      <w:r>
        <w:t xml:space="preserve">full surrender.</w:t>
      </w:r>
      <w:r>
        <w:br/>
      </w:r>
      <w:r>
        <w:t xml:space="preserve">CL1 is included in PO1 ‘Aligning ambition and improving incentives’, as it provides continuity</w:t>
      </w:r>
      <w:r>
        <w:t xml:space="preserve"> </w:t>
      </w:r>
      <w:r>
        <w:t xml:space="preserve">with the current free allocation system in addressing the risk of carbon leakage (SO1.1.3), while</w:t>
      </w:r>
      <w:r>
        <w:t xml:space="preserve"> </w:t>
      </w:r>
      <w:r>
        <w:t xml:space="preserve">providing some simplification to reduce administrative burden and making the implementation</w:t>
      </w:r>
      <w:r>
        <w:t xml:space="preserve"> </w:t>
      </w:r>
      <w:r>
        <w:t xml:space="preserve">of the free allocation more efficient. CL2 is part of the ’ Aligning ambition and extending scope</w:t>
      </w:r>
      <w:r>
        <w:t xml:space="preserve"> </w:t>
      </w:r>
      <w:r>
        <w:t xml:space="preserve">and corresponding incentives’ option PO2 and it builds on CL1 (including thus all the</w:t>
      </w:r>
      <w:r>
        <w:t xml:space="preserve"> </w:t>
      </w:r>
      <w:r>
        <w:t xml:space="preserve">simplification and improvements therein) . Under this measure, in order to ensure the better</w:t>
      </w:r>
      <w:r>
        <w:t xml:space="preserve"> </w:t>
      </w:r>
      <w:r>
        <w:t xml:space="preserve">targeting of free allocation and to encourage investments in the decarbonisation of industry</w:t>
      </w:r>
      <w:r>
        <w:t xml:space="preserve"> </w:t>
      </w:r>
      <w:r>
        <w:t xml:space="preserve">(addressing SO1.1.1), a gradually increasing share of free allocation is made conditional to</w:t>
      </w:r>
      <w:r>
        <w:t xml:space="preserve"> </w:t>
      </w:r>
      <w:r>
        <w:t xml:space="preserve">installations demonstrating that the equivalent financial value of the received free allocation is</w:t>
      </w:r>
      <w:r>
        <w:t xml:space="preserve"> </w:t>
      </w:r>
      <w:r>
        <w:t xml:space="preserve">invested in signficant emissions reduction measures. For the purposes of the assessment of the</w:t>
      </w:r>
      <w:r>
        <w:t xml:space="preserve"> </w:t>
      </w:r>
      <w:r>
        <w:t xml:space="preserve">impacts of this measure, two different scenarios are assumed for the rate of complying with the</w:t>
      </w:r>
      <w:r>
        <w:t xml:space="preserve"> </w:t>
      </w:r>
      <w:r>
        <w:t xml:space="preserve">conditionalities under CL2 – 90% (CL2_90) and respectively 50% (CL2_50). Additional</w:t>
      </w:r>
      <w:r>
        <w:t xml:space="preserve"> </w:t>
      </w:r>
      <w:r>
        <w:t xml:space="preserve">variants for CL2 include adjustments to the rate of the phase-out of free allocation for sectors</w:t>
      </w:r>
      <w:r>
        <w:t xml:space="preserve"> </w:t>
      </w:r>
      <w:r>
        <w:t xml:space="preserve">falling under the scope of the scope of the CBAM regulation, addressing the risk of remaining</w:t>
      </w:r>
      <w:r>
        <w:t xml:space="preserve"> </w:t>
      </w:r>
      <w:r>
        <w:t xml:space="preserve">carbon leakage for those sectors. CL3, which is part of the ‘Aligning ambition and extending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scope and incentives comprehensively’ option PO3, replaces free allocation with a partial non-</w:t>
      </w:r>
      <w:r>
        <w:t xml:space="preserve"> </w:t>
      </w:r>
      <w:r>
        <w:t xml:space="preserve">surrender obligation that gradually increases to a full surrender obligation by 2034. This</w:t>
      </w:r>
      <w:r>
        <w:t xml:space="preserve"> </w:t>
      </w:r>
      <w:r>
        <w:t xml:space="preserve">measure results a better carbon price signal (SO1.1.2) and it brings significant administrative</w:t>
      </w:r>
      <w:r>
        <w:t xml:space="preserve"> </w:t>
      </w:r>
      <w:r>
        <w:t xml:space="preserve">simplification, as all the administrative processes related to applying and receiving free</w:t>
      </w:r>
      <w:r>
        <w:t xml:space="preserve"> </w:t>
      </w:r>
      <w:r>
        <w:t xml:space="preserve">allocation are removed. However, this results in a less effective carbon leakage protection and</w:t>
      </w:r>
      <w:r>
        <w:t xml:space="preserve"> </w:t>
      </w:r>
      <w:r>
        <w:t xml:space="preserve">does not provide incentives to reduce emissions.</w:t>
      </w:r>
      <w:r>
        <w:br/>
      </w:r>
      <w:r>
        <w:t xml:space="preserve">Table 19: Policy measures for carbon leakage prevention</w:t>
      </w:r>
      <w:r>
        <w:t xml:space="preserve"> </w:t>
      </w:r>
      <w:r>
        <w:t xml:space="preserve">Policy measure</w:t>
      </w:r>
      <w:r>
        <w:br/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CL1: Improved current approach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CL2: Conditional Free allocation for investments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CL3: No free allocation and partial surrender of</w:t>
      </w:r>
      <w:r>
        <w:t xml:space="preserve"> </w:t>
      </w:r>
      <w:r>
        <w:t xml:space="preserve">allowances until 2034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2.5.2. Carbon leakage prevention measures for indirect emissions</w:t>
      </w:r>
      <w:r>
        <w:t xml:space="preserve"> </w:t>
      </w:r>
      <w:r>
        <w:t xml:space="preserve">Compensation for indirect carbon costs (ICC) is encouraged under the ETS Directive as a</w:t>
      </w:r>
      <w:r>
        <w:t xml:space="preserve"> </w:t>
      </w:r>
      <w:r>
        <w:t xml:space="preserve">way to address the risk of carbon leakage due to carbon costs passed on through electricity</w:t>
      </w:r>
      <w:r>
        <w:t xml:space="preserve"> </w:t>
      </w:r>
      <w:r>
        <w:t xml:space="preserve">prices (SO1.1.3).</w:t>
      </w:r>
      <w:r>
        <w:br/>
      </w:r>
      <w:r>
        <w:t xml:space="preserve">The Directive currently encourages provision of compensation to sectors at risk of carbon</w:t>
      </w:r>
      <w:r>
        <w:t xml:space="preserve"> </w:t>
      </w:r>
      <w:r>
        <w:t xml:space="preserve">leakage due to ICC, as an alternative to free allocation (P3), which is justified due to the</w:t>
      </w:r>
      <w:r>
        <w:t xml:space="preserve"> </w:t>
      </w:r>
      <w:r>
        <w:t xml:space="preserve">different nature of the risk. Carbon leakage risk from indirect emissions differs from the risk</w:t>
      </w:r>
      <w:r>
        <w:t xml:space="preserve"> </w:t>
      </w:r>
      <w:r>
        <w:t xml:space="preserve">associated with direct emissions because: i) the carbon price is not paid directly by the industrial</w:t>
      </w:r>
      <w:r>
        <w:t xml:space="preserve"> </w:t>
      </w:r>
      <w:r>
        <w:t xml:space="preserve">installations at risk but is passed on through their electricity bills; and ii) consumers of</w:t>
      </w:r>
      <w:r>
        <w:t xml:space="preserve"> </w:t>
      </w:r>
      <w:r>
        <w:t xml:space="preserve">decarbonised electricity may face ICC due to the influence of fossil fuels on the marginal cost</w:t>
      </w:r>
      <w:r>
        <w:t xml:space="preserve"> </w:t>
      </w:r>
      <w:r>
        <w:t xml:space="preserve">and wholesale price of electricity.</w:t>
      </w:r>
      <w:r>
        <w:br/>
      </w:r>
      <w:r>
        <w:t xml:space="preserve">ICC compensation is currently provided voluntarily by Member States, subject to specific State</w:t>
      </w:r>
      <w:r>
        <w:t xml:space="preserve"> </w:t>
      </w:r>
      <w:r>
        <w:t xml:space="preserve">aid rules71. This approach has several advantages. In particular, it gives Member States the</w:t>
      </w:r>
      <w:r>
        <w:t xml:space="preserve"> </w:t>
      </w:r>
      <w:r>
        <w:t xml:space="preserve">flexibility to choose between ICC compensation and other uses of ETS revenues. However, an</w:t>
      </w:r>
      <w:r>
        <w:t xml:space="preserve"> </w:t>
      </w:r>
      <w:r>
        <w:t xml:space="preserve">approach based purely on State aid can risk distorting the internal market, since an installation’s</w:t>
      </w:r>
      <w:r>
        <w:t xml:space="preserve"> </w:t>
      </w:r>
      <w:r>
        <w:t xml:space="preserve">entitlement to compensation depends on whether the Member States where it is located decides</w:t>
      </w:r>
      <w:r>
        <w:t xml:space="preserve"> </w:t>
      </w:r>
      <w:r>
        <w:t xml:space="preserve">to grant this type of aid. For this reason, the ‘Aligning ambition and extending scope and</w:t>
      </w:r>
      <w:r>
        <w:t xml:space="preserve"> </w:t>
      </w:r>
      <w:r>
        <w:t xml:space="preserve">incentives comprehensively’ package PO3 considers augmenting State aid with an EU-wide</w:t>
      </w:r>
      <w:r>
        <w:t xml:space="preserve"> </w:t>
      </w:r>
      <w:r>
        <w:t xml:space="preserve">component, whereby some ICC compensation is provided on a harmonised basis.</w:t>
      </w:r>
      <w:r>
        <w:br/>
      </w:r>
      <w:r>
        <w:t xml:space="preserve">In this context, it is important to underline that the decarbonisation of the EU’s power sectors</w:t>
      </w:r>
      <w:r>
        <w:t xml:space="preserve"> </w:t>
      </w:r>
      <w:r>
        <w:t xml:space="preserve">is advancing swiftly, which will have a dampening effect on carbon cost pass through even</w:t>
      </w:r>
      <w:r>
        <w:t xml:space="preserve"> </w:t>
      </w:r>
      <w:r>
        <w:t xml:space="preserve">when electricity continues to be priced at the margin. The substantial growth of electricity</w:t>
      </w:r>
      <w:r>
        <w:t xml:space="preserve"> </w:t>
      </w:r>
      <w:r>
        <w:t xml:space="preserve">production from renewable sources and the deployment of storage capacities will increasingly</w:t>
      </w:r>
      <w:r>
        <w:t xml:space="preserve"> </w:t>
      </w:r>
      <w:r>
        <w:t xml:space="preserve">replace marginal generation by fossil fuel based power plants.</w:t>
      </w:r>
      <w:r>
        <w:br/>
      </w:r>
      <w:r>
        <w:t xml:space="preserve">The policy options considered in this assessment are:</w:t>
      </w:r>
      <w:r>
        <w:br/>
      </w:r>
      <w:r>
        <w:t xml:space="preserve">• ICC1 - a continuation of the current approach whereby the ETS Directive encourages</w:t>
      </w:r>
      <w:r>
        <w:t xml:space="preserve"> </w:t>
      </w:r>
      <w:r>
        <w:t xml:space="preserve">Member States to provide ICC compensation, subject to rules elaborated in State aid</w:t>
      </w:r>
    </w:p>
    <w:p>
      <w:pPr>
        <w:pStyle w:val="BodyText"/>
      </w:pPr>
      <w:r>
        <w:t xml:space="preserve">71 Guidelines on certain State aid measures in the context of the system for greenhouse gas emission allowance</w:t>
      </w:r>
      <w:r>
        <w:t xml:space="preserve"> </w:t>
      </w:r>
      <w:r>
        <w:t xml:space="preserve">trading post-2021 (2020/C 317/04)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guidelines. This option includes enhancing the current regime by strengthening the</w:t>
      </w:r>
      <w:r>
        <w:t xml:space="preserve"> </w:t>
      </w:r>
      <w:r>
        <w:t xml:space="preserve">direction given by the ETS Directive in three ways:</w:t>
      </w:r>
      <w:r>
        <w:t xml:space="preserve"> </w:t>
      </w:r>
      <w:r>
        <w:t xml:space="preserve">i.</w:t>
      </w:r>
      <w:r>
        <w:t xml:space="preserve"> </w:t>
      </w:r>
      <w:r>
        <w:t xml:space="preserve">making ICC compensation conditional on decarbonisation investment by</w:t>
      </w:r>
      <w:r>
        <w:t xml:space="preserve"> </w:t>
      </w:r>
      <w:r>
        <w:t xml:space="preserve">beneficiaries. This is similar to option CL2 for free allocation and builds on</w:t>
      </w:r>
      <w:r>
        <w:t xml:space="preserve"> </w:t>
      </w:r>
      <w:r>
        <w:t xml:space="preserve">conditionality requirements that are already in place in the current ICC State aid</w:t>
      </w:r>
      <w:r>
        <w:t xml:space="preserve"> </w:t>
      </w:r>
      <w:r>
        <w:t xml:space="preserve">guidelines.</w:t>
      </w:r>
      <w:r>
        <w:br/>
      </w:r>
      <w:r>
        <w:t xml:space="preserve">ii.</w:t>
      </w:r>
      <w:r>
        <w:t xml:space="preserve"> </w:t>
      </w:r>
      <w:r>
        <w:t xml:space="preserve">enhancing verification and enforcement of the decarbonisation conditions.</w:t>
      </w:r>
      <w:r>
        <w:t xml:space="preserve"> </w:t>
      </w:r>
      <w:r>
        <w:t xml:space="preserve">iii.</w:t>
      </w:r>
      <w:r>
        <w:t xml:space="preserve"> </w:t>
      </w:r>
      <w:r>
        <w:t xml:space="preserve">stating that the electricity production mix used for indirect emission</w:t>
      </w:r>
      <w:r>
        <w:t xml:space="preserve"> </w:t>
      </w:r>
      <w:r>
        <w:t xml:space="preserve">benchmarks should take account of the role of fossil and non-fossil sources in</w:t>
      </w:r>
      <w:r>
        <w:t xml:space="preserve"> </w:t>
      </w:r>
      <w:r>
        <w:t xml:space="preserve">the setting of electricity prices.</w:t>
      </w:r>
      <w:r>
        <w:t xml:space="preserve"> </w:t>
      </w:r>
      <w:r>
        <w:t xml:space="preserve">• ICC2 - harmonised ICC. In addition to the measures described in ICC1, this would</w:t>
      </w:r>
      <w:r>
        <w:t xml:space="preserve"> </w:t>
      </w:r>
      <w:r>
        <w:t xml:space="preserve">consist of providing EU-level funding for ICC compensation by reserving 5% of</w:t>
      </w:r>
      <w:r>
        <w:t xml:space="preserve"> </w:t>
      </w:r>
      <w:r>
        <w:t xml:space="preserve">auctioned allowances for this purpose. Member States would retain the right to provide</w:t>
      </w:r>
      <w:r>
        <w:t xml:space="preserve"> </w:t>
      </w:r>
      <w:r>
        <w:t xml:space="preserve">a higher level of compensation up to the level permitted under State aid rules.</w:t>
      </w:r>
      <w:r>
        <w:t xml:space="preserve"> </w:t>
      </w:r>
      <w:r>
        <w:t xml:space="preserve">The extent to which each option exposes polluters to the full carbon price signal (SO1.1.2) or</w:t>
      </w:r>
      <w:r>
        <w:t xml:space="preserve"> </w:t>
      </w:r>
      <w:r>
        <w:t xml:space="preserve">addresses the risk of carbon leakage (SO1.1.3) depends on the design of the compensation</w:t>
      </w:r>
      <w:r>
        <w:t xml:space="preserve"> </w:t>
      </w:r>
      <w:r>
        <w:t xml:space="preserve">measures: such as aid intensity and sectoral eligibility. ICC1 would likely provide less support</w:t>
      </w:r>
      <w:r>
        <w:t xml:space="preserve"> </w:t>
      </w:r>
      <w:r>
        <w:t xml:space="preserve">and greater exposure to the full carbon price than ICC2, simply because some Member States</w:t>
      </w:r>
      <w:r>
        <w:t xml:space="preserve"> </w:t>
      </w:r>
      <w:r>
        <w:t xml:space="preserve">may not provide the maximum amount of State aid due to national budgetary priorities. Annex</w:t>
      </w:r>
      <w:r>
        <w:t xml:space="preserve"> </w:t>
      </w:r>
      <w:r>
        <w:t xml:space="preserve">12 assesses the implications of each option in greater detail.</w:t>
      </w:r>
      <w:r>
        <w:t xml:space="preserve"> </w:t>
      </w:r>
      <w:r>
        <w:t xml:space="preserve">Almost three quarters of respondents to the OPC, mainly companies/businesses and business</w:t>
      </w:r>
      <w:r>
        <w:t xml:space="preserve"> </w:t>
      </w:r>
      <w:r>
        <w:t xml:space="preserve">associations, considered that indirect cost compensation will remain necessary after 2030 to</w:t>
      </w:r>
      <w:r>
        <w:t xml:space="preserve"> </w:t>
      </w:r>
      <w:r>
        <w:t xml:space="preserve">address the risk of carbon leakage from carbon costs passed on in electricity prices (in sectors</w:t>
      </w:r>
      <w:r>
        <w:t xml:space="preserve"> </w:t>
      </w:r>
      <w:r>
        <w:t xml:space="preserve">not covered by CBAM). Among this group, preferences differed, in order of frequency, between</w:t>
      </w:r>
      <w:r>
        <w:t xml:space="preserve"> </w:t>
      </w:r>
      <w:r>
        <w:t xml:space="preserve">calls to harmonise the system at EU level, maintaining the current approach based on State aid</w:t>
      </w:r>
      <w:r>
        <w:t xml:space="preserve"> </w:t>
      </w:r>
      <w:r>
        <w:t xml:space="preserve">and extending indirect cost compensation to cover more sectors and sub-sectors.</w:t>
      </w:r>
      <w:r>
        <w:t xml:space="preserve"> </w:t>
      </w:r>
      <w:r>
        <w:t xml:space="preserve">Table 20: Policy measures for indirect cost compensation</w:t>
      </w:r>
      <w:r>
        <w:t xml:space="preserve"> </w:t>
      </w:r>
      <w:r>
        <w:t xml:space="preserve">Policy measure</w:t>
      </w:r>
      <w:r>
        <w:br/>
      </w:r>
      <w:r>
        <w:t xml:space="preserve">PO1</w:t>
      </w:r>
      <w:r>
        <w:br/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ICC1: Continue SA encouragement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ICC2: Harmonised ICC (e.g. via IDB)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2.5.3. 20MW threshold</w:t>
      </w:r>
      <w:r>
        <w:t xml:space="preserve"> </w:t>
      </w:r>
      <w:r>
        <w:t xml:space="preserve">Regarding the possibility of lowering the 20 MW thermal input threshold to cover smaller</w:t>
      </w:r>
      <w:r>
        <w:t xml:space="preserve"> </w:t>
      </w:r>
      <w:r>
        <w:t xml:space="preserve">installations (P8), the measures under consideration reflect the review clause included in Article</w:t>
      </w:r>
      <w:r>
        <w:t xml:space="preserve"> </w:t>
      </w:r>
      <w:r>
        <w:t xml:space="preserve">30 (5)(b) of the ETS Directive, namely to consider the feasibility of lowering this threshold</w:t>
      </w:r>
      <w:r>
        <w:t xml:space="preserve"> </w:t>
      </w:r>
      <w:r>
        <w:t xml:space="preserve">from 2031, thereby responding to problem driver D2 (specifically D2.2) related to insufficient</w:t>
      </w:r>
      <w:r>
        <w:t xml:space="preserve"> </w:t>
      </w:r>
      <w:r>
        <w:t xml:space="preserve">carbon price signal. The measures considered were T0: maintain the current 20 MW threshold</w:t>
      </w:r>
      <w:r>
        <w:t xml:space="preserve"> </w:t>
      </w:r>
      <w:r>
        <w:t xml:space="preserve">and T1: lower the threshold (e.g. by 5, 10, 15 or 20 MW).</w:t>
      </w:r>
      <w:r>
        <w:br/>
      </w:r>
      <w:r>
        <w:t xml:space="preserve">A quantitative assessment was undertaken (see Annex 12) but should be considered tentative</w:t>
      </w:r>
      <w:r>
        <w:t xml:space="preserve"> </w:t>
      </w:r>
      <w:r>
        <w:t xml:space="preserve">given the lack of sufficiently granular EU-level data collection relating to installations of this</w:t>
      </w:r>
      <w:r>
        <w:t xml:space="preserve"> </w:t>
      </w:r>
      <w:r>
        <w:t xml:space="preserve">size72. The assessment found that approximately 227 MtCO2e of emissions (2021-2023</w:t>
      </w:r>
    </w:p>
    <w:p>
      <w:pPr>
        <w:pStyle w:val="BodyText"/>
      </w:pPr>
      <w:r>
        <w:t xml:space="preserve">72 The assessment used data collected in the context of the Medium Combustion Plant Directive, as discussed in</w:t>
      </w:r>
      <w:r>
        <w:t xml:space="preserve"> </w:t>
      </w:r>
      <w:r>
        <w:t xml:space="preserve">Annex 12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average) from Annex I activities are not covered by EU ETS and could be brought into the EU</w:t>
      </w:r>
      <w:r>
        <w:t xml:space="preserve"> </w:t>
      </w:r>
      <w:r>
        <w:t xml:space="preserve">ETS via lowering the threshold. However, 85% of these emissions will be covered by the</w:t>
      </w:r>
      <w:r>
        <w:t xml:space="preserve"> </w:t>
      </w:r>
      <w:r>
        <w:t xml:space="preserve">introduction of ETS2 covering emissions from buildings, road transport and additional sectors.</w:t>
      </w:r>
      <w:r>
        <w:t xml:space="preserve"> </w:t>
      </w:r>
      <w:r>
        <w:t xml:space="preserve">Of the remaining 33 MtCO2e, around 5 MtCO2e is excluded under Article 27 of the Directive</w:t>
      </w:r>
      <w:r>
        <w:t xml:space="preserve"> </w:t>
      </w:r>
      <w:r>
        <w:t xml:space="preserve">(coverage by equivalent national measures), leaving 28 MtCO2e of predominantly process</w:t>
      </w:r>
      <w:r>
        <w:t xml:space="preserve"> </w:t>
      </w:r>
      <w:r>
        <w:t xml:space="preserve">emissions.</w:t>
      </w:r>
      <w:r>
        <w:br/>
      </w:r>
      <w:r>
        <w:t xml:space="preserve">Since the majority of emissions below 20 MW will in any case be covered by ETS2, the</w:t>
      </w:r>
      <w:r>
        <w:t xml:space="preserve"> </w:t>
      </w:r>
      <w:r>
        <w:t xml:space="preserve">environmental case for lowering the threshold is marginal when compared to the administrative</w:t>
      </w:r>
      <w:r>
        <w:t xml:space="preserve"> </w:t>
      </w:r>
      <w:r>
        <w:t xml:space="preserve">cost. The Commission services’ assessment is therefore that it would be a contribution to</w:t>
      </w:r>
      <w:r>
        <w:t xml:space="preserve"> </w:t>
      </w:r>
      <w:r>
        <w:t xml:space="preserve">simplification and better regulation not to address these emissions through inclusion in the EU</w:t>
      </w:r>
      <w:r>
        <w:t xml:space="preserve"> </w:t>
      </w:r>
      <w:r>
        <w:t xml:space="preserve">ETS due to the high administrative cost involved which is considered disproportionate. For</w:t>
      </w:r>
      <w:r>
        <w:t xml:space="preserve"> </w:t>
      </w:r>
      <w:r>
        <w:t xml:space="preserve">example, lowering the threshold to 10 MW would bring approximately 10 MtCO2e of annual</w:t>
      </w:r>
      <w:r>
        <w:t xml:space="preserve"> </w:t>
      </w:r>
      <w:r>
        <w:t xml:space="preserve">emissions into the ETS, but would expand the EU ETS by more than 11,000 installations. This</w:t>
      </w:r>
      <w:r>
        <w:t xml:space="preserve"> </w:t>
      </w:r>
      <w:r>
        <w:t xml:space="preserve">would more than double the number of stationary installations covered, in exchange for only</w:t>
      </w:r>
      <w:r>
        <w:t xml:space="preserve"> </w:t>
      </w:r>
      <w:r>
        <w:t xml:space="preserve">marginal increase in emissions coverage.</w:t>
      </w:r>
      <w:r>
        <w:br/>
      </w:r>
      <w:r>
        <w:t xml:space="preserve">This assessment was corroborated by the stakeholder consultation, where a majority of</w:t>
      </w:r>
      <w:r>
        <w:t xml:space="preserve"> </w:t>
      </w:r>
      <w:r>
        <w:t xml:space="preserve">stakeholders across the OPC, position papers and interviews opposed lowering the threshold on</w:t>
      </w:r>
      <w:r>
        <w:t xml:space="preserve"> </w:t>
      </w:r>
      <w:r>
        <w:t xml:space="preserve">the grounds that it would impose significant administrative and financial burdens on smaller</w:t>
      </w:r>
      <w:r>
        <w:t xml:space="preserve"> </w:t>
      </w:r>
      <w:r>
        <w:t xml:space="preserve">operators, outweighing the potential climate benefits.</w:t>
      </w:r>
      <w:r>
        <w:t xml:space="preserve"> </w:t>
      </w:r>
      <w:r>
        <w:t xml:space="preserve">For these reasons, the option of lowering the threshold is discarded in all policy option</w:t>
      </w:r>
      <w:r>
        <w:t xml:space="preserve"> </w:t>
      </w:r>
      <w:r>
        <w:t xml:space="preserve">packages, in favour of maintaining the existing threshold.</w:t>
      </w:r>
      <w:r>
        <w:br/>
      </w:r>
      <w:r>
        <w:t xml:space="preserve">2.6. Waste</w:t>
      </w:r>
      <w:r>
        <w:t xml:space="preserve"> </w:t>
      </w:r>
      <w:r>
        <w:t xml:space="preserve">Regarding the EU ETS scope expansion to cover waste management emissions (P5), the</w:t>
      </w:r>
      <w:r>
        <w:t xml:space="preserve"> </w:t>
      </w:r>
      <w:r>
        <w:t xml:space="preserve">measures under consideration mirror the review clause included in Article 30(7) of the ETS</w:t>
      </w:r>
      <w:r>
        <w:t xml:space="preserve"> </w:t>
      </w:r>
      <w:r>
        <w:t xml:space="preserve">Directive. They correspond to progressing degrees of the possible expansion, in terms of waste</w:t>
      </w:r>
      <w:r>
        <w:t xml:space="preserve"> </w:t>
      </w:r>
      <w:r>
        <w:t xml:space="preserve">management processes and their emissions so that the possibility of internalising the climate</w:t>
      </w:r>
      <w:r>
        <w:t xml:space="preserve"> </w:t>
      </w:r>
      <w:r>
        <w:t xml:space="preserve">change impact of the waste management sector (D2.5) to advance further emissions reductions</w:t>
      </w:r>
      <w:r>
        <w:t xml:space="preserve"> </w:t>
      </w:r>
      <w:r>
        <w:t xml:space="preserve">(O1.1) can be realised (cost-)effectively. The assessment of the measures addresses the</w:t>
      </w:r>
      <w:r>
        <w:t xml:space="preserve"> </w:t>
      </w:r>
      <w:r>
        <w:t xml:space="preserve">environmental integrity, the alignment with the waste hierarchy, the feasibility of robust</w:t>
      </w:r>
      <w:r>
        <w:t xml:space="preserve"> </w:t>
      </w:r>
      <w:r>
        <w:t xml:space="preserve">monitoring and reporting of emissions as well as internal market effects and potential</w:t>
      </w:r>
      <w:r>
        <w:t xml:space="preserve"> </w:t>
      </w:r>
      <w:r>
        <w:t xml:space="preserve">distortions of competition– as prescribed in the review clause. Timewise, the expansion of the</w:t>
      </w:r>
      <w:r>
        <w:t xml:space="preserve"> </w:t>
      </w:r>
      <w:r>
        <w:t xml:space="preserve">EU ETS to waste management regardless of the level was deemed not preferable prior to 2030</w:t>
      </w:r>
      <w:r>
        <w:t xml:space="preserve"> </w:t>
      </w:r>
      <w:r>
        <w:t xml:space="preserve">to ensure predictability and sufficient preparation time (considering the time for the co-decision</w:t>
      </w:r>
      <w:r>
        <w:t xml:space="preserve"> </w:t>
      </w:r>
      <w:r>
        <w:t xml:space="preserve">process for the review and the time needed to implement its outcomes, particularly regarding</w:t>
      </w:r>
      <w:r>
        <w:t xml:space="preserve"> </w:t>
      </w:r>
      <w:r>
        <w:t xml:space="preserve">monitoring and reporting rules).</w:t>
      </w:r>
      <w:r>
        <w:t xml:space="preserve"> </w:t>
      </w:r>
      <w:r>
        <w:t xml:space="preserve">The assessment found that W1 (‘EU ETS expansion to municipal waste incineration</w:t>
      </w:r>
      <w:r>
        <w:t xml:space="preserve"> </w:t>
      </w:r>
      <w:r>
        <w:t xml:space="preserve">installations’) and W3 (‘EU ETS expansion to all waste incineration installations and landfills</w:t>
      </w:r>
      <w:r>
        <w:t xml:space="preserve"> </w:t>
      </w:r>
      <w:r>
        <w:t xml:space="preserve">of non-hazardous waste’) would strike the right balance in terms of ensuring a full carbon price</w:t>
      </w:r>
      <w:r>
        <w:t xml:space="preserve"> </w:t>
      </w:r>
      <w:r>
        <w:t xml:space="preserve">signal (SO1.1.2) in the waste management sector to incentivise further emission reductions</w:t>
      </w:r>
      <w:r>
        <w:t xml:space="preserve"> </w:t>
      </w:r>
      <w:r>
        <w:t xml:space="preserve">(O1.1) and of increasing the size of the market (SO2.1.1) to ensure efficient market functioning</w:t>
      </w:r>
      <w:r>
        <w:t xml:space="preserve"> </w:t>
      </w:r>
      <w:r>
        <w:t xml:space="preserve">(O2.1). PO1</w:t>
      </w:r>
      <w:r>
        <w:t xml:space="preserve"> </w:t>
      </w:r>
      <w:r>
        <w:t xml:space="preserve">‘Aligning ambition and improving incentives’</w:t>
      </w:r>
      <w:r>
        <w:t xml:space="preserve"> </w:t>
      </w:r>
      <w:r>
        <w:t xml:space="preserve">reflects the baseline with no</w:t>
      </w:r>
      <w:r>
        <w:t xml:space="preserve"> </w:t>
      </w:r>
      <w:r>
        <w:t xml:space="preserve">inclusion of additional waste management processes in the EU ETS, instead mainly remaining</w:t>
      </w:r>
      <w:r>
        <w:t xml:space="preserve"> </w:t>
      </w:r>
      <w:r>
        <w:t xml:space="preserve">under national emission reduction targets under the Effort Sharing Regulation. PO1 only</w:t>
      </w:r>
      <w:r>
        <w:t xml:space="preserve"> </w:t>
      </w:r>
      <w:r>
        <w:t xml:space="preserve">implements some legal clarifications on the current scope. Co-incineration of waste would</w:t>
      </w:r>
      <w:r>
        <w:t xml:space="preserve"> </w:t>
      </w:r>
      <w:r>
        <w:t xml:space="preserve">remain in the EU ETS and Member States would have the option to include their municipal</w:t>
      </w:r>
      <w:r>
        <w:t xml:space="preserve"> </w:t>
      </w:r>
      <w:r>
        <w:t xml:space="preserve">waste-to-energy incineration installations in the scope of the system (cf. Denmark, Sweden and</w:t>
      </w:r>
      <w:r>
        <w:t xml:space="preserve"> </w:t>
      </w:r>
      <w:r>
        <w:t xml:space="preserve">Lithuania already doing so).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‘Aligning ambition and extending scope and corresponding incentives’</w:t>
      </w:r>
      <w:r>
        <w:t xml:space="preserve"> </w:t>
      </w:r>
      <w:r>
        <w:t xml:space="preserve">reflects measure</w:t>
      </w:r>
      <w:r>
        <w:t xml:space="preserve"> </w:t>
      </w:r>
      <w:r>
        <w:t xml:space="preserve">W1 as it expands the carbon price signal to a growing source of emissions – municipal waste</w:t>
      </w:r>
      <w:r>
        <w:t xml:space="preserve"> </w:t>
      </w:r>
      <w:r>
        <w:t xml:space="preserve">incineration (MWI), both with and without energy recovery. Installations for incineration of</w:t>
      </w:r>
      <w:r>
        <w:t xml:space="preserve"> </w:t>
      </w:r>
      <w:r>
        <w:t xml:space="preserve">municipal waste with energy recovery feed into the grid and district heating networks, where</w:t>
      </w:r>
      <w:r>
        <w:t xml:space="preserve"> </w:t>
      </w:r>
      <w:r>
        <w:t xml:space="preserve">fossil fuel-based power installations are already subject to the EU ETS. To ensure the</w:t>
      </w:r>
      <w:r>
        <w:t xml:space="preserve"> </w:t>
      </w:r>
      <w:r>
        <w:t xml:space="preserve">environmental integrity of this option and limit boundary and misclassification risks, emissions</w:t>
      </w:r>
      <w:r>
        <w:t xml:space="preserve"> </w:t>
      </w:r>
      <w:r>
        <w:t xml:space="preserve">from all installations that predominantly incinerate municipal waste would be covered,</w:t>
      </w:r>
      <w:r>
        <w:t xml:space="preserve"> </w:t>
      </w:r>
      <w:r>
        <w:t xml:space="preserve">consistent with the current MRV obligation for the sector. The cap estimate and GEM-</w:t>
      </w:r>
      <w:r>
        <w:t xml:space="preserve"> </w:t>
      </w:r>
      <w:r>
        <w:t xml:space="preserve">E3 modelling integrates the cap increase by emissions estimates for the sector in PRIMES. In</w:t>
      </w:r>
      <w:r>
        <w:t xml:space="preserve"> </w:t>
      </w:r>
      <w:r>
        <w:t xml:space="preserve">isolation, PO2 carries a risk of waste, in particular fossil waste streams, being diverted from</w:t>
      </w:r>
      <w:r>
        <w:t xml:space="preserve"> </w:t>
      </w:r>
      <w:r>
        <w:t xml:space="preserve">incineration to landfills, depending on the effective enforcement and implementation of the</w:t>
      </w:r>
      <w:r>
        <w:t xml:space="preserve"> </w:t>
      </w:r>
      <w:r>
        <w:t xml:space="preserve">waste policy framework, notably the Landfill Directive.</w:t>
      </w:r>
      <w:r>
        <w:br/>
      </w:r>
      <w:r>
        <w:t xml:space="preserve">Finally, PO3</w:t>
      </w:r>
      <w:r>
        <w:t xml:space="preserve"> </w:t>
      </w:r>
      <w:r>
        <w:t xml:space="preserve">‘Aligning ambition and extending scope and incentives comprehensively’</w:t>
      </w:r>
      <w:r>
        <w:t xml:space="preserve"> </w:t>
      </w:r>
      <w:r>
        <w:t xml:space="preserve">reflects</w:t>
      </w:r>
      <w:r>
        <w:t xml:space="preserve"> </w:t>
      </w:r>
      <w:r>
        <w:t xml:space="preserve">measure W3 as it expands the carbon price signal further to hazardous waste incineration (HWI)</w:t>
      </w:r>
      <w:r>
        <w:t xml:space="preserve"> </w:t>
      </w:r>
      <w:r>
        <w:t xml:space="preserve">and to methane emissions associated with non-hazardous landfills. PO3 contributes to further</w:t>
      </w:r>
      <w:r>
        <w:t xml:space="preserve"> </w:t>
      </w:r>
      <w:r>
        <w:t xml:space="preserve">overall emission reductions in the waste sector – primarily from methane – and addresses any</w:t>
      </w:r>
      <w:r>
        <w:t xml:space="preserve"> </w:t>
      </w:r>
      <w:r>
        <w:t xml:space="preserve">residual risk of organic waste diversion from incineration to landfills. Conversely, PO3 has a</w:t>
      </w:r>
      <w:r>
        <w:t xml:space="preserve"> </w:t>
      </w:r>
      <w:r>
        <w:t xml:space="preserve">more limited impact on fossil emission reductions and in isolation does not effectively address</w:t>
      </w:r>
      <w:r>
        <w:t xml:space="preserve"> </w:t>
      </w:r>
      <w:r>
        <w:t xml:space="preserve">risks of diversion of fossil waste to landfills, which are ultimately subject to the enforcement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policy</w:t>
      </w:r>
      <w:r>
        <w:t xml:space="preserve"> </w:t>
      </w:r>
      <w:r>
        <w:t xml:space="preserve">framework.</w:t>
      </w:r>
      <w:r>
        <w:t xml:space="preserve"> </w:t>
      </w:r>
      <w:r>
        <w:t xml:space="preserve">The cap</w:t>
      </w:r>
      <w:r>
        <w:t xml:space="preserve"> </w:t>
      </w:r>
      <w:r>
        <w:t xml:space="preserve">estimate includes the emissions for the incineration sectors in the overall PRIMES modelling</w:t>
      </w:r>
      <w:r>
        <w:t xml:space="preserve"> </w:t>
      </w:r>
      <w:r>
        <w:t xml:space="preserve">vis-a-vis the baseline. Emissions from landfilling could not be modelled in PRIMES as the</w:t>
      </w:r>
      <w:r>
        <w:t xml:space="preserve"> </w:t>
      </w:r>
      <w:r>
        <w:t xml:space="preserve">model is constrained to CO2 emissions only, whereas landfill emissions are mainly driven by</w:t>
      </w:r>
      <w:r>
        <w:t xml:space="preserve"> </w:t>
      </w:r>
      <w:r>
        <w:t xml:space="preserve">CH4. Landfill emissions have been separately modelled in GAINS. As a result,</w:t>
      </w:r>
      <w:r>
        <w:t xml:space="preserve"> </w:t>
      </w:r>
      <w:r>
        <w:t xml:space="preserve">GAINS does not allow to separately model the disaggregated contribution of the carbon price</w:t>
      </w:r>
      <w:r>
        <w:t xml:space="preserve"> </w:t>
      </w:r>
      <w:r>
        <w:t xml:space="preserve">to emissions reductions from non-hazardous landfilling under PO3.</w:t>
      </w:r>
      <w:r>
        <w:br/>
      </w:r>
      <w:r>
        <w:t xml:space="preserve">The stakeholder consultation indicated broad support for the inclusion of municipal waste</w:t>
      </w:r>
      <w:r>
        <w:t xml:space="preserve"> </w:t>
      </w:r>
      <w:r>
        <w:t xml:space="preserve">incineration installations in the EU ETS, with more than half of respondents to the OPC (51%),</w:t>
      </w:r>
      <w:r>
        <w:t xml:space="preserve"> </w:t>
      </w:r>
      <w:r>
        <w:t xml:space="preserve">including companies/businesses and business associations as well as NGOs and environmental</w:t>
      </w:r>
      <w:r>
        <w:t xml:space="preserve"> </w:t>
      </w:r>
      <w:r>
        <w:t xml:space="preserve">organisations, supporting an inclusion. Conversely, there was no agreement on a potential</w:t>
      </w:r>
      <w:r>
        <w:t xml:space="preserve"> </w:t>
      </w:r>
      <w:r>
        <w:t xml:space="preserve">inclusion of hazardous waste incineration installations, with roughly equal shares in favour and</w:t>
      </w:r>
      <w:r>
        <w:t xml:space="preserve"> </w:t>
      </w:r>
      <w:r>
        <w:t xml:space="preserve">against, although the latter was slightly larger. The consultation also highlighted that measures</w:t>
      </w:r>
      <w:r>
        <w:t xml:space="preserve"> </w:t>
      </w:r>
      <w:r>
        <w:t xml:space="preserve">to address the risk of waste diversion to landfills would be important to ensure the robustness</w:t>
      </w:r>
      <w:r>
        <w:t xml:space="preserve"> </w:t>
      </w:r>
      <w:r>
        <w:t xml:space="preserve">of the EU ETS expansion to waste incineration, whether through regulatory, fiscal or carbon</w:t>
      </w:r>
      <w:r>
        <w:t xml:space="preserve"> </w:t>
      </w:r>
      <w:r>
        <w:t xml:space="preserve">pricing policies. The complete assessment is set out in Annex 13.</w:t>
      </w:r>
      <w:r>
        <w:t xml:space="preserve"> </w:t>
      </w:r>
      <w:r>
        <w:t xml:space="preserve">Table 21: Policy measures for waste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PO1 PO2 PO3</w:t>
      </w:r>
      <w:r>
        <w:t xml:space="preserve"> </w:t>
      </w:r>
      <w:r>
        <w:t xml:space="preserve">W0: No inclusion of additional waste management processes in the EU ETS.</w:t>
      </w:r>
      <w:r>
        <w:br/>
      </w:r>
      <w:r>
        <w:t xml:space="preserve">X</w:t>
      </w:r>
    </w:p>
    <w:p>
      <w:pPr>
        <w:pStyle w:val="BodyText"/>
      </w:pPr>
      <w:r>
        <w:t xml:space="preserve">W1 Inclusion of the non-hazardous waste incineration installations in the EU ETS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W2 Inclusion of all waste incineration installations in the EU ETS</w:t>
      </w:r>
    </w:p>
    <w:p>
      <w:pPr>
        <w:pStyle w:val="BodyText"/>
      </w:pPr>
      <w:r>
        <w:t xml:space="preserve">W3 Inclusion of all waste incineration installations and landfills of non-hazardous</w:t>
      </w:r>
      <w:r>
        <w:t xml:space="preserve"> </w:t>
      </w:r>
      <w:r>
        <w:t xml:space="preserve">waste in the EU ETS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W4 Inclusion of all waste incineration installations, landfills of non-hazardous</w:t>
      </w:r>
      <w:r>
        <w:t xml:space="preserve"> </w:t>
      </w:r>
      <w:r>
        <w:t xml:space="preserve">waste and chemical recycling processes in the EU ETS.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W5 Inclusion of all waste incineration installations, landfills of non-hazardous</w:t>
      </w:r>
      <w:r>
        <w:t xml:space="preserve"> </w:t>
      </w:r>
      <w:r>
        <w:t xml:space="preserve">waste and recycling processes in the EU ETS</w:t>
      </w:r>
    </w:p>
    <w:p>
      <w:pPr>
        <w:pStyle w:val="BodyText"/>
      </w:pPr>
      <w:r>
        <w:t xml:space="preserve">W6 Inclusion of all waste incineration installations, landfills of non-hazardous</w:t>
      </w:r>
      <w:r>
        <w:t xml:space="preserve"> </w:t>
      </w:r>
      <w:r>
        <w:t xml:space="preserve">waste and recycling processes, as well as other waste management process</w:t>
      </w:r>
      <w:r>
        <w:t xml:space="preserve"> </w:t>
      </w:r>
      <w:r>
        <w:t xml:space="preserve">(fermentation, composting and mechanical-biological treatment) in the EU ETS</w:t>
      </w:r>
    </w:p>
    <w:p>
      <w:pPr>
        <w:pStyle w:val="BodyText"/>
      </w:pPr>
      <w:r>
        <w:t xml:space="preserve">2.7. CCU</w:t>
      </w:r>
      <w:r>
        <w:t xml:space="preserve"> </w:t>
      </w:r>
      <w:r>
        <w:t xml:space="preserve">The recognition of non-permanent carbon reuse or CCU (P2) in ETS represents an accounting</w:t>
      </w:r>
      <w:r>
        <w:t xml:space="preserve"> </w:t>
      </w:r>
      <w:r>
        <w:t xml:space="preserve">challenge, as emissions resulting from an ETS activity are captured and utilised in products that</w:t>
      </w:r>
      <w:r>
        <w:t xml:space="preserve"> </w:t>
      </w:r>
      <w:r>
        <w:t xml:space="preserve">do not ensure their permanent storage to be then released in a different place and time.</w:t>
      </w:r>
      <w:r>
        <w:t xml:space="preserve"> </w:t>
      </w:r>
      <w:r>
        <w:t xml:space="preserve">Therefore, the CCU measures are formulated around the different possible accounting options</w:t>
      </w:r>
      <w:r>
        <w:t xml:space="preserve"> </w:t>
      </w:r>
      <w:r>
        <w:t xml:space="preserve">and assessed whether they ensure that emissions within the scope is effectively accounted, i.e. </w:t>
      </w:r>
      <w:r>
        <w:t xml:space="preserve"> </w:t>
      </w:r>
      <w:r>
        <w:t xml:space="preserve">reported and the corresponding allowances surrendered, while avoiding the double counting or</w:t>
      </w:r>
      <w:r>
        <w:t xml:space="preserve"> </w:t>
      </w:r>
      <w:r>
        <w:t xml:space="preserve">under-counting of emissions. In addition, the measures are assessed on whether they provide a</w:t>
      </w:r>
      <w:r>
        <w:t xml:space="preserve"> </w:t>
      </w:r>
      <w:r>
        <w:t xml:space="preserve">level playing field or incentivise novel CCU products compared to their fossil-based equivalent.</w:t>
      </w:r>
      <w:r>
        <w:br/>
      </w:r>
      <w:r>
        <w:t xml:space="preserve">As the carbon accounting in the EU ETS is dependent on the scope of the EU ETS coverage of</w:t>
      </w:r>
      <w:r>
        <w:t xml:space="preserve"> </w:t>
      </w:r>
      <w:r>
        <w:t xml:space="preserve">waste incineration, the different policy measures need to reflect the inclusion or lack of it in the</w:t>
      </w:r>
      <w:r>
        <w:t xml:space="preserve"> </w:t>
      </w:r>
      <w:r>
        <w:t xml:space="preserve">EU ETS. CCU0 represents no change from the baseline, continuing the upstream accounting</w:t>
      </w:r>
      <w:r>
        <w:t xml:space="preserve"> </w:t>
      </w:r>
      <w:r>
        <w:t xml:space="preserve">in the context of no inclusion of waste incineration in the EU ETS. Measure CCU1 retains the</w:t>
      </w:r>
      <w:r>
        <w:t xml:space="preserve"> </w:t>
      </w:r>
      <w:r>
        <w:t xml:space="preserve">current upstream accounting system¸ which means that the emitter pays for any captured</w:t>
      </w:r>
      <w:r>
        <w:t xml:space="preserve"> </w:t>
      </w:r>
      <w:r>
        <w:t xml:space="preserve">emissions, unless they are permanently stored. However, unlike CCU0, CCU1 assumes that</w:t>
      </w:r>
      <w:r>
        <w:t xml:space="preserve"> </w:t>
      </w:r>
      <w:r>
        <w:t xml:space="preserve">waste incineration has been included in the EU ETS. Measure CCU2 moves the point of</w:t>
      </w:r>
      <w:r>
        <w:t xml:space="preserve"> </w:t>
      </w:r>
      <w:r>
        <w:t xml:space="preserve">accounting downstream, which requires that the emissions contained in a CCU product are</w:t>
      </w:r>
      <w:r>
        <w:t xml:space="preserve"> </w:t>
      </w:r>
      <w:r>
        <w:t xml:space="preserve">accounted at the point where they are finally emitted, which can be at the point of consumption</w:t>
      </w:r>
      <w:r>
        <w:t xml:space="preserve"> </w:t>
      </w:r>
      <w:r>
        <w:t xml:space="preserve">for a product such as e-fuels or during the end-of-life treatment, such as when plastics or other</w:t>
      </w:r>
      <w:r>
        <w:t xml:space="preserve"> </w:t>
      </w:r>
      <w:r>
        <w:t xml:space="preserve">materials are incinerated. Measure CCU3 represents a hybrid accounting maintaining the</w:t>
      </w:r>
      <w:r>
        <w:t xml:space="preserve"> </w:t>
      </w:r>
      <w:r>
        <w:t xml:space="preserve">downstream accounting for most CCU products, except for e-fuels for which a midstream</w:t>
      </w:r>
      <w:r>
        <w:t xml:space="preserve"> </w:t>
      </w:r>
      <w:r>
        <w:t xml:space="preserve">accounting would be applied. This measure adapts the downstream accounting to the</w:t>
      </w:r>
      <w:r>
        <w:t xml:space="preserve"> </w:t>
      </w:r>
      <w:r>
        <w:t xml:space="preserve">specificity of e-fuels, for which a developed regulatory framework and incentives73 are already</w:t>
      </w:r>
      <w:r>
        <w:t xml:space="preserve"> </w:t>
      </w:r>
      <w:r>
        <w:t xml:space="preserve">in place. Under CCU3, e-fuels producers or distributers would be required to account and pay</w:t>
      </w:r>
      <w:r>
        <w:t xml:space="preserve"> </w:t>
      </w:r>
      <w:r>
        <w:t xml:space="preserve">for any fossil emissions embedded in the e-fuels, which allows to consider them as zero-rated</w:t>
      </w:r>
      <w:r>
        <w:t xml:space="preserve"> </w:t>
      </w:r>
      <w:r>
        <w:t xml:space="preserve">fuels for the end user.</w:t>
      </w:r>
      <w:r>
        <w:br/>
      </w:r>
      <w:r>
        <w:t xml:space="preserve">Table 22: Policy measures for CCU</w:t>
      </w:r>
      <w:r>
        <w:t xml:space="preserve"> </w:t>
      </w:r>
      <w:r>
        <w:t xml:space="preserve">Policy measure</w:t>
      </w:r>
      <w:r>
        <w:br/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CCU0:‘Upstream accounting’ with current waste scope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CCU1: ‘Upstream accounting’ with MWI inclusion</w:t>
      </w:r>
    </w:p>
    <w:p>
      <w:pPr>
        <w:pStyle w:val="BodyText"/>
      </w:pPr>
      <w:r>
        <w:t xml:space="preserve">CCU2 ‘Downstream accounting’</w:t>
      </w:r>
    </w:p>
    <w:p>
      <w:pPr>
        <w:pStyle w:val="BodyText"/>
      </w:pPr>
      <w:r>
        <w:t xml:space="preserve">CCU3 ‘Midstream accounting’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73 The Renewable Energy Directive (2018/2001), the ReFuelEU Aviation Regulation (2023/2405)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2026-07-31T16:48:49Z</dcterms:created>
  <dcterms:modified xsi:type="dcterms:W3CDTF">2026-07-31T16:48:49Z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